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3"/>
      </w:tblGrid>
      <w:tr w:rsidR="008E7846" w:rsidRPr="00487162" w:rsidTr="00D470CB">
        <w:trPr>
          <w:trHeight w:val="1621"/>
        </w:trPr>
        <w:tc>
          <w:tcPr>
            <w:tcW w:w="7363" w:type="dxa"/>
            <w:tcBorders>
              <w:top w:val="nil"/>
              <w:left w:val="nil"/>
              <w:bottom w:val="nil"/>
              <w:right w:val="nil"/>
            </w:tcBorders>
          </w:tcPr>
          <w:p w:rsidR="00D470CB" w:rsidRPr="00342C49" w:rsidRDefault="00D470CB" w:rsidP="00D470CB">
            <w:pPr>
              <w:rPr>
                <w:rFonts w:ascii="Arial" w:hAnsi="Arial" w:cs="Arial"/>
                <w:b/>
                <w:color w:val="002C47"/>
                <w:sz w:val="36"/>
                <w:szCs w:val="36"/>
              </w:rPr>
            </w:pPr>
            <w:r>
              <w:rPr>
                <w:rFonts w:ascii="Arial" w:hAnsi="Arial" w:cs="Arial"/>
                <w:b/>
                <w:color w:val="002C47"/>
                <w:sz w:val="36"/>
                <w:szCs w:val="36"/>
              </w:rPr>
              <w:t>First round report</w:t>
            </w:r>
            <w:r w:rsidRPr="00342C49">
              <w:rPr>
                <w:rFonts w:ascii="Arial" w:hAnsi="Arial" w:cs="Arial"/>
                <w:b/>
                <w:color w:val="002C47"/>
                <w:sz w:val="36"/>
                <w:szCs w:val="36"/>
              </w:rPr>
              <w:t>: March 2017</w:t>
            </w:r>
          </w:p>
          <w:p w:rsidR="008E7846" w:rsidRPr="0017078F" w:rsidRDefault="00D470CB" w:rsidP="00D470CB">
            <w:pPr>
              <w:rPr>
                <w:rFonts w:ascii="Arial" w:hAnsi="Arial" w:cs="Arial"/>
                <w:b/>
                <w:color w:val="002C47"/>
                <w:sz w:val="36"/>
                <w:szCs w:val="36"/>
              </w:rPr>
            </w:pPr>
            <w:r w:rsidRPr="00342C49">
              <w:rPr>
                <w:rFonts w:ascii="Arial" w:hAnsi="Arial" w:cs="Arial"/>
                <w:b/>
                <w:color w:val="002C47"/>
                <w:sz w:val="36"/>
                <w:szCs w:val="36"/>
              </w:rPr>
              <w:t>Second round</w:t>
            </w:r>
            <w:r>
              <w:rPr>
                <w:rFonts w:ascii="Arial" w:hAnsi="Arial" w:cs="Arial"/>
                <w:b/>
                <w:color w:val="002C47"/>
                <w:sz w:val="36"/>
                <w:szCs w:val="36"/>
              </w:rPr>
              <w:t xml:space="preserve"> report</w:t>
            </w:r>
            <w:r w:rsidRPr="00342C49">
              <w:rPr>
                <w:rFonts w:ascii="Arial" w:hAnsi="Arial" w:cs="Arial"/>
                <w:b/>
                <w:color w:val="002C47"/>
                <w:sz w:val="36"/>
                <w:szCs w:val="36"/>
              </w:rPr>
              <w:t>: July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D470CB">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D470CB">
              <w:rPr>
                <w:color w:val="FFFFFF" w:themeColor="background1"/>
              </w:rPr>
              <w:t>I</w:t>
            </w:r>
            <w:r w:rsidR="00D470CB" w:rsidRPr="00342C49">
              <w:rPr>
                <w:color w:val="FFFFFF" w:themeColor="background1"/>
              </w:rPr>
              <w:t xml:space="preserve">nfluenza virus </w:t>
            </w:r>
            <w:bookmarkStart w:id="0" w:name="_GoBack"/>
            <w:bookmarkEnd w:id="0"/>
            <w:proofErr w:type="spellStart"/>
            <w:r w:rsidR="00D470CB" w:rsidRPr="00342C49">
              <w:rPr>
                <w:color w:val="FFFFFF" w:themeColor="background1"/>
              </w:rPr>
              <w:t>haemagglutinin</w:t>
            </w:r>
            <w:proofErr w:type="spellEnd"/>
          </w:p>
        </w:tc>
      </w:tr>
      <w:tr w:rsidR="00E07F15" w:rsidRPr="00B64760" w:rsidTr="00E07F15">
        <w:tc>
          <w:tcPr>
            <w:tcW w:w="9079" w:type="dxa"/>
          </w:tcPr>
          <w:p w:rsidR="00E07F15" w:rsidRPr="008E7846" w:rsidRDefault="00D470CB" w:rsidP="00D470CB">
            <w:pPr>
              <w:pStyle w:val="Subtitle"/>
              <w:rPr>
                <w:color w:val="FFFFFF" w:themeColor="background1"/>
              </w:rPr>
            </w:pPr>
            <w:r>
              <w:rPr>
                <w:color w:val="FFFFFF" w:themeColor="background1"/>
              </w:rPr>
              <w:t>Proprietary Product Name: Afluria Quad</w:t>
            </w:r>
          </w:p>
        </w:tc>
      </w:tr>
      <w:tr w:rsidR="00E07F15" w:rsidRPr="00B64760" w:rsidTr="00E07F15">
        <w:trPr>
          <w:trHeight w:val="486"/>
        </w:trPr>
        <w:tc>
          <w:tcPr>
            <w:tcW w:w="9079" w:type="dxa"/>
          </w:tcPr>
          <w:p w:rsidR="00E07F15" w:rsidRPr="008E7846" w:rsidRDefault="00D470CB" w:rsidP="00D470CB">
            <w:pPr>
              <w:pStyle w:val="Subtitle"/>
              <w:rPr>
                <w:color w:val="FFFFFF" w:themeColor="background1"/>
              </w:rPr>
            </w:pPr>
            <w:r>
              <w:rPr>
                <w:color w:val="FFFFFF" w:themeColor="background1"/>
              </w:rPr>
              <w:t>Sponsor:</w:t>
            </w:r>
            <w:r w:rsidRPr="00342C49">
              <w:rPr>
                <w:color w:val="FFFFFF" w:themeColor="background1"/>
              </w:rPr>
              <w:t xml:space="preserve"> </w:t>
            </w:r>
            <w:proofErr w:type="spellStart"/>
            <w:r w:rsidRPr="00342C49">
              <w:rPr>
                <w:color w:val="FFFFFF" w:themeColor="background1"/>
              </w:rPr>
              <w:t>Seqirus</w:t>
            </w:r>
            <w:proofErr w:type="spellEnd"/>
            <w:r w:rsidRPr="00342C49">
              <w:rPr>
                <w:color w:val="FFFFFF" w:themeColor="background1"/>
              </w:rPr>
              <w:t xml:space="preserv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575E67">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Cs/>
          <w:sz w:val="22"/>
        </w:rPr>
        <w:id w:val="5618007"/>
        <w:docPartObj>
          <w:docPartGallery w:val="Table of Contents"/>
          <w:docPartUnique/>
        </w:docPartObj>
      </w:sdtPr>
      <w:sdtEndPr>
        <w:rPr>
          <w:bCs w:val="0"/>
          <w:sz w:val="25"/>
        </w:rPr>
      </w:sdtEndPr>
      <w:sdtContent>
        <w:p w:rsidR="0089635C" w:rsidRPr="0089635C" w:rsidRDefault="0089635C" w:rsidP="00943D71">
          <w:pPr>
            <w:pStyle w:val="Contents"/>
          </w:pPr>
          <w:r w:rsidRPr="0010788A">
            <w:t>Contents</w:t>
          </w:r>
        </w:p>
        <w:p w:rsidR="0017010A"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35416836" w:history="1">
            <w:r w:rsidR="0017010A" w:rsidRPr="00BA6B91">
              <w:rPr>
                <w:rStyle w:val="Hyperlink"/>
                <w:noProof/>
              </w:rPr>
              <w:t>List of common abbreviations</w:t>
            </w:r>
            <w:r w:rsidR="0017010A">
              <w:rPr>
                <w:noProof/>
                <w:webHidden/>
              </w:rPr>
              <w:tab/>
            </w:r>
            <w:r w:rsidR="0017010A">
              <w:rPr>
                <w:noProof/>
                <w:webHidden/>
              </w:rPr>
              <w:fldChar w:fldCharType="begin"/>
            </w:r>
            <w:r w:rsidR="0017010A">
              <w:rPr>
                <w:noProof/>
                <w:webHidden/>
              </w:rPr>
              <w:instrText xml:space="preserve"> PAGEREF _Toc535416836 \h </w:instrText>
            </w:r>
            <w:r w:rsidR="0017010A">
              <w:rPr>
                <w:noProof/>
                <w:webHidden/>
              </w:rPr>
            </w:r>
            <w:r w:rsidR="0017010A">
              <w:rPr>
                <w:noProof/>
                <w:webHidden/>
              </w:rPr>
              <w:fldChar w:fldCharType="separate"/>
            </w:r>
            <w:r w:rsidR="0017010A">
              <w:rPr>
                <w:noProof/>
                <w:webHidden/>
              </w:rPr>
              <w:t>5</w:t>
            </w:r>
            <w:r w:rsidR="0017010A">
              <w:rPr>
                <w:noProof/>
                <w:webHidden/>
              </w:rPr>
              <w:fldChar w:fldCharType="end"/>
            </w:r>
          </w:hyperlink>
        </w:p>
        <w:p w:rsidR="0017010A" w:rsidRDefault="002228CD">
          <w:pPr>
            <w:pStyle w:val="TOC2"/>
            <w:tabs>
              <w:tab w:val="left" w:pos="1100"/>
            </w:tabs>
            <w:rPr>
              <w:rFonts w:asciiTheme="minorHAnsi" w:eastAsiaTheme="minorEastAsia" w:hAnsiTheme="minorHAnsi" w:cstheme="minorBidi"/>
              <w:b w:val="0"/>
              <w:noProof/>
              <w:sz w:val="22"/>
              <w:lang w:eastAsia="en-AU"/>
            </w:rPr>
          </w:pPr>
          <w:hyperlink w:anchor="_Toc535416837" w:history="1">
            <w:r w:rsidR="0017010A" w:rsidRPr="00BA6B91">
              <w:rPr>
                <w:rStyle w:val="Hyperlink"/>
                <w:noProof/>
              </w:rPr>
              <w:t>1.</w:t>
            </w:r>
            <w:r w:rsidR="0017010A">
              <w:rPr>
                <w:rFonts w:asciiTheme="minorHAnsi" w:eastAsiaTheme="minorEastAsia" w:hAnsiTheme="minorHAnsi" w:cstheme="minorBidi"/>
                <w:b w:val="0"/>
                <w:noProof/>
                <w:sz w:val="22"/>
                <w:lang w:eastAsia="en-AU"/>
              </w:rPr>
              <w:tab/>
            </w:r>
            <w:r w:rsidR="0017010A" w:rsidRPr="00BA6B91">
              <w:rPr>
                <w:rStyle w:val="Hyperlink"/>
                <w:noProof/>
              </w:rPr>
              <w:t>Submission details</w:t>
            </w:r>
            <w:r w:rsidR="0017010A">
              <w:rPr>
                <w:noProof/>
                <w:webHidden/>
              </w:rPr>
              <w:tab/>
            </w:r>
            <w:r w:rsidR="0017010A">
              <w:rPr>
                <w:noProof/>
                <w:webHidden/>
              </w:rPr>
              <w:fldChar w:fldCharType="begin"/>
            </w:r>
            <w:r w:rsidR="0017010A">
              <w:rPr>
                <w:noProof/>
                <w:webHidden/>
              </w:rPr>
              <w:instrText xml:space="preserve"> PAGEREF _Toc535416837 \h </w:instrText>
            </w:r>
            <w:r w:rsidR="0017010A">
              <w:rPr>
                <w:noProof/>
                <w:webHidden/>
              </w:rPr>
            </w:r>
            <w:r w:rsidR="0017010A">
              <w:rPr>
                <w:noProof/>
                <w:webHidden/>
              </w:rPr>
              <w:fldChar w:fldCharType="separate"/>
            </w:r>
            <w:r w:rsidR="0017010A">
              <w:rPr>
                <w:noProof/>
                <w:webHidden/>
              </w:rPr>
              <w:t>7</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38" w:history="1">
            <w:r w:rsidR="0017010A" w:rsidRPr="00BA6B91">
              <w:rPr>
                <w:rStyle w:val="Hyperlink"/>
                <w:noProof/>
              </w:rPr>
              <w:t>1.1.</w:t>
            </w:r>
            <w:r w:rsidR="0017010A">
              <w:rPr>
                <w:rFonts w:asciiTheme="minorHAnsi" w:eastAsiaTheme="minorEastAsia" w:hAnsiTheme="minorHAnsi" w:cstheme="minorBidi"/>
                <w:noProof/>
                <w:lang w:eastAsia="en-AU"/>
              </w:rPr>
              <w:tab/>
            </w:r>
            <w:r w:rsidR="0017010A" w:rsidRPr="00BA6B91">
              <w:rPr>
                <w:rStyle w:val="Hyperlink"/>
                <w:noProof/>
              </w:rPr>
              <w:t>Submission type</w:t>
            </w:r>
            <w:r w:rsidR="0017010A">
              <w:rPr>
                <w:noProof/>
                <w:webHidden/>
              </w:rPr>
              <w:tab/>
            </w:r>
            <w:r w:rsidR="0017010A">
              <w:rPr>
                <w:noProof/>
                <w:webHidden/>
              </w:rPr>
              <w:fldChar w:fldCharType="begin"/>
            </w:r>
            <w:r w:rsidR="0017010A">
              <w:rPr>
                <w:noProof/>
                <w:webHidden/>
              </w:rPr>
              <w:instrText xml:space="preserve"> PAGEREF _Toc535416838 \h </w:instrText>
            </w:r>
            <w:r w:rsidR="0017010A">
              <w:rPr>
                <w:noProof/>
                <w:webHidden/>
              </w:rPr>
            </w:r>
            <w:r w:rsidR="0017010A">
              <w:rPr>
                <w:noProof/>
                <w:webHidden/>
              </w:rPr>
              <w:fldChar w:fldCharType="separate"/>
            </w:r>
            <w:r w:rsidR="0017010A">
              <w:rPr>
                <w:noProof/>
                <w:webHidden/>
              </w:rPr>
              <w:t>7</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39" w:history="1">
            <w:r w:rsidR="0017010A" w:rsidRPr="00BA6B91">
              <w:rPr>
                <w:rStyle w:val="Hyperlink"/>
                <w:noProof/>
              </w:rPr>
              <w:t>1.2.</w:t>
            </w:r>
            <w:r w:rsidR="0017010A">
              <w:rPr>
                <w:rFonts w:asciiTheme="minorHAnsi" w:eastAsiaTheme="minorEastAsia" w:hAnsiTheme="minorHAnsi" w:cstheme="minorBidi"/>
                <w:noProof/>
                <w:lang w:eastAsia="en-AU"/>
              </w:rPr>
              <w:tab/>
            </w:r>
            <w:r w:rsidR="0017010A" w:rsidRPr="00BA6B91">
              <w:rPr>
                <w:rStyle w:val="Hyperlink"/>
                <w:noProof/>
              </w:rPr>
              <w:t>Drug class and therapeutic indication</w:t>
            </w:r>
            <w:r w:rsidR="0017010A">
              <w:rPr>
                <w:noProof/>
                <w:webHidden/>
              </w:rPr>
              <w:tab/>
            </w:r>
            <w:r w:rsidR="0017010A">
              <w:rPr>
                <w:noProof/>
                <w:webHidden/>
              </w:rPr>
              <w:fldChar w:fldCharType="begin"/>
            </w:r>
            <w:r w:rsidR="0017010A">
              <w:rPr>
                <w:noProof/>
                <w:webHidden/>
              </w:rPr>
              <w:instrText xml:space="preserve"> PAGEREF _Toc535416839 \h </w:instrText>
            </w:r>
            <w:r w:rsidR="0017010A">
              <w:rPr>
                <w:noProof/>
                <w:webHidden/>
              </w:rPr>
            </w:r>
            <w:r w:rsidR="0017010A">
              <w:rPr>
                <w:noProof/>
                <w:webHidden/>
              </w:rPr>
              <w:fldChar w:fldCharType="separate"/>
            </w:r>
            <w:r w:rsidR="0017010A">
              <w:rPr>
                <w:noProof/>
                <w:webHidden/>
              </w:rPr>
              <w:t>7</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40" w:history="1">
            <w:r w:rsidR="0017010A" w:rsidRPr="00BA6B91">
              <w:rPr>
                <w:rStyle w:val="Hyperlink"/>
                <w:noProof/>
              </w:rPr>
              <w:t>1.3.</w:t>
            </w:r>
            <w:r w:rsidR="0017010A">
              <w:rPr>
                <w:rFonts w:asciiTheme="minorHAnsi" w:eastAsiaTheme="minorEastAsia" w:hAnsiTheme="minorHAnsi" w:cstheme="minorBidi"/>
                <w:noProof/>
                <w:lang w:eastAsia="en-AU"/>
              </w:rPr>
              <w:tab/>
            </w:r>
            <w:r w:rsidR="0017010A" w:rsidRPr="00BA6B91">
              <w:rPr>
                <w:rStyle w:val="Hyperlink"/>
                <w:noProof/>
              </w:rPr>
              <w:t>Dosage forms and strengths</w:t>
            </w:r>
            <w:r w:rsidR="0017010A">
              <w:rPr>
                <w:noProof/>
                <w:webHidden/>
              </w:rPr>
              <w:tab/>
            </w:r>
            <w:r w:rsidR="0017010A">
              <w:rPr>
                <w:noProof/>
                <w:webHidden/>
              </w:rPr>
              <w:fldChar w:fldCharType="begin"/>
            </w:r>
            <w:r w:rsidR="0017010A">
              <w:rPr>
                <w:noProof/>
                <w:webHidden/>
              </w:rPr>
              <w:instrText xml:space="preserve"> PAGEREF _Toc535416840 \h </w:instrText>
            </w:r>
            <w:r w:rsidR="0017010A">
              <w:rPr>
                <w:noProof/>
                <w:webHidden/>
              </w:rPr>
            </w:r>
            <w:r w:rsidR="0017010A">
              <w:rPr>
                <w:noProof/>
                <w:webHidden/>
              </w:rPr>
              <w:fldChar w:fldCharType="separate"/>
            </w:r>
            <w:r w:rsidR="0017010A">
              <w:rPr>
                <w:noProof/>
                <w:webHidden/>
              </w:rPr>
              <w:t>8</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41" w:history="1">
            <w:r w:rsidR="0017010A" w:rsidRPr="00BA6B91">
              <w:rPr>
                <w:rStyle w:val="Hyperlink"/>
                <w:noProof/>
              </w:rPr>
              <w:t>1.4.</w:t>
            </w:r>
            <w:r w:rsidR="0017010A">
              <w:rPr>
                <w:rFonts w:asciiTheme="minorHAnsi" w:eastAsiaTheme="minorEastAsia" w:hAnsiTheme="minorHAnsi" w:cstheme="minorBidi"/>
                <w:noProof/>
                <w:lang w:eastAsia="en-AU"/>
              </w:rPr>
              <w:tab/>
            </w:r>
            <w:r w:rsidR="0017010A" w:rsidRPr="00BA6B91">
              <w:rPr>
                <w:rStyle w:val="Hyperlink"/>
                <w:noProof/>
              </w:rPr>
              <w:t>Dosage and administration</w:t>
            </w:r>
            <w:r w:rsidR="0017010A">
              <w:rPr>
                <w:noProof/>
                <w:webHidden/>
              </w:rPr>
              <w:tab/>
            </w:r>
            <w:r w:rsidR="0017010A">
              <w:rPr>
                <w:noProof/>
                <w:webHidden/>
              </w:rPr>
              <w:fldChar w:fldCharType="begin"/>
            </w:r>
            <w:r w:rsidR="0017010A">
              <w:rPr>
                <w:noProof/>
                <w:webHidden/>
              </w:rPr>
              <w:instrText xml:space="preserve"> PAGEREF _Toc535416841 \h </w:instrText>
            </w:r>
            <w:r w:rsidR="0017010A">
              <w:rPr>
                <w:noProof/>
                <w:webHidden/>
              </w:rPr>
            </w:r>
            <w:r w:rsidR="0017010A">
              <w:rPr>
                <w:noProof/>
                <w:webHidden/>
              </w:rPr>
              <w:fldChar w:fldCharType="separate"/>
            </w:r>
            <w:r w:rsidR="0017010A">
              <w:rPr>
                <w:noProof/>
                <w:webHidden/>
              </w:rPr>
              <w:t>8</w:t>
            </w:r>
            <w:r w:rsidR="0017010A">
              <w:rPr>
                <w:noProof/>
                <w:webHidden/>
              </w:rPr>
              <w:fldChar w:fldCharType="end"/>
            </w:r>
          </w:hyperlink>
        </w:p>
        <w:p w:rsidR="0017010A" w:rsidRDefault="002228CD">
          <w:pPr>
            <w:pStyle w:val="TOC2"/>
            <w:tabs>
              <w:tab w:val="left" w:pos="1100"/>
            </w:tabs>
            <w:rPr>
              <w:rFonts w:asciiTheme="minorHAnsi" w:eastAsiaTheme="minorEastAsia" w:hAnsiTheme="minorHAnsi" w:cstheme="minorBidi"/>
              <w:b w:val="0"/>
              <w:noProof/>
              <w:sz w:val="22"/>
              <w:lang w:eastAsia="en-AU"/>
            </w:rPr>
          </w:pPr>
          <w:hyperlink w:anchor="_Toc535416842" w:history="1">
            <w:r w:rsidR="0017010A" w:rsidRPr="00BA6B91">
              <w:rPr>
                <w:rStyle w:val="Hyperlink"/>
                <w:noProof/>
              </w:rPr>
              <w:t>2.</w:t>
            </w:r>
            <w:r w:rsidR="0017010A">
              <w:rPr>
                <w:rFonts w:asciiTheme="minorHAnsi" w:eastAsiaTheme="minorEastAsia" w:hAnsiTheme="minorHAnsi" w:cstheme="minorBidi"/>
                <w:b w:val="0"/>
                <w:noProof/>
                <w:sz w:val="22"/>
                <w:lang w:eastAsia="en-AU"/>
              </w:rPr>
              <w:tab/>
            </w:r>
            <w:r w:rsidR="0017010A" w:rsidRPr="00BA6B91">
              <w:rPr>
                <w:rStyle w:val="Hyperlink"/>
                <w:noProof/>
              </w:rPr>
              <w:t>Background</w:t>
            </w:r>
            <w:r w:rsidR="0017010A">
              <w:rPr>
                <w:noProof/>
                <w:webHidden/>
              </w:rPr>
              <w:tab/>
            </w:r>
            <w:r w:rsidR="0017010A">
              <w:rPr>
                <w:noProof/>
                <w:webHidden/>
              </w:rPr>
              <w:fldChar w:fldCharType="begin"/>
            </w:r>
            <w:r w:rsidR="0017010A">
              <w:rPr>
                <w:noProof/>
                <w:webHidden/>
              </w:rPr>
              <w:instrText xml:space="preserve"> PAGEREF _Toc535416842 \h </w:instrText>
            </w:r>
            <w:r w:rsidR="0017010A">
              <w:rPr>
                <w:noProof/>
                <w:webHidden/>
              </w:rPr>
            </w:r>
            <w:r w:rsidR="0017010A">
              <w:rPr>
                <w:noProof/>
                <w:webHidden/>
              </w:rPr>
              <w:fldChar w:fldCharType="separate"/>
            </w:r>
            <w:r w:rsidR="0017010A">
              <w:rPr>
                <w:noProof/>
                <w:webHidden/>
              </w:rPr>
              <w:t>8</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43" w:history="1">
            <w:r w:rsidR="0017010A" w:rsidRPr="00BA6B91">
              <w:rPr>
                <w:rStyle w:val="Hyperlink"/>
                <w:noProof/>
              </w:rPr>
              <w:t>2.1.</w:t>
            </w:r>
            <w:r w:rsidR="0017010A">
              <w:rPr>
                <w:rFonts w:asciiTheme="minorHAnsi" w:eastAsiaTheme="minorEastAsia" w:hAnsiTheme="minorHAnsi" w:cstheme="minorBidi"/>
                <w:noProof/>
                <w:lang w:eastAsia="en-AU"/>
              </w:rPr>
              <w:tab/>
            </w:r>
            <w:r w:rsidR="0017010A" w:rsidRPr="00BA6B91">
              <w:rPr>
                <w:rStyle w:val="Hyperlink"/>
                <w:noProof/>
              </w:rPr>
              <w:t>Information on the condition being treated</w:t>
            </w:r>
            <w:r w:rsidR="0017010A">
              <w:rPr>
                <w:noProof/>
                <w:webHidden/>
              </w:rPr>
              <w:tab/>
            </w:r>
            <w:r w:rsidR="0017010A">
              <w:rPr>
                <w:noProof/>
                <w:webHidden/>
              </w:rPr>
              <w:fldChar w:fldCharType="begin"/>
            </w:r>
            <w:r w:rsidR="0017010A">
              <w:rPr>
                <w:noProof/>
                <w:webHidden/>
              </w:rPr>
              <w:instrText xml:space="preserve"> PAGEREF _Toc535416843 \h </w:instrText>
            </w:r>
            <w:r w:rsidR="0017010A">
              <w:rPr>
                <w:noProof/>
                <w:webHidden/>
              </w:rPr>
            </w:r>
            <w:r w:rsidR="0017010A">
              <w:rPr>
                <w:noProof/>
                <w:webHidden/>
              </w:rPr>
              <w:fldChar w:fldCharType="separate"/>
            </w:r>
            <w:r w:rsidR="0017010A">
              <w:rPr>
                <w:noProof/>
                <w:webHidden/>
              </w:rPr>
              <w:t>8</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44" w:history="1">
            <w:r w:rsidR="0017010A" w:rsidRPr="00BA6B91">
              <w:rPr>
                <w:rStyle w:val="Hyperlink"/>
                <w:noProof/>
              </w:rPr>
              <w:t>2.2.</w:t>
            </w:r>
            <w:r w:rsidR="0017010A">
              <w:rPr>
                <w:rFonts w:asciiTheme="minorHAnsi" w:eastAsiaTheme="minorEastAsia" w:hAnsiTheme="minorHAnsi" w:cstheme="minorBidi"/>
                <w:noProof/>
                <w:lang w:eastAsia="en-AU"/>
              </w:rPr>
              <w:tab/>
            </w:r>
            <w:r w:rsidR="0017010A" w:rsidRPr="00BA6B91">
              <w:rPr>
                <w:rStyle w:val="Hyperlink"/>
                <w:noProof/>
              </w:rPr>
              <w:t>Current treatment options</w:t>
            </w:r>
            <w:r w:rsidR="0017010A">
              <w:rPr>
                <w:noProof/>
                <w:webHidden/>
              </w:rPr>
              <w:tab/>
            </w:r>
            <w:r w:rsidR="0017010A">
              <w:rPr>
                <w:noProof/>
                <w:webHidden/>
              </w:rPr>
              <w:fldChar w:fldCharType="begin"/>
            </w:r>
            <w:r w:rsidR="0017010A">
              <w:rPr>
                <w:noProof/>
                <w:webHidden/>
              </w:rPr>
              <w:instrText xml:space="preserve"> PAGEREF _Toc535416844 \h </w:instrText>
            </w:r>
            <w:r w:rsidR="0017010A">
              <w:rPr>
                <w:noProof/>
                <w:webHidden/>
              </w:rPr>
            </w:r>
            <w:r w:rsidR="0017010A">
              <w:rPr>
                <w:noProof/>
                <w:webHidden/>
              </w:rPr>
              <w:fldChar w:fldCharType="separate"/>
            </w:r>
            <w:r w:rsidR="0017010A">
              <w:rPr>
                <w:noProof/>
                <w:webHidden/>
              </w:rPr>
              <w:t>9</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45" w:history="1">
            <w:r w:rsidR="0017010A" w:rsidRPr="00BA6B91">
              <w:rPr>
                <w:rStyle w:val="Hyperlink"/>
                <w:noProof/>
              </w:rPr>
              <w:t>2.3.</w:t>
            </w:r>
            <w:r w:rsidR="0017010A">
              <w:rPr>
                <w:rFonts w:asciiTheme="minorHAnsi" w:eastAsiaTheme="minorEastAsia" w:hAnsiTheme="minorHAnsi" w:cstheme="minorBidi"/>
                <w:noProof/>
                <w:lang w:eastAsia="en-AU"/>
              </w:rPr>
              <w:tab/>
            </w:r>
            <w:r w:rsidR="0017010A" w:rsidRPr="00BA6B91">
              <w:rPr>
                <w:rStyle w:val="Hyperlink"/>
                <w:noProof/>
              </w:rPr>
              <w:t>Clinical rationale</w:t>
            </w:r>
            <w:r w:rsidR="0017010A">
              <w:rPr>
                <w:noProof/>
                <w:webHidden/>
              </w:rPr>
              <w:tab/>
            </w:r>
            <w:r w:rsidR="0017010A">
              <w:rPr>
                <w:noProof/>
                <w:webHidden/>
              </w:rPr>
              <w:fldChar w:fldCharType="begin"/>
            </w:r>
            <w:r w:rsidR="0017010A">
              <w:rPr>
                <w:noProof/>
                <w:webHidden/>
              </w:rPr>
              <w:instrText xml:space="preserve"> PAGEREF _Toc535416845 \h </w:instrText>
            </w:r>
            <w:r w:rsidR="0017010A">
              <w:rPr>
                <w:noProof/>
                <w:webHidden/>
              </w:rPr>
            </w:r>
            <w:r w:rsidR="0017010A">
              <w:rPr>
                <w:noProof/>
                <w:webHidden/>
              </w:rPr>
              <w:fldChar w:fldCharType="separate"/>
            </w:r>
            <w:r w:rsidR="0017010A">
              <w:rPr>
                <w:noProof/>
                <w:webHidden/>
              </w:rPr>
              <w:t>9</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46" w:history="1">
            <w:r w:rsidR="0017010A" w:rsidRPr="00BA6B91">
              <w:rPr>
                <w:rStyle w:val="Hyperlink"/>
                <w:noProof/>
              </w:rPr>
              <w:t>2.4.</w:t>
            </w:r>
            <w:r w:rsidR="0017010A">
              <w:rPr>
                <w:rFonts w:asciiTheme="minorHAnsi" w:eastAsiaTheme="minorEastAsia" w:hAnsiTheme="minorHAnsi" w:cstheme="minorBidi"/>
                <w:noProof/>
                <w:lang w:eastAsia="en-AU"/>
              </w:rPr>
              <w:tab/>
            </w:r>
            <w:r w:rsidR="0017010A" w:rsidRPr="00BA6B91">
              <w:rPr>
                <w:rStyle w:val="Hyperlink"/>
                <w:noProof/>
              </w:rPr>
              <w:t>Formulation</w:t>
            </w:r>
            <w:r w:rsidR="0017010A">
              <w:rPr>
                <w:noProof/>
                <w:webHidden/>
              </w:rPr>
              <w:tab/>
            </w:r>
            <w:r w:rsidR="0017010A">
              <w:rPr>
                <w:noProof/>
                <w:webHidden/>
              </w:rPr>
              <w:fldChar w:fldCharType="begin"/>
            </w:r>
            <w:r w:rsidR="0017010A">
              <w:rPr>
                <w:noProof/>
                <w:webHidden/>
              </w:rPr>
              <w:instrText xml:space="preserve"> PAGEREF _Toc535416846 \h </w:instrText>
            </w:r>
            <w:r w:rsidR="0017010A">
              <w:rPr>
                <w:noProof/>
                <w:webHidden/>
              </w:rPr>
            </w:r>
            <w:r w:rsidR="0017010A">
              <w:rPr>
                <w:noProof/>
                <w:webHidden/>
              </w:rPr>
              <w:fldChar w:fldCharType="separate"/>
            </w:r>
            <w:r w:rsidR="0017010A">
              <w:rPr>
                <w:noProof/>
                <w:webHidden/>
              </w:rPr>
              <w:t>10</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47" w:history="1">
            <w:r w:rsidR="0017010A" w:rsidRPr="00BA6B91">
              <w:rPr>
                <w:rStyle w:val="Hyperlink"/>
                <w:noProof/>
              </w:rPr>
              <w:t>2.5.</w:t>
            </w:r>
            <w:r w:rsidR="0017010A">
              <w:rPr>
                <w:rFonts w:asciiTheme="minorHAnsi" w:eastAsiaTheme="minorEastAsia" w:hAnsiTheme="minorHAnsi" w:cstheme="minorBidi"/>
                <w:noProof/>
                <w:lang w:eastAsia="en-AU"/>
              </w:rPr>
              <w:tab/>
            </w:r>
            <w:r w:rsidR="0017010A" w:rsidRPr="00BA6B91">
              <w:rPr>
                <w:rStyle w:val="Hyperlink"/>
                <w:noProof/>
              </w:rPr>
              <w:t>Guidance</w:t>
            </w:r>
            <w:r w:rsidR="0017010A">
              <w:rPr>
                <w:noProof/>
                <w:webHidden/>
              </w:rPr>
              <w:tab/>
            </w:r>
            <w:r w:rsidR="0017010A">
              <w:rPr>
                <w:noProof/>
                <w:webHidden/>
              </w:rPr>
              <w:fldChar w:fldCharType="begin"/>
            </w:r>
            <w:r w:rsidR="0017010A">
              <w:rPr>
                <w:noProof/>
                <w:webHidden/>
              </w:rPr>
              <w:instrText xml:space="preserve"> PAGEREF _Toc535416847 \h </w:instrText>
            </w:r>
            <w:r w:rsidR="0017010A">
              <w:rPr>
                <w:noProof/>
                <w:webHidden/>
              </w:rPr>
            </w:r>
            <w:r w:rsidR="0017010A">
              <w:rPr>
                <w:noProof/>
                <w:webHidden/>
              </w:rPr>
              <w:fldChar w:fldCharType="separate"/>
            </w:r>
            <w:r w:rsidR="0017010A">
              <w:rPr>
                <w:noProof/>
                <w:webHidden/>
              </w:rPr>
              <w:t>11</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48" w:history="1">
            <w:r w:rsidR="0017010A" w:rsidRPr="00BA6B91">
              <w:rPr>
                <w:rStyle w:val="Hyperlink"/>
                <w:noProof/>
              </w:rPr>
              <w:t>2.6.</w:t>
            </w:r>
            <w:r w:rsidR="0017010A">
              <w:rPr>
                <w:rFonts w:asciiTheme="minorHAnsi" w:eastAsiaTheme="minorEastAsia" w:hAnsiTheme="minorHAnsi" w:cstheme="minorBidi"/>
                <w:noProof/>
                <w:lang w:eastAsia="en-AU"/>
              </w:rPr>
              <w:tab/>
            </w:r>
            <w:r w:rsidR="0017010A" w:rsidRPr="00BA6B91">
              <w:rPr>
                <w:rStyle w:val="Hyperlink"/>
                <w:noProof/>
              </w:rPr>
              <w:t>Evaluator’s commentary on the background information</w:t>
            </w:r>
            <w:r w:rsidR="0017010A">
              <w:rPr>
                <w:noProof/>
                <w:webHidden/>
              </w:rPr>
              <w:tab/>
            </w:r>
            <w:r w:rsidR="0017010A">
              <w:rPr>
                <w:noProof/>
                <w:webHidden/>
              </w:rPr>
              <w:fldChar w:fldCharType="begin"/>
            </w:r>
            <w:r w:rsidR="0017010A">
              <w:rPr>
                <w:noProof/>
                <w:webHidden/>
              </w:rPr>
              <w:instrText xml:space="preserve"> PAGEREF _Toc535416848 \h </w:instrText>
            </w:r>
            <w:r w:rsidR="0017010A">
              <w:rPr>
                <w:noProof/>
                <w:webHidden/>
              </w:rPr>
            </w:r>
            <w:r w:rsidR="0017010A">
              <w:rPr>
                <w:noProof/>
                <w:webHidden/>
              </w:rPr>
              <w:fldChar w:fldCharType="separate"/>
            </w:r>
            <w:r w:rsidR="0017010A">
              <w:rPr>
                <w:noProof/>
                <w:webHidden/>
              </w:rPr>
              <w:t>11</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49" w:history="1">
            <w:r w:rsidR="0017010A" w:rsidRPr="00BA6B91">
              <w:rPr>
                <w:rStyle w:val="Hyperlink"/>
                <w:noProof/>
              </w:rPr>
              <w:t>2.7.</w:t>
            </w:r>
            <w:r w:rsidR="0017010A">
              <w:rPr>
                <w:rFonts w:asciiTheme="minorHAnsi" w:eastAsiaTheme="minorEastAsia" w:hAnsiTheme="minorHAnsi" w:cstheme="minorBidi"/>
                <w:noProof/>
                <w:lang w:eastAsia="en-AU"/>
              </w:rPr>
              <w:tab/>
            </w:r>
            <w:r w:rsidR="0017010A" w:rsidRPr="00BA6B91">
              <w:rPr>
                <w:rStyle w:val="Hyperlink"/>
                <w:noProof/>
              </w:rPr>
              <w:t>Scope of the clinical dossier</w:t>
            </w:r>
            <w:r w:rsidR="0017010A">
              <w:rPr>
                <w:noProof/>
                <w:webHidden/>
              </w:rPr>
              <w:tab/>
            </w:r>
            <w:r w:rsidR="0017010A">
              <w:rPr>
                <w:noProof/>
                <w:webHidden/>
              </w:rPr>
              <w:fldChar w:fldCharType="begin"/>
            </w:r>
            <w:r w:rsidR="0017010A">
              <w:rPr>
                <w:noProof/>
                <w:webHidden/>
              </w:rPr>
              <w:instrText xml:space="preserve"> PAGEREF _Toc535416849 \h </w:instrText>
            </w:r>
            <w:r w:rsidR="0017010A">
              <w:rPr>
                <w:noProof/>
                <w:webHidden/>
              </w:rPr>
            </w:r>
            <w:r w:rsidR="0017010A">
              <w:rPr>
                <w:noProof/>
                <w:webHidden/>
              </w:rPr>
              <w:fldChar w:fldCharType="separate"/>
            </w:r>
            <w:r w:rsidR="0017010A">
              <w:rPr>
                <w:noProof/>
                <w:webHidden/>
              </w:rPr>
              <w:t>11</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50" w:history="1">
            <w:r w:rsidR="0017010A" w:rsidRPr="00BA6B91">
              <w:rPr>
                <w:rStyle w:val="Hyperlink"/>
                <w:noProof/>
              </w:rPr>
              <w:t>2.8.</w:t>
            </w:r>
            <w:r w:rsidR="0017010A">
              <w:rPr>
                <w:rFonts w:asciiTheme="minorHAnsi" w:eastAsiaTheme="minorEastAsia" w:hAnsiTheme="minorHAnsi" w:cstheme="minorBidi"/>
                <w:noProof/>
                <w:lang w:eastAsia="en-AU"/>
              </w:rPr>
              <w:tab/>
            </w:r>
            <w:r w:rsidR="0017010A" w:rsidRPr="00BA6B91">
              <w:rPr>
                <w:rStyle w:val="Hyperlink"/>
                <w:noProof/>
              </w:rPr>
              <w:t>Paediatric data</w:t>
            </w:r>
            <w:r w:rsidR="0017010A">
              <w:rPr>
                <w:noProof/>
                <w:webHidden/>
              </w:rPr>
              <w:tab/>
            </w:r>
            <w:r w:rsidR="0017010A">
              <w:rPr>
                <w:noProof/>
                <w:webHidden/>
              </w:rPr>
              <w:fldChar w:fldCharType="begin"/>
            </w:r>
            <w:r w:rsidR="0017010A">
              <w:rPr>
                <w:noProof/>
                <w:webHidden/>
              </w:rPr>
              <w:instrText xml:space="preserve"> PAGEREF _Toc535416850 \h </w:instrText>
            </w:r>
            <w:r w:rsidR="0017010A">
              <w:rPr>
                <w:noProof/>
                <w:webHidden/>
              </w:rPr>
            </w:r>
            <w:r w:rsidR="0017010A">
              <w:rPr>
                <w:noProof/>
                <w:webHidden/>
              </w:rPr>
              <w:fldChar w:fldCharType="separate"/>
            </w:r>
            <w:r w:rsidR="0017010A">
              <w:rPr>
                <w:noProof/>
                <w:webHidden/>
              </w:rPr>
              <w:t>12</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51" w:history="1">
            <w:r w:rsidR="0017010A" w:rsidRPr="00BA6B91">
              <w:rPr>
                <w:rStyle w:val="Hyperlink"/>
                <w:noProof/>
              </w:rPr>
              <w:t>2.9.</w:t>
            </w:r>
            <w:r w:rsidR="0017010A">
              <w:rPr>
                <w:rFonts w:asciiTheme="minorHAnsi" w:eastAsiaTheme="minorEastAsia" w:hAnsiTheme="minorHAnsi" w:cstheme="minorBidi"/>
                <w:noProof/>
                <w:lang w:eastAsia="en-AU"/>
              </w:rPr>
              <w:tab/>
            </w:r>
            <w:r w:rsidR="0017010A" w:rsidRPr="00BA6B91">
              <w:rPr>
                <w:rStyle w:val="Hyperlink"/>
                <w:noProof/>
              </w:rPr>
              <w:t>Good clinical practice</w:t>
            </w:r>
            <w:r w:rsidR="0017010A">
              <w:rPr>
                <w:noProof/>
                <w:webHidden/>
              </w:rPr>
              <w:tab/>
            </w:r>
            <w:r w:rsidR="0017010A">
              <w:rPr>
                <w:noProof/>
                <w:webHidden/>
              </w:rPr>
              <w:fldChar w:fldCharType="begin"/>
            </w:r>
            <w:r w:rsidR="0017010A">
              <w:rPr>
                <w:noProof/>
                <w:webHidden/>
              </w:rPr>
              <w:instrText xml:space="preserve"> PAGEREF _Toc535416851 \h </w:instrText>
            </w:r>
            <w:r w:rsidR="0017010A">
              <w:rPr>
                <w:noProof/>
                <w:webHidden/>
              </w:rPr>
            </w:r>
            <w:r w:rsidR="0017010A">
              <w:rPr>
                <w:noProof/>
                <w:webHidden/>
              </w:rPr>
              <w:fldChar w:fldCharType="separate"/>
            </w:r>
            <w:r w:rsidR="0017010A">
              <w:rPr>
                <w:noProof/>
                <w:webHidden/>
              </w:rPr>
              <w:t>12</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52" w:history="1">
            <w:r w:rsidR="0017010A" w:rsidRPr="00BA6B91">
              <w:rPr>
                <w:rStyle w:val="Hyperlink"/>
                <w:noProof/>
              </w:rPr>
              <w:t>2.10.</w:t>
            </w:r>
            <w:r w:rsidR="0017010A">
              <w:rPr>
                <w:rFonts w:asciiTheme="minorHAnsi" w:eastAsiaTheme="minorEastAsia" w:hAnsiTheme="minorHAnsi" w:cstheme="minorBidi"/>
                <w:noProof/>
                <w:lang w:eastAsia="en-AU"/>
              </w:rPr>
              <w:tab/>
            </w:r>
            <w:r w:rsidR="0017010A" w:rsidRPr="00BA6B91">
              <w:rPr>
                <w:rStyle w:val="Hyperlink"/>
                <w:noProof/>
              </w:rPr>
              <w:t>Evaluator’s commentary on the clinical dossier</w:t>
            </w:r>
            <w:r w:rsidR="0017010A">
              <w:rPr>
                <w:noProof/>
                <w:webHidden/>
              </w:rPr>
              <w:tab/>
            </w:r>
            <w:r w:rsidR="0017010A">
              <w:rPr>
                <w:noProof/>
                <w:webHidden/>
              </w:rPr>
              <w:fldChar w:fldCharType="begin"/>
            </w:r>
            <w:r w:rsidR="0017010A">
              <w:rPr>
                <w:noProof/>
                <w:webHidden/>
              </w:rPr>
              <w:instrText xml:space="preserve"> PAGEREF _Toc535416852 \h </w:instrText>
            </w:r>
            <w:r w:rsidR="0017010A">
              <w:rPr>
                <w:noProof/>
                <w:webHidden/>
              </w:rPr>
            </w:r>
            <w:r w:rsidR="0017010A">
              <w:rPr>
                <w:noProof/>
                <w:webHidden/>
              </w:rPr>
              <w:fldChar w:fldCharType="separate"/>
            </w:r>
            <w:r w:rsidR="0017010A">
              <w:rPr>
                <w:noProof/>
                <w:webHidden/>
              </w:rPr>
              <w:t>13</w:t>
            </w:r>
            <w:r w:rsidR="0017010A">
              <w:rPr>
                <w:noProof/>
                <w:webHidden/>
              </w:rPr>
              <w:fldChar w:fldCharType="end"/>
            </w:r>
          </w:hyperlink>
        </w:p>
        <w:p w:rsidR="0017010A" w:rsidRDefault="002228CD">
          <w:pPr>
            <w:pStyle w:val="TOC2"/>
            <w:tabs>
              <w:tab w:val="left" w:pos="1100"/>
            </w:tabs>
            <w:rPr>
              <w:rFonts w:asciiTheme="minorHAnsi" w:eastAsiaTheme="minorEastAsia" w:hAnsiTheme="minorHAnsi" w:cstheme="minorBidi"/>
              <w:b w:val="0"/>
              <w:noProof/>
              <w:sz w:val="22"/>
              <w:lang w:eastAsia="en-AU"/>
            </w:rPr>
          </w:pPr>
          <w:hyperlink w:anchor="_Toc535416853" w:history="1">
            <w:r w:rsidR="0017010A" w:rsidRPr="00BA6B91">
              <w:rPr>
                <w:rStyle w:val="Hyperlink"/>
                <w:noProof/>
              </w:rPr>
              <w:t>3.</w:t>
            </w:r>
            <w:r w:rsidR="0017010A">
              <w:rPr>
                <w:rFonts w:asciiTheme="minorHAnsi" w:eastAsiaTheme="minorEastAsia" w:hAnsiTheme="minorHAnsi" w:cstheme="minorBidi"/>
                <w:b w:val="0"/>
                <w:noProof/>
                <w:sz w:val="22"/>
                <w:lang w:eastAsia="en-AU"/>
              </w:rPr>
              <w:tab/>
            </w:r>
            <w:r w:rsidR="0017010A" w:rsidRPr="00BA6B91">
              <w:rPr>
                <w:rStyle w:val="Hyperlink"/>
                <w:noProof/>
              </w:rPr>
              <w:t>Pharmacokinetics</w:t>
            </w:r>
            <w:r w:rsidR="0017010A">
              <w:rPr>
                <w:noProof/>
                <w:webHidden/>
              </w:rPr>
              <w:tab/>
            </w:r>
            <w:r w:rsidR="0017010A">
              <w:rPr>
                <w:noProof/>
                <w:webHidden/>
              </w:rPr>
              <w:fldChar w:fldCharType="begin"/>
            </w:r>
            <w:r w:rsidR="0017010A">
              <w:rPr>
                <w:noProof/>
                <w:webHidden/>
              </w:rPr>
              <w:instrText xml:space="preserve"> PAGEREF _Toc535416853 \h </w:instrText>
            </w:r>
            <w:r w:rsidR="0017010A">
              <w:rPr>
                <w:noProof/>
                <w:webHidden/>
              </w:rPr>
            </w:r>
            <w:r w:rsidR="0017010A">
              <w:rPr>
                <w:noProof/>
                <w:webHidden/>
              </w:rPr>
              <w:fldChar w:fldCharType="separate"/>
            </w:r>
            <w:r w:rsidR="0017010A">
              <w:rPr>
                <w:noProof/>
                <w:webHidden/>
              </w:rPr>
              <w:t>13</w:t>
            </w:r>
            <w:r w:rsidR="0017010A">
              <w:rPr>
                <w:noProof/>
                <w:webHidden/>
              </w:rPr>
              <w:fldChar w:fldCharType="end"/>
            </w:r>
          </w:hyperlink>
        </w:p>
        <w:p w:rsidR="0017010A" w:rsidRDefault="002228CD">
          <w:pPr>
            <w:pStyle w:val="TOC2"/>
            <w:tabs>
              <w:tab w:val="left" w:pos="1100"/>
            </w:tabs>
            <w:rPr>
              <w:rFonts w:asciiTheme="minorHAnsi" w:eastAsiaTheme="minorEastAsia" w:hAnsiTheme="minorHAnsi" w:cstheme="minorBidi"/>
              <w:b w:val="0"/>
              <w:noProof/>
              <w:sz w:val="22"/>
              <w:lang w:eastAsia="en-AU"/>
            </w:rPr>
          </w:pPr>
          <w:hyperlink w:anchor="_Toc535416854" w:history="1">
            <w:r w:rsidR="0017010A" w:rsidRPr="00BA6B91">
              <w:rPr>
                <w:rStyle w:val="Hyperlink"/>
                <w:noProof/>
              </w:rPr>
              <w:t>4.</w:t>
            </w:r>
            <w:r w:rsidR="0017010A">
              <w:rPr>
                <w:rFonts w:asciiTheme="minorHAnsi" w:eastAsiaTheme="minorEastAsia" w:hAnsiTheme="minorHAnsi" w:cstheme="minorBidi"/>
                <w:b w:val="0"/>
                <w:noProof/>
                <w:sz w:val="22"/>
                <w:lang w:eastAsia="en-AU"/>
              </w:rPr>
              <w:tab/>
            </w:r>
            <w:r w:rsidR="0017010A" w:rsidRPr="00BA6B91">
              <w:rPr>
                <w:rStyle w:val="Hyperlink"/>
                <w:noProof/>
              </w:rPr>
              <w:t>Immunogenicity</w:t>
            </w:r>
            <w:r w:rsidR="0017010A">
              <w:rPr>
                <w:noProof/>
                <w:webHidden/>
              </w:rPr>
              <w:tab/>
            </w:r>
            <w:r w:rsidR="0017010A">
              <w:rPr>
                <w:noProof/>
                <w:webHidden/>
              </w:rPr>
              <w:fldChar w:fldCharType="begin"/>
            </w:r>
            <w:r w:rsidR="0017010A">
              <w:rPr>
                <w:noProof/>
                <w:webHidden/>
              </w:rPr>
              <w:instrText xml:space="preserve"> PAGEREF _Toc535416854 \h </w:instrText>
            </w:r>
            <w:r w:rsidR="0017010A">
              <w:rPr>
                <w:noProof/>
                <w:webHidden/>
              </w:rPr>
            </w:r>
            <w:r w:rsidR="0017010A">
              <w:rPr>
                <w:noProof/>
                <w:webHidden/>
              </w:rPr>
              <w:fldChar w:fldCharType="separate"/>
            </w:r>
            <w:r w:rsidR="0017010A">
              <w:rPr>
                <w:noProof/>
                <w:webHidden/>
              </w:rPr>
              <w:t>13</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55" w:history="1">
            <w:r w:rsidR="0017010A" w:rsidRPr="00BA6B91">
              <w:rPr>
                <w:rStyle w:val="Hyperlink"/>
                <w:noProof/>
              </w:rPr>
              <w:t>4.1.</w:t>
            </w:r>
            <w:r w:rsidR="0017010A">
              <w:rPr>
                <w:rFonts w:asciiTheme="minorHAnsi" w:eastAsiaTheme="minorEastAsia" w:hAnsiTheme="minorHAnsi" w:cstheme="minorBidi"/>
                <w:noProof/>
                <w:lang w:eastAsia="en-AU"/>
              </w:rPr>
              <w:tab/>
            </w:r>
            <w:r w:rsidR="0017010A" w:rsidRPr="00BA6B91">
              <w:rPr>
                <w:rStyle w:val="Hyperlink"/>
                <w:noProof/>
              </w:rPr>
              <w:t>Overall conclusions on immunogenicity</w:t>
            </w:r>
            <w:r w:rsidR="0017010A">
              <w:rPr>
                <w:noProof/>
                <w:webHidden/>
              </w:rPr>
              <w:tab/>
            </w:r>
            <w:r w:rsidR="0017010A">
              <w:rPr>
                <w:noProof/>
                <w:webHidden/>
              </w:rPr>
              <w:fldChar w:fldCharType="begin"/>
            </w:r>
            <w:r w:rsidR="0017010A">
              <w:rPr>
                <w:noProof/>
                <w:webHidden/>
              </w:rPr>
              <w:instrText xml:space="preserve"> PAGEREF _Toc535416855 \h </w:instrText>
            </w:r>
            <w:r w:rsidR="0017010A">
              <w:rPr>
                <w:noProof/>
                <w:webHidden/>
              </w:rPr>
            </w:r>
            <w:r w:rsidR="0017010A">
              <w:rPr>
                <w:noProof/>
                <w:webHidden/>
              </w:rPr>
              <w:fldChar w:fldCharType="separate"/>
            </w:r>
            <w:r w:rsidR="0017010A">
              <w:rPr>
                <w:noProof/>
                <w:webHidden/>
              </w:rPr>
              <w:t>13</w:t>
            </w:r>
            <w:r w:rsidR="0017010A">
              <w:rPr>
                <w:noProof/>
                <w:webHidden/>
              </w:rPr>
              <w:fldChar w:fldCharType="end"/>
            </w:r>
          </w:hyperlink>
        </w:p>
        <w:p w:rsidR="0017010A" w:rsidRDefault="002228CD">
          <w:pPr>
            <w:pStyle w:val="TOC2"/>
            <w:tabs>
              <w:tab w:val="left" w:pos="1100"/>
            </w:tabs>
            <w:rPr>
              <w:rFonts w:asciiTheme="minorHAnsi" w:eastAsiaTheme="minorEastAsia" w:hAnsiTheme="minorHAnsi" w:cstheme="minorBidi"/>
              <w:b w:val="0"/>
              <w:noProof/>
              <w:sz w:val="22"/>
              <w:lang w:eastAsia="en-AU"/>
            </w:rPr>
          </w:pPr>
          <w:hyperlink w:anchor="_Toc535416856" w:history="1">
            <w:r w:rsidR="0017010A" w:rsidRPr="00BA6B91">
              <w:rPr>
                <w:rStyle w:val="Hyperlink"/>
                <w:noProof/>
              </w:rPr>
              <w:t>5.</w:t>
            </w:r>
            <w:r w:rsidR="0017010A">
              <w:rPr>
                <w:rFonts w:asciiTheme="minorHAnsi" w:eastAsiaTheme="minorEastAsia" w:hAnsiTheme="minorHAnsi" w:cstheme="minorBidi"/>
                <w:b w:val="0"/>
                <w:noProof/>
                <w:sz w:val="22"/>
                <w:lang w:eastAsia="en-AU"/>
              </w:rPr>
              <w:tab/>
            </w:r>
            <w:r w:rsidR="0017010A" w:rsidRPr="00BA6B91">
              <w:rPr>
                <w:rStyle w:val="Hyperlink"/>
                <w:noProof/>
              </w:rPr>
              <w:t>Dosage selection for the pivotal studies</w:t>
            </w:r>
            <w:r w:rsidR="0017010A">
              <w:rPr>
                <w:noProof/>
                <w:webHidden/>
              </w:rPr>
              <w:tab/>
            </w:r>
            <w:r w:rsidR="0017010A">
              <w:rPr>
                <w:noProof/>
                <w:webHidden/>
              </w:rPr>
              <w:fldChar w:fldCharType="begin"/>
            </w:r>
            <w:r w:rsidR="0017010A">
              <w:rPr>
                <w:noProof/>
                <w:webHidden/>
              </w:rPr>
              <w:instrText xml:space="preserve"> PAGEREF _Toc535416856 \h </w:instrText>
            </w:r>
            <w:r w:rsidR="0017010A">
              <w:rPr>
                <w:noProof/>
                <w:webHidden/>
              </w:rPr>
            </w:r>
            <w:r w:rsidR="0017010A">
              <w:rPr>
                <w:noProof/>
                <w:webHidden/>
              </w:rPr>
              <w:fldChar w:fldCharType="separate"/>
            </w:r>
            <w:r w:rsidR="0017010A">
              <w:rPr>
                <w:noProof/>
                <w:webHidden/>
              </w:rPr>
              <w:t>13</w:t>
            </w:r>
            <w:r w:rsidR="0017010A">
              <w:rPr>
                <w:noProof/>
                <w:webHidden/>
              </w:rPr>
              <w:fldChar w:fldCharType="end"/>
            </w:r>
          </w:hyperlink>
        </w:p>
        <w:p w:rsidR="0017010A" w:rsidRDefault="002228CD">
          <w:pPr>
            <w:pStyle w:val="TOC2"/>
            <w:tabs>
              <w:tab w:val="left" w:pos="1100"/>
            </w:tabs>
            <w:rPr>
              <w:rFonts w:asciiTheme="minorHAnsi" w:eastAsiaTheme="minorEastAsia" w:hAnsiTheme="minorHAnsi" w:cstheme="minorBidi"/>
              <w:b w:val="0"/>
              <w:noProof/>
              <w:sz w:val="22"/>
              <w:lang w:eastAsia="en-AU"/>
            </w:rPr>
          </w:pPr>
          <w:hyperlink w:anchor="_Toc535416857" w:history="1">
            <w:r w:rsidR="0017010A" w:rsidRPr="00BA6B91">
              <w:rPr>
                <w:rStyle w:val="Hyperlink"/>
                <w:noProof/>
              </w:rPr>
              <w:t>6.</w:t>
            </w:r>
            <w:r w:rsidR="0017010A">
              <w:rPr>
                <w:rFonts w:asciiTheme="minorHAnsi" w:eastAsiaTheme="minorEastAsia" w:hAnsiTheme="minorHAnsi" w:cstheme="minorBidi"/>
                <w:b w:val="0"/>
                <w:noProof/>
                <w:sz w:val="22"/>
                <w:lang w:eastAsia="en-AU"/>
              </w:rPr>
              <w:tab/>
            </w:r>
            <w:r w:rsidR="0017010A" w:rsidRPr="00BA6B91">
              <w:rPr>
                <w:rStyle w:val="Hyperlink"/>
                <w:noProof/>
              </w:rPr>
              <w:t>Efficacy (immunogenicity)</w:t>
            </w:r>
            <w:r w:rsidR="0017010A">
              <w:rPr>
                <w:noProof/>
                <w:webHidden/>
              </w:rPr>
              <w:tab/>
            </w:r>
            <w:r w:rsidR="0017010A">
              <w:rPr>
                <w:noProof/>
                <w:webHidden/>
              </w:rPr>
              <w:fldChar w:fldCharType="begin"/>
            </w:r>
            <w:r w:rsidR="0017010A">
              <w:rPr>
                <w:noProof/>
                <w:webHidden/>
              </w:rPr>
              <w:instrText xml:space="preserve"> PAGEREF _Toc535416857 \h </w:instrText>
            </w:r>
            <w:r w:rsidR="0017010A">
              <w:rPr>
                <w:noProof/>
                <w:webHidden/>
              </w:rPr>
            </w:r>
            <w:r w:rsidR="0017010A">
              <w:rPr>
                <w:noProof/>
                <w:webHidden/>
              </w:rPr>
              <w:fldChar w:fldCharType="separate"/>
            </w:r>
            <w:r w:rsidR="0017010A">
              <w:rPr>
                <w:noProof/>
                <w:webHidden/>
              </w:rPr>
              <w:t>13</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58" w:history="1">
            <w:r w:rsidR="0017010A" w:rsidRPr="00BA6B91">
              <w:rPr>
                <w:rStyle w:val="Hyperlink"/>
                <w:noProof/>
              </w:rPr>
              <w:t>6.1.</w:t>
            </w:r>
            <w:r w:rsidR="0017010A">
              <w:rPr>
                <w:rFonts w:asciiTheme="minorHAnsi" w:eastAsiaTheme="minorEastAsia" w:hAnsiTheme="minorHAnsi" w:cstheme="minorBidi"/>
                <w:noProof/>
                <w:lang w:eastAsia="en-AU"/>
              </w:rPr>
              <w:tab/>
            </w:r>
            <w:r w:rsidR="0017010A" w:rsidRPr="00BA6B91">
              <w:rPr>
                <w:rStyle w:val="Hyperlink"/>
                <w:noProof/>
              </w:rPr>
              <w:t>Studies providing evaluable efficacy data</w:t>
            </w:r>
            <w:r w:rsidR="0017010A">
              <w:rPr>
                <w:noProof/>
                <w:webHidden/>
              </w:rPr>
              <w:tab/>
            </w:r>
            <w:r w:rsidR="0017010A">
              <w:rPr>
                <w:noProof/>
                <w:webHidden/>
              </w:rPr>
              <w:fldChar w:fldCharType="begin"/>
            </w:r>
            <w:r w:rsidR="0017010A">
              <w:rPr>
                <w:noProof/>
                <w:webHidden/>
              </w:rPr>
              <w:instrText xml:space="preserve"> PAGEREF _Toc535416858 \h </w:instrText>
            </w:r>
            <w:r w:rsidR="0017010A">
              <w:rPr>
                <w:noProof/>
                <w:webHidden/>
              </w:rPr>
            </w:r>
            <w:r w:rsidR="0017010A">
              <w:rPr>
                <w:noProof/>
                <w:webHidden/>
              </w:rPr>
              <w:fldChar w:fldCharType="separate"/>
            </w:r>
            <w:r w:rsidR="0017010A">
              <w:rPr>
                <w:noProof/>
                <w:webHidden/>
              </w:rPr>
              <w:t>13</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59" w:history="1">
            <w:r w:rsidR="0017010A" w:rsidRPr="00BA6B91">
              <w:rPr>
                <w:rStyle w:val="Hyperlink"/>
                <w:noProof/>
              </w:rPr>
              <w:t>6.2.</w:t>
            </w:r>
            <w:r w:rsidR="0017010A">
              <w:rPr>
                <w:rFonts w:asciiTheme="minorHAnsi" w:eastAsiaTheme="minorEastAsia" w:hAnsiTheme="minorHAnsi" w:cstheme="minorBidi"/>
                <w:noProof/>
                <w:lang w:eastAsia="en-AU"/>
              </w:rPr>
              <w:tab/>
            </w:r>
            <w:r w:rsidR="0017010A" w:rsidRPr="00BA6B91">
              <w:rPr>
                <w:rStyle w:val="Hyperlink"/>
                <w:noProof/>
              </w:rPr>
              <w:t>Pivotal or main efficacy studies</w:t>
            </w:r>
            <w:r w:rsidR="0017010A">
              <w:rPr>
                <w:noProof/>
                <w:webHidden/>
              </w:rPr>
              <w:tab/>
            </w:r>
            <w:r w:rsidR="0017010A">
              <w:rPr>
                <w:noProof/>
                <w:webHidden/>
              </w:rPr>
              <w:fldChar w:fldCharType="begin"/>
            </w:r>
            <w:r w:rsidR="0017010A">
              <w:rPr>
                <w:noProof/>
                <w:webHidden/>
              </w:rPr>
              <w:instrText xml:space="preserve"> PAGEREF _Toc535416859 \h </w:instrText>
            </w:r>
            <w:r w:rsidR="0017010A">
              <w:rPr>
                <w:noProof/>
                <w:webHidden/>
              </w:rPr>
            </w:r>
            <w:r w:rsidR="0017010A">
              <w:rPr>
                <w:noProof/>
                <w:webHidden/>
              </w:rPr>
              <w:fldChar w:fldCharType="separate"/>
            </w:r>
            <w:r w:rsidR="0017010A">
              <w:rPr>
                <w:noProof/>
                <w:webHidden/>
              </w:rPr>
              <w:t>14</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60" w:history="1">
            <w:r w:rsidR="0017010A" w:rsidRPr="00BA6B91">
              <w:rPr>
                <w:rStyle w:val="Hyperlink"/>
                <w:noProof/>
              </w:rPr>
              <w:t>6.3.</w:t>
            </w:r>
            <w:r w:rsidR="0017010A">
              <w:rPr>
                <w:rFonts w:asciiTheme="minorHAnsi" w:eastAsiaTheme="minorEastAsia" w:hAnsiTheme="minorHAnsi" w:cstheme="minorBidi"/>
                <w:noProof/>
                <w:lang w:eastAsia="en-AU"/>
              </w:rPr>
              <w:tab/>
            </w:r>
            <w:r w:rsidR="0017010A" w:rsidRPr="00BA6B91">
              <w:rPr>
                <w:rStyle w:val="Hyperlink"/>
                <w:noProof/>
              </w:rPr>
              <w:t>Analyses performed across trials: pooled and meta analyses</w:t>
            </w:r>
            <w:r w:rsidR="0017010A">
              <w:rPr>
                <w:noProof/>
                <w:webHidden/>
              </w:rPr>
              <w:tab/>
            </w:r>
            <w:r w:rsidR="0017010A">
              <w:rPr>
                <w:noProof/>
                <w:webHidden/>
              </w:rPr>
              <w:fldChar w:fldCharType="begin"/>
            </w:r>
            <w:r w:rsidR="0017010A">
              <w:rPr>
                <w:noProof/>
                <w:webHidden/>
              </w:rPr>
              <w:instrText xml:space="preserve"> PAGEREF _Toc535416860 \h </w:instrText>
            </w:r>
            <w:r w:rsidR="0017010A">
              <w:rPr>
                <w:noProof/>
                <w:webHidden/>
              </w:rPr>
            </w:r>
            <w:r w:rsidR="0017010A">
              <w:rPr>
                <w:noProof/>
                <w:webHidden/>
              </w:rPr>
              <w:fldChar w:fldCharType="separate"/>
            </w:r>
            <w:r w:rsidR="0017010A">
              <w:rPr>
                <w:noProof/>
                <w:webHidden/>
              </w:rPr>
              <w:t>24</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61" w:history="1">
            <w:r w:rsidR="0017010A" w:rsidRPr="00BA6B91">
              <w:rPr>
                <w:rStyle w:val="Hyperlink"/>
                <w:noProof/>
              </w:rPr>
              <w:t>6.4.</w:t>
            </w:r>
            <w:r w:rsidR="0017010A">
              <w:rPr>
                <w:rFonts w:asciiTheme="minorHAnsi" w:eastAsiaTheme="minorEastAsia" w:hAnsiTheme="minorHAnsi" w:cstheme="minorBidi"/>
                <w:noProof/>
                <w:lang w:eastAsia="en-AU"/>
              </w:rPr>
              <w:tab/>
            </w:r>
            <w:r w:rsidR="0017010A" w:rsidRPr="00BA6B91">
              <w:rPr>
                <w:rStyle w:val="Hyperlink"/>
                <w:noProof/>
              </w:rPr>
              <w:t>Evaluator’s conclusions on clinical efficacy</w:t>
            </w:r>
            <w:r w:rsidR="0017010A">
              <w:rPr>
                <w:noProof/>
                <w:webHidden/>
              </w:rPr>
              <w:tab/>
            </w:r>
            <w:r w:rsidR="0017010A">
              <w:rPr>
                <w:noProof/>
                <w:webHidden/>
              </w:rPr>
              <w:fldChar w:fldCharType="begin"/>
            </w:r>
            <w:r w:rsidR="0017010A">
              <w:rPr>
                <w:noProof/>
                <w:webHidden/>
              </w:rPr>
              <w:instrText xml:space="preserve"> PAGEREF _Toc535416861 \h </w:instrText>
            </w:r>
            <w:r w:rsidR="0017010A">
              <w:rPr>
                <w:noProof/>
                <w:webHidden/>
              </w:rPr>
            </w:r>
            <w:r w:rsidR="0017010A">
              <w:rPr>
                <w:noProof/>
                <w:webHidden/>
              </w:rPr>
              <w:fldChar w:fldCharType="separate"/>
            </w:r>
            <w:r w:rsidR="0017010A">
              <w:rPr>
                <w:noProof/>
                <w:webHidden/>
              </w:rPr>
              <w:t>24</w:t>
            </w:r>
            <w:r w:rsidR="0017010A">
              <w:rPr>
                <w:noProof/>
                <w:webHidden/>
              </w:rPr>
              <w:fldChar w:fldCharType="end"/>
            </w:r>
          </w:hyperlink>
        </w:p>
        <w:p w:rsidR="0017010A" w:rsidRDefault="002228CD">
          <w:pPr>
            <w:pStyle w:val="TOC2"/>
            <w:tabs>
              <w:tab w:val="left" w:pos="1100"/>
            </w:tabs>
            <w:rPr>
              <w:rFonts w:asciiTheme="minorHAnsi" w:eastAsiaTheme="minorEastAsia" w:hAnsiTheme="minorHAnsi" w:cstheme="minorBidi"/>
              <w:b w:val="0"/>
              <w:noProof/>
              <w:sz w:val="22"/>
              <w:lang w:eastAsia="en-AU"/>
            </w:rPr>
          </w:pPr>
          <w:hyperlink w:anchor="_Toc535416862" w:history="1">
            <w:r w:rsidR="0017010A" w:rsidRPr="00BA6B91">
              <w:rPr>
                <w:rStyle w:val="Hyperlink"/>
                <w:noProof/>
              </w:rPr>
              <w:t>7.</w:t>
            </w:r>
            <w:r w:rsidR="0017010A">
              <w:rPr>
                <w:rFonts w:asciiTheme="minorHAnsi" w:eastAsiaTheme="minorEastAsia" w:hAnsiTheme="minorHAnsi" w:cstheme="minorBidi"/>
                <w:b w:val="0"/>
                <w:noProof/>
                <w:sz w:val="22"/>
                <w:lang w:eastAsia="en-AU"/>
              </w:rPr>
              <w:tab/>
            </w:r>
            <w:r w:rsidR="0017010A" w:rsidRPr="00BA6B91">
              <w:rPr>
                <w:rStyle w:val="Hyperlink"/>
                <w:noProof/>
              </w:rPr>
              <w:t>Clinical safety</w:t>
            </w:r>
            <w:r w:rsidR="0017010A">
              <w:rPr>
                <w:noProof/>
                <w:webHidden/>
              </w:rPr>
              <w:tab/>
            </w:r>
            <w:r w:rsidR="0017010A">
              <w:rPr>
                <w:noProof/>
                <w:webHidden/>
              </w:rPr>
              <w:fldChar w:fldCharType="begin"/>
            </w:r>
            <w:r w:rsidR="0017010A">
              <w:rPr>
                <w:noProof/>
                <w:webHidden/>
              </w:rPr>
              <w:instrText xml:space="preserve"> PAGEREF _Toc535416862 \h </w:instrText>
            </w:r>
            <w:r w:rsidR="0017010A">
              <w:rPr>
                <w:noProof/>
                <w:webHidden/>
              </w:rPr>
            </w:r>
            <w:r w:rsidR="0017010A">
              <w:rPr>
                <w:noProof/>
                <w:webHidden/>
              </w:rPr>
              <w:fldChar w:fldCharType="separate"/>
            </w:r>
            <w:r w:rsidR="0017010A">
              <w:rPr>
                <w:noProof/>
                <w:webHidden/>
              </w:rPr>
              <w:t>25</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63" w:history="1">
            <w:r w:rsidR="0017010A" w:rsidRPr="00BA6B91">
              <w:rPr>
                <w:rStyle w:val="Hyperlink"/>
                <w:noProof/>
              </w:rPr>
              <w:t>7.1.</w:t>
            </w:r>
            <w:r w:rsidR="0017010A">
              <w:rPr>
                <w:rFonts w:asciiTheme="minorHAnsi" w:eastAsiaTheme="minorEastAsia" w:hAnsiTheme="minorHAnsi" w:cstheme="minorBidi"/>
                <w:noProof/>
                <w:lang w:eastAsia="en-AU"/>
              </w:rPr>
              <w:tab/>
            </w:r>
            <w:r w:rsidR="0017010A" w:rsidRPr="00BA6B91">
              <w:rPr>
                <w:rStyle w:val="Hyperlink"/>
                <w:noProof/>
              </w:rPr>
              <w:t>Studies providing evaluable safety data</w:t>
            </w:r>
            <w:r w:rsidR="0017010A">
              <w:rPr>
                <w:noProof/>
                <w:webHidden/>
              </w:rPr>
              <w:tab/>
            </w:r>
            <w:r w:rsidR="0017010A">
              <w:rPr>
                <w:noProof/>
                <w:webHidden/>
              </w:rPr>
              <w:fldChar w:fldCharType="begin"/>
            </w:r>
            <w:r w:rsidR="0017010A">
              <w:rPr>
                <w:noProof/>
                <w:webHidden/>
              </w:rPr>
              <w:instrText xml:space="preserve"> PAGEREF _Toc535416863 \h </w:instrText>
            </w:r>
            <w:r w:rsidR="0017010A">
              <w:rPr>
                <w:noProof/>
                <w:webHidden/>
              </w:rPr>
            </w:r>
            <w:r w:rsidR="0017010A">
              <w:rPr>
                <w:noProof/>
                <w:webHidden/>
              </w:rPr>
              <w:fldChar w:fldCharType="separate"/>
            </w:r>
            <w:r w:rsidR="0017010A">
              <w:rPr>
                <w:noProof/>
                <w:webHidden/>
              </w:rPr>
              <w:t>27</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64" w:history="1">
            <w:r w:rsidR="0017010A" w:rsidRPr="00BA6B91">
              <w:rPr>
                <w:rStyle w:val="Hyperlink"/>
                <w:noProof/>
              </w:rPr>
              <w:t>7.2.</w:t>
            </w:r>
            <w:r w:rsidR="0017010A">
              <w:rPr>
                <w:rFonts w:asciiTheme="minorHAnsi" w:eastAsiaTheme="minorEastAsia" w:hAnsiTheme="minorHAnsi" w:cstheme="minorBidi"/>
                <w:noProof/>
                <w:lang w:eastAsia="en-AU"/>
              </w:rPr>
              <w:tab/>
            </w:r>
            <w:r w:rsidR="0017010A" w:rsidRPr="00BA6B91">
              <w:rPr>
                <w:rStyle w:val="Hyperlink"/>
                <w:noProof/>
              </w:rPr>
              <w:t>Studies that assessed safety as the sole primary outcome</w:t>
            </w:r>
            <w:r w:rsidR="0017010A">
              <w:rPr>
                <w:noProof/>
                <w:webHidden/>
              </w:rPr>
              <w:tab/>
            </w:r>
            <w:r w:rsidR="0017010A">
              <w:rPr>
                <w:noProof/>
                <w:webHidden/>
              </w:rPr>
              <w:fldChar w:fldCharType="begin"/>
            </w:r>
            <w:r w:rsidR="0017010A">
              <w:rPr>
                <w:noProof/>
                <w:webHidden/>
              </w:rPr>
              <w:instrText xml:space="preserve"> PAGEREF _Toc535416864 \h </w:instrText>
            </w:r>
            <w:r w:rsidR="0017010A">
              <w:rPr>
                <w:noProof/>
                <w:webHidden/>
              </w:rPr>
            </w:r>
            <w:r w:rsidR="0017010A">
              <w:rPr>
                <w:noProof/>
                <w:webHidden/>
              </w:rPr>
              <w:fldChar w:fldCharType="separate"/>
            </w:r>
            <w:r w:rsidR="0017010A">
              <w:rPr>
                <w:noProof/>
                <w:webHidden/>
              </w:rPr>
              <w:t>27</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65" w:history="1">
            <w:r w:rsidR="0017010A" w:rsidRPr="00BA6B91">
              <w:rPr>
                <w:rStyle w:val="Hyperlink"/>
                <w:noProof/>
              </w:rPr>
              <w:t>7.3.</w:t>
            </w:r>
            <w:r w:rsidR="0017010A">
              <w:rPr>
                <w:rFonts w:asciiTheme="minorHAnsi" w:eastAsiaTheme="minorEastAsia" w:hAnsiTheme="minorHAnsi" w:cstheme="minorBidi"/>
                <w:noProof/>
                <w:lang w:eastAsia="en-AU"/>
              </w:rPr>
              <w:tab/>
            </w:r>
            <w:r w:rsidR="0017010A" w:rsidRPr="00BA6B91">
              <w:rPr>
                <w:rStyle w:val="Hyperlink"/>
                <w:noProof/>
              </w:rPr>
              <w:t>Patient exposure Children and adolescents aged 5-17 years of age</w:t>
            </w:r>
            <w:r w:rsidR="0017010A">
              <w:rPr>
                <w:noProof/>
                <w:webHidden/>
              </w:rPr>
              <w:tab/>
            </w:r>
            <w:r w:rsidR="0017010A">
              <w:rPr>
                <w:noProof/>
                <w:webHidden/>
              </w:rPr>
              <w:fldChar w:fldCharType="begin"/>
            </w:r>
            <w:r w:rsidR="0017010A">
              <w:rPr>
                <w:noProof/>
                <w:webHidden/>
              </w:rPr>
              <w:instrText xml:space="preserve"> PAGEREF _Toc535416865 \h </w:instrText>
            </w:r>
            <w:r w:rsidR="0017010A">
              <w:rPr>
                <w:noProof/>
                <w:webHidden/>
              </w:rPr>
            </w:r>
            <w:r w:rsidR="0017010A">
              <w:rPr>
                <w:noProof/>
                <w:webHidden/>
              </w:rPr>
              <w:fldChar w:fldCharType="separate"/>
            </w:r>
            <w:r w:rsidR="0017010A">
              <w:rPr>
                <w:noProof/>
                <w:webHidden/>
              </w:rPr>
              <w:t>33</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66" w:history="1">
            <w:r w:rsidR="0017010A" w:rsidRPr="00BA6B91">
              <w:rPr>
                <w:rStyle w:val="Hyperlink"/>
                <w:noProof/>
              </w:rPr>
              <w:t>7.4.</w:t>
            </w:r>
            <w:r w:rsidR="0017010A">
              <w:rPr>
                <w:rFonts w:asciiTheme="minorHAnsi" w:eastAsiaTheme="minorEastAsia" w:hAnsiTheme="minorHAnsi" w:cstheme="minorBidi"/>
                <w:noProof/>
                <w:lang w:eastAsia="en-AU"/>
              </w:rPr>
              <w:tab/>
            </w:r>
            <w:r w:rsidR="0017010A" w:rsidRPr="00BA6B91">
              <w:rPr>
                <w:rStyle w:val="Hyperlink"/>
                <w:noProof/>
              </w:rPr>
              <w:t>Adverse events</w:t>
            </w:r>
            <w:r w:rsidR="0017010A">
              <w:rPr>
                <w:noProof/>
                <w:webHidden/>
              </w:rPr>
              <w:tab/>
            </w:r>
            <w:r w:rsidR="0017010A">
              <w:rPr>
                <w:noProof/>
                <w:webHidden/>
              </w:rPr>
              <w:fldChar w:fldCharType="begin"/>
            </w:r>
            <w:r w:rsidR="0017010A">
              <w:rPr>
                <w:noProof/>
                <w:webHidden/>
              </w:rPr>
              <w:instrText xml:space="preserve"> PAGEREF _Toc535416866 \h </w:instrText>
            </w:r>
            <w:r w:rsidR="0017010A">
              <w:rPr>
                <w:noProof/>
                <w:webHidden/>
              </w:rPr>
            </w:r>
            <w:r w:rsidR="0017010A">
              <w:rPr>
                <w:noProof/>
                <w:webHidden/>
              </w:rPr>
              <w:fldChar w:fldCharType="separate"/>
            </w:r>
            <w:r w:rsidR="0017010A">
              <w:rPr>
                <w:noProof/>
                <w:webHidden/>
              </w:rPr>
              <w:t>33</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67" w:history="1">
            <w:r w:rsidR="0017010A" w:rsidRPr="00BA6B91">
              <w:rPr>
                <w:rStyle w:val="Hyperlink"/>
                <w:noProof/>
              </w:rPr>
              <w:t>7.5.</w:t>
            </w:r>
            <w:r w:rsidR="0017010A">
              <w:rPr>
                <w:rFonts w:asciiTheme="minorHAnsi" w:eastAsiaTheme="minorEastAsia" w:hAnsiTheme="minorHAnsi" w:cstheme="minorBidi"/>
                <w:noProof/>
                <w:lang w:eastAsia="en-AU"/>
              </w:rPr>
              <w:tab/>
            </w:r>
            <w:r w:rsidR="0017010A" w:rsidRPr="00BA6B91">
              <w:rPr>
                <w:rStyle w:val="Hyperlink"/>
                <w:noProof/>
              </w:rPr>
              <w:t xml:space="preserve">Issues in </w:t>
            </w:r>
            <w:r w:rsidR="0017010A" w:rsidRPr="00BA6B91">
              <w:rPr>
                <w:rStyle w:val="Hyperlink"/>
                <w:rFonts w:eastAsia="TimesNewRoman"/>
                <w:noProof/>
              </w:rPr>
              <w:t xml:space="preserve">CSLCT-QIV-13-02 </w:t>
            </w:r>
            <w:r w:rsidR="0017010A" w:rsidRPr="00BA6B91">
              <w:rPr>
                <w:rStyle w:val="Hyperlink"/>
                <w:noProof/>
              </w:rPr>
              <w:t>with possible regulatory impact</w:t>
            </w:r>
            <w:r w:rsidR="0017010A">
              <w:rPr>
                <w:noProof/>
                <w:webHidden/>
              </w:rPr>
              <w:tab/>
            </w:r>
            <w:r w:rsidR="0017010A">
              <w:rPr>
                <w:noProof/>
                <w:webHidden/>
              </w:rPr>
              <w:fldChar w:fldCharType="begin"/>
            </w:r>
            <w:r w:rsidR="0017010A">
              <w:rPr>
                <w:noProof/>
                <w:webHidden/>
              </w:rPr>
              <w:instrText xml:space="preserve"> PAGEREF _Toc535416867 \h </w:instrText>
            </w:r>
            <w:r w:rsidR="0017010A">
              <w:rPr>
                <w:noProof/>
                <w:webHidden/>
              </w:rPr>
            </w:r>
            <w:r w:rsidR="0017010A">
              <w:rPr>
                <w:noProof/>
                <w:webHidden/>
              </w:rPr>
              <w:fldChar w:fldCharType="separate"/>
            </w:r>
            <w:r w:rsidR="0017010A">
              <w:rPr>
                <w:noProof/>
                <w:webHidden/>
              </w:rPr>
              <w:t>38</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68" w:history="1">
            <w:r w:rsidR="0017010A" w:rsidRPr="00BA6B91">
              <w:rPr>
                <w:rStyle w:val="Hyperlink"/>
                <w:noProof/>
              </w:rPr>
              <w:t>7.6.</w:t>
            </w:r>
            <w:r w:rsidR="0017010A">
              <w:rPr>
                <w:rFonts w:asciiTheme="minorHAnsi" w:eastAsiaTheme="minorEastAsia" w:hAnsiTheme="minorHAnsi" w:cstheme="minorBidi"/>
                <w:noProof/>
                <w:lang w:eastAsia="en-AU"/>
              </w:rPr>
              <w:tab/>
            </w:r>
            <w:r w:rsidR="0017010A" w:rsidRPr="00BA6B91">
              <w:rPr>
                <w:rStyle w:val="Hyperlink"/>
                <w:noProof/>
              </w:rPr>
              <w:t>Other safety issues</w:t>
            </w:r>
            <w:r w:rsidR="0017010A">
              <w:rPr>
                <w:noProof/>
                <w:webHidden/>
              </w:rPr>
              <w:tab/>
            </w:r>
            <w:r w:rsidR="0017010A">
              <w:rPr>
                <w:noProof/>
                <w:webHidden/>
              </w:rPr>
              <w:fldChar w:fldCharType="begin"/>
            </w:r>
            <w:r w:rsidR="0017010A">
              <w:rPr>
                <w:noProof/>
                <w:webHidden/>
              </w:rPr>
              <w:instrText xml:space="preserve"> PAGEREF _Toc535416868 \h </w:instrText>
            </w:r>
            <w:r w:rsidR="0017010A">
              <w:rPr>
                <w:noProof/>
                <w:webHidden/>
              </w:rPr>
            </w:r>
            <w:r w:rsidR="0017010A">
              <w:rPr>
                <w:noProof/>
                <w:webHidden/>
              </w:rPr>
              <w:fldChar w:fldCharType="separate"/>
            </w:r>
            <w:r w:rsidR="0017010A">
              <w:rPr>
                <w:noProof/>
                <w:webHidden/>
              </w:rPr>
              <w:t>38</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69" w:history="1">
            <w:r w:rsidR="0017010A" w:rsidRPr="00BA6B91">
              <w:rPr>
                <w:rStyle w:val="Hyperlink"/>
                <w:noProof/>
              </w:rPr>
              <w:t>7.7.</w:t>
            </w:r>
            <w:r w:rsidR="0017010A">
              <w:rPr>
                <w:rFonts w:asciiTheme="minorHAnsi" w:eastAsiaTheme="minorEastAsia" w:hAnsiTheme="minorHAnsi" w:cstheme="minorBidi"/>
                <w:noProof/>
                <w:lang w:eastAsia="en-AU"/>
              </w:rPr>
              <w:tab/>
            </w:r>
            <w:r w:rsidR="0017010A" w:rsidRPr="00BA6B91">
              <w:rPr>
                <w:rStyle w:val="Hyperlink"/>
                <w:noProof/>
              </w:rPr>
              <w:t>Post marketing experience</w:t>
            </w:r>
            <w:r w:rsidR="0017010A">
              <w:rPr>
                <w:noProof/>
                <w:webHidden/>
              </w:rPr>
              <w:tab/>
            </w:r>
            <w:r w:rsidR="0017010A">
              <w:rPr>
                <w:noProof/>
                <w:webHidden/>
              </w:rPr>
              <w:fldChar w:fldCharType="begin"/>
            </w:r>
            <w:r w:rsidR="0017010A">
              <w:rPr>
                <w:noProof/>
                <w:webHidden/>
              </w:rPr>
              <w:instrText xml:space="preserve"> PAGEREF _Toc535416869 \h </w:instrText>
            </w:r>
            <w:r w:rsidR="0017010A">
              <w:rPr>
                <w:noProof/>
                <w:webHidden/>
              </w:rPr>
            </w:r>
            <w:r w:rsidR="0017010A">
              <w:rPr>
                <w:noProof/>
                <w:webHidden/>
              </w:rPr>
              <w:fldChar w:fldCharType="separate"/>
            </w:r>
            <w:r w:rsidR="0017010A">
              <w:rPr>
                <w:noProof/>
                <w:webHidden/>
              </w:rPr>
              <w:t>39</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70" w:history="1">
            <w:r w:rsidR="0017010A" w:rsidRPr="00BA6B91">
              <w:rPr>
                <w:rStyle w:val="Hyperlink"/>
                <w:noProof/>
              </w:rPr>
              <w:t>7.8.</w:t>
            </w:r>
            <w:r w:rsidR="0017010A">
              <w:rPr>
                <w:rFonts w:asciiTheme="minorHAnsi" w:eastAsiaTheme="minorEastAsia" w:hAnsiTheme="minorHAnsi" w:cstheme="minorBidi"/>
                <w:noProof/>
                <w:lang w:eastAsia="en-AU"/>
              </w:rPr>
              <w:tab/>
            </w:r>
            <w:r w:rsidR="0017010A" w:rsidRPr="00BA6B91">
              <w:rPr>
                <w:rStyle w:val="Hyperlink"/>
                <w:noProof/>
              </w:rPr>
              <w:t>Evaluator’s overall conclusions on clinical safety</w:t>
            </w:r>
            <w:r w:rsidR="0017010A">
              <w:rPr>
                <w:noProof/>
                <w:webHidden/>
              </w:rPr>
              <w:tab/>
            </w:r>
            <w:r w:rsidR="0017010A">
              <w:rPr>
                <w:noProof/>
                <w:webHidden/>
              </w:rPr>
              <w:fldChar w:fldCharType="begin"/>
            </w:r>
            <w:r w:rsidR="0017010A">
              <w:rPr>
                <w:noProof/>
                <w:webHidden/>
              </w:rPr>
              <w:instrText xml:space="preserve"> PAGEREF _Toc535416870 \h </w:instrText>
            </w:r>
            <w:r w:rsidR="0017010A">
              <w:rPr>
                <w:noProof/>
                <w:webHidden/>
              </w:rPr>
            </w:r>
            <w:r w:rsidR="0017010A">
              <w:rPr>
                <w:noProof/>
                <w:webHidden/>
              </w:rPr>
              <w:fldChar w:fldCharType="separate"/>
            </w:r>
            <w:r w:rsidR="0017010A">
              <w:rPr>
                <w:noProof/>
                <w:webHidden/>
              </w:rPr>
              <w:t>39</w:t>
            </w:r>
            <w:r w:rsidR="0017010A">
              <w:rPr>
                <w:noProof/>
                <w:webHidden/>
              </w:rPr>
              <w:fldChar w:fldCharType="end"/>
            </w:r>
          </w:hyperlink>
        </w:p>
        <w:p w:rsidR="0017010A" w:rsidRDefault="002228CD">
          <w:pPr>
            <w:pStyle w:val="TOC2"/>
            <w:tabs>
              <w:tab w:val="left" w:pos="1100"/>
            </w:tabs>
            <w:rPr>
              <w:rFonts w:asciiTheme="minorHAnsi" w:eastAsiaTheme="minorEastAsia" w:hAnsiTheme="minorHAnsi" w:cstheme="minorBidi"/>
              <w:b w:val="0"/>
              <w:noProof/>
              <w:sz w:val="22"/>
              <w:lang w:eastAsia="en-AU"/>
            </w:rPr>
          </w:pPr>
          <w:hyperlink w:anchor="_Toc535416871" w:history="1">
            <w:r w:rsidR="0017010A" w:rsidRPr="00BA6B91">
              <w:rPr>
                <w:rStyle w:val="Hyperlink"/>
                <w:noProof/>
              </w:rPr>
              <w:t>8.</w:t>
            </w:r>
            <w:r w:rsidR="0017010A">
              <w:rPr>
                <w:rFonts w:asciiTheme="minorHAnsi" w:eastAsiaTheme="minorEastAsia" w:hAnsiTheme="minorHAnsi" w:cstheme="minorBidi"/>
                <w:b w:val="0"/>
                <w:noProof/>
                <w:sz w:val="22"/>
                <w:lang w:eastAsia="en-AU"/>
              </w:rPr>
              <w:tab/>
            </w:r>
            <w:r w:rsidR="0017010A" w:rsidRPr="00BA6B91">
              <w:rPr>
                <w:rStyle w:val="Hyperlink"/>
                <w:noProof/>
              </w:rPr>
              <w:t>First round benefit-risk assessment</w:t>
            </w:r>
            <w:r w:rsidR="0017010A">
              <w:rPr>
                <w:noProof/>
                <w:webHidden/>
              </w:rPr>
              <w:tab/>
            </w:r>
            <w:r w:rsidR="0017010A">
              <w:rPr>
                <w:noProof/>
                <w:webHidden/>
              </w:rPr>
              <w:fldChar w:fldCharType="begin"/>
            </w:r>
            <w:r w:rsidR="0017010A">
              <w:rPr>
                <w:noProof/>
                <w:webHidden/>
              </w:rPr>
              <w:instrText xml:space="preserve"> PAGEREF _Toc535416871 \h </w:instrText>
            </w:r>
            <w:r w:rsidR="0017010A">
              <w:rPr>
                <w:noProof/>
                <w:webHidden/>
              </w:rPr>
            </w:r>
            <w:r w:rsidR="0017010A">
              <w:rPr>
                <w:noProof/>
                <w:webHidden/>
              </w:rPr>
              <w:fldChar w:fldCharType="separate"/>
            </w:r>
            <w:r w:rsidR="0017010A">
              <w:rPr>
                <w:noProof/>
                <w:webHidden/>
              </w:rPr>
              <w:t>39</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72" w:history="1">
            <w:r w:rsidR="0017010A" w:rsidRPr="00BA6B91">
              <w:rPr>
                <w:rStyle w:val="Hyperlink"/>
                <w:noProof/>
              </w:rPr>
              <w:t>8.1.</w:t>
            </w:r>
            <w:r w:rsidR="0017010A">
              <w:rPr>
                <w:rFonts w:asciiTheme="minorHAnsi" w:eastAsiaTheme="minorEastAsia" w:hAnsiTheme="minorHAnsi" w:cstheme="minorBidi"/>
                <w:noProof/>
                <w:lang w:eastAsia="en-AU"/>
              </w:rPr>
              <w:tab/>
            </w:r>
            <w:r w:rsidR="0017010A" w:rsidRPr="00BA6B91">
              <w:rPr>
                <w:rStyle w:val="Hyperlink"/>
                <w:noProof/>
              </w:rPr>
              <w:t>First round assessment of benefits</w:t>
            </w:r>
            <w:r w:rsidR="0017010A">
              <w:rPr>
                <w:noProof/>
                <w:webHidden/>
              </w:rPr>
              <w:tab/>
            </w:r>
            <w:r w:rsidR="0017010A">
              <w:rPr>
                <w:noProof/>
                <w:webHidden/>
              </w:rPr>
              <w:fldChar w:fldCharType="begin"/>
            </w:r>
            <w:r w:rsidR="0017010A">
              <w:rPr>
                <w:noProof/>
                <w:webHidden/>
              </w:rPr>
              <w:instrText xml:space="preserve"> PAGEREF _Toc535416872 \h </w:instrText>
            </w:r>
            <w:r w:rsidR="0017010A">
              <w:rPr>
                <w:noProof/>
                <w:webHidden/>
              </w:rPr>
            </w:r>
            <w:r w:rsidR="0017010A">
              <w:rPr>
                <w:noProof/>
                <w:webHidden/>
              </w:rPr>
              <w:fldChar w:fldCharType="separate"/>
            </w:r>
            <w:r w:rsidR="0017010A">
              <w:rPr>
                <w:noProof/>
                <w:webHidden/>
              </w:rPr>
              <w:t>39</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73" w:history="1">
            <w:r w:rsidR="0017010A" w:rsidRPr="00BA6B91">
              <w:rPr>
                <w:rStyle w:val="Hyperlink"/>
                <w:noProof/>
              </w:rPr>
              <w:t>8.2.</w:t>
            </w:r>
            <w:r w:rsidR="0017010A">
              <w:rPr>
                <w:rFonts w:asciiTheme="minorHAnsi" w:eastAsiaTheme="minorEastAsia" w:hAnsiTheme="minorHAnsi" w:cstheme="minorBidi"/>
                <w:noProof/>
                <w:lang w:eastAsia="en-AU"/>
              </w:rPr>
              <w:tab/>
            </w:r>
            <w:r w:rsidR="0017010A" w:rsidRPr="00BA6B91">
              <w:rPr>
                <w:rStyle w:val="Hyperlink"/>
                <w:noProof/>
              </w:rPr>
              <w:t>First round assessment of risks</w:t>
            </w:r>
            <w:r w:rsidR="0017010A">
              <w:rPr>
                <w:noProof/>
                <w:webHidden/>
              </w:rPr>
              <w:tab/>
            </w:r>
            <w:r w:rsidR="0017010A">
              <w:rPr>
                <w:noProof/>
                <w:webHidden/>
              </w:rPr>
              <w:fldChar w:fldCharType="begin"/>
            </w:r>
            <w:r w:rsidR="0017010A">
              <w:rPr>
                <w:noProof/>
                <w:webHidden/>
              </w:rPr>
              <w:instrText xml:space="preserve"> PAGEREF _Toc535416873 \h </w:instrText>
            </w:r>
            <w:r w:rsidR="0017010A">
              <w:rPr>
                <w:noProof/>
                <w:webHidden/>
              </w:rPr>
            </w:r>
            <w:r w:rsidR="0017010A">
              <w:rPr>
                <w:noProof/>
                <w:webHidden/>
              </w:rPr>
              <w:fldChar w:fldCharType="separate"/>
            </w:r>
            <w:r w:rsidR="0017010A">
              <w:rPr>
                <w:noProof/>
                <w:webHidden/>
              </w:rPr>
              <w:t>40</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74" w:history="1">
            <w:r w:rsidR="0017010A" w:rsidRPr="00BA6B91">
              <w:rPr>
                <w:rStyle w:val="Hyperlink"/>
                <w:noProof/>
              </w:rPr>
              <w:t>8.3.</w:t>
            </w:r>
            <w:r w:rsidR="0017010A">
              <w:rPr>
                <w:rFonts w:asciiTheme="minorHAnsi" w:eastAsiaTheme="minorEastAsia" w:hAnsiTheme="minorHAnsi" w:cstheme="minorBidi"/>
                <w:noProof/>
                <w:lang w:eastAsia="en-AU"/>
              </w:rPr>
              <w:tab/>
            </w:r>
            <w:r w:rsidR="0017010A" w:rsidRPr="00BA6B91">
              <w:rPr>
                <w:rStyle w:val="Hyperlink"/>
                <w:noProof/>
              </w:rPr>
              <w:t>First round assessment of benefit-risk balance</w:t>
            </w:r>
            <w:r w:rsidR="0017010A">
              <w:rPr>
                <w:noProof/>
                <w:webHidden/>
              </w:rPr>
              <w:tab/>
            </w:r>
            <w:r w:rsidR="0017010A">
              <w:rPr>
                <w:noProof/>
                <w:webHidden/>
              </w:rPr>
              <w:fldChar w:fldCharType="begin"/>
            </w:r>
            <w:r w:rsidR="0017010A">
              <w:rPr>
                <w:noProof/>
                <w:webHidden/>
              </w:rPr>
              <w:instrText xml:space="preserve"> PAGEREF _Toc535416874 \h </w:instrText>
            </w:r>
            <w:r w:rsidR="0017010A">
              <w:rPr>
                <w:noProof/>
                <w:webHidden/>
              </w:rPr>
            </w:r>
            <w:r w:rsidR="0017010A">
              <w:rPr>
                <w:noProof/>
                <w:webHidden/>
              </w:rPr>
              <w:fldChar w:fldCharType="separate"/>
            </w:r>
            <w:r w:rsidR="0017010A">
              <w:rPr>
                <w:noProof/>
                <w:webHidden/>
              </w:rPr>
              <w:t>41</w:t>
            </w:r>
            <w:r w:rsidR="0017010A">
              <w:rPr>
                <w:noProof/>
                <w:webHidden/>
              </w:rPr>
              <w:fldChar w:fldCharType="end"/>
            </w:r>
          </w:hyperlink>
        </w:p>
        <w:p w:rsidR="0017010A" w:rsidRDefault="002228CD">
          <w:pPr>
            <w:pStyle w:val="TOC2"/>
            <w:tabs>
              <w:tab w:val="left" w:pos="1100"/>
            </w:tabs>
            <w:rPr>
              <w:rFonts w:asciiTheme="minorHAnsi" w:eastAsiaTheme="minorEastAsia" w:hAnsiTheme="minorHAnsi" w:cstheme="minorBidi"/>
              <w:b w:val="0"/>
              <w:noProof/>
              <w:sz w:val="22"/>
              <w:lang w:eastAsia="en-AU"/>
            </w:rPr>
          </w:pPr>
          <w:hyperlink w:anchor="_Toc535416875" w:history="1">
            <w:r w:rsidR="0017010A" w:rsidRPr="00BA6B91">
              <w:rPr>
                <w:rStyle w:val="Hyperlink"/>
                <w:noProof/>
              </w:rPr>
              <w:t>9.</w:t>
            </w:r>
            <w:r w:rsidR="0017010A">
              <w:rPr>
                <w:rFonts w:asciiTheme="minorHAnsi" w:eastAsiaTheme="minorEastAsia" w:hAnsiTheme="minorHAnsi" w:cstheme="minorBidi"/>
                <w:b w:val="0"/>
                <w:noProof/>
                <w:sz w:val="22"/>
                <w:lang w:eastAsia="en-AU"/>
              </w:rPr>
              <w:tab/>
            </w:r>
            <w:r w:rsidR="0017010A" w:rsidRPr="00BA6B91">
              <w:rPr>
                <w:rStyle w:val="Hyperlink"/>
                <w:noProof/>
              </w:rPr>
              <w:t>First round recommendation regarding authorisation</w:t>
            </w:r>
            <w:r w:rsidR="0017010A">
              <w:rPr>
                <w:noProof/>
                <w:webHidden/>
              </w:rPr>
              <w:tab/>
            </w:r>
            <w:r w:rsidR="0017010A">
              <w:rPr>
                <w:noProof/>
                <w:webHidden/>
              </w:rPr>
              <w:fldChar w:fldCharType="begin"/>
            </w:r>
            <w:r w:rsidR="0017010A">
              <w:rPr>
                <w:noProof/>
                <w:webHidden/>
              </w:rPr>
              <w:instrText xml:space="preserve"> PAGEREF _Toc535416875 \h </w:instrText>
            </w:r>
            <w:r w:rsidR="0017010A">
              <w:rPr>
                <w:noProof/>
                <w:webHidden/>
              </w:rPr>
            </w:r>
            <w:r w:rsidR="0017010A">
              <w:rPr>
                <w:noProof/>
                <w:webHidden/>
              </w:rPr>
              <w:fldChar w:fldCharType="separate"/>
            </w:r>
            <w:r w:rsidR="0017010A">
              <w:rPr>
                <w:noProof/>
                <w:webHidden/>
              </w:rPr>
              <w:t>41</w:t>
            </w:r>
            <w:r w:rsidR="0017010A">
              <w:rPr>
                <w:noProof/>
                <w:webHidden/>
              </w:rPr>
              <w:fldChar w:fldCharType="end"/>
            </w:r>
          </w:hyperlink>
        </w:p>
        <w:p w:rsidR="0017010A" w:rsidRDefault="002228CD">
          <w:pPr>
            <w:pStyle w:val="TOC2"/>
            <w:tabs>
              <w:tab w:val="left" w:pos="1320"/>
            </w:tabs>
            <w:rPr>
              <w:rFonts w:asciiTheme="minorHAnsi" w:eastAsiaTheme="minorEastAsia" w:hAnsiTheme="minorHAnsi" w:cstheme="minorBidi"/>
              <w:b w:val="0"/>
              <w:noProof/>
              <w:sz w:val="22"/>
              <w:lang w:eastAsia="en-AU"/>
            </w:rPr>
          </w:pPr>
          <w:hyperlink w:anchor="_Toc535416876" w:history="1">
            <w:r w:rsidR="0017010A" w:rsidRPr="00BA6B91">
              <w:rPr>
                <w:rStyle w:val="Hyperlink"/>
                <w:noProof/>
              </w:rPr>
              <w:t>10.</w:t>
            </w:r>
            <w:r w:rsidR="0017010A">
              <w:rPr>
                <w:rFonts w:asciiTheme="minorHAnsi" w:eastAsiaTheme="minorEastAsia" w:hAnsiTheme="minorHAnsi" w:cstheme="minorBidi"/>
                <w:b w:val="0"/>
                <w:noProof/>
                <w:sz w:val="22"/>
                <w:lang w:eastAsia="en-AU"/>
              </w:rPr>
              <w:tab/>
            </w:r>
            <w:r w:rsidR="0017010A" w:rsidRPr="00BA6B91">
              <w:rPr>
                <w:rStyle w:val="Hyperlink"/>
                <w:noProof/>
              </w:rPr>
              <w:t>Clinical questions</w:t>
            </w:r>
            <w:r w:rsidR="0017010A">
              <w:rPr>
                <w:noProof/>
                <w:webHidden/>
              </w:rPr>
              <w:tab/>
            </w:r>
            <w:r w:rsidR="0017010A">
              <w:rPr>
                <w:noProof/>
                <w:webHidden/>
              </w:rPr>
              <w:fldChar w:fldCharType="begin"/>
            </w:r>
            <w:r w:rsidR="0017010A">
              <w:rPr>
                <w:noProof/>
                <w:webHidden/>
              </w:rPr>
              <w:instrText xml:space="preserve"> PAGEREF _Toc535416876 \h </w:instrText>
            </w:r>
            <w:r w:rsidR="0017010A">
              <w:rPr>
                <w:noProof/>
                <w:webHidden/>
              </w:rPr>
            </w:r>
            <w:r w:rsidR="0017010A">
              <w:rPr>
                <w:noProof/>
                <w:webHidden/>
              </w:rPr>
              <w:fldChar w:fldCharType="separate"/>
            </w:r>
            <w:r w:rsidR="0017010A">
              <w:rPr>
                <w:noProof/>
                <w:webHidden/>
              </w:rPr>
              <w:t>41</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77" w:history="1">
            <w:r w:rsidR="0017010A" w:rsidRPr="00BA6B91">
              <w:rPr>
                <w:rStyle w:val="Hyperlink"/>
                <w:noProof/>
              </w:rPr>
              <w:t>10.1.</w:t>
            </w:r>
            <w:r w:rsidR="0017010A">
              <w:rPr>
                <w:rFonts w:asciiTheme="minorHAnsi" w:eastAsiaTheme="minorEastAsia" w:hAnsiTheme="minorHAnsi" w:cstheme="minorBidi"/>
                <w:noProof/>
                <w:lang w:eastAsia="en-AU"/>
              </w:rPr>
              <w:tab/>
            </w:r>
            <w:r w:rsidR="0017010A" w:rsidRPr="00BA6B91">
              <w:rPr>
                <w:rStyle w:val="Hyperlink"/>
                <w:noProof/>
              </w:rPr>
              <w:t>Efficacy</w:t>
            </w:r>
            <w:r w:rsidR="0017010A">
              <w:rPr>
                <w:noProof/>
                <w:webHidden/>
              </w:rPr>
              <w:tab/>
            </w:r>
            <w:r w:rsidR="0017010A">
              <w:rPr>
                <w:noProof/>
                <w:webHidden/>
              </w:rPr>
              <w:fldChar w:fldCharType="begin"/>
            </w:r>
            <w:r w:rsidR="0017010A">
              <w:rPr>
                <w:noProof/>
                <w:webHidden/>
              </w:rPr>
              <w:instrText xml:space="preserve"> PAGEREF _Toc535416877 \h </w:instrText>
            </w:r>
            <w:r w:rsidR="0017010A">
              <w:rPr>
                <w:noProof/>
                <w:webHidden/>
              </w:rPr>
            </w:r>
            <w:r w:rsidR="0017010A">
              <w:rPr>
                <w:noProof/>
                <w:webHidden/>
              </w:rPr>
              <w:fldChar w:fldCharType="separate"/>
            </w:r>
            <w:r w:rsidR="0017010A">
              <w:rPr>
                <w:noProof/>
                <w:webHidden/>
              </w:rPr>
              <w:t>41</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78" w:history="1">
            <w:r w:rsidR="0017010A" w:rsidRPr="00BA6B91">
              <w:rPr>
                <w:rStyle w:val="Hyperlink"/>
                <w:noProof/>
              </w:rPr>
              <w:t>10.2.</w:t>
            </w:r>
            <w:r w:rsidR="0017010A">
              <w:rPr>
                <w:rFonts w:asciiTheme="minorHAnsi" w:eastAsiaTheme="minorEastAsia" w:hAnsiTheme="minorHAnsi" w:cstheme="minorBidi"/>
                <w:noProof/>
                <w:lang w:eastAsia="en-AU"/>
              </w:rPr>
              <w:tab/>
            </w:r>
            <w:r w:rsidR="0017010A" w:rsidRPr="00BA6B91">
              <w:rPr>
                <w:rStyle w:val="Hyperlink"/>
                <w:noProof/>
              </w:rPr>
              <w:t>Safety</w:t>
            </w:r>
            <w:r w:rsidR="0017010A">
              <w:rPr>
                <w:noProof/>
                <w:webHidden/>
              </w:rPr>
              <w:tab/>
            </w:r>
            <w:r w:rsidR="0017010A">
              <w:rPr>
                <w:noProof/>
                <w:webHidden/>
              </w:rPr>
              <w:fldChar w:fldCharType="begin"/>
            </w:r>
            <w:r w:rsidR="0017010A">
              <w:rPr>
                <w:noProof/>
                <w:webHidden/>
              </w:rPr>
              <w:instrText xml:space="preserve"> PAGEREF _Toc535416878 \h </w:instrText>
            </w:r>
            <w:r w:rsidR="0017010A">
              <w:rPr>
                <w:noProof/>
                <w:webHidden/>
              </w:rPr>
            </w:r>
            <w:r w:rsidR="0017010A">
              <w:rPr>
                <w:noProof/>
                <w:webHidden/>
              </w:rPr>
              <w:fldChar w:fldCharType="separate"/>
            </w:r>
            <w:r w:rsidR="0017010A">
              <w:rPr>
                <w:noProof/>
                <w:webHidden/>
              </w:rPr>
              <w:t>41</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79" w:history="1">
            <w:r w:rsidR="0017010A" w:rsidRPr="00BA6B91">
              <w:rPr>
                <w:rStyle w:val="Hyperlink"/>
                <w:noProof/>
              </w:rPr>
              <w:t>10.3.</w:t>
            </w:r>
            <w:r w:rsidR="0017010A">
              <w:rPr>
                <w:rFonts w:asciiTheme="minorHAnsi" w:eastAsiaTheme="minorEastAsia" w:hAnsiTheme="minorHAnsi" w:cstheme="minorBidi"/>
                <w:noProof/>
                <w:lang w:eastAsia="en-AU"/>
              </w:rPr>
              <w:tab/>
            </w:r>
            <w:r w:rsidR="0017010A" w:rsidRPr="00BA6B91">
              <w:rPr>
                <w:rStyle w:val="Hyperlink"/>
                <w:noProof/>
              </w:rPr>
              <w:t>Additional expert input</w:t>
            </w:r>
            <w:r w:rsidR="0017010A">
              <w:rPr>
                <w:noProof/>
                <w:webHidden/>
              </w:rPr>
              <w:tab/>
            </w:r>
            <w:r w:rsidR="0017010A">
              <w:rPr>
                <w:noProof/>
                <w:webHidden/>
              </w:rPr>
              <w:fldChar w:fldCharType="begin"/>
            </w:r>
            <w:r w:rsidR="0017010A">
              <w:rPr>
                <w:noProof/>
                <w:webHidden/>
              </w:rPr>
              <w:instrText xml:space="preserve"> PAGEREF _Toc535416879 \h </w:instrText>
            </w:r>
            <w:r w:rsidR="0017010A">
              <w:rPr>
                <w:noProof/>
                <w:webHidden/>
              </w:rPr>
            </w:r>
            <w:r w:rsidR="0017010A">
              <w:rPr>
                <w:noProof/>
                <w:webHidden/>
              </w:rPr>
              <w:fldChar w:fldCharType="separate"/>
            </w:r>
            <w:r w:rsidR="0017010A">
              <w:rPr>
                <w:noProof/>
                <w:webHidden/>
              </w:rPr>
              <w:t>41</w:t>
            </w:r>
            <w:r w:rsidR="0017010A">
              <w:rPr>
                <w:noProof/>
                <w:webHidden/>
              </w:rPr>
              <w:fldChar w:fldCharType="end"/>
            </w:r>
          </w:hyperlink>
        </w:p>
        <w:p w:rsidR="0017010A" w:rsidRDefault="002228CD">
          <w:pPr>
            <w:pStyle w:val="TOC2"/>
            <w:tabs>
              <w:tab w:val="left" w:pos="1320"/>
            </w:tabs>
            <w:rPr>
              <w:rFonts w:asciiTheme="minorHAnsi" w:eastAsiaTheme="minorEastAsia" w:hAnsiTheme="minorHAnsi" w:cstheme="minorBidi"/>
              <w:b w:val="0"/>
              <w:noProof/>
              <w:sz w:val="22"/>
              <w:lang w:eastAsia="en-AU"/>
            </w:rPr>
          </w:pPr>
          <w:hyperlink w:anchor="_Toc535416880" w:history="1">
            <w:r w:rsidR="0017010A" w:rsidRPr="00BA6B91">
              <w:rPr>
                <w:rStyle w:val="Hyperlink"/>
                <w:noProof/>
              </w:rPr>
              <w:t>11.</w:t>
            </w:r>
            <w:r w:rsidR="0017010A">
              <w:rPr>
                <w:rFonts w:asciiTheme="minorHAnsi" w:eastAsiaTheme="minorEastAsia" w:hAnsiTheme="minorHAnsi" w:cstheme="minorBidi"/>
                <w:b w:val="0"/>
                <w:noProof/>
                <w:sz w:val="22"/>
                <w:lang w:eastAsia="en-AU"/>
              </w:rPr>
              <w:tab/>
            </w:r>
            <w:r w:rsidR="0017010A" w:rsidRPr="00BA6B91">
              <w:rPr>
                <w:rStyle w:val="Hyperlink"/>
                <w:noProof/>
              </w:rPr>
              <w:t>Second round evaluation</w:t>
            </w:r>
            <w:r w:rsidR="0017010A">
              <w:rPr>
                <w:noProof/>
                <w:webHidden/>
              </w:rPr>
              <w:tab/>
            </w:r>
            <w:r w:rsidR="0017010A">
              <w:rPr>
                <w:noProof/>
                <w:webHidden/>
              </w:rPr>
              <w:fldChar w:fldCharType="begin"/>
            </w:r>
            <w:r w:rsidR="0017010A">
              <w:rPr>
                <w:noProof/>
                <w:webHidden/>
              </w:rPr>
              <w:instrText xml:space="preserve"> PAGEREF _Toc535416880 \h </w:instrText>
            </w:r>
            <w:r w:rsidR="0017010A">
              <w:rPr>
                <w:noProof/>
                <w:webHidden/>
              </w:rPr>
            </w:r>
            <w:r w:rsidR="0017010A">
              <w:rPr>
                <w:noProof/>
                <w:webHidden/>
              </w:rPr>
              <w:fldChar w:fldCharType="separate"/>
            </w:r>
            <w:r w:rsidR="0017010A">
              <w:rPr>
                <w:noProof/>
                <w:webHidden/>
              </w:rPr>
              <w:t>42</w:t>
            </w:r>
            <w:r w:rsidR="0017010A">
              <w:rPr>
                <w:noProof/>
                <w:webHidden/>
              </w:rPr>
              <w:fldChar w:fldCharType="end"/>
            </w:r>
          </w:hyperlink>
        </w:p>
        <w:p w:rsidR="0017010A" w:rsidRDefault="002228CD">
          <w:pPr>
            <w:pStyle w:val="TOC2"/>
            <w:tabs>
              <w:tab w:val="left" w:pos="1320"/>
            </w:tabs>
            <w:rPr>
              <w:rFonts w:asciiTheme="minorHAnsi" w:eastAsiaTheme="minorEastAsia" w:hAnsiTheme="minorHAnsi" w:cstheme="minorBidi"/>
              <w:b w:val="0"/>
              <w:noProof/>
              <w:sz w:val="22"/>
              <w:lang w:eastAsia="en-AU"/>
            </w:rPr>
          </w:pPr>
          <w:hyperlink w:anchor="_Toc535416881" w:history="1">
            <w:r w:rsidR="0017010A" w:rsidRPr="00BA6B91">
              <w:rPr>
                <w:rStyle w:val="Hyperlink"/>
                <w:noProof/>
              </w:rPr>
              <w:t>12.</w:t>
            </w:r>
            <w:r w:rsidR="0017010A">
              <w:rPr>
                <w:rFonts w:asciiTheme="minorHAnsi" w:eastAsiaTheme="minorEastAsia" w:hAnsiTheme="minorHAnsi" w:cstheme="minorBidi"/>
                <w:b w:val="0"/>
                <w:noProof/>
                <w:sz w:val="22"/>
                <w:lang w:eastAsia="en-AU"/>
              </w:rPr>
              <w:tab/>
            </w:r>
            <w:r w:rsidR="0017010A" w:rsidRPr="00BA6B91">
              <w:rPr>
                <w:rStyle w:val="Hyperlink"/>
                <w:noProof/>
              </w:rPr>
              <w:t>Second round benefit-risk assessment</w:t>
            </w:r>
            <w:r w:rsidR="0017010A">
              <w:rPr>
                <w:noProof/>
                <w:webHidden/>
              </w:rPr>
              <w:tab/>
            </w:r>
            <w:r w:rsidR="0017010A">
              <w:rPr>
                <w:noProof/>
                <w:webHidden/>
              </w:rPr>
              <w:fldChar w:fldCharType="begin"/>
            </w:r>
            <w:r w:rsidR="0017010A">
              <w:rPr>
                <w:noProof/>
                <w:webHidden/>
              </w:rPr>
              <w:instrText xml:space="preserve"> PAGEREF _Toc535416881 \h </w:instrText>
            </w:r>
            <w:r w:rsidR="0017010A">
              <w:rPr>
                <w:noProof/>
                <w:webHidden/>
              </w:rPr>
            </w:r>
            <w:r w:rsidR="0017010A">
              <w:rPr>
                <w:noProof/>
                <w:webHidden/>
              </w:rPr>
              <w:fldChar w:fldCharType="separate"/>
            </w:r>
            <w:r w:rsidR="0017010A">
              <w:rPr>
                <w:noProof/>
                <w:webHidden/>
              </w:rPr>
              <w:t>42</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82" w:history="1">
            <w:r w:rsidR="0017010A" w:rsidRPr="00BA6B91">
              <w:rPr>
                <w:rStyle w:val="Hyperlink"/>
                <w:noProof/>
              </w:rPr>
              <w:t>12.1.</w:t>
            </w:r>
            <w:r w:rsidR="0017010A">
              <w:rPr>
                <w:rFonts w:asciiTheme="minorHAnsi" w:eastAsiaTheme="minorEastAsia" w:hAnsiTheme="minorHAnsi" w:cstheme="minorBidi"/>
                <w:noProof/>
                <w:lang w:eastAsia="en-AU"/>
              </w:rPr>
              <w:tab/>
            </w:r>
            <w:r w:rsidR="0017010A" w:rsidRPr="00BA6B91">
              <w:rPr>
                <w:rStyle w:val="Hyperlink"/>
                <w:noProof/>
              </w:rPr>
              <w:t>Second round assessment of benefits</w:t>
            </w:r>
            <w:r w:rsidR="0017010A">
              <w:rPr>
                <w:noProof/>
                <w:webHidden/>
              </w:rPr>
              <w:tab/>
            </w:r>
            <w:r w:rsidR="0017010A">
              <w:rPr>
                <w:noProof/>
                <w:webHidden/>
              </w:rPr>
              <w:fldChar w:fldCharType="begin"/>
            </w:r>
            <w:r w:rsidR="0017010A">
              <w:rPr>
                <w:noProof/>
                <w:webHidden/>
              </w:rPr>
              <w:instrText xml:space="preserve"> PAGEREF _Toc535416882 \h </w:instrText>
            </w:r>
            <w:r w:rsidR="0017010A">
              <w:rPr>
                <w:noProof/>
                <w:webHidden/>
              </w:rPr>
            </w:r>
            <w:r w:rsidR="0017010A">
              <w:rPr>
                <w:noProof/>
                <w:webHidden/>
              </w:rPr>
              <w:fldChar w:fldCharType="separate"/>
            </w:r>
            <w:r w:rsidR="0017010A">
              <w:rPr>
                <w:noProof/>
                <w:webHidden/>
              </w:rPr>
              <w:t>42</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83" w:history="1">
            <w:r w:rsidR="0017010A" w:rsidRPr="00BA6B91">
              <w:rPr>
                <w:rStyle w:val="Hyperlink"/>
                <w:noProof/>
              </w:rPr>
              <w:t>12.2.</w:t>
            </w:r>
            <w:r w:rsidR="0017010A">
              <w:rPr>
                <w:rFonts w:asciiTheme="minorHAnsi" w:eastAsiaTheme="minorEastAsia" w:hAnsiTheme="minorHAnsi" w:cstheme="minorBidi"/>
                <w:noProof/>
                <w:lang w:eastAsia="en-AU"/>
              </w:rPr>
              <w:tab/>
            </w:r>
            <w:r w:rsidR="0017010A" w:rsidRPr="00BA6B91">
              <w:rPr>
                <w:rStyle w:val="Hyperlink"/>
                <w:noProof/>
              </w:rPr>
              <w:t>Second round assessment of risks</w:t>
            </w:r>
            <w:r w:rsidR="0017010A">
              <w:rPr>
                <w:noProof/>
                <w:webHidden/>
              </w:rPr>
              <w:tab/>
            </w:r>
            <w:r w:rsidR="0017010A">
              <w:rPr>
                <w:noProof/>
                <w:webHidden/>
              </w:rPr>
              <w:fldChar w:fldCharType="begin"/>
            </w:r>
            <w:r w:rsidR="0017010A">
              <w:rPr>
                <w:noProof/>
                <w:webHidden/>
              </w:rPr>
              <w:instrText xml:space="preserve"> PAGEREF _Toc535416883 \h </w:instrText>
            </w:r>
            <w:r w:rsidR="0017010A">
              <w:rPr>
                <w:noProof/>
                <w:webHidden/>
              </w:rPr>
            </w:r>
            <w:r w:rsidR="0017010A">
              <w:rPr>
                <w:noProof/>
                <w:webHidden/>
              </w:rPr>
              <w:fldChar w:fldCharType="separate"/>
            </w:r>
            <w:r w:rsidR="0017010A">
              <w:rPr>
                <w:noProof/>
                <w:webHidden/>
              </w:rPr>
              <w:t>42</w:t>
            </w:r>
            <w:r w:rsidR="0017010A">
              <w:rPr>
                <w:noProof/>
                <w:webHidden/>
              </w:rPr>
              <w:fldChar w:fldCharType="end"/>
            </w:r>
          </w:hyperlink>
        </w:p>
        <w:p w:rsidR="0017010A" w:rsidRDefault="002228CD">
          <w:pPr>
            <w:pStyle w:val="TOC3"/>
            <w:tabs>
              <w:tab w:val="left" w:pos="1760"/>
            </w:tabs>
            <w:rPr>
              <w:rFonts w:asciiTheme="minorHAnsi" w:eastAsiaTheme="minorEastAsia" w:hAnsiTheme="minorHAnsi" w:cstheme="minorBidi"/>
              <w:noProof/>
              <w:lang w:eastAsia="en-AU"/>
            </w:rPr>
          </w:pPr>
          <w:hyperlink w:anchor="_Toc535416884" w:history="1">
            <w:r w:rsidR="0017010A" w:rsidRPr="00BA6B91">
              <w:rPr>
                <w:rStyle w:val="Hyperlink"/>
                <w:noProof/>
              </w:rPr>
              <w:t>12.3.</w:t>
            </w:r>
            <w:r w:rsidR="0017010A">
              <w:rPr>
                <w:rFonts w:asciiTheme="minorHAnsi" w:eastAsiaTheme="minorEastAsia" w:hAnsiTheme="minorHAnsi" w:cstheme="minorBidi"/>
                <w:noProof/>
                <w:lang w:eastAsia="en-AU"/>
              </w:rPr>
              <w:tab/>
            </w:r>
            <w:r w:rsidR="0017010A" w:rsidRPr="00BA6B91">
              <w:rPr>
                <w:rStyle w:val="Hyperlink"/>
                <w:noProof/>
              </w:rPr>
              <w:t>Second round assessment of benefit-risk balance</w:t>
            </w:r>
            <w:r w:rsidR="0017010A">
              <w:rPr>
                <w:noProof/>
                <w:webHidden/>
              </w:rPr>
              <w:tab/>
            </w:r>
            <w:r w:rsidR="0017010A">
              <w:rPr>
                <w:noProof/>
                <w:webHidden/>
              </w:rPr>
              <w:fldChar w:fldCharType="begin"/>
            </w:r>
            <w:r w:rsidR="0017010A">
              <w:rPr>
                <w:noProof/>
                <w:webHidden/>
              </w:rPr>
              <w:instrText xml:space="preserve"> PAGEREF _Toc535416884 \h </w:instrText>
            </w:r>
            <w:r w:rsidR="0017010A">
              <w:rPr>
                <w:noProof/>
                <w:webHidden/>
              </w:rPr>
            </w:r>
            <w:r w:rsidR="0017010A">
              <w:rPr>
                <w:noProof/>
                <w:webHidden/>
              </w:rPr>
              <w:fldChar w:fldCharType="separate"/>
            </w:r>
            <w:r w:rsidR="0017010A">
              <w:rPr>
                <w:noProof/>
                <w:webHidden/>
              </w:rPr>
              <w:t>43</w:t>
            </w:r>
            <w:r w:rsidR="0017010A">
              <w:rPr>
                <w:noProof/>
                <w:webHidden/>
              </w:rPr>
              <w:fldChar w:fldCharType="end"/>
            </w:r>
          </w:hyperlink>
        </w:p>
        <w:p w:rsidR="0017010A" w:rsidRDefault="002228CD">
          <w:pPr>
            <w:pStyle w:val="TOC2"/>
            <w:tabs>
              <w:tab w:val="left" w:pos="1320"/>
            </w:tabs>
            <w:rPr>
              <w:rFonts w:asciiTheme="minorHAnsi" w:eastAsiaTheme="minorEastAsia" w:hAnsiTheme="minorHAnsi" w:cstheme="minorBidi"/>
              <w:b w:val="0"/>
              <w:noProof/>
              <w:sz w:val="22"/>
              <w:lang w:eastAsia="en-AU"/>
            </w:rPr>
          </w:pPr>
          <w:hyperlink w:anchor="_Toc535416885" w:history="1">
            <w:r w:rsidR="0017010A" w:rsidRPr="00BA6B91">
              <w:rPr>
                <w:rStyle w:val="Hyperlink"/>
                <w:noProof/>
              </w:rPr>
              <w:t>13.</w:t>
            </w:r>
            <w:r w:rsidR="0017010A">
              <w:rPr>
                <w:rFonts w:asciiTheme="minorHAnsi" w:eastAsiaTheme="minorEastAsia" w:hAnsiTheme="minorHAnsi" w:cstheme="minorBidi"/>
                <w:b w:val="0"/>
                <w:noProof/>
                <w:sz w:val="22"/>
                <w:lang w:eastAsia="en-AU"/>
              </w:rPr>
              <w:tab/>
            </w:r>
            <w:r w:rsidR="0017010A" w:rsidRPr="00BA6B91">
              <w:rPr>
                <w:rStyle w:val="Hyperlink"/>
                <w:noProof/>
              </w:rPr>
              <w:t>Second round recommendation regarding authorisation</w:t>
            </w:r>
            <w:r w:rsidR="0017010A">
              <w:rPr>
                <w:noProof/>
                <w:webHidden/>
              </w:rPr>
              <w:tab/>
            </w:r>
            <w:r w:rsidR="0017010A">
              <w:rPr>
                <w:noProof/>
                <w:webHidden/>
              </w:rPr>
              <w:fldChar w:fldCharType="begin"/>
            </w:r>
            <w:r w:rsidR="0017010A">
              <w:rPr>
                <w:noProof/>
                <w:webHidden/>
              </w:rPr>
              <w:instrText xml:space="preserve"> PAGEREF _Toc535416885 \h </w:instrText>
            </w:r>
            <w:r w:rsidR="0017010A">
              <w:rPr>
                <w:noProof/>
                <w:webHidden/>
              </w:rPr>
            </w:r>
            <w:r w:rsidR="0017010A">
              <w:rPr>
                <w:noProof/>
                <w:webHidden/>
              </w:rPr>
              <w:fldChar w:fldCharType="separate"/>
            </w:r>
            <w:r w:rsidR="0017010A">
              <w:rPr>
                <w:noProof/>
                <w:webHidden/>
              </w:rPr>
              <w:t>43</w:t>
            </w:r>
            <w:r w:rsidR="0017010A">
              <w:rPr>
                <w:noProof/>
                <w:webHidden/>
              </w:rPr>
              <w:fldChar w:fldCharType="end"/>
            </w:r>
          </w:hyperlink>
        </w:p>
        <w:p w:rsidR="0017010A" w:rsidRDefault="002228CD">
          <w:pPr>
            <w:pStyle w:val="TOC2"/>
            <w:tabs>
              <w:tab w:val="left" w:pos="1320"/>
            </w:tabs>
            <w:rPr>
              <w:rFonts w:asciiTheme="minorHAnsi" w:eastAsiaTheme="minorEastAsia" w:hAnsiTheme="minorHAnsi" w:cstheme="minorBidi"/>
              <w:b w:val="0"/>
              <w:noProof/>
              <w:sz w:val="22"/>
              <w:lang w:eastAsia="en-AU"/>
            </w:rPr>
          </w:pPr>
          <w:hyperlink w:anchor="_Toc535416886" w:history="1">
            <w:r w:rsidR="0017010A" w:rsidRPr="00BA6B91">
              <w:rPr>
                <w:rStyle w:val="Hyperlink"/>
                <w:noProof/>
              </w:rPr>
              <w:t>14.</w:t>
            </w:r>
            <w:r w:rsidR="0017010A">
              <w:rPr>
                <w:rFonts w:asciiTheme="minorHAnsi" w:eastAsiaTheme="minorEastAsia" w:hAnsiTheme="minorHAnsi" w:cstheme="minorBidi"/>
                <w:b w:val="0"/>
                <w:noProof/>
                <w:sz w:val="22"/>
                <w:lang w:eastAsia="en-AU"/>
              </w:rPr>
              <w:tab/>
            </w:r>
            <w:r w:rsidR="0017010A" w:rsidRPr="00BA6B91">
              <w:rPr>
                <w:rStyle w:val="Hyperlink"/>
                <w:noProof/>
              </w:rPr>
              <w:t>References</w:t>
            </w:r>
            <w:r w:rsidR="0017010A">
              <w:rPr>
                <w:noProof/>
                <w:webHidden/>
              </w:rPr>
              <w:tab/>
            </w:r>
            <w:r w:rsidR="0017010A">
              <w:rPr>
                <w:noProof/>
                <w:webHidden/>
              </w:rPr>
              <w:fldChar w:fldCharType="begin"/>
            </w:r>
            <w:r w:rsidR="0017010A">
              <w:rPr>
                <w:noProof/>
                <w:webHidden/>
              </w:rPr>
              <w:instrText xml:space="preserve"> PAGEREF _Toc535416886 \h </w:instrText>
            </w:r>
            <w:r w:rsidR="0017010A">
              <w:rPr>
                <w:noProof/>
                <w:webHidden/>
              </w:rPr>
            </w:r>
            <w:r w:rsidR="0017010A">
              <w:rPr>
                <w:noProof/>
                <w:webHidden/>
              </w:rPr>
              <w:fldChar w:fldCharType="separate"/>
            </w:r>
            <w:r w:rsidR="0017010A">
              <w:rPr>
                <w:noProof/>
                <w:webHidden/>
              </w:rPr>
              <w:t>43</w:t>
            </w:r>
            <w:r w:rsidR="0017010A">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182466" w:rsidRDefault="00182466">
      <w:pPr>
        <w:spacing w:before="0" w:after="200" w:line="0" w:lineRule="auto"/>
        <w:sectPr w:rsidR="00182466" w:rsidSect="008D770F">
          <w:headerReference w:type="even" r:id="rId15"/>
          <w:headerReference w:type="default" r:id="rId16"/>
          <w:headerReference w:type="first" r:id="rId17"/>
          <w:footerReference w:type="first" r:id="rId18"/>
          <w:pgSz w:w="11906" w:h="16838" w:code="9"/>
          <w:pgMar w:top="1440" w:right="1440" w:bottom="1440" w:left="1440" w:header="907" w:footer="216" w:gutter="0"/>
          <w:cols w:space="708"/>
          <w:docGrid w:linePitch="360"/>
        </w:sectPr>
      </w:pPr>
      <w:bookmarkStart w:id="4" w:name="_Toc521411056"/>
      <w:bookmarkEnd w:id="2"/>
      <w:bookmarkEnd w:id="1"/>
      <w:bookmarkEnd w:id="3"/>
    </w:p>
    <w:p w:rsidR="00D470CB" w:rsidRDefault="00D470CB" w:rsidP="00D470CB">
      <w:pPr>
        <w:pStyle w:val="Heading2"/>
        <w:numPr>
          <w:ilvl w:val="0"/>
          <w:numId w:val="0"/>
        </w:numPr>
      </w:pPr>
      <w:bookmarkStart w:id="5" w:name="_Toc535416836"/>
      <w:r>
        <w:lastRenderedPageBreak/>
        <w:t>List of common abbreviations</w:t>
      </w:r>
      <w:bookmarkEnd w:id="4"/>
      <w:bookmarkEnd w:id="5"/>
    </w:p>
    <w:tbl>
      <w:tblPr>
        <w:tblStyle w:val="TableTGAblue"/>
        <w:tblW w:w="0" w:type="auto"/>
        <w:tblLook w:val="04A0" w:firstRow="1" w:lastRow="0" w:firstColumn="1" w:lastColumn="0" w:noHBand="0" w:noVBand="1"/>
        <w:tblDescription w:val="List of common abbreviations"/>
      </w:tblPr>
      <w:tblGrid>
        <w:gridCol w:w="2093"/>
        <w:gridCol w:w="6627"/>
      </w:tblGrid>
      <w:tr w:rsidR="00D470CB" w:rsidRPr="001E1CDD" w:rsidTr="007750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spacing w:line="240" w:lineRule="auto"/>
              <w:ind w:left="0" w:right="0"/>
              <w:rPr>
                <w:szCs w:val="22"/>
                <w:lang w:eastAsia="en-US"/>
              </w:rPr>
            </w:pPr>
            <w:r w:rsidRPr="001E1CDD">
              <w:rPr>
                <w:szCs w:val="22"/>
                <w:lang w:eastAsia="en-US"/>
              </w:rPr>
              <w:t>Abbreviation</w:t>
            </w:r>
          </w:p>
        </w:tc>
        <w:tc>
          <w:tcPr>
            <w:tcW w:w="6627" w:type="dxa"/>
          </w:tcPr>
          <w:p w:rsidR="00D470CB" w:rsidRPr="001E1CDD" w:rsidRDefault="00D470CB" w:rsidP="008F1442">
            <w:pPr>
              <w:spacing w:line="240" w:lineRule="auto"/>
              <w:ind w:left="0" w:right="0"/>
              <w:cnfStyle w:val="100000000000" w:firstRow="1" w:lastRow="0" w:firstColumn="0" w:lastColumn="0" w:oddVBand="0" w:evenVBand="0" w:oddHBand="0" w:evenHBand="0" w:firstRowFirstColumn="0" w:firstRowLastColumn="0" w:lastRowFirstColumn="0" w:lastRowLastColumn="0"/>
              <w:rPr>
                <w:szCs w:val="22"/>
                <w:lang w:eastAsia="en-US"/>
              </w:rPr>
            </w:pPr>
            <w:r w:rsidRPr="001E1CDD">
              <w:rPr>
                <w:szCs w:val="22"/>
                <w:lang w:eastAsia="en-US"/>
              </w:rPr>
              <w:t>Meaning</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spacing w:line="240" w:lineRule="auto"/>
              <w:ind w:left="142" w:right="0"/>
              <w:rPr>
                <w:color w:val="auto"/>
                <w:szCs w:val="22"/>
                <w:lang w:eastAsia="en-US"/>
              </w:rPr>
            </w:pPr>
            <w:r w:rsidRPr="001E1CDD">
              <w:rPr>
                <w:color w:val="auto"/>
                <w:szCs w:val="22"/>
                <w:lang w:eastAsia="en-US"/>
              </w:rPr>
              <w:t>ACV</w:t>
            </w:r>
          </w:p>
        </w:tc>
        <w:tc>
          <w:tcPr>
            <w:tcW w:w="6627" w:type="dxa"/>
          </w:tcPr>
          <w:p w:rsidR="00D470CB" w:rsidRPr="001E1CDD" w:rsidRDefault="00D470CB" w:rsidP="008F1442">
            <w:pPr>
              <w:spacing w:line="240" w:lineRule="auto"/>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1E1CDD">
              <w:rPr>
                <w:color w:val="auto"/>
                <w:szCs w:val="22"/>
                <w:lang w:eastAsia="en-US"/>
              </w:rPr>
              <w:t>Advisory Committee on Vaccines</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spacing w:line="240" w:lineRule="auto"/>
              <w:rPr>
                <w:rFonts w:asciiTheme="minorHAnsi" w:hAnsiTheme="minorHAnsi"/>
                <w:szCs w:val="22"/>
              </w:rPr>
            </w:pPr>
            <w:r w:rsidRPr="001E1CDD">
              <w:rPr>
                <w:rFonts w:asciiTheme="minorHAnsi" w:hAnsiTheme="minorHAnsi" w:cs="Calibri"/>
                <w:color w:val="000000"/>
                <w:szCs w:val="22"/>
              </w:rPr>
              <w:t>AE</w:t>
            </w:r>
          </w:p>
        </w:tc>
        <w:tc>
          <w:tcPr>
            <w:tcW w:w="6627" w:type="dxa"/>
          </w:tcPr>
          <w:p w:rsidR="00D470CB" w:rsidRPr="001E1CDD" w:rsidRDefault="00D470CB" w:rsidP="008F144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cs="Calibri"/>
                <w:color w:val="000000"/>
                <w:szCs w:val="22"/>
              </w:rPr>
              <w:t>A</w:t>
            </w:r>
            <w:r w:rsidRPr="001E1CDD">
              <w:rPr>
                <w:rFonts w:asciiTheme="minorHAnsi" w:hAnsiTheme="minorHAnsi" w:cs="Calibri"/>
                <w:color w:val="000000"/>
                <w:szCs w:val="22"/>
              </w:rPr>
              <w:t xml:space="preserve">dverse </w:t>
            </w:r>
            <w:r>
              <w:rPr>
                <w:rFonts w:asciiTheme="minorHAnsi" w:hAnsiTheme="minorHAnsi" w:cs="Calibri"/>
                <w:color w:val="000000"/>
                <w:szCs w:val="22"/>
              </w:rPr>
              <w:t>E</w:t>
            </w:r>
            <w:r w:rsidRPr="001E1CDD">
              <w:rPr>
                <w:rFonts w:asciiTheme="minorHAnsi" w:hAnsiTheme="minorHAnsi" w:cs="Calibri"/>
                <w:color w:val="000000"/>
                <w:szCs w:val="22"/>
              </w:rPr>
              <w:t>vent</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ArialNarrow"/>
                <w:szCs w:val="22"/>
              </w:rPr>
            </w:pPr>
            <w:r w:rsidRPr="001E1CDD">
              <w:rPr>
                <w:rFonts w:asciiTheme="minorHAnsi" w:hAnsiTheme="minorHAnsi"/>
                <w:szCs w:val="22"/>
              </w:rPr>
              <w:t>AESIs</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r>
              <w:rPr>
                <w:rFonts w:asciiTheme="minorHAnsi" w:hAnsiTheme="minorHAnsi"/>
                <w:szCs w:val="22"/>
              </w:rPr>
              <w:t>A</w:t>
            </w:r>
            <w:r w:rsidRPr="001E1CDD">
              <w:rPr>
                <w:rFonts w:asciiTheme="minorHAnsi" w:hAnsiTheme="minorHAnsi"/>
                <w:szCs w:val="22"/>
              </w:rPr>
              <w:t xml:space="preserve">dverse </w:t>
            </w:r>
            <w:r>
              <w:rPr>
                <w:rFonts w:asciiTheme="minorHAnsi" w:hAnsiTheme="minorHAnsi"/>
                <w:szCs w:val="22"/>
              </w:rPr>
              <w:t>E</w:t>
            </w:r>
            <w:r w:rsidRPr="001E1CDD">
              <w:rPr>
                <w:rFonts w:asciiTheme="minorHAnsi" w:hAnsiTheme="minorHAnsi"/>
                <w:szCs w:val="22"/>
              </w:rPr>
              <w:t xml:space="preserve">vents of </w:t>
            </w:r>
            <w:r>
              <w:rPr>
                <w:rFonts w:asciiTheme="minorHAnsi" w:hAnsiTheme="minorHAnsi"/>
                <w:szCs w:val="22"/>
              </w:rPr>
              <w:t>S</w:t>
            </w:r>
            <w:r w:rsidRPr="001E1CDD">
              <w:rPr>
                <w:rFonts w:asciiTheme="minorHAnsi" w:hAnsiTheme="minorHAnsi"/>
                <w:szCs w:val="22"/>
              </w:rPr>
              <w:t xml:space="preserve">pecial </w:t>
            </w:r>
            <w:r>
              <w:rPr>
                <w:rFonts w:asciiTheme="minorHAnsi" w:hAnsiTheme="minorHAnsi"/>
                <w:szCs w:val="22"/>
              </w:rPr>
              <w:t>I</w:t>
            </w:r>
            <w:r w:rsidR="00182466">
              <w:rPr>
                <w:rFonts w:asciiTheme="minorHAnsi" w:hAnsiTheme="minorHAnsi"/>
                <w:szCs w:val="22"/>
              </w:rPr>
              <w:t>nterest</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ASA</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r>
              <w:rPr>
                <w:rFonts w:eastAsiaTheme="minorHAnsi" w:cs="Cambria"/>
                <w:color w:val="000000"/>
                <w:szCs w:val="22"/>
              </w:rPr>
              <w:t>Australian Specific A</w:t>
            </w:r>
            <w:r w:rsidRPr="001E1CDD">
              <w:rPr>
                <w:rFonts w:eastAsiaTheme="minorHAnsi" w:cs="Cambria"/>
                <w:color w:val="000000"/>
                <w:szCs w:val="22"/>
              </w:rPr>
              <w:t xml:space="preserve">nnex </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CBER</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proofErr w:type="spellStart"/>
            <w:r w:rsidRPr="001E1CDD">
              <w:rPr>
                <w:rFonts w:asciiTheme="minorHAnsi" w:hAnsiTheme="minorHAnsi" w:cs="ArialNarrow"/>
                <w:szCs w:val="22"/>
              </w:rPr>
              <w:t>Center</w:t>
            </w:r>
            <w:proofErr w:type="spellEnd"/>
            <w:r w:rsidRPr="001E1CDD">
              <w:rPr>
                <w:rFonts w:asciiTheme="minorHAnsi" w:hAnsiTheme="minorHAnsi" w:cs="ArialNarrow"/>
                <w:szCs w:val="22"/>
              </w:rPr>
              <w:t xml:space="preserve"> for Biologics Evaluation and Research</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182466">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CDC</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proofErr w:type="spellStart"/>
            <w:r w:rsidRPr="001E1CDD">
              <w:rPr>
                <w:rFonts w:asciiTheme="minorHAnsi" w:hAnsiTheme="minorHAnsi" w:cs="ArialNarrow"/>
                <w:szCs w:val="22"/>
              </w:rPr>
              <w:t>Centers</w:t>
            </w:r>
            <w:proofErr w:type="spellEnd"/>
            <w:r w:rsidRPr="001E1CDD">
              <w:rPr>
                <w:rFonts w:asciiTheme="minorHAnsi" w:hAnsiTheme="minorHAnsi" w:cs="ArialNarrow"/>
                <w:szCs w:val="22"/>
              </w:rPr>
              <w:t xml:space="preserve"> of Disease Control and Prevention</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Calibri"/>
                <w:color w:val="000000"/>
                <w:szCs w:val="22"/>
              </w:rPr>
            </w:pPr>
            <w:r w:rsidRPr="001E1CDD">
              <w:rPr>
                <w:rFonts w:asciiTheme="minorHAnsi" w:hAnsiTheme="minorHAnsi" w:cs="ArialNarrow"/>
                <w:szCs w:val="22"/>
              </w:rPr>
              <w:t>CHMP (CPMP)</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r w:rsidRPr="001E1CDD">
              <w:rPr>
                <w:rFonts w:asciiTheme="minorHAnsi" w:hAnsiTheme="minorHAnsi" w:cs="ArialNarrow"/>
                <w:szCs w:val="22"/>
              </w:rPr>
              <w:t>Committee for Medicinal Products for Human Use</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182466" w:rsidP="008F1442">
            <w:pPr>
              <w:autoSpaceDE w:val="0"/>
              <w:autoSpaceDN w:val="0"/>
              <w:adjustRightInd w:val="0"/>
              <w:spacing w:line="240" w:lineRule="auto"/>
              <w:rPr>
                <w:rFonts w:asciiTheme="minorHAnsi" w:hAnsiTheme="minorHAnsi" w:cs="ArialNarrow"/>
                <w:szCs w:val="22"/>
              </w:rPr>
            </w:pPr>
            <w:r>
              <w:rPr>
                <w:rFonts w:asciiTheme="minorHAnsi" w:hAnsiTheme="minorHAnsi" w:cs="ArialNarrow"/>
                <w:szCs w:val="22"/>
              </w:rPr>
              <w:t>CI</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2"/>
              </w:rPr>
            </w:pPr>
            <w:r w:rsidRPr="001E1CDD">
              <w:rPr>
                <w:rFonts w:asciiTheme="minorHAnsi" w:hAnsiTheme="minorHAnsi" w:cs="ArialNarrow"/>
                <w:szCs w:val="22"/>
              </w:rPr>
              <w:t>Confidence Interval</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FAS</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r w:rsidRPr="001E1CDD">
              <w:rPr>
                <w:rFonts w:asciiTheme="minorHAnsi" w:hAnsiTheme="minorHAnsi" w:cs="ArialNarrow"/>
                <w:szCs w:val="22"/>
              </w:rPr>
              <w:t>Full analysis sample</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Calibri"/>
                <w:color w:val="000000"/>
                <w:szCs w:val="22"/>
              </w:rPr>
            </w:pPr>
            <w:r w:rsidRPr="001E1CDD">
              <w:rPr>
                <w:rFonts w:asciiTheme="minorHAnsi" w:hAnsiTheme="minorHAnsi" w:cs="ArialNarrow"/>
                <w:szCs w:val="22"/>
              </w:rPr>
              <w:t>FDA</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r w:rsidRPr="001E1CDD">
              <w:rPr>
                <w:rFonts w:asciiTheme="minorHAnsi" w:hAnsiTheme="minorHAnsi" w:cs="ArialNarrow"/>
                <w:szCs w:val="22"/>
              </w:rPr>
              <w:t>Food and Drug Administration</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GBS</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proofErr w:type="spellStart"/>
            <w:r w:rsidRPr="001E1CDD">
              <w:rPr>
                <w:rFonts w:asciiTheme="minorHAnsi" w:hAnsiTheme="minorHAnsi" w:cs="ArialNarrow"/>
                <w:szCs w:val="22"/>
              </w:rPr>
              <w:t>Guillain</w:t>
            </w:r>
            <w:proofErr w:type="spellEnd"/>
            <w:r w:rsidRPr="001E1CDD">
              <w:rPr>
                <w:rFonts w:asciiTheme="minorHAnsi" w:hAnsiTheme="minorHAnsi" w:cs="ArialNarrow"/>
                <w:szCs w:val="22"/>
              </w:rPr>
              <w:t xml:space="preserve"> </w:t>
            </w:r>
            <w:proofErr w:type="spellStart"/>
            <w:r w:rsidRPr="001E1CDD">
              <w:rPr>
                <w:rFonts w:asciiTheme="minorHAnsi" w:hAnsiTheme="minorHAnsi" w:cs="ArialNarrow"/>
                <w:szCs w:val="22"/>
              </w:rPr>
              <w:t>Barré</w:t>
            </w:r>
            <w:proofErr w:type="spellEnd"/>
            <w:r w:rsidRPr="001E1CDD">
              <w:rPr>
                <w:rFonts w:asciiTheme="minorHAnsi" w:hAnsiTheme="minorHAnsi" w:cs="ArialNarrow"/>
                <w:szCs w:val="22"/>
              </w:rPr>
              <w:t xml:space="preserve"> syndrome</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Calibri"/>
                <w:color w:val="000000"/>
                <w:szCs w:val="22"/>
              </w:rPr>
            </w:pPr>
            <w:r w:rsidRPr="001E1CDD">
              <w:rPr>
                <w:rFonts w:asciiTheme="minorHAnsi" w:hAnsiTheme="minorHAnsi" w:cs="ArialNarrow"/>
                <w:szCs w:val="22"/>
              </w:rPr>
              <w:t>GCP</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r w:rsidRPr="001E1CDD">
              <w:rPr>
                <w:rFonts w:asciiTheme="minorHAnsi" w:hAnsiTheme="minorHAnsi" w:cs="ArialNarrow"/>
                <w:szCs w:val="22"/>
              </w:rPr>
              <w:t>Good Clinical Practice</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GMFIs</w:t>
            </w:r>
          </w:p>
        </w:tc>
        <w:tc>
          <w:tcPr>
            <w:tcW w:w="6627" w:type="dxa"/>
          </w:tcPr>
          <w:p w:rsidR="00D470CB" w:rsidRPr="001E1CDD" w:rsidRDefault="00182466"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r>
              <w:rPr>
                <w:rFonts w:asciiTheme="minorHAnsi" w:hAnsiTheme="minorHAnsi" w:cs="ArialNarrow"/>
                <w:szCs w:val="22"/>
              </w:rPr>
              <w:t>Geometric Mean Fold Increases</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GMR</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r w:rsidRPr="001E1CDD">
              <w:rPr>
                <w:rFonts w:asciiTheme="minorHAnsi" w:hAnsiTheme="minorHAnsi" w:cs="ArialNarrow"/>
                <w:szCs w:val="22"/>
              </w:rPr>
              <w:t>Geometric mean ratio</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Calibri"/>
                <w:szCs w:val="22"/>
              </w:rPr>
            </w:pPr>
            <w:r w:rsidRPr="001E1CDD">
              <w:rPr>
                <w:rFonts w:asciiTheme="minorHAnsi" w:hAnsiTheme="minorHAnsi" w:cs="ArialNarrow"/>
                <w:szCs w:val="22"/>
              </w:rPr>
              <w:t>GMTs</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r w:rsidRPr="001E1CDD">
              <w:rPr>
                <w:rFonts w:asciiTheme="minorHAnsi" w:hAnsiTheme="minorHAnsi" w:cs="ArialNarrow"/>
                <w:szCs w:val="22"/>
              </w:rPr>
              <w:t>Geometric Mean Titres</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Calibri"/>
                <w:szCs w:val="22"/>
              </w:rPr>
            </w:pPr>
            <w:proofErr w:type="spellStart"/>
            <w:r w:rsidRPr="001E1CDD">
              <w:rPr>
                <w:rFonts w:asciiTheme="minorHAnsi" w:hAnsiTheme="minorHAnsi" w:cs="Calibri"/>
                <w:szCs w:val="22"/>
              </w:rPr>
              <w:t>gp</w:t>
            </w:r>
            <w:proofErr w:type="spellEnd"/>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r w:rsidRPr="001E1CDD">
              <w:rPr>
                <w:rFonts w:asciiTheme="minorHAnsi" w:hAnsiTheme="minorHAnsi" w:cs="ArialNarrow"/>
                <w:szCs w:val="22"/>
              </w:rPr>
              <w:t>Group</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Calibri"/>
                <w:i/>
                <w:iCs/>
                <w:szCs w:val="22"/>
              </w:rPr>
            </w:pPr>
            <w:r w:rsidRPr="001E1CDD">
              <w:rPr>
                <w:rFonts w:asciiTheme="minorHAnsi" w:hAnsiTheme="minorHAnsi" w:cs="ArialNarrow"/>
                <w:szCs w:val="22"/>
              </w:rPr>
              <w:t>HA</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proofErr w:type="spellStart"/>
            <w:r w:rsidRPr="001E1CDD">
              <w:rPr>
                <w:rFonts w:asciiTheme="minorHAnsi" w:hAnsiTheme="minorHAnsi" w:cs="ArialNarrow"/>
                <w:szCs w:val="22"/>
              </w:rPr>
              <w:t>Haemagglutinin</w:t>
            </w:r>
            <w:proofErr w:type="spellEnd"/>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Calibri"/>
                <w:i/>
                <w:iCs/>
                <w:szCs w:val="22"/>
              </w:rPr>
            </w:pPr>
            <w:r w:rsidRPr="001E1CDD">
              <w:rPr>
                <w:rFonts w:asciiTheme="minorHAnsi" w:hAnsiTheme="minorHAnsi" w:cs="ArialNarrow"/>
                <w:szCs w:val="22"/>
              </w:rPr>
              <w:t>HAI or HI</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proofErr w:type="spellStart"/>
            <w:r w:rsidRPr="001E1CDD">
              <w:rPr>
                <w:rFonts w:asciiTheme="minorHAnsi" w:hAnsiTheme="minorHAnsi" w:cs="ArialNarrow"/>
                <w:szCs w:val="22"/>
              </w:rPr>
              <w:t>Haemagglutination</w:t>
            </w:r>
            <w:proofErr w:type="spellEnd"/>
            <w:r w:rsidRPr="001E1CDD">
              <w:rPr>
                <w:rFonts w:asciiTheme="minorHAnsi" w:hAnsiTheme="minorHAnsi" w:cs="ArialNarrow"/>
                <w:szCs w:val="22"/>
              </w:rPr>
              <w:t xml:space="preserve"> Inhibition</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IB</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r w:rsidRPr="001E1CDD">
              <w:rPr>
                <w:rFonts w:asciiTheme="minorHAnsi" w:hAnsiTheme="minorHAnsi" w:cs="ArialNarrow"/>
                <w:szCs w:val="22"/>
              </w:rPr>
              <w:t>Investigator Brochure</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ICH</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r w:rsidRPr="001E1CDD">
              <w:rPr>
                <w:rFonts w:asciiTheme="minorHAnsi" w:hAnsiTheme="minorHAnsi" w:cs="ArialNarrow"/>
                <w:szCs w:val="22"/>
              </w:rPr>
              <w:t>International Conference on Harmonization</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 xml:space="preserve">ILI </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2"/>
              </w:rPr>
            </w:pPr>
            <w:r w:rsidRPr="001E1CDD">
              <w:rPr>
                <w:rFonts w:asciiTheme="minorHAnsi" w:hAnsiTheme="minorHAnsi" w:cs="ArialNarrow"/>
                <w:szCs w:val="22"/>
              </w:rPr>
              <w:t>Influenza like Infection</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 xml:space="preserve">IM </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2"/>
              </w:rPr>
            </w:pPr>
            <w:r w:rsidRPr="001E1CDD">
              <w:rPr>
                <w:rFonts w:asciiTheme="minorHAnsi" w:hAnsiTheme="minorHAnsi" w:cs="ArialNarrow"/>
                <w:szCs w:val="22"/>
              </w:rPr>
              <w:t>Intramuscular</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ITT</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r w:rsidRPr="001E1CDD">
              <w:rPr>
                <w:rFonts w:asciiTheme="minorHAnsi" w:hAnsiTheme="minorHAnsi" w:cs="ArialNarrow"/>
                <w:szCs w:val="22"/>
              </w:rPr>
              <w:t>Intention to treat</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 xml:space="preserve">MEDRA </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2"/>
              </w:rPr>
            </w:pPr>
            <w:r w:rsidRPr="001E1CDD">
              <w:rPr>
                <w:rFonts w:asciiTheme="minorHAnsi" w:hAnsiTheme="minorHAnsi" w:cs="ArialNarrow"/>
                <w:szCs w:val="22"/>
              </w:rPr>
              <w:t>Medical Dictionary for Regulatory Activities</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ArialNarrow"/>
                <w:szCs w:val="22"/>
              </w:rPr>
            </w:pPr>
            <w:proofErr w:type="spellStart"/>
            <w:r w:rsidRPr="001E1CDD">
              <w:rPr>
                <w:rFonts w:asciiTheme="minorHAnsi" w:hAnsiTheme="minorHAnsi" w:cs="ArialNarrow"/>
                <w:szCs w:val="22"/>
              </w:rPr>
              <w:lastRenderedPageBreak/>
              <w:t>mth</w:t>
            </w:r>
            <w:proofErr w:type="spellEnd"/>
            <w:r w:rsidRPr="001E1CDD">
              <w:rPr>
                <w:rFonts w:asciiTheme="minorHAnsi" w:hAnsiTheme="minorHAnsi" w:cs="ArialNarrow"/>
                <w:szCs w:val="22"/>
              </w:rPr>
              <w:t>(s)</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r w:rsidRPr="001E1CDD">
              <w:rPr>
                <w:rFonts w:asciiTheme="minorHAnsi" w:hAnsiTheme="minorHAnsi" w:cs="ArialNarrow"/>
                <w:szCs w:val="22"/>
              </w:rPr>
              <w:t>month(s)</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NH</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r w:rsidRPr="001E1CDD">
              <w:rPr>
                <w:rFonts w:asciiTheme="minorHAnsi" w:hAnsiTheme="minorHAnsi" w:cs="ArialNarrow"/>
                <w:szCs w:val="22"/>
              </w:rPr>
              <w:t>Northern Hemisphere</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182466" w:rsidP="008F1442">
            <w:pPr>
              <w:autoSpaceDE w:val="0"/>
              <w:autoSpaceDN w:val="0"/>
              <w:adjustRightInd w:val="0"/>
              <w:spacing w:line="240" w:lineRule="auto"/>
              <w:rPr>
                <w:rFonts w:asciiTheme="minorHAnsi" w:hAnsiTheme="minorHAnsi" w:cs="ArialNarrow"/>
                <w:szCs w:val="22"/>
              </w:rPr>
            </w:pPr>
            <w:r>
              <w:rPr>
                <w:rFonts w:asciiTheme="minorHAnsi" w:hAnsiTheme="minorHAnsi" w:cs="ArialNarrow"/>
                <w:szCs w:val="22"/>
              </w:rPr>
              <w:t>PI</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r w:rsidRPr="001E1CDD">
              <w:rPr>
                <w:rFonts w:asciiTheme="minorHAnsi" w:hAnsiTheme="minorHAnsi" w:cs="ArialNarrow"/>
                <w:szCs w:val="22"/>
              </w:rPr>
              <w:t>Prescribing Information</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182466">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PI</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r w:rsidRPr="001E1CDD">
              <w:rPr>
                <w:rFonts w:asciiTheme="minorHAnsi" w:hAnsiTheme="minorHAnsi" w:cs="ArialNarrow"/>
                <w:szCs w:val="22"/>
              </w:rPr>
              <w:t>Pr</w:t>
            </w:r>
            <w:r>
              <w:rPr>
                <w:rFonts w:asciiTheme="minorHAnsi" w:hAnsiTheme="minorHAnsi" w:cs="ArialNarrow"/>
                <w:szCs w:val="22"/>
              </w:rPr>
              <w:t>oduct Information</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Calibri"/>
                <w:szCs w:val="22"/>
              </w:rPr>
            </w:pPr>
            <w:r w:rsidRPr="001E1CDD">
              <w:rPr>
                <w:rFonts w:asciiTheme="minorHAnsi" w:hAnsiTheme="minorHAnsi" w:cs="Calibri"/>
                <w:szCs w:val="22"/>
              </w:rPr>
              <w:t>PP</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r w:rsidRPr="001E1CDD">
              <w:rPr>
                <w:rFonts w:asciiTheme="minorHAnsi" w:hAnsiTheme="minorHAnsi" w:cs="ArialNarrow"/>
                <w:szCs w:val="22"/>
              </w:rPr>
              <w:t>Per protocol</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Calibri"/>
                <w:szCs w:val="22"/>
              </w:rPr>
            </w:pPr>
            <w:r w:rsidRPr="001E1CDD">
              <w:rPr>
                <w:rFonts w:asciiTheme="minorHAnsi" w:hAnsiTheme="minorHAnsi" w:cs="Calibri"/>
                <w:szCs w:val="22"/>
              </w:rPr>
              <w:t>PT</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E1CDD">
              <w:rPr>
                <w:rFonts w:asciiTheme="minorHAnsi" w:hAnsiTheme="minorHAnsi"/>
                <w:szCs w:val="22"/>
              </w:rPr>
              <w:t>Preferred Term</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Calibri"/>
                <w:szCs w:val="22"/>
              </w:rPr>
            </w:pPr>
            <w:r w:rsidRPr="001E1CDD">
              <w:rPr>
                <w:rFonts w:asciiTheme="minorHAnsi" w:hAnsiTheme="minorHAnsi" w:cs="Calibri"/>
                <w:szCs w:val="22"/>
              </w:rPr>
              <w:t>QIV</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proofErr w:type="spellStart"/>
            <w:r w:rsidRPr="001E1CDD">
              <w:rPr>
                <w:rFonts w:asciiTheme="minorHAnsi" w:hAnsiTheme="minorHAnsi"/>
                <w:szCs w:val="22"/>
              </w:rPr>
              <w:t>Quadrivalent</w:t>
            </w:r>
            <w:proofErr w:type="spellEnd"/>
            <w:r w:rsidRPr="001E1CDD">
              <w:rPr>
                <w:rFonts w:asciiTheme="minorHAnsi" w:hAnsiTheme="minorHAnsi"/>
                <w:szCs w:val="22"/>
              </w:rPr>
              <w:t xml:space="preserve"> inactivated Influenza Vaccine</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RMP</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r w:rsidRPr="001E1CDD">
              <w:rPr>
                <w:rFonts w:asciiTheme="minorHAnsi" w:hAnsiTheme="minorHAnsi" w:cs="ArialNarrow"/>
                <w:szCs w:val="22"/>
              </w:rPr>
              <w:t>Risk Management Plan</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182466">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SAE</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2"/>
              </w:rPr>
            </w:pPr>
            <w:r w:rsidRPr="001E1CDD">
              <w:rPr>
                <w:rFonts w:asciiTheme="minorHAnsi" w:hAnsiTheme="minorHAnsi" w:cs="ArialNarrow"/>
                <w:szCs w:val="22"/>
              </w:rPr>
              <w:t>Serious Adverse Event</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182466">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SCR</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Cs w:val="22"/>
              </w:rPr>
            </w:pPr>
            <w:r w:rsidRPr="001E1CDD">
              <w:rPr>
                <w:rFonts w:asciiTheme="minorHAnsi" w:hAnsiTheme="minorHAnsi" w:cs="ArialNarrow"/>
                <w:szCs w:val="22"/>
              </w:rPr>
              <w:t>Seroconversion Rate</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182466">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SCF</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222222"/>
                <w:szCs w:val="22"/>
              </w:rPr>
            </w:pPr>
            <w:r w:rsidRPr="001E1CDD">
              <w:rPr>
                <w:rFonts w:asciiTheme="minorHAnsi" w:hAnsiTheme="minorHAnsi" w:cs="ArialNarrow"/>
                <w:szCs w:val="22"/>
              </w:rPr>
              <w:t>Seroconversion Factor</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SD</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r w:rsidRPr="001E1CDD">
              <w:rPr>
                <w:rFonts w:asciiTheme="minorHAnsi" w:hAnsiTheme="minorHAnsi" w:cs="ArialNarrow"/>
                <w:szCs w:val="22"/>
              </w:rPr>
              <w:t>standard deviation</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SH</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r w:rsidRPr="001E1CDD">
              <w:rPr>
                <w:rFonts w:asciiTheme="minorHAnsi" w:hAnsiTheme="minorHAnsi" w:cs="ArialNarrow"/>
                <w:szCs w:val="22"/>
              </w:rPr>
              <w:t>Southern Hemisphere</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182466">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SOC</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222222"/>
                <w:szCs w:val="22"/>
              </w:rPr>
            </w:pPr>
            <w:r w:rsidRPr="001E1CDD">
              <w:rPr>
                <w:rFonts w:asciiTheme="minorHAnsi" w:hAnsiTheme="minorHAnsi" w:cs="ArialNarrow"/>
                <w:szCs w:val="22"/>
              </w:rPr>
              <w:t>System Organ Class</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Calibri"/>
                <w:color w:val="222222"/>
                <w:szCs w:val="22"/>
              </w:rPr>
            </w:pPr>
            <w:r w:rsidRPr="001E1CDD">
              <w:rPr>
                <w:rFonts w:asciiTheme="minorHAnsi" w:hAnsiTheme="minorHAnsi" w:cs="ArialNarrow"/>
                <w:szCs w:val="22"/>
              </w:rPr>
              <w:t>SPR</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proofErr w:type="spellStart"/>
            <w:r w:rsidRPr="001E1CDD">
              <w:rPr>
                <w:rFonts w:asciiTheme="minorHAnsi" w:hAnsiTheme="minorHAnsi" w:cs="ArialNarrow"/>
                <w:szCs w:val="22"/>
              </w:rPr>
              <w:t>Seroprotection</w:t>
            </w:r>
            <w:proofErr w:type="spellEnd"/>
            <w:r w:rsidRPr="001E1CDD">
              <w:rPr>
                <w:rFonts w:asciiTheme="minorHAnsi" w:hAnsiTheme="minorHAnsi" w:cs="ArialNarrow"/>
                <w:szCs w:val="22"/>
              </w:rPr>
              <w:t xml:space="preserve"> Rate</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eastAsia="TimesNewRoman" w:hAnsiTheme="minorHAnsi" w:cs="TimesNewRoman"/>
                <w:szCs w:val="22"/>
              </w:rPr>
            </w:pPr>
            <w:r w:rsidRPr="001E1CDD">
              <w:rPr>
                <w:rFonts w:asciiTheme="minorHAnsi" w:eastAsia="TimesNewRoman" w:hAnsiTheme="minorHAnsi" w:cs="TimesNewRoman"/>
                <w:szCs w:val="22"/>
              </w:rPr>
              <w:t>TDOC</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1E1CDD">
              <w:rPr>
                <w:rFonts w:asciiTheme="minorHAnsi" w:eastAsia="TimesNewRoman" w:hAnsiTheme="minorHAnsi" w:cs="TimesNewRoman"/>
                <w:szCs w:val="22"/>
              </w:rPr>
              <w:t xml:space="preserve">sodium </w:t>
            </w:r>
            <w:proofErr w:type="spellStart"/>
            <w:r w:rsidRPr="001E1CDD">
              <w:rPr>
                <w:rFonts w:asciiTheme="minorHAnsi" w:eastAsia="TimesNewRoman" w:hAnsiTheme="minorHAnsi" w:cs="TimesNewRoman"/>
                <w:szCs w:val="22"/>
              </w:rPr>
              <w:t>taurodeoxycholate</w:t>
            </w:r>
            <w:proofErr w:type="spellEnd"/>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Calibri"/>
                <w:color w:val="000000"/>
                <w:szCs w:val="22"/>
              </w:rPr>
            </w:pPr>
            <w:r w:rsidRPr="001E1CDD">
              <w:rPr>
                <w:rFonts w:asciiTheme="minorHAnsi" w:hAnsiTheme="minorHAnsi" w:cs="ArialNarrow"/>
                <w:szCs w:val="22"/>
              </w:rPr>
              <w:t>TIV</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r w:rsidRPr="001E1CDD">
              <w:rPr>
                <w:rFonts w:asciiTheme="minorHAnsi" w:hAnsiTheme="minorHAnsi" w:cs="ArialNarrow"/>
                <w:szCs w:val="22"/>
              </w:rPr>
              <w:t>Trivalent Inactivated Influenza Vaccine</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TRAE</w:t>
            </w:r>
          </w:p>
        </w:tc>
        <w:tc>
          <w:tcPr>
            <w:tcW w:w="6627" w:type="dxa"/>
          </w:tcPr>
          <w:p w:rsidR="00D470CB" w:rsidRPr="001E1CDD" w:rsidRDefault="00D470CB" w:rsidP="008F14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r w:rsidRPr="001E1CDD">
              <w:rPr>
                <w:rFonts w:asciiTheme="minorHAnsi" w:eastAsia="TimesNewRoman" w:hAnsiTheme="minorHAnsi" w:cs="TimesNewRoman"/>
                <w:szCs w:val="22"/>
              </w:rPr>
              <w:t>treatment-related adverse event</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ArialNarrow"/>
                <w:szCs w:val="22"/>
              </w:rPr>
            </w:pPr>
            <w:r w:rsidRPr="001E1CDD">
              <w:rPr>
                <w:rFonts w:asciiTheme="minorHAnsi" w:hAnsiTheme="minorHAnsi"/>
                <w:szCs w:val="22"/>
              </w:rPr>
              <w:t>VRBPAC</w:t>
            </w:r>
          </w:p>
        </w:tc>
        <w:tc>
          <w:tcPr>
            <w:tcW w:w="6627" w:type="dxa"/>
          </w:tcPr>
          <w:p w:rsidR="00D470CB" w:rsidRPr="001E1CDD" w:rsidRDefault="00D470CB" w:rsidP="008F144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Narrow"/>
                <w:szCs w:val="22"/>
              </w:rPr>
            </w:pPr>
            <w:r w:rsidRPr="001E1CDD">
              <w:rPr>
                <w:rFonts w:asciiTheme="minorHAnsi" w:hAnsiTheme="minorHAnsi"/>
                <w:szCs w:val="22"/>
              </w:rPr>
              <w:t>Vaccines and Related Biologi</w:t>
            </w:r>
            <w:r w:rsidR="00182466">
              <w:rPr>
                <w:rFonts w:asciiTheme="minorHAnsi" w:hAnsiTheme="minorHAnsi"/>
                <w:szCs w:val="22"/>
              </w:rPr>
              <w:t>cal Products Advisory Committee</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Calibri"/>
                <w:color w:val="000000"/>
                <w:szCs w:val="22"/>
              </w:rPr>
            </w:pPr>
            <w:r w:rsidRPr="001E1CDD">
              <w:rPr>
                <w:rFonts w:asciiTheme="minorHAnsi" w:hAnsiTheme="minorHAnsi" w:cs="ArialNarrow"/>
                <w:szCs w:val="22"/>
              </w:rPr>
              <w:t>WHO</w:t>
            </w:r>
          </w:p>
        </w:tc>
        <w:tc>
          <w:tcPr>
            <w:tcW w:w="6627" w:type="dxa"/>
          </w:tcPr>
          <w:p w:rsidR="00D470CB" w:rsidRPr="001E1CDD" w:rsidRDefault="00D470CB" w:rsidP="008F144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E1CDD">
              <w:rPr>
                <w:rFonts w:asciiTheme="minorHAnsi" w:hAnsiTheme="minorHAnsi" w:cs="ArialNarrow"/>
                <w:szCs w:val="22"/>
              </w:rPr>
              <w:t>World Health Organi</w:t>
            </w:r>
            <w:r>
              <w:rPr>
                <w:rFonts w:asciiTheme="minorHAnsi" w:hAnsiTheme="minorHAnsi" w:cs="ArialNarrow"/>
                <w:szCs w:val="22"/>
              </w:rPr>
              <w:t>z</w:t>
            </w:r>
            <w:r w:rsidRPr="001E1CDD">
              <w:rPr>
                <w:rFonts w:asciiTheme="minorHAnsi" w:hAnsiTheme="minorHAnsi" w:cs="ArialNarrow"/>
                <w:szCs w:val="22"/>
              </w:rPr>
              <w:t>ation</w:t>
            </w:r>
          </w:p>
        </w:tc>
      </w:tr>
      <w:tr w:rsidR="00D470CB" w:rsidRPr="001E1CDD" w:rsidTr="00182466">
        <w:tc>
          <w:tcPr>
            <w:cnfStyle w:val="001000000000" w:firstRow="0" w:lastRow="0" w:firstColumn="1" w:lastColumn="0" w:oddVBand="0" w:evenVBand="0" w:oddHBand="0" w:evenHBand="0" w:firstRowFirstColumn="0" w:firstRowLastColumn="0" w:lastRowFirstColumn="0" w:lastRowLastColumn="0"/>
            <w:tcW w:w="2093" w:type="dxa"/>
          </w:tcPr>
          <w:p w:rsidR="00D470CB" w:rsidRPr="001E1CDD" w:rsidRDefault="00D470CB" w:rsidP="008F1442">
            <w:pPr>
              <w:autoSpaceDE w:val="0"/>
              <w:autoSpaceDN w:val="0"/>
              <w:adjustRightInd w:val="0"/>
              <w:spacing w:line="240" w:lineRule="auto"/>
              <w:rPr>
                <w:rFonts w:asciiTheme="minorHAnsi" w:hAnsiTheme="minorHAnsi" w:cs="Calibri"/>
                <w:color w:val="000000"/>
                <w:szCs w:val="22"/>
              </w:rPr>
            </w:pPr>
            <w:proofErr w:type="spellStart"/>
            <w:r w:rsidRPr="001E1CDD">
              <w:rPr>
                <w:rFonts w:asciiTheme="minorHAnsi" w:hAnsiTheme="minorHAnsi" w:cs="Calibri"/>
                <w:color w:val="000000"/>
                <w:szCs w:val="22"/>
              </w:rPr>
              <w:t>yrs</w:t>
            </w:r>
            <w:proofErr w:type="spellEnd"/>
          </w:p>
        </w:tc>
        <w:tc>
          <w:tcPr>
            <w:tcW w:w="6627" w:type="dxa"/>
          </w:tcPr>
          <w:p w:rsidR="00D470CB" w:rsidRPr="001E1CDD" w:rsidRDefault="00D470CB" w:rsidP="008F144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E1CDD">
              <w:rPr>
                <w:rFonts w:asciiTheme="minorHAnsi" w:hAnsiTheme="minorHAnsi"/>
                <w:szCs w:val="22"/>
              </w:rPr>
              <w:t>years</w:t>
            </w:r>
          </w:p>
        </w:tc>
      </w:tr>
    </w:tbl>
    <w:p w:rsidR="00182466" w:rsidRDefault="00182466" w:rsidP="00D470CB">
      <w:pPr>
        <w:sectPr w:rsidR="00182466" w:rsidSect="008D770F">
          <w:pgSz w:w="11906" w:h="16838" w:code="9"/>
          <w:pgMar w:top="1440" w:right="1440" w:bottom="1440" w:left="1440" w:header="907" w:footer="216" w:gutter="0"/>
          <w:cols w:space="708"/>
          <w:docGrid w:linePitch="360"/>
        </w:sectPr>
      </w:pPr>
      <w:bookmarkStart w:id="6" w:name="_Toc351718900"/>
      <w:bookmarkStart w:id="7" w:name="_Toc355338635"/>
    </w:p>
    <w:p w:rsidR="00D470CB" w:rsidRDefault="00D470CB" w:rsidP="00D470CB">
      <w:pPr>
        <w:pStyle w:val="Heading2"/>
      </w:pPr>
      <w:bookmarkStart w:id="8" w:name="_Toc521411057"/>
      <w:bookmarkStart w:id="9" w:name="_Toc535416837"/>
      <w:r>
        <w:lastRenderedPageBreak/>
        <w:t>Submission details</w:t>
      </w:r>
      <w:bookmarkEnd w:id="8"/>
      <w:bookmarkEnd w:id="9"/>
    </w:p>
    <w:p w:rsidR="00D470CB" w:rsidRDefault="00D470CB" w:rsidP="00D470CB">
      <w:pPr>
        <w:pStyle w:val="Heading3"/>
      </w:pPr>
      <w:bookmarkStart w:id="10" w:name="_Toc521411058"/>
      <w:bookmarkStart w:id="11" w:name="_Toc535416838"/>
      <w:r>
        <w:t>Submission type</w:t>
      </w:r>
      <w:bookmarkEnd w:id="10"/>
      <w:bookmarkEnd w:id="11"/>
    </w:p>
    <w:p w:rsidR="00D470CB" w:rsidRPr="00AF4CB2" w:rsidRDefault="00D470CB" w:rsidP="00D470CB">
      <w:r w:rsidRPr="00AF4CB2">
        <w:t xml:space="preserve">The application for the registration of </w:t>
      </w:r>
      <w:proofErr w:type="spellStart"/>
      <w:r w:rsidRPr="00AF4CB2">
        <w:t>Seqirus</w:t>
      </w:r>
      <w:proofErr w:type="spellEnd"/>
      <w:r w:rsidRPr="00AF4CB2">
        <w:t xml:space="preserve">’ (previously named bioCSL) inactivated </w:t>
      </w:r>
      <w:proofErr w:type="spellStart"/>
      <w:r w:rsidRPr="00AF4CB2">
        <w:t>Quadrivalent</w:t>
      </w:r>
      <w:proofErr w:type="spellEnd"/>
      <w:r w:rsidRPr="00AF4CB2">
        <w:t xml:space="preserve"> </w:t>
      </w:r>
      <w:r>
        <w:t>Influenza Vaccine (Afluria Quad</w:t>
      </w:r>
      <w:r w:rsidRPr="00AF4CB2">
        <w:t xml:space="preserve">) for use in adults </w:t>
      </w:r>
      <w:r w:rsidR="008B267C">
        <w:t xml:space="preserve">that are </w:t>
      </w:r>
      <w:r w:rsidRPr="00AF4CB2">
        <w:t xml:space="preserve">≥18 years was submitted to TGA 6 October 2015 and approved 15 July 2016 (AUST R 262428). This application (PM-2016-03542-1-2) seeks to </w:t>
      </w:r>
      <w:r w:rsidRPr="00AF4CB2">
        <w:rPr>
          <w:lang w:eastAsia="ja-JP"/>
        </w:rPr>
        <w:t xml:space="preserve">register </w:t>
      </w:r>
      <w:r w:rsidRPr="00AF4CB2">
        <w:rPr>
          <w:rFonts w:cs="Calibri"/>
        </w:rPr>
        <w:t xml:space="preserve">Afluria Quad </w:t>
      </w:r>
      <w:r w:rsidRPr="00AF4CB2">
        <w:rPr>
          <w:lang w:eastAsia="ja-JP"/>
        </w:rPr>
        <w:t>(</w:t>
      </w:r>
      <w:r w:rsidRPr="00AF4CB2">
        <w:t>extension on indication</w:t>
      </w:r>
      <w:r w:rsidRPr="00AF4CB2">
        <w:rPr>
          <w:lang w:eastAsia="ja-JP"/>
        </w:rPr>
        <w:t xml:space="preserve">) </w:t>
      </w:r>
      <w:r w:rsidRPr="00AF4CB2">
        <w:t xml:space="preserve">for the proposed indication of active immunisation against influenza disease caused by influenza virus subtypes A and type B present in the vaccine, in persons ≥5 years of age </w:t>
      </w:r>
      <w:r w:rsidR="008F1442">
        <w:t>that is,</w:t>
      </w:r>
      <w:r w:rsidRPr="00AF4CB2">
        <w:t xml:space="preserve"> extend the indication to the age </w:t>
      </w:r>
      <w:proofErr w:type="spellStart"/>
      <w:r w:rsidRPr="00AF4CB2">
        <w:t>gp</w:t>
      </w:r>
      <w:proofErr w:type="spellEnd"/>
      <w:r w:rsidRPr="00AF4CB2">
        <w:t xml:space="preserve"> 5-17 years of age.</w:t>
      </w:r>
    </w:p>
    <w:p w:rsidR="00182466" w:rsidRDefault="00D470CB" w:rsidP="00D470CB">
      <w:r w:rsidRPr="00AF4CB2">
        <w:t>The suspension for injection includes four inactivated, split influenza virus strains (15/15/15/15</w:t>
      </w:r>
      <w:r>
        <w:t>µ</w:t>
      </w:r>
      <w:r w:rsidRPr="00AF4CB2">
        <w:t>g (total 60</w:t>
      </w:r>
      <w:r w:rsidRPr="00AF4CB2">
        <w:sym w:font="Symbol" w:char="F06D"/>
      </w:r>
      <w:r w:rsidRPr="00AF4CB2">
        <w:t xml:space="preserve">g)) per 0.5 mL, </w:t>
      </w:r>
      <w:r w:rsidRPr="00AF4CB2">
        <w:rPr>
          <w:rFonts w:cs="Arial"/>
        </w:rPr>
        <w:t>suspension for injection, pre-filled Syringe</w:t>
      </w:r>
      <w:r w:rsidRPr="00AF4CB2">
        <w:t>), two type A strain subtypes and two type B strains from separate lineages as recommended by the Australian Influenza Vaccine Committee for that season</w:t>
      </w:r>
      <w:r w:rsidR="00182466">
        <w:t>.</w:t>
      </w:r>
    </w:p>
    <w:p w:rsidR="00D470CB" w:rsidRPr="00AF4CB2" w:rsidRDefault="00D470CB" w:rsidP="00D470CB">
      <w:pPr>
        <w:rPr>
          <w:rFonts w:cs="Arial"/>
        </w:rPr>
      </w:pPr>
      <w:r w:rsidRPr="00AF4CB2">
        <w:t xml:space="preserve">This dossier includes a pivotal Phase </w:t>
      </w:r>
      <w:r>
        <w:t>III</w:t>
      </w:r>
      <w:r w:rsidRPr="00AF4CB2">
        <w:t xml:space="preserve"> randomised, multicentre, double blinded study to evaluate the immunogenicity and safety of Afluria Quad in comparison with a US-licensed </w:t>
      </w:r>
      <w:proofErr w:type="spellStart"/>
      <w:r w:rsidRPr="00AF4CB2">
        <w:t>Quadrivalent</w:t>
      </w:r>
      <w:proofErr w:type="spellEnd"/>
      <w:r w:rsidRPr="00AF4CB2">
        <w:t xml:space="preserve"> Influenza Vaccine (QIV) comparator (</w:t>
      </w:r>
      <w:proofErr w:type="spellStart"/>
      <w:r w:rsidRPr="00AF4CB2">
        <w:t>Fluarix</w:t>
      </w:r>
      <w:proofErr w:type="spellEnd"/>
      <w:r w:rsidRPr="00AF4CB2">
        <w:t xml:space="preserve"> </w:t>
      </w:r>
      <w:proofErr w:type="spellStart"/>
      <w:r w:rsidRPr="00AF4CB2">
        <w:t>Quadrivalent</w:t>
      </w:r>
      <w:proofErr w:type="spellEnd"/>
      <w:r w:rsidRPr="00AF4CB2">
        <w:t>, GSK) in persons 5 to &lt;18 years (Study CSLCT-QIV-13-02). The US licensed comparator QIV (</w:t>
      </w:r>
      <w:proofErr w:type="spellStart"/>
      <w:r w:rsidRPr="00AF4CB2">
        <w:t>Fluarix</w:t>
      </w:r>
      <w:proofErr w:type="spellEnd"/>
      <w:r w:rsidRPr="00AF4CB2">
        <w:t xml:space="preserve"> </w:t>
      </w:r>
      <w:proofErr w:type="spellStart"/>
      <w:r w:rsidRPr="00AF4CB2">
        <w:t>Quadrivalent</w:t>
      </w:r>
      <w:proofErr w:type="spellEnd"/>
      <w:r w:rsidRPr="00AF4CB2">
        <w:t>, GlaxoSmithKline Vaccines) used, has been registered in Australia (</w:t>
      </w:r>
      <w:proofErr w:type="spellStart"/>
      <w:r w:rsidRPr="00AF4CB2">
        <w:t>Fluarix</w:t>
      </w:r>
      <w:proofErr w:type="spellEnd"/>
      <w:r w:rsidRPr="00AF4CB2">
        <w:t xml:space="preserve"> Tetra).</w:t>
      </w:r>
    </w:p>
    <w:p w:rsidR="00D470CB" w:rsidRPr="00AF4CB2" w:rsidRDefault="00D470CB" w:rsidP="00D470CB">
      <w:pPr>
        <w:rPr>
          <w:rFonts w:cs="Calibri"/>
        </w:rPr>
      </w:pPr>
      <w:r w:rsidRPr="00AF4CB2">
        <w:t xml:space="preserve">In addition, one supporting clinical study report (Study CSLCT-USF-10-69) was submitted, this study evaluated the safety and tolerability of </w:t>
      </w:r>
      <w:proofErr w:type="spellStart"/>
      <w:r w:rsidRPr="00AF4CB2">
        <w:t>Seqirus</w:t>
      </w:r>
      <w:proofErr w:type="spellEnd"/>
      <w:r w:rsidRPr="00AF4CB2">
        <w:t>’ trivalent Influenza Vaccine (TIV) in children 5 to &lt;</w:t>
      </w:r>
      <w:r>
        <w:t>9 years of age</w:t>
      </w:r>
      <w:r w:rsidRPr="00AF4CB2">
        <w:t>.</w:t>
      </w:r>
      <w:r w:rsidRPr="00AF4CB2">
        <w:rPr>
          <w:rFonts w:cs="Calibri"/>
        </w:rPr>
        <w:t xml:space="preserve"> </w:t>
      </w:r>
      <w:r>
        <w:rPr>
          <w:rFonts w:cs="Calibri"/>
        </w:rPr>
        <w:t>Also contained is</w:t>
      </w:r>
      <w:r w:rsidRPr="00AF4CB2">
        <w:rPr>
          <w:rFonts w:cs="Calibri"/>
        </w:rPr>
        <w:t xml:space="preserve"> an Addendum to the study report from the pivotal clinical trial with QIV in adults aged 18 years and older, Study </w:t>
      </w:r>
      <w:r w:rsidRPr="00AF4CB2">
        <w:rPr>
          <w:rFonts w:eastAsia="Calibri,Bold" w:cs="Calibri,Bold"/>
          <w:bCs/>
        </w:rPr>
        <w:t>CSLCT-QIV-13-01</w:t>
      </w:r>
      <w:r w:rsidRPr="00AF4CB2">
        <w:rPr>
          <w:rFonts w:cs="Calibri"/>
        </w:rPr>
        <w:t>.</w:t>
      </w:r>
    </w:p>
    <w:p w:rsidR="00D470CB" w:rsidRPr="00AF4CB2" w:rsidRDefault="00D470CB" w:rsidP="00D470CB">
      <w:pPr>
        <w:rPr>
          <w:rFonts w:cs="Calibri"/>
        </w:rPr>
      </w:pPr>
      <w:r w:rsidRPr="00AF4CB2">
        <w:rPr>
          <w:rFonts w:cs="Calibri"/>
        </w:rPr>
        <w:t xml:space="preserve">The 2010 formulation of </w:t>
      </w:r>
      <w:proofErr w:type="spellStart"/>
      <w:r w:rsidRPr="00AF4CB2">
        <w:rPr>
          <w:rFonts w:cs="Calibri"/>
        </w:rPr>
        <w:t>Fluvax</w:t>
      </w:r>
      <w:proofErr w:type="spellEnd"/>
      <w:r w:rsidRPr="00AF4CB2">
        <w:rPr>
          <w:rFonts w:cs="Calibri"/>
        </w:rPr>
        <w:t xml:space="preserve"> trivalent influenza vaccine (manufactured by </w:t>
      </w:r>
      <w:proofErr w:type="spellStart"/>
      <w:r w:rsidRPr="00AF4CB2">
        <w:rPr>
          <w:rFonts w:cs="Calibri"/>
        </w:rPr>
        <w:t>Seqirus</w:t>
      </w:r>
      <w:proofErr w:type="spellEnd"/>
      <w:r w:rsidRPr="00AF4CB2">
        <w:rPr>
          <w:rFonts w:cs="Calibri"/>
        </w:rPr>
        <w:t xml:space="preserve"> Pty Ltd) was associated with increased reports of febrile convulsions in children younger than 5 years. In order to provide background and context regarding the current application to seek the paediatric indication of 5 to &lt;18 years, information relating to the use of </w:t>
      </w:r>
      <w:proofErr w:type="spellStart"/>
      <w:r w:rsidRPr="00AF4CB2">
        <w:rPr>
          <w:rFonts w:cs="Calibri"/>
        </w:rPr>
        <w:t>Seqirus’s</w:t>
      </w:r>
      <w:proofErr w:type="spellEnd"/>
      <w:r w:rsidRPr="00AF4CB2">
        <w:rPr>
          <w:rFonts w:cs="Calibri"/>
        </w:rPr>
        <w:t xml:space="preserve"> TIV in children has been included: A summary of the 2010 Southern Hemisphere reports of fever and febrile seizures in children receiving TIV in Australia and New Zealand and the company’s scientific investigations into these adverse events; Results from the Phase </w:t>
      </w:r>
      <w:r>
        <w:rPr>
          <w:rFonts w:cs="Calibri"/>
        </w:rPr>
        <w:t>IV</w:t>
      </w:r>
      <w:r w:rsidRPr="00AF4CB2">
        <w:rPr>
          <w:rFonts w:cs="Calibri"/>
        </w:rPr>
        <w:t xml:space="preserve"> safety and tolerability study in children aged 5 to &lt;9 years receiving TIV manufactured with the B strain split with 1.5% w/v TDOC (CSLCT-USF-10-69); A summary of results from earlier historical clinical safety studies in children aged 6 months to &lt;18 years receiving TIV.</w:t>
      </w:r>
    </w:p>
    <w:p w:rsidR="00D470CB" w:rsidRPr="00AF4CB2" w:rsidRDefault="00D470CB" w:rsidP="00D470CB">
      <w:pPr>
        <w:rPr>
          <w:rFonts w:cs="Calibri"/>
        </w:rPr>
      </w:pPr>
      <w:r w:rsidRPr="00AF4CB2">
        <w:rPr>
          <w:rFonts w:cs="Calibri"/>
        </w:rPr>
        <w:t>Subsequent to the submission of the Pre-submission Planning Form, the sponsorship of Afluria Quad w</w:t>
      </w:r>
      <w:r>
        <w:rPr>
          <w:rFonts w:cs="Calibri"/>
        </w:rPr>
        <w:t xml:space="preserve">as transferred from CSL Limited to </w:t>
      </w:r>
      <w:proofErr w:type="spellStart"/>
      <w:r>
        <w:rPr>
          <w:rFonts w:cs="Calibri"/>
        </w:rPr>
        <w:t>Seqirus</w:t>
      </w:r>
      <w:proofErr w:type="spellEnd"/>
      <w:r>
        <w:rPr>
          <w:rFonts w:cs="Calibri"/>
        </w:rPr>
        <w:t xml:space="preserve"> Pty Ltd</w:t>
      </w:r>
      <w:r w:rsidRPr="00AF4CB2">
        <w:rPr>
          <w:rFonts w:cs="Calibri"/>
        </w:rPr>
        <w:t xml:space="preserve">. A notification of change to sponsorship was submitted to TGA on 10 October 2016. At the time of this submission </w:t>
      </w:r>
      <w:r>
        <w:rPr>
          <w:rFonts w:cs="Calibri"/>
        </w:rPr>
        <w:t>the sponsor</w:t>
      </w:r>
      <w:r w:rsidRPr="00AF4CB2">
        <w:rPr>
          <w:rFonts w:cs="Calibri"/>
        </w:rPr>
        <w:t xml:space="preserve"> listed in the ARTG entry for Afluria Quad (AUST R 262428) had not yet been updated.</w:t>
      </w:r>
    </w:p>
    <w:p w:rsidR="00D470CB" w:rsidRDefault="00D470CB" w:rsidP="0017010A">
      <w:pPr>
        <w:pStyle w:val="Heading3"/>
      </w:pPr>
      <w:bookmarkStart w:id="12" w:name="_Toc521411059"/>
      <w:bookmarkStart w:id="13" w:name="_Toc535416839"/>
      <w:r>
        <w:t>Drug class and therapeutic indication</w:t>
      </w:r>
      <w:bookmarkEnd w:id="12"/>
      <w:bookmarkEnd w:id="13"/>
    </w:p>
    <w:p w:rsidR="00D470CB" w:rsidRPr="0037430C" w:rsidRDefault="00D470CB" w:rsidP="00D470CB">
      <w:r w:rsidRPr="0037430C">
        <w:t xml:space="preserve">This is an inactivated </w:t>
      </w:r>
      <w:proofErr w:type="spellStart"/>
      <w:r w:rsidRPr="0037430C">
        <w:t>quadrivalent</w:t>
      </w:r>
      <w:proofErr w:type="spellEnd"/>
      <w:r w:rsidRPr="0037430C">
        <w:t xml:space="preserve"> influenza vaccine containing influenza </w:t>
      </w:r>
      <w:proofErr w:type="spellStart"/>
      <w:r w:rsidRPr="0037430C">
        <w:t>haemagglutinin</w:t>
      </w:r>
      <w:proofErr w:type="spellEnd"/>
      <w:r w:rsidRPr="0037430C">
        <w:t xml:space="preserve"> antigens: Type </w:t>
      </w:r>
      <w:proofErr w:type="gramStart"/>
      <w:r w:rsidRPr="0037430C">
        <w:t>A</w:t>
      </w:r>
      <w:proofErr w:type="gramEnd"/>
      <w:r w:rsidRPr="0037430C">
        <w:t xml:space="preserve"> (H1N1)-like virus; Type A (H3N2)-like virus; Type B (Victoria lineage) and Type B (Yamagata lineage). The potency of the vaccine is expressed as the concentration of HA antigen, although neuraminidase antigen is also present. The target concentration is 15 mcg HA per strain.</w:t>
      </w:r>
    </w:p>
    <w:p w:rsidR="00D470CB" w:rsidRDefault="00D470CB" w:rsidP="00D470CB">
      <w:pPr>
        <w:pStyle w:val="Heading3"/>
      </w:pPr>
      <w:bookmarkStart w:id="14" w:name="_Toc521411060"/>
      <w:bookmarkStart w:id="15" w:name="_Toc535416840"/>
      <w:r>
        <w:lastRenderedPageBreak/>
        <w:t>Dosage forms and strengths</w:t>
      </w:r>
      <w:bookmarkEnd w:id="14"/>
      <w:bookmarkEnd w:id="15"/>
    </w:p>
    <w:p w:rsidR="00D470CB" w:rsidRPr="00874F55" w:rsidRDefault="00D470CB" w:rsidP="00D470CB">
      <w:pPr>
        <w:rPr>
          <w:rFonts w:asciiTheme="minorHAnsi" w:hAnsiTheme="minorHAnsi" w:cs="ArialMT"/>
        </w:rPr>
      </w:pPr>
      <w:r w:rsidRPr="00874F55">
        <w:t xml:space="preserve">Afluria Quad is a </w:t>
      </w:r>
      <w:proofErr w:type="spellStart"/>
      <w:r w:rsidRPr="00874F55">
        <w:t>quadrivalent</w:t>
      </w:r>
      <w:proofErr w:type="spellEnd"/>
      <w:r w:rsidRPr="00874F55">
        <w:t xml:space="preserve"> influenza vaccine (split </w:t>
      </w:r>
      <w:proofErr w:type="spellStart"/>
      <w:r w:rsidRPr="00874F55">
        <w:t>virion</w:t>
      </w:r>
      <w:proofErr w:type="spellEnd"/>
      <w:r w:rsidRPr="00874F55">
        <w:t>, inactivated) consisting</w:t>
      </w:r>
      <w:r>
        <w:t xml:space="preserve"> </w:t>
      </w:r>
      <w:r w:rsidRPr="00874F55">
        <w:t xml:space="preserve">of a clear, aqueous suspension packed in pre-filled syringes each containing 0.5 </w:t>
      </w:r>
      <w:proofErr w:type="spellStart"/>
      <w:r w:rsidRPr="00874F55">
        <w:t>mL.</w:t>
      </w:r>
      <w:proofErr w:type="spellEnd"/>
      <w:r w:rsidRPr="00874F55">
        <w:t xml:space="preserve"> The vaccine</w:t>
      </w:r>
      <w:r>
        <w:t xml:space="preserve"> </w:t>
      </w:r>
      <w:r w:rsidRPr="00874F55">
        <w:t>contains predominantly HA of four strains (2 x ‘A’; 2 x ‘B’) of influenza virus.</w:t>
      </w:r>
    </w:p>
    <w:p w:rsidR="00D470CB" w:rsidRPr="00874F55" w:rsidRDefault="00D470CB" w:rsidP="00D470CB">
      <w:pPr>
        <w:pStyle w:val="Heading3"/>
      </w:pPr>
      <w:bookmarkStart w:id="16" w:name="_Toc521411061"/>
      <w:bookmarkStart w:id="17" w:name="_Toc535416841"/>
      <w:r w:rsidRPr="00874F55">
        <w:t>Dosage and administration</w:t>
      </w:r>
      <w:bookmarkEnd w:id="16"/>
      <w:bookmarkEnd w:id="17"/>
    </w:p>
    <w:p w:rsidR="00D470CB" w:rsidRDefault="00D470CB" w:rsidP="00D470CB">
      <w:r w:rsidRPr="00874F55">
        <w:rPr>
          <w:rFonts w:cs="ArialMT"/>
        </w:rPr>
        <w:t xml:space="preserve">Single 0.5mL dose annually intramuscularly (IM), or by deep subcutaneous injection, </w:t>
      </w:r>
      <w:r w:rsidRPr="00874F55">
        <w:t>for the prevention of influenza caused by Influenza Virus, Types A and B in persons aged ≥5 yrs.</w:t>
      </w:r>
      <w:r w:rsidRPr="006C7C19">
        <w:t xml:space="preserve"> </w:t>
      </w:r>
      <w:r w:rsidRPr="0031700C">
        <w:t>Previously unvaccinated children 5 to &lt; 9 years of age should be given 2 doses at least 4 weeks apart</w:t>
      </w:r>
      <w:r>
        <w:t>.</w:t>
      </w:r>
    </w:p>
    <w:p w:rsidR="00D470CB" w:rsidRDefault="00D470CB" w:rsidP="00D470CB">
      <w:pPr>
        <w:pStyle w:val="Heading2"/>
      </w:pPr>
      <w:bookmarkStart w:id="18" w:name="_Toc521411062"/>
      <w:bookmarkStart w:id="19" w:name="_Toc535416842"/>
      <w:r>
        <w:t>Background</w:t>
      </w:r>
      <w:bookmarkEnd w:id="18"/>
      <w:bookmarkEnd w:id="19"/>
    </w:p>
    <w:p w:rsidR="00D470CB" w:rsidRDefault="00D470CB" w:rsidP="00D470CB">
      <w:pPr>
        <w:pStyle w:val="Heading3"/>
      </w:pPr>
      <w:bookmarkStart w:id="20" w:name="_Toc521411063"/>
      <w:bookmarkStart w:id="21" w:name="_Toc535416843"/>
      <w:r w:rsidRPr="00E709B3">
        <w:t>Information on the condition being treated</w:t>
      </w:r>
      <w:bookmarkEnd w:id="20"/>
      <w:bookmarkEnd w:id="21"/>
    </w:p>
    <w:p w:rsidR="00182466" w:rsidRDefault="00D470CB" w:rsidP="00D470CB">
      <w:pPr>
        <w:rPr>
          <w:rFonts w:cs="TimesNewRoman"/>
        </w:rPr>
      </w:pPr>
      <w:r>
        <w:t xml:space="preserve">Influenza, </w:t>
      </w:r>
      <w:r w:rsidRPr="005B0AF4">
        <w:t xml:space="preserve">a respiratory </w:t>
      </w:r>
      <w:proofErr w:type="spellStart"/>
      <w:r w:rsidRPr="005B0AF4">
        <w:t>orthomyxovirus</w:t>
      </w:r>
      <w:proofErr w:type="spellEnd"/>
      <w:r w:rsidRPr="005B0AF4">
        <w:t>, is a seasonal in</w:t>
      </w:r>
      <w:r>
        <w:t xml:space="preserve">fectious disease that occurs in </w:t>
      </w:r>
      <w:r w:rsidRPr="005B0AF4">
        <w:t>epidemics throughout the northern and southern hemisphere</w:t>
      </w:r>
      <w:r>
        <w:t xml:space="preserve"> </w:t>
      </w:r>
      <w:r w:rsidRPr="005B0AF4">
        <w:t xml:space="preserve">winter months, and leads to considerable morbidity and mortality globally in all age </w:t>
      </w:r>
      <w:r w:rsidR="008B267C">
        <w:t>groups</w:t>
      </w:r>
      <w:r w:rsidRPr="005B0AF4">
        <w:t xml:space="preserve">. </w:t>
      </w:r>
      <w:r w:rsidRPr="005B0AF4">
        <w:rPr>
          <w:rFonts w:cs="TimesNewRoman"/>
        </w:rPr>
        <w:t xml:space="preserve">In general, influenza </w:t>
      </w:r>
      <w:r>
        <w:rPr>
          <w:rFonts w:cs="TimesNewRoman"/>
        </w:rPr>
        <w:t>resolves</w:t>
      </w:r>
      <w:r w:rsidRPr="005B0AF4">
        <w:rPr>
          <w:rFonts w:cs="TimesNewRoman"/>
        </w:rPr>
        <w:t xml:space="preserve"> within two to seven days, although symptoms of coug</w:t>
      </w:r>
      <w:r>
        <w:rPr>
          <w:rFonts w:cs="TimesNewRoman"/>
        </w:rPr>
        <w:t xml:space="preserve">h and malaise may be prolonged. </w:t>
      </w:r>
      <w:r w:rsidRPr="005B0AF4">
        <w:rPr>
          <w:rFonts w:cs="TimesNewRoman"/>
        </w:rPr>
        <w:t xml:space="preserve">However, for some population </w:t>
      </w:r>
      <w:r w:rsidR="008B267C">
        <w:rPr>
          <w:rFonts w:cs="TimesNewRoman"/>
        </w:rPr>
        <w:t>groups</w:t>
      </w:r>
      <w:r w:rsidRPr="005B0AF4">
        <w:rPr>
          <w:rFonts w:cs="TimesNewRoman"/>
        </w:rPr>
        <w:t xml:space="preserve">, notably the elderly </w:t>
      </w:r>
      <w:r>
        <w:rPr>
          <w:rFonts w:cs="TimesNewRoman"/>
        </w:rPr>
        <w:t xml:space="preserve">and those with chronic diseases </w:t>
      </w:r>
      <w:r w:rsidRPr="005B0AF4">
        <w:rPr>
          <w:rFonts w:cs="TimesNewRoman"/>
        </w:rPr>
        <w:t>influenza can exacerbate underlying medical conditions and/or lead to secondar</w:t>
      </w:r>
      <w:r>
        <w:rPr>
          <w:rFonts w:cs="TimesNewRoman"/>
        </w:rPr>
        <w:t>y viral or bacterial pneumonia (</w:t>
      </w:r>
      <w:r w:rsidRPr="00A92062">
        <w:rPr>
          <w:rFonts w:cs="TimesNewRoman"/>
        </w:rPr>
        <w:t>Fiore; Rothberg</w:t>
      </w:r>
      <w:r w:rsidRPr="005B0AF4">
        <w:rPr>
          <w:rFonts w:cs="TimesNewRoman"/>
        </w:rPr>
        <w:t>). During influenza epidemics, there is an increased mortality risk</w:t>
      </w:r>
      <w:r>
        <w:rPr>
          <w:rFonts w:cs="TimesNewRoman"/>
        </w:rPr>
        <w:t xml:space="preserve"> among older adults (age &gt;</w:t>
      </w:r>
      <w:r w:rsidRPr="005B0AF4">
        <w:rPr>
          <w:rFonts w:cs="TimesNewRoman"/>
        </w:rPr>
        <w:t xml:space="preserve">65 </w:t>
      </w:r>
      <w:proofErr w:type="spellStart"/>
      <w:r w:rsidRPr="005B0AF4">
        <w:rPr>
          <w:rFonts w:cs="TimesNewRoman"/>
        </w:rPr>
        <w:t>yrs</w:t>
      </w:r>
      <w:proofErr w:type="spellEnd"/>
      <w:r w:rsidRPr="005B0AF4">
        <w:rPr>
          <w:rFonts w:cs="TimesNewRoman"/>
        </w:rPr>
        <w:t xml:space="preserve">), people with chronic diseases, and very young children (age 0 to 12 months), as well </w:t>
      </w:r>
      <w:r>
        <w:rPr>
          <w:rFonts w:cs="TimesNewRoman"/>
        </w:rPr>
        <w:t>as an increase in morbidity and hospitalis</w:t>
      </w:r>
      <w:r w:rsidRPr="005B0AF4">
        <w:rPr>
          <w:rFonts w:cs="TimesNewRoman"/>
        </w:rPr>
        <w:t>ation because of influenza-associated complications (</w:t>
      </w:r>
      <w:r w:rsidRPr="00A92062">
        <w:rPr>
          <w:rFonts w:cs="TimesNewRoman"/>
        </w:rPr>
        <w:t>Fiore; Monto</w:t>
      </w:r>
      <w:r w:rsidRPr="005B0AF4">
        <w:rPr>
          <w:rFonts w:cs="TimesNewRoman"/>
        </w:rPr>
        <w:t>)</w:t>
      </w:r>
      <w:r w:rsidR="00182466">
        <w:rPr>
          <w:rFonts w:cs="TimesNewRoman"/>
        </w:rPr>
        <w:t>.</w:t>
      </w:r>
    </w:p>
    <w:p w:rsidR="00D470CB" w:rsidRPr="005B0AF4" w:rsidRDefault="00D470CB" w:rsidP="00D470CB">
      <w:r w:rsidRPr="005B0AF4">
        <w:t xml:space="preserve">Influenza A and B cause most </w:t>
      </w:r>
      <w:r w:rsidR="008B267C">
        <w:t xml:space="preserve">of the </w:t>
      </w:r>
      <w:r w:rsidRPr="005B0AF4">
        <w:t xml:space="preserve">human disease. Influenza </w:t>
      </w:r>
      <w:proofErr w:type="gramStart"/>
      <w:r w:rsidRPr="005B0AF4">
        <w:t>A</w:t>
      </w:r>
      <w:proofErr w:type="gramEnd"/>
      <w:r w:rsidRPr="005B0AF4">
        <w:t xml:space="preserve"> viruses are divided into subtypes based on two viral external proteins, the </w:t>
      </w:r>
      <w:proofErr w:type="spellStart"/>
      <w:r w:rsidRPr="005B0AF4">
        <w:t>haemagglutinin</w:t>
      </w:r>
      <w:proofErr w:type="spellEnd"/>
      <w:r w:rsidRPr="005B0AF4">
        <w:t xml:space="preserve"> (</w:t>
      </w:r>
      <w:r>
        <w:t>HA) and the neuraminidase (NA).</w:t>
      </w:r>
    </w:p>
    <w:p w:rsidR="00D470CB" w:rsidRPr="005B0AF4" w:rsidRDefault="00D470CB" w:rsidP="00D470CB">
      <w:pPr>
        <w:rPr>
          <w:rFonts w:cs="TimesNewRoman"/>
        </w:rPr>
      </w:pPr>
      <w:r w:rsidRPr="005B0AF4">
        <w:rPr>
          <w:rFonts w:cs="TimesNewRoman"/>
        </w:rPr>
        <w:t xml:space="preserve">Of the influenza type </w:t>
      </w:r>
      <w:proofErr w:type="gramStart"/>
      <w:r w:rsidRPr="005B0AF4">
        <w:rPr>
          <w:rFonts w:cs="TimesNewRoman"/>
        </w:rPr>
        <w:t>A</w:t>
      </w:r>
      <w:proofErr w:type="gramEnd"/>
      <w:r w:rsidRPr="005B0AF4">
        <w:rPr>
          <w:rFonts w:cs="TimesNewRoman"/>
        </w:rPr>
        <w:t xml:space="preserve"> virus subtypes, the A/H3N2 and A/H1N1 subtypes are clinically the most important. Influenza type B viruses show extensive variation in antigenicity. Influenza B viruses are separated into two distinct genetic lineages, Yamagata and Victoria. In terms of infection, influenza type </w:t>
      </w:r>
      <w:proofErr w:type="gramStart"/>
      <w:r w:rsidRPr="005B0AF4">
        <w:rPr>
          <w:rFonts w:cs="TimesNewRoman"/>
        </w:rPr>
        <w:t>A</w:t>
      </w:r>
      <w:proofErr w:type="gramEnd"/>
      <w:r w:rsidRPr="005B0AF4">
        <w:rPr>
          <w:rFonts w:cs="TimesNewRoman"/>
        </w:rPr>
        <w:t xml:space="preserve"> viruses have been isolated from several non-human species, including birds, horses, and swine, whereas influenza type B viruses al</w:t>
      </w:r>
      <w:r>
        <w:rPr>
          <w:rFonts w:cs="TimesNewRoman"/>
        </w:rPr>
        <w:t>most exclusively affect humans.</w:t>
      </w:r>
    </w:p>
    <w:p w:rsidR="00182466" w:rsidRDefault="00D470CB" w:rsidP="00D470CB">
      <w:pPr>
        <w:rPr>
          <w:rFonts w:cs="TimesNewRoman"/>
        </w:rPr>
      </w:pPr>
      <w:r w:rsidRPr="005B0AF4">
        <w:rPr>
          <w:rFonts w:cs="TimesNewRoman"/>
        </w:rPr>
        <w:t>The influenza A or B surface glycoprotein HA is the key antigen involved in attachment of the</w:t>
      </w:r>
      <w:r>
        <w:rPr>
          <w:rFonts w:cs="TimesNewRoman"/>
        </w:rPr>
        <w:t xml:space="preserve"> </w:t>
      </w:r>
      <w:r w:rsidRPr="005B0AF4">
        <w:rPr>
          <w:rFonts w:cs="TimesNewRoman"/>
        </w:rPr>
        <w:t>virus to receptors on respiratory epithelial cells, whereas the NA glycoprotein is involved in</w:t>
      </w:r>
      <w:r>
        <w:rPr>
          <w:rFonts w:cs="TimesNewRoman"/>
        </w:rPr>
        <w:t xml:space="preserve"> </w:t>
      </w:r>
      <w:r w:rsidRPr="005B0AF4">
        <w:rPr>
          <w:rFonts w:cs="TimesNewRoman"/>
        </w:rPr>
        <w:t>release of the virus from the cell surface. During infection, the virus stimulates production of</w:t>
      </w:r>
      <w:r>
        <w:rPr>
          <w:rFonts w:cs="TimesNewRoman"/>
        </w:rPr>
        <w:t xml:space="preserve"> </w:t>
      </w:r>
      <w:r w:rsidRPr="005B0AF4">
        <w:rPr>
          <w:rFonts w:cs="TimesNewRoman"/>
        </w:rPr>
        <w:t>antibodies in the serum (immunoglobulin G) and nasal secretions (immunoglobulin A) to these</w:t>
      </w:r>
      <w:r>
        <w:rPr>
          <w:rFonts w:cs="TimesNewRoman"/>
        </w:rPr>
        <w:t xml:space="preserve"> </w:t>
      </w:r>
      <w:r w:rsidRPr="005B0AF4">
        <w:rPr>
          <w:rFonts w:cs="TimesNewRoman"/>
        </w:rPr>
        <w:t>surface glycoproteins. High levels of virus type-specific antibod</w:t>
      </w:r>
      <w:r>
        <w:rPr>
          <w:rFonts w:cs="TimesNewRoman"/>
        </w:rPr>
        <w:t>ies are associated with p</w:t>
      </w:r>
      <w:r w:rsidRPr="005B0AF4">
        <w:rPr>
          <w:rFonts w:cs="TimesNewRoman"/>
        </w:rPr>
        <w:t>rotection</w:t>
      </w:r>
      <w:r>
        <w:rPr>
          <w:rFonts w:cs="TimesNewRoman"/>
        </w:rPr>
        <w:t xml:space="preserve"> </w:t>
      </w:r>
      <w:r w:rsidRPr="005B0AF4">
        <w:rPr>
          <w:rFonts w:cs="TimesNewRoman"/>
        </w:rPr>
        <w:t>from disease due to infections with homologous and closely related influenza virus trains (</w:t>
      </w:r>
      <w:r w:rsidRPr="00A92062">
        <w:rPr>
          <w:rFonts w:cs="TimesNewRoman"/>
        </w:rPr>
        <w:t>Hay; Fiore</w:t>
      </w:r>
      <w:r w:rsidRPr="005B0AF4">
        <w:rPr>
          <w:rFonts w:cs="TimesNewRoman"/>
        </w:rPr>
        <w:t>).</w:t>
      </w:r>
      <w:r w:rsidRPr="005B0AF4">
        <w:t xml:space="preserve"> </w:t>
      </w:r>
      <w:r w:rsidRPr="005B0AF4">
        <w:rPr>
          <w:rFonts w:cs="TimesNewRoman"/>
        </w:rPr>
        <w:t>Novel influenza strains arise from antigenic drift due to point mutation and recombination events that occur during viral replication. These events result in the emergence of new strains of the influenza virus capable of causing epidemics, as pre-existing antibodies resulting from previous virus exposure or vaccination are generally not cross-protective (</w:t>
      </w:r>
      <w:r>
        <w:rPr>
          <w:rFonts w:cs="TimesNewRoman"/>
        </w:rPr>
        <w:t>Hay</w:t>
      </w:r>
      <w:r w:rsidRPr="005B0AF4">
        <w:rPr>
          <w:rFonts w:cs="TimesNewRoman"/>
        </w:rPr>
        <w:t>)</w:t>
      </w:r>
      <w:r w:rsidR="00182466">
        <w:rPr>
          <w:rFonts w:cs="TimesNewRoman"/>
        </w:rPr>
        <w:t>.</w:t>
      </w:r>
    </w:p>
    <w:p w:rsidR="00D470CB" w:rsidRPr="008074B0" w:rsidRDefault="00D470CB" w:rsidP="00D470CB">
      <w:r w:rsidRPr="005B0AF4">
        <w:rPr>
          <w:rFonts w:cs="TimesNewRoman"/>
        </w:rPr>
        <w:t xml:space="preserve">Influenza type A is capable of major antigenic shifts when a novel HA emerges from re-assortment with an animal influenza virus. Influenza B undergoes less rapid antigenic drift </w:t>
      </w:r>
      <w:r w:rsidR="008F1442">
        <w:rPr>
          <w:rFonts w:cs="TimesNewRoman"/>
        </w:rPr>
        <w:t>that is,</w:t>
      </w:r>
      <w:r w:rsidRPr="005B0AF4">
        <w:rPr>
          <w:rFonts w:cs="TimesNewRoman"/>
        </w:rPr>
        <w:t xml:space="preserve"> is generally more stable, than influenza A. When a new subtype of influenza virus emerges, all individuals are susceptible to infection except those who have lived through earlier epidemics with a related virus subtype. Infection produces immunity to the specific virus; however, the </w:t>
      </w:r>
      <w:r w:rsidRPr="005B0AF4">
        <w:rPr>
          <w:rFonts w:cs="TimesNewRoman"/>
        </w:rPr>
        <w:lastRenderedPageBreak/>
        <w:t>length and extent of immunity is dependent on the degree of antigenic shift, the number of previous infections, and the immune status of the individual (</w:t>
      </w:r>
      <w:r>
        <w:rPr>
          <w:rFonts w:cs="TimesNewRoman"/>
        </w:rPr>
        <w:t>Beyer</w:t>
      </w:r>
      <w:r w:rsidRPr="005B0AF4">
        <w:rPr>
          <w:rFonts w:cs="TimesNewRoman"/>
        </w:rPr>
        <w:t>).</w:t>
      </w:r>
    </w:p>
    <w:p w:rsidR="00D470CB" w:rsidRPr="005B0AF4" w:rsidRDefault="00D470CB" w:rsidP="00D470CB">
      <w:pPr>
        <w:rPr>
          <w:rFonts w:cs="TimesNewRoman"/>
        </w:rPr>
      </w:pPr>
      <w:r w:rsidRPr="005B0AF4">
        <w:rPr>
          <w:rFonts w:cs="TimesNewRoman"/>
        </w:rPr>
        <w:t>Influenza epidemics have been associated with the circulation of type A/H3N2, type A/H1N1,</w:t>
      </w:r>
    </w:p>
    <w:p w:rsidR="00D470CB" w:rsidRPr="008074B0" w:rsidRDefault="00D470CB" w:rsidP="00D470CB">
      <w:pPr>
        <w:rPr>
          <w:rFonts w:cs="TimesNewRoman"/>
        </w:rPr>
      </w:pPr>
      <w:proofErr w:type="gramStart"/>
      <w:r w:rsidRPr="005B0AF4">
        <w:rPr>
          <w:rFonts w:cs="TimesNewRoman"/>
        </w:rPr>
        <w:t>and</w:t>
      </w:r>
      <w:proofErr w:type="gramEnd"/>
      <w:r w:rsidRPr="005B0AF4">
        <w:rPr>
          <w:rFonts w:cs="TimesNewRoman"/>
        </w:rPr>
        <w:t xml:space="preserve"> type B viruses, either individually or together. Two genetically distinct lineag</w:t>
      </w:r>
      <w:r>
        <w:rPr>
          <w:rFonts w:cs="TimesNewRoman"/>
        </w:rPr>
        <w:t xml:space="preserve">es of influenza </w:t>
      </w:r>
      <w:r w:rsidRPr="005B0AF4">
        <w:rPr>
          <w:rFonts w:cs="TimesNewRoman"/>
        </w:rPr>
        <w:t>B viruses have co-circulated since 1985 (</w:t>
      </w:r>
      <w:proofErr w:type="spellStart"/>
      <w:r>
        <w:rPr>
          <w:rFonts w:cs="TimesNewRoman"/>
        </w:rPr>
        <w:t>Rota</w:t>
      </w:r>
      <w:proofErr w:type="spellEnd"/>
      <w:r w:rsidRPr="005B0AF4">
        <w:rPr>
          <w:rFonts w:cs="TimesNewRoman"/>
        </w:rPr>
        <w:t>). The burden of infection is largely on</w:t>
      </w:r>
      <w:r>
        <w:rPr>
          <w:rFonts w:cs="TimesNewRoman"/>
        </w:rPr>
        <w:t xml:space="preserve"> </w:t>
      </w:r>
      <w:r w:rsidRPr="005B0AF4">
        <w:rPr>
          <w:rFonts w:cs="TimesNewRoman"/>
        </w:rPr>
        <w:t>school age children, young adults, and the elderly (</w:t>
      </w:r>
      <w:proofErr w:type="spellStart"/>
      <w:r>
        <w:rPr>
          <w:rFonts w:cs="TimesNewRoman"/>
        </w:rPr>
        <w:t>Belse</w:t>
      </w:r>
      <w:proofErr w:type="spellEnd"/>
      <w:r w:rsidRPr="005B0AF4">
        <w:rPr>
          <w:rFonts w:cs="TimesNewRoman"/>
        </w:rPr>
        <w:t>). In the US, B viruses</w:t>
      </w:r>
      <w:r>
        <w:rPr>
          <w:rFonts w:cs="TimesNewRoman"/>
        </w:rPr>
        <w:t xml:space="preserve"> </w:t>
      </w:r>
      <w:r w:rsidRPr="005B0AF4">
        <w:rPr>
          <w:rFonts w:cs="TimesNewRoman"/>
        </w:rPr>
        <w:t>account for 24% of positive specimens and 34% of reported paediatric influenza deaths (</w:t>
      </w:r>
      <w:r>
        <w:rPr>
          <w:rFonts w:cs="TimesNewRoman"/>
        </w:rPr>
        <w:t xml:space="preserve">Ambrose), however </w:t>
      </w:r>
      <w:r w:rsidRPr="005B0AF4">
        <w:rPr>
          <w:rFonts w:eastAsia="TimesNewRomanPSMT" w:cs="TimesNewRomanPSMT"/>
        </w:rPr>
        <w:t>the incidence can vary</w:t>
      </w:r>
      <w:r>
        <w:rPr>
          <w:rFonts w:cs="TimesNewRoman"/>
        </w:rPr>
        <w:t xml:space="preserve"> </w:t>
      </w:r>
      <w:r w:rsidRPr="005B0AF4">
        <w:rPr>
          <w:rFonts w:eastAsia="TimesNewRomanPSMT" w:cs="TimesNewRomanPSMT"/>
        </w:rPr>
        <w:t>dramatically between influenza seasons (ra</w:t>
      </w:r>
      <w:r>
        <w:rPr>
          <w:rFonts w:eastAsia="TimesNewRomanPSMT" w:cs="TimesNewRomanPSMT"/>
        </w:rPr>
        <w:t>nge 1%-60%)</w:t>
      </w:r>
      <w:r w:rsidRPr="005B0AF4">
        <w:rPr>
          <w:rFonts w:eastAsia="TimesNewRomanPSMT" w:cs="TimesNewRomanPSMT"/>
        </w:rPr>
        <w:t>. The</w:t>
      </w:r>
      <w:r>
        <w:rPr>
          <w:rFonts w:cs="TimesNewRoman"/>
        </w:rPr>
        <w:t xml:space="preserve"> </w:t>
      </w:r>
      <w:r w:rsidRPr="005B0AF4">
        <w:rPr>
          <w:rFonts w:eastAsia="TimesNewRomanPSMT" w:cs="TimesNewRomanPSMT"/>
        </w:rPr>
        <w:t>burden of influenza B appears to be the highest for children and young adults with a</w:t>
      </w:r>
      <w:r>
        <w:rPr>
          <w:rFonts w:cs="TimesNewRoman"/>
        </w:rPr>
        <w:t xml:space="preserve"> </w:t>
      </w:r>
      <w:r w:rsidRPr="005B0AF4">
        <w:rPr>
          <w:rFonts w:eastAsia="TimesNewRomanPSMT" w:cs="TimesNewRomanPSMT"/>
        </w:rPr>
        <w:t xml:space="preserve">relative high incidence as compared to the type </w:t>
      </w:r>
      <w:proofErr w:type="gramStart"/>
      <w:r w:rsidRPr="005B0AF4">
        <w:rPr>
          <w:rFonts w:eastAsia="TimesNewRomanPSMT" w:cs="TimesNewRomanPSMT"/>
        </w:rPr>
        <w:t>A</w:t>
      </w:r>
      <w:proofErr w:type="gramEnd"/>
      <w:r w:rsidRPr="005B0AF4">
        <w:rPr>
          <w:rFonts w:eastAsia="TimesNewRomanPSMT" w:cs="TimesNewRomanPSMT"/>
        </w:rPr>
        <w:t xml:space="preserve"> strains (</w:t>
      </w:r>
      <w:r>
        <w:rPr>
          <w:rFonts w:eastAsia="TimesNewRomanPSMT" w:cs="TimesNewRomanPSMT"/>
        </w:rPr>
        <w:t xml:space="preserve">Grant; Olson). </w:t>
      </w:r>
      <w:r w:rsidRPr="005B0AF4">
        <w:rPr>
          <w:rFonts w:eastAsia="TimesNewRomanPSMT" w:cs="TimesNewRomanPSMT"/>
        </w:rPr>
        <w:t xml:space="preserve">Influenza B causes morbidity and mortality in all age </w:t>
      </w:r>
      <w:r w:rsidR="008B267C">
        <w:rPr>
          <w:rFonts w:eastAsia="TimesNewRomanPSMT" w:cs="TimesNewRomanPSMT"/>
        </w:rPr>
        <w:t>groups</w:t>
      </w:r>
      <w:r w:rsidRPr="005B0AF4">
        <w:rPr>
          <w:rFonts w:eastAsia="TimesNewRomanPSMT" w:cs="TimesNewRomanPSMT"/>
        </w:rPr>
        <w:t>, however in children it</w:t>
      </w:r>
      <w:r>
        <w:rPr>
          <w:rFonts w:cs="TimesNewRoman"/>
        </w:rPr>
        <w:t xml:space="preserve"> </w:t>
      </w:r>
      <w:r w:rsidRPr="005B0AF4">
        <w:rPr>
          <w:rFonts w:eastAsia="TimesNewRomanPSMT" w:cs="TimesNewRomanPSMT"/>
        </w:rPr>
        <w:t>appears to be a disproportionate cause of influenza related hospitalizations and deaths</w:t>
      </w:r>
      <w:r>
        <w:rPr>
          <w:rFonts w:cs="TimesNewRoman"/>
        </w:rPr>
        <w:t xml:space="preserve"> </w:t>
      </w:r>
      <w:r w:rsidRPr="005B0AF4">
        <w:rPr>
          <w:rFonts w:eastAsia="TimesNewRomanPSMT" w:cs="TimesNewRomanPSMT"/>
        </w:rPr>
        <w:t xml:space="preserve">compared to the type </w:t>
      </w:r>
      <w:proofErr w:type="gramStart"/>
      <w:r w:rsidRPr="005B0AF4">
        <w:rPr>
          <w:rFonts w:eastAsia="TimesNewRomanPSMT" w:cs="TimesNewRomanPSMT"/>
        </w:rPr>
        <w:t>A</w:t>
      </w:r>
      <w:proofErr w:type="gramEnd"/>
      <w:r w:rsidRPr="005B0AF4">
        <w:rPr>
          <w:rFonts w:eastAsia="TimesNewRomanPSMT" w:cs="TimesNewRomanPSMT"/>
        </w:rPr>
        <w:t xml:space="preserve"> strains (</w:t>
      </w:r>
      <w:r>
        <w:rPr>
          <w:rFonts w:eastAsia="TimesNewRomanPSMT" w:cs="TimesNewRomanPSMT"/>
        </w:rPr>
        <w:t>Thompson</w:t>
      </w:r>
      <w:r w:rsidRPr="005B0AF4">
        <w:rPr>
          <w:rFonts w:eastAsia="TimesNewRomanPSMT" w:cs="TimesNewRomanPSMT"/>
        </w:rPr>
        <w:t>).</w:t>
      </w:r>
    </w:p>
    <w:p w:rsidR="00D470CB" w:rsidRDefault="00D470CB" w:rsidP="00D470CB">
      <w:pPr>
        <w:rPr>
          <w:rFonts w:eastAsia="TimesNewRomanPSMT" w:cs="TimesNewRomanPSMT"/>
        </w:rPr>
      </w:pPr>
      <w:r w:rsidRPr="005B0AF4">
        <w:rPr>
          <w:rFonts w:eastAsia="TimesNewRomanPSMT" w:cs="TimesNewRomanPSMT"/>
        </w:rPr>
        <w:t xml:space="preserve">Currently, based on viral surveillance data, an influenza B </w:t>
      </w:r>
      <w:r>
        <w:rPr>
          <w:rFonts w:eastAsia="TimesNewRomanPSMT" w:cs="TimesNewRomanPSMT"/>
        </w:rPr>
        <w:t xml:space="preserve">virus representing one of these </w:t>
      </w:r>
      <w:r w:rsidRPr="005B0AF4">
        <w:rPr>
          <w:rFonts w:eastAsia="TimesNewRomanPSMT" w:cs="TimesNewRomanPSMT"/>
        </w:rPr>
        <w:t xml:space="preserve">two lineages is selected each year to be included in the </w:t>
      </w:r>
      <w:r w:rsidRPr="00874F55">
        <w:rPr>
          <w:rFonts w:eastAsia="TimesNewRomanPSMT" w:cs="TimesNewRomanPSMT"/>
        </w:rPr>
        <w:t>annual trivalent vaccine. The</w:t>
      </w:r>
      <w:r w:rsidRPr="005B0AF4">
        <w:rPr>
          <w:rFonts w:eastAsia="TimesNewRomanPSMT" w:cs="TimesNewRomanPSMT"/>
        </w:rPr>
        <w:t xml:space="preserve"> cross</w:t>
      </w:r>
      <w:r>
        <w:rPr>
          <w:rFonts w:eastAsia="TimesNewRomanPSMT" w:cs="TimesNewRomanPSMT"/>
        </w:rPr>
        <w:t xml:space="preserve"> </w:t>
      </w:r>
      <w:r w:rsidRPr="005B0AF4">
        <w:rPr>
          <w:rFonts w:eastAsia="TimesNewRomanPSMT" w:cs="TimesNewRomanPSMT"/>
        </w:rPr>
        <w:t>protection against infection with one B lineage provided by immunisation with a vaccine</w:t>
      </w:r>
      <w:r>
        <w:rPr>
          <w:rFonts w:eastAsia="TimesNewRomanPSMT" w:cs="TimesNewRomanPSMT"/>
        </w:rPr>
        <w:t xml:space="preserve"> </w:t>
      </w:r>
      <w:r w:rsidRPr="005B0AF4">
        <w:rPr>
          <w:rFonts w:eastAsia="TimesNewRomanPSMT" w:cs="TimesNewRomanPSMT"/>
        </w:rPr>
        <w:t>derived from the other B lineage is uncertain, but expected to be low (</w:t>
      </w:r>
      <w:proofErr w:type="spellStart"/>
      <w:r>
        <w:rPr>
          <w:rFonts w:eastAsia="TimesNewRomanPSMT" w:cs="TimesNewRomanPSMT"/>
        </w:rPr>
        <w:t>Belshe</w:t>
      </w:r>
      <w:proofErr w:type="spellEnd"/>
      <w:r w:rsidRPr="005B0AF4">
        <w:rPr>
          <w:rFonts w:eastAsia="TimesNewRomanPSMT" w:cs="TimesNewRomanPSMT"/>
        </w:rPr>
        <w:t>).</w:t>
      </w:r>
      <w:r>
        <w:rPr>
          <w:rFonts w:eastAsia="TimesNewRomanPSMT" w:cs="TimesNewRomanPSMT"/>
        </w:rPr>
        <w:t xml:space="preserve"> </w:t>
      </w:r>
      <w:r w:rsidRPr="005B0AF4">
        <w:rPr>
          <w:rFonts w:eastAsia="TimesNewRomanPSMT" w:cs="TimesNewRomanPSMT"/>
        </w:rPr>
        <w:t>Predicting which lineage will predominate has been challenging, and in some seasons,</w:t>
      </w:r>
      <w:r>
        <w:rPr>
          <w:rFonts w:eastAsia="TimesNewRomanPSMT" w:cs="TimesNewRomanPSMT"/>
        </w:rPr>
        <w:t xml:space="preserve"> </w:t>
      </w:r>
      <w:r w:rsidRPr="005B0AF4">
        <w:rPr>
          <w:rFonts w:eastAsia="TimesNewRomanPSMT" w:cs="TimesNewRomanPSMT"/>
        </w:rPr>
        <w:t>there has been a mismatch between the lineage chosen for the vaccine and the</w:t>
      </w:r>
      <w:r>
        <w:rPr>
          <w:rFonts w:eastAsia="TimesNewRomanPSMT" w:cs="TimesNewRomanPSMT"/>
        </w:rPr>
        <w:t xml:space="preserve"> </w:t>
      </w:r>
      <w:r w:rsidRPr="005B0AF4">
        <w:rPr>
          <w:rFonts w:eastAsia="TimesNewRomanPSMT" w:cs="TimesNewRomanPSMT"/>
        </w:rPr>
        <w:t>predominant circulating influenza B virus lineage.</w:t>
      </w:r>
      <w:r>
        <w:rPr>
          <w:rFonts w:eastAsia="TimesNewRomanPSMT" w:cs="TimesNewRomanPSMT"/>
        </w:rPr>
        <w:t xml:space="preserve"> </w:t>
      </w:r>
      <w:r w:rsidRPr="005B0AF4">
        <w:rPr>
          <w:rFonts w:eastAsia="TimesNewRomanPSMT" w:cs="TimesNewRomanPSMT"/>
        </w:rPr>
        <w:t>In Europe from 2003-2004 through</w:t>
      </w:r>
      <w:r>
        <w:rPr>
          <w:rFonts w:eastAsia="TimesNewRomanPSMT" w:cs="TimesNewRomanPSMT"/>
        </w:rPr>
        <w:t xml:space="preserve"> </w:t>
      </w:r>
      <w:r w:rsidRPr="005B0AF4">
        <w:rPr>
          <w:rFonts w:eastAsia="TimesNewRomanPSMT" w:cs="TimesNewRomanPSMT"/>
        </w:rPr>
        <w:t>2010, the predominant lineage of a given season differed from that contained in the</w:t>
      </w:r>
      <w:r>
        <w:rPr>
          <w:rFonts w:eastAsia="TimesNewRomanPSMT" w:cs="TimesNewRomanPSMT"/>
        </w:rPr>
        <w:t xml:space="preserve"> </w:t>
      </w:r>
      <w:r w:rsidRPr="005B0AF4">
        <w:rPr>
          <w:rFonts w:eastAsia="TimesNewRomanPSMT" w:cs="TimesNewRomanPSMT"/>
        </w:rPr>
        <w:t>vaccine in four out of eight seasons and overall an estimated 58% of lab-confirmed</w:t>
      </w:r>
      <w:r>
        <w:rPr>
          <w:rFonts w:eastAsia="TimesNewRomanPSMT" w:cs="TimesNewRomanPSMT"/>
        </w:rPr>
        <w:t xml:space="preserve"> </w:t>
      </w:r>
      <w:r w:rsidRPr="005B0AF4">
        <w:rPr>
          <w:rFonts w:eastAsia="TimesNewRomanPSMT" w:cs="TimesNewRomanPSMT"/>
        </w:rPr>
        <w:t>influenza B samples were of the lineage not included in the vaccine (</w:t>
      </w:r>
      <w:r>
        <w:rPr>
          <w:rFonts w:eastAsia="TimesNewRomanPSMT" w:cs="TimesNewRomanPSMT"/>
        </w:rPr>
        <w:t>Ambrose</w:t>
      </w:r>
      <w:r w:rsidRPr="005B0AF4">
        <w:rPr>
          <w:rFonts w:eastAsia="TimesNewRomanPSMT" w:cs="TimesNewRomanPSMT"/>
        </w:rPr>
        <w:t>). Based on the demonstrated burden of influenza B, the limited cross-protection between</w:t>
      </w:r>
      <w:r>
        <w:rPr>
          <w:rFonts w:eastAsia="TimesNewRomanPSMT" w:cs="TimesNewRomanPSMT"/>
        </w:rPr>
        <w:t xml:space="preserve"> </w:t>
      </w:r>
      <w:r w:rsidRPr="005B0AF4">
        <w:rPr>
          <w:rFonts w:eastAsia="TimesNewRomanPSMT" w:cs="TimesNewRomanPSMT"/>
        </w:rPr>
        <w:t>the two influenza B lineages, and the inability to accurately predict which influenza B</w:t>
      </w:r>
      <w:r>
        <w:rPr>
          <w:rFonts w:eastAsia="TimesNewRomanPSMT" w:cs="TimesNewRomanPSMT"/>
        </w:rPr>
        <w:t xml:space="preserve"> </w:t>
      </w:r>
      <w:r w:rsidRPr="005B0AF4">
        <w:rPr>
          <w:rFonts w:eastAsia="TimesNewRomanPSMT" w:cs="TimesNewRomanPSMT"/>
        </w:rPr>
        <w:t>lineage will circulate, it may be expected that seasonal influenza vaccines will be</w:t>
      </w:r>
      <w:r>
        <w:rPr>
          <w:rFonts w:eastAsia="TimesNewRomanPSMT" w:cs="TimesNewRomanPSMT"/>
        </w:rPr>
        <w:t xml:space="preserve"> </w:t>
      </w:r>
      <w:r w:rsidRPr="005B0AF4">
        <w:rPr>
          <w:rFonts w:eastAsia="TimesNewRomanPSMT" w:cs="TimesNewRomanPSMT"/>
        </w:rPr>
        <w:t xml:space="preserve">improved by the inclusion of influenza B strains from </w:t>
      </w:r>
      <w:r w:rsidRPr="00A13224">
        <w:rPr>
          <w:rFonts w:eastAsia="TimesNewRomanPSMT" w:cs="TimesNewRomanPSMT"/>
          <w:b/>
        </w:rPr>
        <w:t>both lineages</w:t>
      </w:r>
      <w:r w:rsidRPr="005B0AF4">
        <w:rPr>
          <w:rFonts w:eastAsia="TimesNewRomanPSMT" w:cs="TimesNewRomanPSMT"/>
        </w:rPr>
        <w:t>. While a good</w:t>
      </w:r>
      <w:r>
        <w:rPr>
          <w:rFonts w:eastAsia="TimesNewRomanPSMT" w:cs="TimesNewRomanPSMT"/>
        </w:rPr>
        <w:t xml:space="preserve"> </w:t>
      </w:r>
      <w:r w:rsidRPr="005B0AF4">
        <w:rPr>
          <w:rFonts w:eastAsia="TimesNewRomanPSMT" w:cs="TimesNewRomanPSMT"/>
        </w:rPr>
        <w:t>antigenic match would still not be assured, this step would eliminate a mismatch in</w:t>
      </w:r>
      <w:r>
        <w:rPr>
          <w:rFonts w:eastAsia="TimesNewRomanPSMT" w:cs="TimesNewRomanPSMT"/>
        </w:rPr>
        <w:t xml:space="preserve"> </w:t>
      </w:r>
      <w:r w:rsidRPr="005B0AF4">
        <w:rPr>
          <w:rFonts w:eastAsia="TimesNewRomanPSMT" w:cs="TimesNewRomanPSMT"/>
        </w:rPr>
        <w:t>lineage between the vaccine strain and circulating strains.</w:t>
      </w:r>
    </w:p>
    <w:p w:rsidR="00D470CB" w:rsidRDefault="00D470CB" w:rsidP="00D470CB">
      <w:pPr>
        <w:pStyle w:val="Heading3"/>
      </w:pPr>
      <w:bookmarkStart w:id="22" w:name="_Toc521411064"/>
      <w:bookmarkStart w:id="23" w:name="_Toc535416844"/>
      <w:r>
        <w:t>Current treatment options</w:t>
      </w:r>
      <w:bookmarkEnd w:id="22"/>
      <w:bookmarkEnd w:id="23"/>
    </w:p>
    <w:p w:rsidR="00D470CB" w:rsidRPr="00F66B7B" w:rsidRDefault="00D470CB" w:rsidP="00D470CB">
      <w:pPr>
        <w:autoSpaceDE w:val="0"/>
        <w:autoSpaceDN w:val="0"/>
        <w:adjustRightInd w:val="0"/>
        <w:spacing w:before="0" w:after="0" w:line="240" w:lineRule="auto"/>
        <w:rPr>
          <w:rFonts w:asciiTheme="minorHAnsi" w:hAnsiTheme="minorHAnsi"/>
          <w:b/>
        </w:rPr>
      </w:pPr>
      <w:r w:rsidRPr="00592550">
        <w:rPr>
          <w:rFonts w:asciiTheme="minorHAnsi" w:eastAsiaTheme="minorHAnsi" w:hAnsiTheme="minorHAnsi" w:cs="ArialMT"/>
          <w:color w:val="262626"/>
        </w:rPr>
        <w:t>According to the WHO vaccination is the most effective way to</w:t>
      </w:r>
      <w:r>
        <w:rPr>
          <w:rFonts w:asciiTheme="minorHAnsi" w:eastAsiaTheme="minorHAnsi" w:hAnsiTheme="minorHAnsi" w:cs="ArialMT"/>
          <w:color w:val="262626"/>
        </w:rPr>
        <w:t xml:space="preserve"> </w:t>
      </w:r>
      <w:r w:rsidRPr="00592550">
        <w:rPr>
          <w:rFonts w:asciiTheme="minorHAnsi" w:eastAsiaTheme="minorHAnsi" w:hAnsiTheme="minorHAnsi" w:cs="ArialMT"/>
          <w:color w:val="262626"/>
        </w:rPr>
        <w:t>prevent influenza and its complications</w:t>
      </w:r>
      <w:r>
        <w:rPr>
          <w:rFonts w:asciiTheme="minorHAnsi" w:eastAsiaTheme="minorHAnsi" w:hAnsiTheme="minorHAnsi" w:cs="ArialMT"/>
          <w:color w:val="262626"/>
        </w:rPr>
        <w:t xml:space="preserve"> and </w:t>
      </w:r>
      <w:r>
        <w:rPr>
          <w:lang w:eastAsia="ja-JP"/>
        </w:rPr>
        <w:t xml:space="preserve">is the key public health approach in most countries around the world, including Australia. </w:t>
      </w:r>
      <w:r w:rsidRPr="005C0F6D">
        <w:rPr>
          <w:rFonts w:asciiTheme="minorHAnsi" w:hAnsiTheme="minorHAnsi"/>
        </w:rPr>
        <w:t>Prevention of influenza illness is achieved by an</w:t>
      </w:r>
      <w:r>
        <w:rPr>
          <w:rFonts w:asciiTheme="minorHAnsi" w:hAnsiTheme="minorHAnsi"/>
        </w:rPr>
        <w:t>nual prophylactic immunisation, the exact composition of which changes according to what are predicted to be the predominant A and B strain(s) circulating in either the Northern or Southern Hemispheres for that influenza season.</w:t>
      </w:r>
      <w:r w:rsidRPr="00652957">
        <w:rPr>
          <w:rFonts w:asciiTheme="minorHAnsi" w:eastAsiaTheme="minorHAnsi" w:hAnsiTheme="minorHAnsi"/>
          <w:bCs/>
        </w:rPr>
        <w:t xml:space="preserve"> In Australia, annual influenza vaccination is currently recommended for any person ≥ 6</w:t>
      </w:r>
      <w:r>
        <w:rPr>
          <w:rFonts w:asciiTheme="minorHAnsi" w:eastAsia="TimesNewRomanPSMT" w:hAnsiTheme="minorHAnsi" w:cs="TimesNewRomanPSMT"/>
        </w:rPr>
        <w:t xml:space="preserve"> </w:t>
      </w:r>
      <w:r w:rsidRPr="00652957">
        <w:rPr>
          <w:rFonts w:asciiTheme="minorHAnsi" w:eastAsiaTheme="minorHAnsi" w:hAnsiTheme="minorHAnsi"/>
          <w:bCs/>
        </w:rPr>
        <w:t>months of age who wishes to reduce the likelihood of becoming ill with influenza, as well as</w:t>
      </w:r>
      <w:r>
        <w:rPr>
          <w:rFonts w:asciiTheme="minorHAnsi" w:eastAsia="TimesNewRomanPSMT" w:hAnsiTheme="minorHAnsi" w:cs="TimesNewRomanPSMT"/>
        </w:rPr>
        <w:t xml:space="preserve"> </w:t>
      </w:r>
      <w:r w:rsidRPr="00652957">
        <w:rPr>
          <w:rFonts w:asciiTheme="minorHAnsi" w:eastAsiaTheme="minorHAnsi" w:hAnsiTheme="minorHAnsi"/>
          <w:bCs/>
        </w:rPr>
        <w:t>a range of co-morbid conditions that place persons at risk of complications from influenza</w:t>
      </w:r>
      <w:r>
        <w:rPr>
          <w:rFonts w:asciiTheme="minorHAnsi" w:eastAsia="TimesNewRomanPSMT" w:hAnsiTheme="minorHAnsi" w:cs="TimesNewRomanPSMT"/>
        </w:rPr>
        <w:t xml:space="preserve"> </w:t>
      </w:r>
      <w:r>
        <w:rPr>
          <w:rFonts w:asciiTheme="minorHAnsi" w:eastAsiaTheme="minorHAnsi" w:hAnsiTheme="minorHAnsi"/>
          <w:bCs/>
        </w:rPr>
        <w:t>infection.</w:t>
      </w:r>
    </w:p>
    <w:p w:rsidR="00D470CB" w:rsidRDefault="00D470CB" w:rsidP="00D470CB">
      <w:pPr>
        <w:pStyle w:val="Heading3"/>
      </w:pPr>
      <w:bookmarkStart w:id="24" w:name="_Toc521411065"/>
      <w:bookmarkStart w:id="25" w:name="_Toc535416845"/>
      <w:r>
        <w:t>Clinical rationale</w:t>
      </w:r>
      <w:bookmarkEnd w:id="24"/>
      <w:bookmarkEnd w:id="25"/>
    </w:p>
    <w:p w:rsidR="00182466" w:rsidRDefault="00D470CB" w:rsidP="00D470CB">
      <w:r w:rsidRPr="00234375">
        <w:t>Influenza is a highly infectious disease that occurs in epidemics</w:t>
      </w:r>
      <w:r>
        <w:t xml:space="preserve"> </w:t>
      </w:r>
      <w:r w:rsidRPr="00234375">
        <w:t>throughout the Northern Hemisphere (NH) and Southern Hemisphere (SH) winter months.</w:t>
      </w:r>
      <w:r>
        <w:t xml:space="preserve"> Trivalent inactivated </w:t>
      </w:r>
      <w:r w:rsidRPr="00234375">
        <w:t>and live attenuated influenza vaccines have been the mainstay of</w:t>
      </w:r>
      <w:r>
        <w:t xml:space="preserve"> </w:t>
      </w:r>
      <w:r w:rsidRPr="00234375">
        <w:t xml:space="preserve">influenza prevention. </w:t>
      </w:r>
      <w:r w:rsidRPr="00592550">
        <w:rPr>
          <w:rFonts w:eastAsiaTheme="minorHAnsi" w:cs="ArialMT"/>
          <w:color w:val="262626"/>
        </w:rPr>
        <w:t>Each year in</w:t>
      </w:r>
      <w:r>
        <w:rPr>
          <w:rFonts w:eastAsiaTheme="minorHAnsi" w:cs="ArialMT"/>
          <w:color w:val="262626"/>
        </w:rPr>
        <w:t xml:space="preserve"> Australia, influenza infection a</w:t>
      </w:r>
      <w:r w:rsidRPr="00592550">
        <w:rPr>
          <w:rFonts w:eastAsiaTheme="minorHAnsi" w:cs="ArialMT"/>
          <w:color w:val="262626"/>
        </w:rPr>
        <w:t xml:space="preserve">ffects </w:t>
      </w:r>
      <w:r>
        <w:rPr>
          <w:rFonts w:eastAsiaTheme="minorHAnsi" w:cs="ArialMT"/>
          <w:color w:val="262626"/>
        </w:rPr>
        <w:t>~</w:t>
      </w:r>
      <w:r w:rsidRPr="00592550">
        <w:rPr>
          <w:rFonts w:eastAsiaTheme="minorHAnsi" w:cs="ArialMT"/>
          <w:color w:val="262626"/>
        </w:rPr>
        <w:t>5-10% of the general population, up to 20% in</w:t>
      </w:r>
      <w:r>
        <w:rPr>
          <w:rFonts w:eastAsiaTheme="minorHAnsi" w:cs="ArialMT"/>
          <w:color w:val="262626"/>
        </w:rPr>
        <w:t xml:space="preserve"> </w:t>
      </w:r>
      <w:r w:rsidRPr="00592550">
        <w:rPr>
          <w:rFonts w:eastAsiaTheme="minorHAnsi" w:cs="ArialMT"/>
          <w:color w:val="262626"/>
        </w:rPr>
        <w:t>some years</w:t>
      </w:r>
      <w:r>
        <w:rPr>
          <w:rFonts w:eastAsiaTheme="minorHAnsi" w:cs="ArialMT"/>
          <w:color w:val="262626"/>
        </w:rPr>
        <w:t xml:space="preserve">. </w:t>
      </w:r>
      <w:r w:rsidRPr="00592550">
        <w:rPr>
          <w:rFonts w:eastAsiaTheme="minorHAnsi" w:cs="ArialMT"/>
          <w:color w:val="333333"/>
        </w:rPr>
        <w:t xml:space="preserve">Among Australian patients </w:t>
      </w:r>
      <w:r>
        <w:rPr>
          <w:rFonts w:eastAsiaTheme="minorHAnsi" w:cs="ArialMT"/>
          <w:color w:val="333333"/>
        </w:rPr>
        <w:t>aged ≥</w:t>
      </w:r>
      <w:r w:rsidRPr="00592550">
        <w:rPr>
          <w:rFonts w:eastAsiaTheme="minorHAnsi" w:cs="ArialMT"/>
          <w:color w:val="333333"/>
        </w:rPr>
        <w:t>50 years, influenza is</w:t>
      </w:r>
      <w:r>
        <w:rPr>
          <w:rFonts w:eastAsiaTheme="minorHAnsi" w:cs="ArialMT"/>
          <w:color w:val="262626"/>
        </w:rPr>
        <w:t xml:space="preserve"> </w:t>
      </w:r>
      <w:r w:rsidRPr="00592550">
        <w:rPr>
          <w:rFonts w:eastAsiaTheme="minorHAnsi" w:cs="ArialMT"/>
          <w:color w:val="333333"/>
        </w:rPr>
        <w:t xml:space="preserve">annually associated with </w:t>
      </w:r>
      <w:r>
        <w:rPr>
          <w:rFonts w:eastAsiaTheme="minorHAnsi" w:cs="ArialMT"/>
          <w:color w:val="262626"/>
        </w:rPr>
        <w:t>&gt;</w:t>
      </w:r>
      <w:r w:rsidRPr="00592550">
        <w:rPr>
          <w:rFonts w:eastAsiaTheme="minorHAnsi" w:cs="ArialMT"/>
          <w:color w:val="262626"/>
        </w:rPr>
        <w:t>3,000 deaths</w:t>
      </w:r>
      <w:r>
        <w:rPr>
          <w:rFonts w:eastAsiaTheme="minorHAnsi" w:cs="ArialMT"/>
          <w:color w:val="262626"/>
        </w:rPr>
        <w:t xml:space="preserve"> and &gt;</w:t>
      </w:r>
      <w:r w:rsidRPr="00592550">
        <w:rPr>
          <w:rFonts w:eastAsiaTheme="minorHAnsi" w:cs="ArialMT"/>
          <w:color w:val="262626"/>
        </w:rPr>
        <w:t>13,</w:t>
      </w:r>
      <w:r w:rsidRPr="00592550">
        <w:rPr>
          <w:rFonts w:eastAsiaTheme="minorHAnsi" w:cs="ArialMT"/>
          <w:color w:val="333333"/>
        </w:rPr>
        <w:t>5</w:t>
      </w:r>
      <w:r w:rsidRPr="00592550">
        <w:rPr>
          <w:rFonts w:eastAsiaTheme="minorHAnsi" w:cs="ArialMT"/>
          <w:color w:val="262626"/>
        </w:rPr>
        <w:t>00 hospitalisations</w:t>
      </w:r>
      <w:r>
        <w:rPr>
          <w:rFonts w:eastAsiaTheme="minorHAnsi" w:cs="ArialMT"/>
          <w:color w:val="262626"/>
        </w:rPr>
        <w:t xml:space="preserve">. </w:t>
      </w:r>
      <w:r w:rsidRPr="00652957">
        <w:t>Two genetically distinct lineages of influenza B viruses have co-circulated since 1985</w:t>
      </w:r>
      <w:r>
        <w:rPr>
          <w:rFonts w:eastAsiaTheme="minorHAnsi" w:cs="ArialMT"/>
          <w:color w:val="262626"/>
        </w:rPr>
        <w:t xml:space="preserve"> </w:t>
      </w:r>
      <w:r w:rsidRPr="00652957">
        <w:t>(</w:t>
      </w:r>
      <w:proofErr w:type="spellStart"/>
      <w:r>
        <w:t>Rota</w:t>
      </w:r>
      <w:proofErr w:type="spellEnd"/>
      <w:r w:rsidRPr="00652957">
        <w:t>). On average, influenza B strain accounts for approximately 25% of</w:t>
      </w:r>
      <w:r>
        <w:rPr>
          <w:rFonts w:eastAsiaTheme="minorHAnsi" w:cs="ArialMT"/>
          <w:color w:val="262626"/>
        </w:rPr>
        <w:t xml:space="preserve"> </w:t>
      </w:r>
      <w:r w:rsidRPr="00652957">
        <w:t>positive specimens in the US (</w:t>
      </w:r>
      <w:r>
        <w:t>Ambrose</w:t>
      </w:r>
      <w:r w:rsidRPr="00652957">
        <w:t>)</w:t>
      </w:r>
      <w:r w:rsidR="00182466">
        <w:t>.</w:t>
      </w:r>
    </w:p>
    <w:p w:rsidR="00D470CB" w:rsidRPr="00652957" w:rsidRDefault="00D470CB" w:rsidP="00D470CB">
      <w:pPr>
        <w:rPr>
          <w:rFonts w:eastAsiaTheme="minorHAnsi" w:cs="ArialMT"/>
          <w:color w:val="262626"/>
        </w:rPr>
      </w:pPr>
      <w:r w:rsidRPr="00652957">
        <w:lastRenderedPageBreak/>
        <w:t>The burden of infection due to</w:t>
      </w:r>
      <w:r>
        <w:rPr>
          <w:rFonts w:eastAsiaTheme="minorHAnsi" w:cs="ArialMT"/>
          <w:color w:val="262626"/>
        </w:rPr>
        <w:t xml:space="preserve"> </w:t>
      </w:r>
      <w:r w:rsidRPr="00652957">
        <w:t>influenza B is largely school age children, young adults and the elderly; however, young</w:t>
      </w:r>
      <w:r>
        <w:rPr>
          <w:rFonts w:eastAsiaTheme="minorHAnsi" w:cs="ArialMT"/>
          <w:color w:val="262626"/>
        </w:rPr>
        <w:t xml:space="preserve"> </w:t>
      </w:r>
      <w:r w:rsidRPr="00652957">
        <w:t>children experience the highest mortality with 34% of reported paediatric influenza deaths in</w:t>
      </w:r>
      <w:r>
        <w:rPr>
          <w:rFonts w:eastAsiaTheme="minorHAnsi" w:cs="ArialMT"/>
          <w:color w:val="262626"/>
        </w:rPr>
        <w:t xml:space="preserve"> </w:t>
      </w:r>
      <w:r w:rsidRPr="00652957">
        <w:t>the US due to B strain infections (</w:t>
      </w:r>
      <w:proofErr w:type="spellStart"/>
      <w:r>
        <w:t>Belshe</w:t>
      </w:r>
      <w:proofErr w:type="spellEnd"/>
      <w:r w:rsidRPr="00652957">
        <w:t>). Mismatches between the B strain in the</w:t>
      </w:r>
      <w:r>
        <w:rPr>
          <w:rFonts w:eastAsiaTheme="minorHAnsi" w:cs="ArialMT"/>
          <w:color w:val="262626"/>
        </w:rPr>
        <w:t xml:space="preserve"> </w:t>
      </w:r>
      <w:r w:rsidRPr="00652957">
        <w:t>vaccine and the circulating strain occur in approximately 5 out of every 10 influenza seasons</w:t>
      </w:r>
      <w:r>
        <w:rPr>
          <w:rFonts w:eastAsiaTheme="minorHAnsi" w:cs="ArialMT"/>
          <w:color w:val="262626"/>
        </w:rPr>
        <w:t xml:space="preserve"> </w:t>
      </w:r>
      <w:r w:rsidRPr="00652957">
        <w:t>(</w:t>
      </w:r>
      <w:proofErr w:type="spellStart"/>
      <w:r>
        <w:t>Belshe</w:t>
      </w:r>
      <w:proofErr w:type="spellEnd"/>
      <w:r w:rsidRPr="00652957">
        <w:t xml:space="preserve">). The </w:t>
      </w:r>
      <w:r>
        <w:t xml:space="preserve">US </w:t>
      </w:r>
      <w:proofErr w:type="spellStart"/>
      <w:r w:rsidRPr="00652957">
        <w:t>Centers</w:t>
      </w:r>
      <w:proofErr w:type="spellEnd"/>
      <w:r w:rsidRPr="00652957">
        <w:t xml:space="preserve"> for </w:t>
      </w:r>
      <w:r>
        <w:t xml:space="preserve">Disease Control and Prevention </w:t>
      </w:r>
      <w:r w:rsidRPr="00652957">
        <w:t>has estimated that in</w:t>
      </w:r>
      <w:r>
        <w:rPr>
          <w:rFonts w:eastAsiaTheme="minorHAnsi" w:cs="ArialMT"/>
          <w:color w:val="262626"/>
        </w:rPr>
        <w:t xml:space="preserve"> </w:t>
      </w:r>
      <w:r w:rsidRPr="00652957">
        <w:t>a season where there is a B strain mismatch, availability of QIVs could have reduced annual</w:t>
      </w:r>
      <w:r>
        <w:rPr>
          <w:rFonts w:eastAsiaTheme="minorHAnsi" w:cs="ArialMT"/>
          <w:color w:val="262626"/>
        </w:rPr>
        <w:t xml:space="preserve"> </w:t>
      </w:r>
      <w:r w:rsidRPr="00652957">
        <w:t>influenza cases (range: 2200–970,000), hospitalisation’s (range: 14–8200), and deaths (range:</w:t>
      </w:r>
      <w:r>
        <w:rPr>
          <w:rFonts w:eastAsiaTheme="minorHAnsi" w:cs="ArialMT"/>
          <w:color w:val="262626"/>
        </w:rPr>
        <w:t xml:space="preserve"> </w:t>
      </w:r>
      <w:r w:rsidRPr="00652957">
        <w:t>1–485) in the US (</w:t>
      </w:r>
      <w:r>
        <w:t>Reed</w:t>
      </w:r>
      <w:r w:rsidRPr="00652957">
        <w:t>). These findings are similar in Australia whereby data</w:t>
      </w:r>
      <w:r>
        <w:rPr>
          <w:rFonts w:eastAsiaTheme="minorHAnsi" w:cs="ArialMT"/>
          <w:color w:val="262626"/>
        </w:rPr>
        <w:t xml:space="preserve"> </w:t>
      </w:r>
      <w:r w:rsidRPr="00652957">
        <w:t>collected from 2000 to 2011 revealed poor matches with the recommended vaccine virus and</w:t>
      </w:r>
      <w:r>
        <w:rPr>
          <w:rFonts w:eastAsiaTheme="minorHAnsi" w:cs="ArialMT"/>
          <w:color w:val="262626"/>
        </w:rPr>
        <w:t xml:space="preserve"> </w:t>
      </w:r>
      <w:r w:rsidRPr="00652957">
        <w:t>the circulating B-lineage virus in 4 of the 12 years reviewed, and partial matches in 3 out of</w:t>
      </w:r>
      <w:r>
        <w:rPr>
          <w:rFonts w:eastAsiaTheme="minorHAnsi" w:cs="ArialMT"/>
          <w:color w:val="262626"/>
        </w:rPr>
        <w:t xml:space="preserve"> </w:t>
      </w:r>
      <w:r w:rsidRPr="00652957">
        <w:t>12 influenza seasons (</w:t>
      </w:r>
      <w:r>
        <w:t>Barr</w:t>
      </w:r>
      <w:r w:rsidRPr="00652957">
        <w:t>).</w:t>
      </w:r>
    </w:p>
    <w:p w:rsidR="00D470CB" w:rsidRDefault="00D470CB" w:rsidP="00D470CB">
      <w:r w:rsidRPr="00652957">
        <w:t xml:space="preserve">The avoidance of this B strain mismatch has been one of the main drivers of the development of (and approval) of </w:t>
      </w:r>
      <w:proofErr w:type="spellStart"/>
      <w:r w:rsidRPr="00652957">
        <w:t>quadrivalent</w:t>
      </w:r>
      <w:proofErr w:type="spellEnd"/>
      <w:r w:rsidRPr="00652957">
        <w:t xml:space="preserve"> vaccines with representative strains of both major B strain lineages.</w:t>
      </w:r>
      <w:r>
        <w:rPr>
          <w:rFonts w:eastAsiaTheme="minorHAnsi"/>
          <w:bCs/>
        </w:rPr>
        <w:t xml:space="preserve"> </w:t>
      </w:r>
      <w:r>
        <w:t>While Afluria Quad is now approved for use in those aged 18 years and older, this application seeks to extend the indication to children aged 5 years or older, in order to minimise the effects of “B’ strain mismatch in the annual vaccine, and the morbidity and mortality costs associated with this mismatch when it does occur.</w:t>
      </w:r>
    </w:p>
    <w:p w:rsidR="00D470CB" w:rsidRDefault="00D470CB" w:rsidP="00D470CB">
      <w:pPr>
        <w:pStyle w:val="Heading3"/>
      </w:pPr>
      <w:bookmarkStart w:id="26" w:name="_Toc521411066"/>
      <w:bookmarkStart w:id="27" w:name="_Toc535416846"/>
      <w:r>
        <w:t>Formulation</w:t>
      </w:r>
      <w:bookmarkEnd w:id="26"/>
      <w:bookmarkEnd w:id="27"/>
    </w:p>
    <w:p w:rsidR="00D470CB" w:rsidRDefault="00D470CB" w:rsidP="00D470CB">
      <w:pPr>
        <w:pStyle w:val="Heading4"/>
      </w:pPr>
      <w:r>
        <w:t>Formulation development</w:t>
      </w:r>
    </w:p>
    <w:p w:rsidR="00D470CB" w:rsidRDefault="00D470CB" w:rsidP="00D470CB">
      <w:r w:rsidRPr="00DD7A06">
        <w:t>The vaccine is a clear to slightly opaque liquid containing some sediment which readily</w:t>
      </w:r>
      <w:r>
        <w:t xml:space="preserve"> </w:t>
      </w:r>
      <w:r w:rsidRPr="00DD7A06">
        <w:t>resuspends upon shaking and meets the requirements of the harmonized British</w:t>
      </w:r>
      <w:r>
        <w:t xml:space="preserve"> </w:t>
      </w:r>
      <w:r w:rsidRPr="00DD7A06">
        <w:t xml:space="preserve">Pharmacopoeia Volume IV Immunological Products Vaccines </w:t>
      </w:r>
      <w:r w:rsidRPr="00DD7A06">
        <w:rPr>
          <w:rFonts w:cs="TimesNewRoman,Italic"/>
          <w:i/>
          <w:iCs/>
        </w:rPr>
        <w:t>Inactivated Influenza Vaccine</w:t>
      </w:r>
      <w:r>
        <w:rPr>
          <w:rFonts w:cs="TimesNewRoman,Italic"/>
          <w:i/>
          <w:iCs/>
        </w:rPr>
        <w:t xml:space="preserve"> </w:t>
      </w:r>
      <w:r w:rsidRPr="00DD7A06">
        <w:rPr>
          <w:rFonts w:cs="TimesNewRoman,Italic"/>
          <w:i/>
          <w:iCs/>
        </w:rPr>
        <w:t xml:space="preserve">(Split </w:t>
      </w:r>
      <w:proofErr w:type="spellStart"/>
      <w:r w:rsidRPr="00DD7A06">
        <w:rPr>
          <w:rFonts w:cs="TimesNewRoman,Italic"/>
          <w:i/>
          <w:iCs/>
        </w:rPr>
        <w:t>Virion</w:t>
      </w:r>
      <w:proofErr w:type="spellEnd"/>
      <w:r w:rsidRPr="00DD7A06">
        <w:rPr>
          <w:rFonts w:cs="TimesNewRoman,Italic"/>
          <w:i/>
          <w:iCs/>
        </w:rPr>
        <w:t xml:space="preserve">) </w:t>
      </w:r>
      <w:r w:rsidRPr="00DD7A06">
        <w:t xml:space="preserve">and European Pharmacopeia Monograph 0158 </w:t>
      </w:r>
      <w:r w:rsidRPr="00DD7A06">
        <w:rPr>
          <w:rFonts w:cs="TimesNewRoman,Italic"/>
          <w:i/>
          <w:iCs/>
        </w:rPr>
        <w:t xml:space="preserve">Influenza Vaccine (Split </w:t>
      </w:r>
      <w:proofErr w:type="spellStart"/>
      <w:r w:rsidRPr="00DD7A06">
        <w:rPr>
          <w:rFonts w:cs="TimesNewRoman,Italic"/>
          <w:i/>
          <w:iCs/>
        </w:rPr>
        <w:t>Virion</w:t>
      </w:r>
      <w:proofErr w:type="spellEnd"/>
      <w:r w:rsidRPr="00DD7A06">
        <w:rPr>
          <w:rFonts w:cs="TimesNewRoman,Italic"/>
          <w:i/>
          <w:iCs/>
        </w:rPr>
        <w:t>,</w:t>
      </w:r>
      <w:r>
        <w:rPr>
          <w:rFonts w:cs="TimesNewRoman,Italic"/>
          <w:i/>
          <w:iCs/>
        </w:rPr>
        <w:t xml:space="preserve"> </w:t>
      </w:r>
      <w:r w:rsidRPr="00DD7A06">
        <w:rPr>
          <w:rFonts w:cs="TimesNewRoman,Italic"/>
          <w:i/>
          <w:iCs/>
        </w:rPr>
        <w:t>Inactivated)</w:t>
      </w:r>
      <w:r w:rsidRPr="00DD7A06">
        <w:t>.</w:t>
      </w:r>
    </w:p>
    <w:p w:rsidR="00D470CB" w:rsidRPr="002A65D5" w:rsidRDefault="00D470CB" w:rsidP="00D470CB">
      <w:pPr>
        <w:rPr>
          <w:rFonts w:eastAsia="TimesNewRomanPSMT" w:cs="TimesNewRomanPSMT"/>
        </w:rPr>
      </w:pPr>
      <w:r w:rsidRPr="002A65D5">
        <w:rPr>
          <w:rFonts w:eastAsia="TimesNewRomanPSMT" w:cs="TimesNewRomanPSMT"/>
        </w:rPr>
        <w:t>The manufacturing process for QIV has been based on the process used for the manufacture</w:t>
      </w:r>
      <w:r>
        <w:rPr>
          <w:rFonts w:eastAsia="TimesNewRomanPSMT" w:cs="TimesNewRomanPSMT"/>
        </w:rPr>
        <w:t xml:space="preserve"> </w:t>
      </w:r>
      <w:r w:rsidRPr="002A65D5">
        <w:rPr>
          <w:rFonts w:eastAsia="TimesNewRomanPSMT" w:cs="TimesNewRomanPSMT"/>
        </w:rPr>
        <w:t xml:space="preserve">of Trivalent Influenza Vaccine (TIV, </w:t>
      </w:r>
      <w:proofErr w:type="spellStart"/>
      <w:r w:rsidRPr="002A65D5">
        <w:rPr>
          <w:rFonts w:eastAsia="TimesNewRomanPSMT" w:cs="TimesNewRomanPSMT"/>
        </w:rPr>
        <w:t>Fluvax</w:t>
      </w:r>
      <w:proofErr w:type="spellEnd"/>
      <w:r w:rsidRPr="002A65D5">
        <w:rPr>
          <w:rFonts w:eastAsia="TimesNewRomanPSMT" w:cs="TimesNewRomanPSMT"/>
        </w:rPr>
        <w:t>) and involves the combination of four influenza</w:t>
      </w:r>
      <w:r>
        <w:rPr>
          <w:rFonts w:eastAsia="TimesNewRomanPSMT" w:cs="TimesNewRomanPSMT"/>
        </w:rPr>
        <w:t xml:space="preserve"> </w:t>
      </w:r>
      <w:r w:rsidRPr="002A65D5">
        <w:rPr>
          <w:rFonts w:eastAsia="TimesNewRomanPSMT" w:cs="TimesNewRomanPSMT"/>
        </w:rPr>
        <w:t>virus strains and Vaccine Diluent in suitable proportions to ensure a minimum concentration</w:t>
      </w:r>
      <w:r>
        <w:rPr>
          <w:rFonts w:eastAsia="TimesNewRomanPSMT" w:cs="TimesNewRomanPSMT"/>
        </w:rPr>
        <w:t xml:space="preserve"> </w:t>
      </w:r>
      <w:r w:rsidRPr="002A65D5">
        <w:rPr>
          <w:rFonts w:eastAsia="TimesNewRomanPSMT" w:cs="TimesNewRomanPSMT"/>
        </w:rPr>
        <w:t>of 30</w:t>
      </w:r>
      <w:r>
        <w:rPr>
          <w:rFonts w:eastAsia="TimesNewRomanPSMT" w:cs="TimesNewRomanPSMT"/>
        </w:rPr>
        <w:t> </w:t>
      </w:r>
      <w:r w:rsidRPr="002A65D5">
        <w:rPr>
          <w:rFonts w:eastAsia="TimesNewRomanPSMT" w:cs="TimesNewRomanPSMT"/>
        </w:rPr>
        <w:t xml:space="preserve">mcg/mL of the influenza virus antigen, </w:t>
      </w:r>
      <w:proofErr w:type="spellStart"/>
      <w:r>
        <w:rPr>
          <w:rFonts w:eastAsia="TimesNewRomanPSMT" w:cs="TimesNewRomanPSMT"/>
        </w:rPr>
        <w:t>h</w:t>
      </w:r>
      <w:r w:rsidRPr="002A65D5">
        <w:rPr>
          <w:rFonts w:eastAsia="TimesNewRomanPSMT" w:cs="TimesNewRomanPSMT"/>
        </w:rPr>
        <w:t>aemagglutinin</w:t>
      </w:r>
      <w:proofErr w:type="spellEnd"/>
      <w:r w:rsidRPr="002A65D5">
        <w:rPr>
          <w:rFonts w:eastAsia="TimesNewRomanPSMT" w:cs="TimesNewRomanPSMT"/>
        </w:rPr>
        <w:t xml:space="preserve"> (HA), is present per strain.</w:t>
      </w:r>
    </w:p>
    <w:p w:rsidR="00D470CB" w:rsidRPr="002A65D5" w:rsidRDefault="00D470CB" w:rsidP="00D470CB">
      <w:pPr>
        <w:rPr>
          <w:rFonts w:eastAsia="TimesNewRomanPSMT" w:cs="TimesNewRomanPSMT"/>
        </w:rPr>
      </w:pPr>
      <w:r w:rsidRPr="002A65D5">
        <w:rPr>
          <w:rFonts w:eastAsia="TimesNewRomanPSMT" w:cs="TimesNewRomanPSMT"/>
        </w:rPr>
        <w:t>The formulation process for QIV is consistent with that of TIV. The only exception is that</w:t>
      </w:r>
      <w:r>
        <w:rPr>
          <w:rFonts w:eastAsia="TimesNewRomanPSMT" w:cs="TimesNewRomanPSMT"/>
        </w:rPr>
        <w:t xml:space="preserve"> </w:t>
      </w:r>
      <w:r w:rsidRPr="002A65D5">
        <w:rPr>
          <w:rFonts w:eastAsia="TimesNewRomanPSMT" w:cs="TimesNewRomanPSMT"/>
        </w:rPr>
        <w:t>QIV involves the combination of four rather than three influenza virus strains with Vaccine</w:t>
      </w:r>
      <w:r>
        <w:rPr>
          <w:rFonts w:eastAsia="TimesNewRomanPSMT" w:cs="TimesNewRomanPSMT"/>
        </w:rPr>
        <w:t xml:space="preserve"> </w:t>
      </w:r>
      <w:r w:rsidRPr="002A65D5">
        <w:rPr>
          <w:rFonts w:eastAsia="TimesNewRomanPSMT" w:cs="TimesNewRomanPSMT"/>
        </w:rPr>
        <w:t>Diluent in suitable proportions to ensure a minimum concentration of 30 mcg/mL of the</w:t>
      </w:r>
      <w:r>
        <w:rPr>
          <w:rFonts w:eastAsia="TimesNewRomanPSMT" w:cs="TimesNewRomanPSMT"/>
        </w:rPr>
        <w:t xml:space="preserve"> </w:t>
      </w:r>
      <w:r w:rsidRPr="002A65D5">
        <w:rPr>
          <w:rFonts w:eastAsia="TimesNewRomanPSMT" w:cs="TimesNewRomanPSMT"/>
        </w:rPr>
        <w:t xml:space="preserve">influenza virus antigen, </w:t>
      </w:r>
      <w:proofErr w:type="spellStart"/>
      <w:r>
        <w:rPr>
          <w:rFonts w:eastAsia="TimesNewRomanPSMT" w:cs="TimesNewRomanPSMT"/>
        </w:rPr>
        <w:t>h</w:t>
      </w:r>
      <w:r w:rsidRPr="002A65D5">
        <w:rPr>
          <w:rFonts w:eastAsia="TimesNewRomanPSMT" w:cs="TimesNewRomanPSMT"/>
        </w:rPr>
        <w:t>aemagglutinin</w:t>
      </w:r>
      <w:proofErr w:type="spellEnd"/>
      <w:r w:rsidRPr="002A65D5">
        <w:rPr>
          <w:rFonts w:eastAsia="TimesNewRomanPSMT" w:cs="TimesNewRomanPSMT"/>
        </w:rPr>
        <w:t xml:space="preserve"> (HA), per strain.</w:t>
      </w:r>
    </w:p>
    <w:p w:rsidR="00182466" w:rsidRDefault="00D470CB" w:rsidP="00D470CB">
      <w:pPr>
        <w:rPr>
          <w:rFonts w:eastAsiaTheme="minorHAnsi" w:cs="Arial"/>
        </w:rPr>
      </w:pPr>
      <w:r w:rsidRPr="002A65D5">
        <w:rPr>
          <w:rFonts w:eastAsiaTheme="minorHAnsi" w:cs="Arial"/>
        </w:rPr>
        <w:t xml:space="preserve">This is a purified, inactivated, split </w:t>
      </w:r>
      <w:proofErr w:type="spellStart"/>
      <w:r w:rsidRPr="002A65D5">
        <w:rPr>
          <w:rFonts w:eastAsiaTheme="minorHAnsi" w:cs="Arial"/>
        </w:rPr>
        <w:t>virion</w:t>
      </w:r>
      <w:proofErr w:type="spellEnd"/>
      <w:r w:rsidRPr="002A65D5">
        <w:rPr>
          <w:rFonts w:eastAsiaTheme="minorHAnsi" w:cs="Arial"/>
        </w:rPr>
        <w:t xml:space="preserve"> (split virus) vac</w:t>
      </w:r>
      <w:r>
        <w:rPr>
          <w:rFonts w:eastAsiaTheme="minorHAnsi" w:cs="Arial"/>
        </w:rPr>
        <w:t>cine. Each 0.5 mL dose contains a</w:t>
      </w:r>
      <w:r w:rsidRPr="002A65D5">
        <w:rPr>
          <w:rFonts w:eastAsiaTheme="minorHAnsi" w:cs="Arial"/>
        </w:rPr>
        <w:t>ntigens for the 2017 influenza season representative of the following types:</w:t>
      </w:r>
    </w:p>
    <w:p w:rsidR="00D470CB" w:rsidRPr="00182466" w:rsidRDefault="00D470CB" w:rsidP="00182466">
      <w:pPr>
        <w:pStyle w:val="ListBullet"/>
      </w:pPr>
      <w:r w:rsidRPr="00182466">
        <w:t>A/Singapore/GP1908/2015 (A/Michigan/45/2015 (H1N1) – like):15 µµg HA per dose;</w:t>
      </w:r>
    </w:p>
    <w:p w:rsidR="00D470CB" w:rsidRPr="00182466" w:rsidRDefault="00D470CB" w:rsidP="00182466">
      <w:pPr>
        <w:pStyle w:val="ListBullet"/>
      </w:pPr>
      <w:r w:rsidRPr="00182466">
        <w:t>A/Hong Kong/4801/2014 (NYMC X-263B) (A/Hong Kong/4801/2014 (H3N2) – like):15 µg HA per dose;</w:t>
      </w:r>
    </w:p>
    <w:p w:rsidR="00D470CB" w:rsidRPr="00182466" w:rsidRDefault="00D470CB" w:rsidP="00182466">
      <w:pPr>
        <w:pStyle w:val="ListBullet"/>
      </w:pPr>
      <w:r w:rsidRPr="00182466">
        <w:t>B/Phuket/3703/2013 (B/Phuket/3073/2013- like):15 µg HA per dose;</w:t>
      </w:r>
    </w:p>
    <w:p w:rsidR="00D470CB" w:rsidRPr="002A65D5" w:rsidRDefault="00D470CB" w:rsidP="00182466">
      <w:pPr>
        <w:pStyle w:val="ListBullet"/>
      </w:pPr>
      <w:r w:rsidRPr="00182466">
        <w:t>B/Brisbane</w:t>
      </w:r>
      <w:r w:rsidRPr="00D470CB">
        <w:t>/46/</w:t>
      </w:r>
      <w:r w:rsidRPr="002A65D5">
        <w:t xml:space="preserve">2015 (B/Brisbane/60/2008 - like): 15 </w:t>
      </w:r>
      <w:r>
        <w:t>µ</w:t>
      </w:r>
      <w:r w:rsidRPr="002A65D5">
        <w:t xml:space="preserve">g </w:t>
      </w:r>
      <w:r>
        <w:t>HA</w:t>
      </w:r>
      <w:r w:rsidRPr="002A65D5">
        <w:t xml:space="preserve"> per dose</w:t>
      </w:r>
      <w:r>
        <w:t>.</w:t>
      </w:r>
    </w:p>
    <w:p w:rsidR="00D470CB" w:rsidRPr="00182466" w:rsidRDefault="00D470CB" w:rsidP="00182466">
      <w:pPr>
        <w:pStyle w:val="Heading4"/>
      </w:pPr>
      <w:r w:rsidRPr="00182466">
        <w:t>Excipients</w:t>
      </w:r>
    </w:p>
    <w:p w:rsidR="00D470CB" w:rsidRDefault="00D470CB" w:rsidP="00D470CB">
      <w:pPr>
        <w:rPr>
          <w:lang w:eastAsia="ja-JP"/>
        </w:rPr>
      </w:pPr>
      <w:r>
        <w:rPr>
          <w:lang w:eastAsia="ja-JP"/>
        </w:rPr>
        <w:t>All excipients used in the manufacture of QIV are in compliance with the BP and/or Ph. Eur. and/or USP monographs.</w:t>
      </w:r>
    </w:p>
    <w:p w:rsidR="00D470CB" w:rsidRPr="00182466" w:rsidRDefault="00D470CB" w:rsidP="00182466">
      <w:pPr>
        <w:pStyle w:val="Heading3"/>
      </w:pPr>
      <w:bookmarkStart w:id="28" w:name="_Toc521411067"/>
      <w:bookmarkStart w:id="29" w:name="_Toc535416847"/>
      <w:r w:rsidRPr="00182466">
        <w:lastRenderedPageBreak/>
        <w:t>Guidance</w:t>
      </w:r>
      <w:bookmarkEnd w:id="28"/>
      <w:bookmarkEnd w:id="29"/>
    </w:p>
    <w:p w:rsidR="00182466" w:rsidRDefault="00D470CB" w:rsidP="00D470CB">
      <w:pPr>
        <w:rPr>
          <w:color w:val="000000"/>
        </w:rPr>
      </w:pPr>
      <w:r w:rsidRPr="000861CD">
        <w:t xml:space="preserve">At pre-submission meetings held with the TGA </w:t>
      </w:r>
      <w:r>
        <w:t>during</w:t>
      </w:r>
      <w:r w:rsidRPr="000861CD">
        <w:t xml:space="preserve"> 2016, </w:t>
      </w:r>
      <w:r>
        <w:t xml:space="preserve">the sponsor </w:t>
      </w:r>
      <w:r w:rsidRPr="000861CD">
        <w:t xml:space="preserve">discussed that data from a supportive TIV safety study (CSLCT-USF-10-69) would be included in this application. CSLCT-USF-10-69 is a Phase </w:t>
      </w:r>
      <w:r>
        <w:t>IV</w:t>
      </w:r>
      <w:r w:rsidRPr="000861CD">
        <w:t xml:space="preserve"> safety and tolerability study, with the primary objective to evaluate the frequency and intensity of fever in children aged 5 to &lt;9 </w:t>
      </w:r>
      <w:proofErr w:type="spellStart"/>
      <w:r w:rsidRPr="000861CD">
        <w:t>yrs</w:t>
      </w:r>
      <w:proofErr w:type="spellEnd"/>
      <w:r w:rsidRPr="000861CD">
        <w:t xml:space="preserve"> in the 7 days after each administration of the NH 2014-2015 influenza season. This study was felt to be relevant and informative to the paediatric clinical devel</w:t>
      </w:r>
      <w:r>
        <w:t>opment program for Afluria Quad</w:t>
      </w:r>
      <w:r w:rsidRPr="000861CD">
        <w:t>, as during the SH 2010 season, there was an unexpected increase in severe fever and fever related events observed in the paediatric population, increased reports of fever events were also observed in children aged 5 to &lt;9 yrs. Following the conclusion of the scientific investigations into the 2010 adverse events, it was thought that modification of the splitting conditions of the B strain by increasing the concentration of the splitting agent TDOC may reduce the potential for pyrogenic vaccine responses. Therefore before initiating the Afl</w:t>
      </w:r>
      <w:r>
        <w:t>uria Quad</w:t>
      </w:r>
      <w:r w:rsidRPr="000861CD">
        <w:t xml:space="preserve"> development program in persons aged less than 18 </w:t>
      </w:r>
      <w:proofErr w:type="spellStart"/>
      <w:r w:rsidRPr="000861CD">
        <w:t>yrs</w:t>
      </w:r>
      <w:proofErr w:type="spellEnd"/>
      <w:r w:rsidRPr="000861CD">
        <w:t xml:space="preserve">, </w:t>
      </w:r>
      <w:r>
        <w:t>Study CSL</w:t>
      </w:r>
      <w:r w:rsidRPr="000861CD">
        <w:t>CT-USF-10-69 was conducted to gather a contemporary fever rate in this age g</w:t>
      </w:r>
      <w:r>
        <w:t>rou</w:t>
      </w:r>
      <w:r w:rsidRPr="000861CD">
        <w:t xml:space="preserve">p, using the NH US licensed 2014-2015 </w:t>
      </w:r>
      <w:proofErr w:type="spellStart"/>
      <w:r w:rsidRPr="000861CD">
        <w:t>Seqirus</w:t>
      </w:r>
      <w:proofErr w:type="spellEnd"/>
      <w:r w:rsidRPr="000861CD">
        <w:t xml:space="preserve"> TIV formulation where the B strain was split with </w:t>
      </w:r>
      <w:r>
        <w:t>a higher concentration of</w:t>
      </w:r>
      <w:r w:rsidRPr="000861CD">
        <w:t xml:space="preserve"> TDOC</w:t>
      </w:r>
      <w:r w:rsidR="00182466">
        <w:rPr>
          <w:color w:val="000000"/>
        </w:rPr>
        <w:t>.</w:t>
      </w:r>
    </w:p>
    <w:p w:rsidR="00D470CB" w:rsidRPr="00AF4CB2" w:rsidRDefault="00D470CB" w:rsidP="00D470CB">
      <w:pPr>
        <w:rPr>
          <w:color w:val="000000" w:themeColor="text1"/>
        </w:rPr>
      </w:pPr>
      <w:r w:rsidRPr="00AF4CB2">
        <w:rPr>
          <w:color w:val="000000" w:themeColor="text1"/>
        </w:rPr>
        <w:t xml:space="preserve">As the Afluria Quad clinical development program for the adult and paediatric studies are closely related, the paediatric clinical information from </w:t>
      </w:r>
      <w:r>
        <w:rPr>
          <w:color w:val="000000" w:themeColor="text1"/>
        </w:rPr>
        <w:t>S</w:t>
      </w:r>
      <w:r w:rsidRPr="00AF4CB2">
        <w:rPr>
          <w:color w:val="000000" w:themeColor="text1"/>
        </w:rPr>
        <w:t xml:space="preserve">tudies CSLCT-QIV-13-02 and CSLCT-USF-10-69 have been integrated into the previously submitted and approved clinical overview and summary modules. Subsections have been created within these modules to include information from Study CSLCT-QIV-13-02 and CSLCT-USF-10-69 and existing headings amended to differentiate between the adult and paediatric sections, as required. </w:t>
      </w:r>
      <w:proofErr w:type="spellStart"/>
      <w:r w:rsidRPr="00AF4CB2">
        <w:rPr>
          <w:color w:val="000000" w:themeColor="text1"/>
        </w:rPr>
        <w:t>Seqirus</w:t>
      </w:r>
      <w:proofErr w:type="spellEnd"/>
      <w:r w:rsidRPr="00AF4CB2">
        <w:rPr>
          <w:color w:val="000000" w:themeColor="text1"/>
        </w:rPr>
        <w:t xml:space="preserve"> has also updated the section within the </w:t>
      </w:r>
      <w:r w:rsidRPr="00AF4CB2">
        <w:rPr>
          <w:rFonts w:cs="TimesNewRoman,Bold"/>
          <w:bCs/>
          <w:color w:val="000000" w:themeColor="text1"/>
        </w:rPr>
        <w:t xml:space="preserve">Clinical Overview </w:t>
      </w:r>
      <w:r w:rsidRPr="00AF4CB2">
        <w:rPr>
          <w:color w:val="000000" w:themeColor="text1"/>
        </w:rPr>
        <w:t xml:space="preserve">regarding clinical lot-to-lot consistency rationale for Afluria Quad. This section now provides further explanation and clarity about demonstration of the lot-to-lot consistency for Afluria Quad, including demonstration of </w:t>
      </w:r>
      <w:proofErr w:type="spellStart"/>
      <w:r w:rsidRPr="00AF4CB2">
        <w:rPr>
          <w:color w:val="000000" w:themeColor="text1"/>
        </w:rPr>
        <w:t>lot</w:t>
      </w:r>
      <w:proofErr w:type="spellEnd"/>
      <w:r w:rsidRPr="00AF4CB2">
        <w:rPr>
          <w:color w:val="000000" w:themeColor="text1"/>
        </w:rPr>
        <w:t xml:space="preserve">-to-lot consistency of the immune response from clinical </w:t>
      </w:r>
      <w:r>
        <w:rPr>
          <w:color w:val="000000" w:themeColor="text1"/>
        </w:rPr>
        <w:t>Study CSL</w:t>
      </w:r>
      <w:r w:rsidRPr="00AF4CB2">
        <w:rPr>
          <w:color w:val="000000" w:themeColor="text1"/>
        </w:rPr>
        <w:t>CT-QIV-13-01, as well a summary of the number of influenza vaccine lots assessed over several seasons and influenza virus strains in the QIV development program.</w:t>
      </w:r>
    </w:p>
    <w:p w:rsidR="00D470CB" w:rsidRPr="00AF4CB2" w:rsidRDefault="00D470CB" w:rsidP="00D470CB">
      <w:pPr>
        <w:rPr>
          <w:color w:val="000000"/>
        </w:rPr>
      </w:pPr>
      <w:proofErr w:type="spellStart"/>
      <w:r w:rsidRPr="00AF4CB2">
        <w:rPr>
          <w:color w:val="000000"/>
        </w:rPr>
        <w:t>Seqirus</w:t>
      </w:r>
      <w:proofErr w:type="spellEnd"/>
      <w:r w:rsidRPr="00AF4CB2">
        <w:rPr>
          <w:color w:val="000000"/>
        </w:rPr>
        <w:t xml:space="preserve"> also recently received approval from the TGA (14 November 2016) to amend the Confidence Interval (CI) interval results for </w:t>
      </w:r>
      <w:r>
        <w:rPr>
          <w:color w:val="000000"/>
        </w:rPr>
        <w:t>Study CSL</w:t>
      </w:r>
      <w:r w:rsidRPr="00AF4CB2">
        <w:rPr>
          <w:color w:val="000000"/>
        </w:rPr>
        <w:t>CT-QIV-13-01 (conducted in adults) listed under the Clinical Trials section of the approved Afluria Quad Product Information (PI). This minor amendment was in response to a request by the US FDA during their recent evaluation of Afluria Quad to recalculate the non</w:t>
      </w:r>
      <w:r w:rsidR="008B267C">
        <w:rPr>
          <w:color w:val="000000"/>
        </w:rPr>
        <w:t>-</w:t>
      </w:r>
      <w:r w:rsidRPr="00AF4CB2">
        <w:rPr>
          <w:color w:val="000000"/>
        </w:rPr>
        <w:t>inferiority post</w:t>
      </w:r>
      <w:r w:rsidR="008B267C">
        <w:rPr>
          <w:color w:val="000000"/>
        </w:rPr>
        <w:t>-</w:t>
      </w:r>
      <w:r w:rsidRPr="00AF4CB2">
        <w:rPr>
          <w:color w:val="000000"/>
        </w:rPr>
        <w:t xml:space="preserve">vaccination geometric mean titre results and 95% CI using exact methods for the difference in seroconversion rates. </w:t>
      </w:r>
      <w:r w:rsidRPr="00AF4CB2">
        <w:t xml:space="preserve">Although these changes have no impact on the immunogenicity results of the </w:t>
      </w:r>
      <w:r>
        <w:t>Study CSL</w:t>
      </w:r>
      <w:r w:rsidRPr="00AF4CB2">
        <w:t>CT-QIV-13-01 or any change to the overall study conclusions, the sponsor has taken the opportunity to align the tables and figures with the TGA approved PI amendment for completeness</w:t>
      </w:r>
      <w:r w:rsidRPr="00AF4CB2">
        <w:rPr>
          <w:color w:val="000000" w:themeColor="text1"/>
        </w:rPr>
        <w:t>.</w:t>
      </w:r>
    </w:p>
    <w:p w:rsidR="00D470CB" w:rsidRDefault="00D470CB" w:rsidP="00D470CB">
      <w:pPr>
        <w:pStyle w:val="Heading3"/>
      </w:pPr>
      <w:bookmarkStart w:id="30" w:name="_Toc521411068"/>
      <w:bookmarkStart w:id="31" w:name="_Toc535416848"/>
      <w:r>
        <w:t>Evaluator’s commentary on the background information</w:t>
      </w:r>
      <w:bookmarkEnd w:id="30"/>
      <w:bookmarkEnd w:id="31"/>
    </w:p>
    <w:p w:rsidR="00D470CB" w:rsidRPr="007734F9" w:rsidRDefault="00D470CB" w:rsidP="00D470CB">
      <w:r w:rsidRPr="007734F9">
        <w:t xml:space="preserve">This background information provides the rationale for this product </w:t>
      </w:r>
      <w:bookmarkEnd w:id="6"/>
      <w:bookmarkEnd w:id="7"/>
      <w:r w:rsidRPr="007734F9">
        <w:t xml:space="preserve">including why the </w:t>
      </w:r>
      <w:r>
        <w:t>s</w:t>
      </w:r>
      <w:r w:rsidRPr="007734F9">
        <w:t xml:space="preserve">ponsor is seeking extension of its use to children aged 5 </w:t>
      </w:r>
      <w:proofErr w:type="spellStart"/>
      <w:r w:rsidRPr="007734F9">
        <w:t>yrs</w:t>
      </w:r>
      <w:proofErr w:type="spellEnd"/>
      <w:r w:rsidRPr="007734F9">
        <w:t xml:space="preserve"> or older.</w:t>
      </w:r>
    </w:p>
    <w:p w:rsidR="00D470CB" w:rsidRDefault="00D470CB" w:rsidP="00D470CB">
      <w:pPr>
        <w:pStyle w:val="Heading3"/>
      </w:pPr>
      <w:bookmarkStart w:id="32" w:name="_Toc521411069"/>
      <w:bookmarkStart w:id="33" w:name="_Toc535416849"/>
      <w:r>
        <w:t>Scope of the clinical dossier</w:t>
      </w:r>
      <w:bookmarkEnd w:id="32"/>
      <w:bookmarkEnd w:id="33"/>
    </w:p>
    <w:p w:rsidR="00D470CB" w:rsidRPr="000861CD" w:rsidRDefault="00D470CB" w:rsidP="00D470CB">
      <w:r w:rsidRPr="000861CD">
        <w:t>The submission contained the following clinical information:</w:t>
      </w:r>
    </w:p>
    <w:p w:rsidR="00182466" w:rsidRDefault="00D470CB" w:rsidP="00D470CB">
      <w:pPr>
        <w:pStyle w:val="ListBullet"/>
      </w:pPr>
      <w:r w:rsidRPr="00D470CB">
        <w:t>CSLCT-QIV-13-02: A Phase III, Randomised, Multicentre, Observer-Blinded, Non</w:t>
      </w:r>
      <w:r w:rsidR="008B267C">
        <w:t>-</w:t>
      </w:r>
      <w:r w:rsidRPr="00D470CB">
        <w:t xml:space="preserve">inferiority Study to Evaluate the Immunogenicity and Safety of a bioCSL </w:t>
      </w:r>
      <w:proofErr w:type="spellStart"/>
      <w:r w:rsidRPr="00D470CB">
        <w:t>Quadrivalent</w:t>
      </w:r>
      <w:proofErr w:type="spellEnd"/>
      <w:r w:rsidRPr="00D470CB">
        <w:t xml:space="preserve"> Inactivated Influenza Virus Vaccine (bioCSL QIV) with a US-Licensed 2015-2016 </w:t>
      </w:r>
      <w:proofErr w:type="spellStart"/>
      <w:r w:rsidRPr="00D470CB">
        <w:t>Quadrivalent</w:t>
      </w:r>
      <w:proofErr w:type="spellEnd"/>
      <w:r w:rsidRPr="00D470CB">
        <w:t xml:space="preserve"> Inactivated Comparator Influenza Vaccine (Comparator QIV) in a Paediatric Population 5 Through 17 Years of Age;</w:t>
      </w:r>
    </w:p>
    <w:p w:rsidR="00D470CB" w:rsidRPr="00D470CB" w:rsidRDefault="00D470CB" w:rsidP="00D470CB">
      <w:pPr>
        <w:pStyle w:val="ListBullet"/>
      </w:pPr>
      <w:r w:rsidRPr="00D470CB">
        <w:lastRenderedPageBreak/>
        <w:t>CSLCT-USF-10-69: A Phase IV, Multicentre, Randomised, Observer-blind, Parallel-arm Study to Evaluate the Safety and Tolerability of CSL’s Influenza Virus Vaccine in Children 5 to Less Than 9 Years of Age;</w:t>
      </w:r>
    </w:p>
    <w:p w:rsidR="00182466" w:rsidRDefault="00D470CB" w:rsidP="00D470CB">
      <w:pPr>
        <w:pStyle w:val="ListBullet"/>
      </w:pPr>
      <w:r w:rsidRPr="00D470CB">
        <w:t xml:space="preserve">Validation (by Focus Diagnostics, </w:t>
      </w:r>
      <w:proofErr w:type="spellStart"/>
      <w:r w:rsidRPr="00D470CB">
        <w:t>Inc</w:t>
      </w:r>
      <w:proofErr w:type="spellEnd"/>
      <w:r w:rsidRPr="00D470CB">
        <w:t xml:space="preserve">) of the </w:t>
      </w:r>
      <w:proofErr w:type="spellStart"/>
      <w:r w:rsidR="008B267C" w:rsidRPr="00D470CB">
        <w:t>Haemagglutination</w:t>
      </w:r>
      <w:proofErr w:type="spellEnd"/>
      <w:r w:rsidRPr="00D470CB">
        <w:t xml:space="preserve"> Inhibition (HAI) Test for Titrating Influenza A and B Specific Antibodies (TSOP.119.057) – [CSL: 2015-2016 Vaccine Strains </w:t>
      </w:r>
      <w:r w:rsidR="008F1442">
        <w:t>that is,</w:t>
      </w:r>
      <w:r w:rsidRPr="00D470CB">
        <w:t xml:space="preserve"> A/California/7/2009 (H1N1) A/South Australia/55/2014 (H3N2),B/Phuket/3073/2013, B/Brisbane/60/2008;</w:t>
      </w:r>
    </w:p>
    <w:p w:rsidR="00D470CB" w:rsidRPr="00D470CB" w:rsidRDefault="00D470CB" w:rsidP="00D470CB">
      <w:pPr>
        <w:pStyle w:val="ListBullet"/>
      </w:pPr>
      <w:r w:rsidRPr="00D470CB">
        <w:t xml:space="preserve">Addendum to clinical study report CSLCT-QIV-13-01 (A Phase III, Randomised, Multicentre, Double-Blinded Study to Evaluate the Immunogenicity and Safety of </w:t>
      </w:r>
      <w:proofErr w:type="spellStart"/>
      <w:r w:rsidRPr="00D470CB">
        <w:t>Quadrivalent</w:t>
      </w:r>
      <w:proofErr w:type="spellEnd"/>
      <w:r w:rsidRPr="00D470CB">
        <w:t xml:space="preserve"> Influenza Vaccine (CSL QIV) in Comparison with a US Licensed 2014-15 Trivalent Influenza Vaccine (CSL TIV-1), and a Trivalent Influenza Vaccine Containing the Alternate B Strain (CSL TIV-2), in Adults Aged 18 years and Above. This report is not directly relevant to this application. This addendum is to report responses to requests dated 20 May 2016 by the US FDA CBER for information additional to that in the final Clinical Study Report (CSR) for Study CSLCT QIV 13 01 dated 16 July 2015.</w:t>
      </w:r>
    </w:p>
    <w:p w:rsidR="00D470CB" w:rsidRPr="000861CD" w:rsidRDefault="00D470CB" w:rsidP="00D470CB">
      <w:r w:rsidRPr="000861CD">
        <w:t>In summary:</w:t>
      </w:r>
    </w:p>
    <w:p w:rsidR="00D470CB" w:rsidRPr="00D470CB" w:rsidRDefault="00D470CB" w:rsidP="00D470CB">
      <w:pPr>
        <w:pStyle w:val="ListBullet"/>
      </w:pPr>
      <w:r w:rsidRPr="00D470CB">
        <w:t xml:space="preserve">The non-inferiority post-vaccination geometric mean titre (GMT) analysis results of the CSR have been updated using the model specified in the Statistical Analysis Plan (SAP), namely: Log-transformed Post-vaccination HI Titre = Vaccine + Age </w:t>
      </w:r>
      <w:proofErr w:type="spellStart"/>
      <w:r w:rsidRPr="00D470CB">
        <w:t>Gp</w:t>
      </w:r>
      <w:proofErr w:type="spellEnd"/>
      <w:r w:rsidRPr="00D470CB">
        <w:t xml:space="preserve"> [18-49, 50-64, 65-74, ≥75] + Sex + Vaccination History [y/n] + Log-transformed Pre-vaccination HI Titre + Site. The model specification noted above excludes the non-significant age-by-vaccine interaction term.</w:t>
      </w:r>
    </w:p>
    <w:p w:rsidR="00D470CB" w:rsidRPr="00D470CB" w:rsidRDefault="00D470CB" w:rsidP="00D470CB">
      <w:pPr>
        <w:pStyle w:val="ListBullet"/>
      </w:pPr>
      <w:r w:rsidRPr="00D470CB">
        <w:t>Exact 95% CIs for the difference in seroconversion rates (SCRs) have been recalculated using exact methods as specified in the SAP. In addition, the table footnote regarding the method of computing the CI for the difference in SCR has been revised to read: “The exact 95% CI for the difference in seroconversion rates between CSL TIV and CSL QIV based upon the binomial distribution.” As a consequence of these recalculations, the SCR results have also been updated.</w:t>
      </w:r>
    </w:p>
    <w:p w:rsidR="00D470CB" w:rsidRPr="000861CD" w:rsidRDefault="00D470CB" w:rsidP="00D470CB">
      <w:pPr>
        <w:pStyle w:val="ListBullet"/>
      </w:pPr>
      <w:r w:rsidRPr="00D470CB">
        <w:t>The recalculated results have no discernible impact on the non</w:t>
      </w:r>
      <w:r w:rsidR="008B267C">
        <w:t>-</w:t>
      </w:r>
      <w:r w:rsidRPr="00D470CB">
        <w:t>inferiority of bioCSL QIV vs. bioCSL TIV in terms of Geometric Mean Titre (Adjusted GMT Ratios) in Adults Aged ≥18 Years (Per-Protocol Population)] and non-inferiority of bioCSL QIV vs. bioCSL TIV in terms of Seroconversion Rates (%) in adults aged ≥18 years for each Strain (Per-Protocol Population)]. There is no impact on any other immunogenicity results or any change to the overall conclusions of the study</w:t>
      </w:r>
      <w:r w:rsidRPr="000861CD">
        <w:t>. These data will not be discussed further in this Application as they are not of direct relevance.</w:t>
      </w:r>
    </w:p>
    <w:p w:rsidR="00D470CB" w:rsidRDefault="00D470CB" w:rsidP="00D470CB">
      <w:pPr>
        <w:pStyle w:val="Heading3"/>
        <w:numPr>
          <w:ilvl w:val="1"/>
          <w:numId w:val="29"/>
        </w:numPr>
        <w:ind w:left="907" w:hanging="794"/>
      </w:pPr>
      <w:bookmarkStart w:id="34" w:name="_Toc521411070"/>
      <w:bookmarkStart w:id="35" w:name="_Toc535416850"/>
      <w:r>
        <w:t>Paediatric data</w:t>
      </w:r>
      <w:bookmarkEnd w:id="34"/>
      <w:bookmarkEnd w:id="35"/>
    </w:p>
    <w:p w:rsidR="00D470CB" w:rsidRPr="000861CD" w:rsidRDefault="00D470CB" w:rsidP="00D470CB">
      <w:r w:rsidRPr="000861CD">
        <w:t xml:space="preserve">This </w:t>
      </w:r>
      <w:r>
        <w:t>a</w:t>
      </w:r>
      <w:r w:rsidRPr="000861CD">
        <w:t>pplication seeks to extend the indication for use of Afluria Quad to children aged 5 years or older.</w:t>
      </w:r>
    </w:p>
    <w:p w:rsidR="00D470CB" w:rsidRDefault="00D470CB" w:rsidP="00D470CB">
      <w:pPr>
        <w:pStyle w:val="Heading3"/>
      </w:pPr>
      <w:bookmarkStart w:id="36" w:name="_Toc521411071"/>
      <w:bookmarkStart w:id="37" w:name="_Toc535416851"/>
      <w:r>
        <w:t>Good clinical practice</w:t>
      </w:r>
      <w:bookmarkEnd w:id="36"/>
      <w:bookmarkEnd w:id="37"/>
    </w:p>
    <w:p w:rsidR="00D470CB" w:rsidRPr="007734F9" w:rsidRDefault="00D470CB" w:rsidP="00D470CB">
      <w:r w:rsidRPr="007734F9">
        <w:t>Approvals to undertake the clinical studies were obtained from appropriately constituted institutional ethics committees/independent research boards, in accordance with the relevant national guidelines and regulations applicable. The studies presented in this Application were conducted in accordance with GCP.</w:t>
      </w:r>
    </w:p>
    <w:p w:rsidR="00D470CB" w:rsidRPr="009A141C" w:rsidRDefault="00D470CB" w:rsidP="00D470CB">
      <w:pPr>
        <w:pStyle w:val="Heading3"/>
      </w:pPr>
      <w:bookmarkStart w:id="38" w:name="_Toc521411072"/>
      <w:bookmarkStart w:id="39" w:name="_Toc535416852"/>
      <w:bookmarkStart w:id="40" w:name="_Toc355338639"/>
      <w:r>
        <w:lastRenderedPageBreak/>
        <w:t>Evaluator’s commentary on the clinical dossier</w:t>
      </w:r>
      <w:bookmarkEnd w:id="38"/>
      <w:bookmarkEnd w:id="39"/>
    </w:p>
    <w:p w:rsidR="00D470CB" w:rsidRPr="007734F9" w:rsidRDefault="00D470CB" w:rsidP="00D470CB">
      <w:r w:rsidRPr="007734F9">
        <w:t xml:space="preserve">The main objectives of the </w:t>
      </w:r>
      <w:proofErr w:type="spellStart"/>
      <w:r w:rsidRPr="007734F9">
        <w:t>quadrivalent</w:t>
      </w:r>
      <w:proofErr w:type="spellEnd"/>
      <w:r w:rsidRPr="007734F9">
        <w:t xml:space="preserve"> paediatric clinical development programme was to demonstrate that the candidate QIV was immunogenic and safe in children aged 5-17 </w:t>
      </w:r>
      <w:proofErr w:type="spellStart"/>
      <w:r w:rsidRPr="007734F9">
        <w:t>yrs</w:t>
      </w:r>
      <w:proofErr w:type="spellEnd"/>
      <w:r w:rsidRPr="007734F9">
        <w:t xml:space="preserve"> of age.</w:t>
      </w:r>
    </w:p>
    <w:p w:rsidR="00D470CB" w:rsidRPr="007734F9" w:rsidRDefault="00D470CB" w:rsidP="00D470CB">
      <w:pPr>
        <w:pStyle w:val="Heading2"/>
      </w:pPr>
      <w:bookmarkStart w:id="41" w:name="_Toc521411073"/>
      <w:bookmarkStart w:id="42" w:name="_Toc535416853"/>
      <w:r w:rsidRPr="007734F9">
        <w:t>Pharmacokinetics</w:t>
      </w:r>
      <w:bookmarkEnd w:id="40"/>
      <w:bookmarkEnd w:id="41"/>
      <w:bookmarkEnd w:id="42"/>
    </w:p>
    <w:p w:rsidR="00D470CB" w:rsidRPr="007734F9" w:rsidRDefault="00D470CB" w:rsidP="00D470CB">
      <w:r w:rsidRPr="007734F9">
        <w:t xml:space="preserve">With respect to the nature of the product, clinical pharmacology data have not been assessed. The split </w:t>
      </w:r>
      <w:proofErr w:type="spellStart"/>
      <w:r w:rsidRPr="007734F9">
        <w:t>virion</w:t>
      </w:r>
      <w:proofErr w:type="spellEnd"/>
      <w:r w:rsidRPr="007734F9">
        <w:t xml:space="preserve">, inactivated influenza vaccine, as all vaccines, induces antibodies, which consecutively are responsible for the desired effect of the intervention, </w:t>
      </w:r>
      <w:r w:rsidR="008F1442">
        <w:t>that is,</w:t>
      </w:r>
      <w:r w:rsidRPr="007734F9">
        <w:t xml:space="preserve"> protection against an infectious disease. The constituents of the vaccine itself are phagocytosed at the site of injection. Therefore, specific interaction or PK studies have not been carried out in man.</w:t>
      </w:r>
    </w:p>
    <w:p w:rsidR="00D470CB" w:rsidRDefault="00D470CB" w:rsidP="00D470CB">
      <w:pPr>
        <w:pStyle w:val="Heading2"/>
      </w:pPr>
      <w:bookmarkStart w:id="43" w:name="_Toc521411074"/>
      <w:bookmarkStart w:id="44" w:name="_Toc535416854"/>
      <w:r>
        <w:t>Immunogenicity</w:t>
      </w:r>
      <w:bookmarkEnd w:id="43"/>
      <w:bookmarkEnd w:id="44"/>
    </w:p>
    <w:p w:rsidR="00182466" w:rsidRDefault="00D470CB" w:rsidP="00D470CB">
      <w:r w:rsidRPr="00EE21C6">
        <w:t>Efficacy and safety data arising from the pivotal study (</w:t>
      </w:r>
      <w:r w:rsidRPr="00EE21C6">
        <w:rPr>
          <w:rFonts w:asciiTheme="minorHAnsi" w:eastAsia="TimesNewRoman" w:hAnsiTheme="minorHAnsi" w:cs="TimesNewRoman"/>
          <w:color w:val="000000" w:themeColor="text1"/>
        </w:rPr>
        <w:t>CSLCT-QIV-13-02</w:t>
      </w:r>
      <w:r w:rsidRPr="00EE21C6">
        <w:t>) is summarised below</w:t>
      </w:r>
      <w:r w:rsidR="00182466">
        <w:t>.</w:t>
      </w:r>
    </w:p>
    <w:p w:rsidR="00D470CB" w:rsidRDefault="00D470CB" w:rsidP="00D470CB">
      <w:pPr>
        <w:pStyle w:val="Heading3"/>
      </w:pPr>
      <w:bookmarkStart w:id="45" w:name="_Ref269983272"/>
      <w:bookmarkStart w:id="46" w:name="_Toc272414648"/>
      <w:bookmarkStart w:id="47" w:name="_Toc290888496"/>
      <w:bookmarkStart w:id="48" w:name="_Toc416353693"/>
      <w:bookmarkStart w:id="49" w:name="_Toc421005260"/>
      <w:bookmarkStart w:id="50" w:name="_Toc432079142"/>
      <w:bookmarkStart w:id="51" w:name="_Toc432080715"/>
      <w:bookmarkStart w:id="52" w:name="_Toc521411075"/>
      <w:bookmarkStart w:id="53" w:name="_Toc535416855"/>
      <w:r>
        <w:t>O</w:t>
      </w:r>
      <w:r w:rsidRPr="00545B14">
        <w:t xml:space="preserve">verall conclusions on </w:t>
      </w:r>
      <w:bookmarkEnd w:id="45"/>
      <w:bookmarkEnd w:id="46"/>
      <w:bookmarkEnd w:id="47"/>
      <w:bookmarkEnd w:id="48"/>
      <w:bookmarkEnd w:id="49"/>
      <w:bookmarkEnd w:id="50"/>
      <w:bookmarkEnd w:id="51"/>
      <w:r>
        <w:t>immunogenicity</w:t>
      </w:r>
      <w:bookmarkEnd w:id="52"/>
      <w:bookmarkEnd w:id="53"/>
    </w:p>
    <w:p w:rsidR="00D470CB" w:rsidRPr="00FC43E1" w:rsidRDefault="00D470CB" w:rsidP="00D470CB">
      <w:r>
        <w:t>See section 6. Efficacy (immunogenicity)</w:t>
      </w:r>
    </w:p>
    <w:p w:rsidR="00D470CB" w:rsidRDefault="00D470CB" w:rsidP="00D470CB">
      <w:pPr>
        <w:pStyle w:val="Heading2"/>
      </w:pPr>
      <w:bookmarkStart w:id="54" w:name="_Toc521411076"/>
      <w:bookmarkStart w:id="55" w:name="_Toc535416856"/>
      <w:r>
        <w:t>Dosage selection for the pivotal studies</w:t>
      </w:r>
      <w:bookmarkEnd w:id="54"/>
      <w:bookmarkEnd w:id="55"/>
    </w:p>
    <w:p w:rsidR="00D470CB" w:rsidRPr="00FC43E1" w:rsidRDefault="00D470CB" w:rsidP="00D470CB">
      <w:r w:rsidRPr="00FC43E1">
        <w:t>The dose of Afluria Quad</w:t>
      </w:r>
      <w:r>
        <w:t xml:space="preserve"> </w:t>
      </w:r>
      <w:r w:rsidRPr="00FC43E1">
        <w:t xml:space="preserve">used in the pivotal paediatric study was the same as that approved for use in adults aged 18 </w:t>
      </w:r>
      <w:proofErr w:type="spellStart"/>
      <w:r w:rsidRPr="00FC43E1">
        <w:t>yrs</w:t>
      </w:r>
      <w:proofErr w:type="spellEnd"/>
      <w:r w:rsidRPr="00FC43E1">
        <w:t xml:space="preserve"> or older </w:t>
      </w:r>
      <w:r w:rsidR="008F1442">
        <w:t>that is,</w:t>
      </w:r>
      <w:r w:rsidRPr="00FC43E1">
        <w:t xml:space="preserve"> single dose of 0.5mL IM. </w:t>
      </w:r>
      <w:r w:rsidRPr="004932D3">
        <w:t>For previously unvaccinated children aged 5 to &lt; 9 years, the recommended dosage is two d</w:t>
      </w:r>
      <w:r>
        <w:t>oses at least four weeks apart.</w:t>
      </w:r>
    </w:p>
    <w:p w:rsidR="00D470CB" w:rsidRDefault="00D470CB" w:rsidP="00D470CB">
      <w:pPr>
        <w:pStyle w:val="Heading2"/>
      </w:pPr>
      <w:bookmarkStart w:id="56" w:name="_Toc521411077"/>
      <w:bookmarkStart w:id="57" w:name="_Toc535416857"/>
      <w:r>
        <w:t>Efficacy (immunogenicity)</w:t>
      </w:r>
      <w:bookmarkEnd w:id="56"/>
      <w:bookmarkEnd w:id="57"/>
    </w:p>
    <w:p w:rsidR="00182466" w:rsidRDefault="00D470CB" w:rsidP="00D470CB">
      <w:r w:rsidRPr="00906F40">
        <w:t xml:space="preserve">The pivotal paediatric </w:t>
      </w:r>
      <w:r>
        <w:t>Study CSL</w:t>
      </w:r>
      <w:r w:rsidRPr="00906F40">
        <w:t>CT-QIV-13-02 not an ‘efficacy’ study, rather the derived immunogenicity data is used as a surrogate for clinical efficacy. This is a standard approach in influenza vaccine studies. The study was designed according to the Guideline on Clini</w:t>
      </w:r>
      <w:r>
        <w:t>cal Evaluation of New Vaccines</w:t>
      </w:r>
      <w:r w:rsidRPr="00906F40">
        <w:t>.</w:t>
      </w:r>
      <w:r>
        <w:rPr>
          <w:rStyle w:val="FootnoteReference"/>
        </w:rPr>
        <w:footnoteReference w:id="1"/>
      </w:r>
      <w:r w:rsidRPr="00906F40">
        <w:t xml:space="preserve"> Anti-</w:t>
      </w:r>
      <w:proofErr w:type="spellStart"/>
      <w:r w:rsidRPr="00906F40">
        <w:t>haemagglutinin</w:t>
      </w:r>
      <w:proofErr w:type="spellEnd"/>
      <w:r w:rsidRPr="00906F40">
        <w:t xml:space="preserve"> (HA) antibody response is an established correlate of protection against influenza in adults and children; therefore, HI titre was the primary outcome measure in this study</w:t>
      </w:r>
      <w:r w:rsidR="00182466">
        <w:t>.</w:t>
      </w:r>
    </w:p>
    <w:p w:rsidR="00182466" w:rsidRDefault="00D470CB" w:rsidP="00D470CB">
      <w:r w:rsidRPr="00906F40">
        <w:t>In accordance with the guidelines indicated by EMA:</w:t>
      </w:r>
    </w:p>
    <w:p w:rsidR="00D470CB" w:rsidRPr="00D470CB" w:rsidRDefault="00D470CB" w:rsidP="00D470CB">
      <w:pPr>
        <w:pStyle w:val="ListBullet"/>
      </w:pPr>
      <w:r w:rsidRPr="00D470CB">
        <w:t>Any HI result &lt;10 (=undetectable);</w:t>
      </w:r>
    </w:p>
    <w:p w:rsidR="00D470CB" w:rsidRPr="00D470CB" w:rsidRDefault="00D470CB" w:rsidP="00D470CB">
      <w:pPr>
        <w:pStyle w:val="ListBullet"/>
      </w:pPr>
      <w:r w:rsidRPr="00D470CB">
        <w:t>Sera which have a titre &gt;=10 but &lt;40 are considered positive but not protective;</w:t>
      </w:r>
    </w:p>
    <w:p w:rsidR="00D470CB" w:rsidRPr="00906F40" w:rsidRDefault="00D470CB" w:rsidP="00D470CB">
      <w:pPr>
        <w:pStyle w:val="ListBullet"/>
      </w:pPr>
      <w:r w:rsidRPr="00D470CB">
        <w:t>Sera with a titre &gt;=</w:t>
      </w:r>
      <w:r w:rsidRPr="00906F40">
        <w:t>40 are considered positive and protective.</w:t>
      </w:r>
    </w:p>
    <w:p w:rsidR="00D470CB" w:rsidRDefault="00D470CB" w:rsidP="00D470CB">
      <w:pPr>
        <w:pStyle w:val="Heading3"/>
      </w:pPr>
      <w:bookmarkStart w:id="58" w:name="_Toc521411078"/>
      <w:bookmarkStart w:id="59" w:name="_Toc535416858"/>
      <w:bookmarkStart w:id="60" w:name="_Ref271037274"/>
      <w:bookmarkStart w:id="61" w:name="_Toc272414652"/>
      <w:bookmarkStart w:id="62" w:name="_Toc290888500"/>
      <w:bookmarkStart w:id="63" w:name="_Toc416353716"/>
      <w:bookmarkStart w:id="64" w:name="_Toc421005269"/>
      <w:bookmarkStart w:id="65" w:name="_Toc432079151"/>
      <w:bookmarkStart w:id="66" w:name="_Toc432080724"/>
      <w:r w:rsidRPr="00545B14">
        <w:t xml:space="preserve">Studies providing evaluable </w:t>
      </w:r>
      <w:r>
        <w:t>efficacy</w:t>
      </w:r>
      <w:r w:rsidRPr="00545B14">
        <w:t xml:space="preserve"> data</w:t>
      </w:r>
      <w:bookmarkEnd w:id="58"/>
      <w:bookmarkEnd w:id="59"/>
    </w:p>
    <w:p w:rsidR="00D470CB" w:rsidRPr="00AF4CB2" w:rsidRDefault="00D470CB" w:rsidP="00D470CB">
      <w:r w:rsidRPr="00AF4CB2">
        <w:t xml:space="preserve">The pivotal </w:t>
      </w:r>
      <w:r>
        <w:t>Study CSL</w:t>
      </w:r>
      <w:r w:rsidRPr="00AF4CB2">
        <w:t>CT-QIV-13-02 provides indirect evidence of ‘efficacy’ through serological responses to the vaccine which have been determined, over time, and from multiple sources, to have clinical efficacy either in protecting against influenza acquisition or attenuating the course of the infection if infection is not completely prevented through vaccination.</w:t>
      </w:r>
    </w:p>
    <w:p w:rsidR="00D470CB" w:rsidRPr="005632DC" w:rsidRDefault="00D470CB" w:rsidP="00D470CB">
      <w:pPr>
        <w:pStyle w:val="Heading3"/>
      </w:pPr>
      <w:bookmarkStart w:id="67" w:name="_Toc521411079"/>
      <w:bookmarkStart w:id="68" w:name="_Toc535416859"/>
      <w:r w:rsidRPr="005632DC">
        <w:lastRenderedPageBreak/>
        <w:t>Pivotal or main efficacy studies</w:t>
      </w:r>
      <w:bookmarkEnd w:id="60"/>
      <w:bookmarkEnd w:id="61"/>
      <w:bookmarkEnd w:id="62"/>
      <w:bookmarkEnd w:id="63"/>
      <w:bookmarkEnd w:id="64"/>
      <w:bookmarkEnd w:id="65"/>
      <w:bookmarkEnd w:id="66"/>
      <w:bookmarkEnd w:id="67"/>
      <w:bookmarkEnd w:id="68"/>
    </w:p>
    <w:p w:rsidR="00D470CB" w:rsidRDefault="00D470CB" w:rsidP="00D470CB">
      <w:pPr>
        <w:pStyle w:val="Heading4"/>
      </w:pPr>
      <w:r w:rsidRPr="00D03E47">
        <w:t>CSLCT-QIV-13-02</w:t>
      </w:r>
    </w:p>
    <w:p w:rsidR="00D470CB" w:rsidRDefault="00D470CB" w:rsidP="00D470CB">
      <w:r w:rsidRPr="00C36A23">
        <w:rPr>
          <w:i/>
        </w:rPr>
        <w:t xml:space="preserve">A Phase III, randomised, multicentre, observer-blinded, non-inferiority study to evaluate the immunogenicity and safety of a </w:t>
      </w:r>
      <w:r>
        <w:rPr>
          <w:i/>
        </w:rPr>
        <w:t>b</w:t>
      </w:r>
      <w:r w:rsidRPr="00C36A23">
        <w:rPr>
          <w:i/>
        </w:rPr>
        <w:t xml:space="preserve">ioCSL </w:t>
      </w:r>
      <w:proofErr w:type="spellStart"/>
      <w:r w:rsidRPr="00C36A23">
        <w:rPr>
          <w:i/>
        </w:rPr>
        <w:t>quadrivalent</w:t>
      </w:r>
      <w:proofErr w:type="spellEnd"/>
      <w:r w:rsidRPr="00C36A23">
        <w:rPr>
          <w:i/>
        </w:rPr>
        <w:t xml:space="preserve"> inactivated influenza virus vaccine (</w:t>
      </w:r>
      <w:r>
        <w:rPr>
          <w:i/>
        </w:rPr>
        <w:t>b</w:t>
      </w:r>
      <w:r w:rsidRPr="00C36A23">
        <w:rPr>
          <w:i/>
        </w:rPr>
        <w:t xml:space="preserve">ioCSL </w:t>
      </w:r>
      <w:r>
        <w:rPr>
          <w:i/>
        </w:rPr>
        <w:t>QIV</w:t>
      </w:r>
      <w:r w:rsidRPr="00C36A23">
        <w:rPr>
          <w:i/>
        </w:rPr>
        <w:t xml:space="preserve">) with a US-licensed 2015-2016 </w:t>
      </w:r>
      <w:proofErr w:type="spellStart"/>
      <w:r w:rsidRPr="00C36A23">
        <w:rPr>
          <w:i/>
        </w:rPr>
        <w:t>quadrivalent</w:t>
      </w:r>
      <w:proofErr w:type="spellEnd"/>
      <w:r w:rsidRPr="00C36A23">
        <w:rPr>
          <w:i/>
        </w:rPr>
        <w:t xml:space="preserve"> inactivated comparator influenza vaccine (comparator QIV) in a paediatric population 5 through 17 years of age.</w:t>
      </w:r>
    </w:p>
    <w:p w:rsidR="00D470CB" w:rsidRPr="005632DC" w:rsidRDefault="00D470CB" w:rsidP="00F70DB9">
      <w:pPr>
        <w:pStyle w:val="Heading5"/>
      </w:pPr>
      <w:r w:rsidRPr="005632DC">
        <w:t>Study design, objectives, locations and dates</w:t>
      </w:r>
    </w:p>
    <w:p w:rsidR="00D470CB" w:rsidRDefault="00D470CB" w:rsidP="00D470CB">
      <w:r w:rsidRPr="00B8281F">
        <w:t xml:space="preserve">Sponsor: bioCSL </w:t>
      </w:r>
      <w:r>
        <w:t>Pty Ltd</w:t>
      </w:r>
      <w:r w:rsidRPr="00B8281F">
        <w:t>.</w:t>
      </w:r>
    </w:p>
    <w:p w:rsidR="00D470CB" w:rsidRPr="00B8281F" w:rsidRDefault="00D470CB" w:rsidP="00D470CB">
      <w:r w:rsidRPr="00B8281F">
        <w:t xml:space="preserve">Study design: Randomised, observer-blinded, comparator controlled study of bioCSL QIV, administered IM (into deltoid region), vs. a US-licensed 2015-2016 comparator QIV containing the same influenza strains recommended by the US FDA and the Vaccines and Related Biological Products Advisory Committee (VRBPAC) for the 2015-2016 season. The study was conducted during the 2015-2016 NH influenza immunisation season in male/female subjects 5 to17 </w:t>
      </w:r>
      <w:proofErr w:type="spellStart"/>
      <w:r w:rsidRPr="00B8281F">
        <w:t>yrs</w:t>
      </w:r>
      <w:proofErr w:type="spellEnd"/>
      <w:r w:rsidRPr="00B8281F">
        <w:t xml:space="preserve"> of age. Randomisation stratified by age </w:t>
      </w:r>
      <w:r w:rsidR="008F1442">
        <w:t>that is,</w:t>
      </w:r>
      <w:r w:rsidRPr="00B8281F">
        <w:t xml:space="preserve"> Cohort A = subjects 5 - 8 </w:t>
      </w:r>
      <w:proofErr w:type="spellStart"/>
      <w:r w:rsidRPr="00B8281F">
        <w:t>yrs</w:t>
      </w:r>
      <w:proofErr w:type="spellEnd"/>
      <w:r w:rsidRPr="00B8281F">
        <w:t xml:space="preserve"> of age; Cohort B = subjects 9 - 17 </w:t>
      </w:r>
      <w:proofErr w:type="spellStart"/>
      <w:r w:rsidRPr="00B8281F">
        <w:t>yrs</w:t>
      </w:r>
      <w:proofErr w:type="spellEnd"/>
      <w:r w:rsidRPr="00B8281F">
        <w:t xml:space="preserve"> of age. Quota applied to ensure ≥50% were in the younger age </w:t>
      </w:r>
      <w:proofErr w:type="spellStart"/>
      <w:r w:rsidRPr="00B8281F">
        <w:t>gp</w:t>
      </w:r>
      <w:proofErr w:type="spellEnd"/>
      <w:r w:rsidRPr="00B8281F">
        <w:t xml:space="preserve"> (Cohort A).</w:t>
      </w:r>
    </w:p>
    <w:p w:rsidR="00D470CB" w:rsidRPr="00B8281F" w:rsidRDefault="00D470CB" w:rsidP="00D470CB">
      <w:r w:rsidRPr="00B8281F">
        <w:t>Primary objective(s): To demonstrate that vaccination with bioCSL QIV elicits a non-inferior immune response to that of the comparator QIV containing the same virus strains as bioCSL QIV, among a paediatric population aged 5 to 17 yrs.</w:t>
      </w:r>
    </w:p>
    <w:p w:rsidR="00D470CB" w:rsidRPr="00B8281F" w:rsidRDefault="00D470CB" w:rsidP="00D470CB">
      <w:r w:rsidRPr="00B8281F">
        <w:t>The immunogenicity of</w:t>
      </w:r>
      <w:r>
        <w:t xml:space="preserve"> </w:t>
      </w:r>
      <w:r w:rsidRPr="00B8281F">
        <w:t>study vaccines was assessed 28 days after the last vaccine administration by measuring the HI antibody titres to the four viral strains included in the vaccine. The non</w:t>
      </w:r>
      <w:r w:rsidR="008B267C">
        <w:t>-</w:t>
      </w:r>
      <w:r w:rsidRPr="00B8281F">
        <w:t>inferiority of bioCSL QIV vs. the comparator QIV was assessed by the 8 co-primary endpoints of HI geometric mean titre (GMT) and seroconversion rate (SCR) for each viral strain included in the vaccines as follows:</w:t>
      </w:r>
    </w:p>
    <w:p w:rsidR="00D470CB" w:rsidRPr="00D470CB" w:rsidRDefault="00D470CB" w:rsidP="00D470CB">
      <w:pPr>
        <w:pStyle w:val="ListBullet"/>
      </w:pPr>
      <w:r w:rsidRPr="00D470CB">
        <w:t>The GMT ratio* for the A/H1N1 strain;</w:t>
      </w:r>
    </w:p>
    <w:p w:rsidR="00D470CB" w:rsidRPr="00D470CB" w:rsidRDefault="00D470CB" w:rsidP="00D470CB">
      <w:pPr>
        <w:pStyle w:val="ListBullet"/>
      </w:pPr>
      <w:r w:rsidRPr="00D470CB">
        <w:t>The GMT ratio for the A/ H3N2 strain;</w:t>
      </w:r>
    </w:p>
    <w:p w:rsidR="00D470CB" w:rsidRPr="00D470CB" w:rsidRDefault="00D470CB" w:rsidP="00D470CB">
      <w:pPr>
        <w:pStyle w:val="ListBullet"/>
      </w:pPr>
      <w:r w:rsidRPr="00D470CB">
        <w:t>The GMT ratio for the B strain (Yamagata lineage);</w:t>
      </w:r>
    </w:p>
    <w:p w:rsidR="00D470CB" w:rsidRPr="00D470CB" w:rsidRDefault="00D470CB" w:rsidP="00D470CB">
      <w:pPr>
        <w:pStyle w:val="ListBullet"/>
      </w:pPr>
      <w:r w:rsidRPr="00D470CB">
        <w:t>The GMT ratio for the B strain (Victoria lineage);</w:t>
      </w:r>
    </w:p>
    <w:p w:rsidR="00D470CB" w:rsidRPr="00D470CB" w:rsidRDefault="00D470CB" w:rsidP="00D470CB">
      <w:pPr>
        <w:pStyle w:val="ListBullet"/>
      </w:pPr>
      <w:r w:rsidRPr="00D470CB">
        <w:t>The difference between the SCRs** for the A/H1N1 strain;</w:t>
      </w:r>
    </w:p>
    <w:p w:rsidR="00D470CB" w:rsidRPr="00D470CB" w:rsidRDefault="00D470CB" w:rsidP="00D470CB">
      <w:pPr>
        <w:pStyle w:val="ListBullet"/>
      </w:pPr>
      <w:r w:rsidRPr="00D470CB">
        <w:t>The difference between the SCRs for the A/H3N2 strain;</w:t>
      </w:r>
    </w:p>
    <w:p w:rsidR="00D470CB" w:rsidRPr="00D470CB" w:rsidRDefault="00D470CB" w:rsidP="00D470CB">
      <w:pPr>
        <w:pStyle w:val="ListBullet"/>
      </w:pPr>
      <w:r w:rsidRPr="00D470CB">
        <w:t>The difference between the SCRs for the B strain (Yamagata lineage);</w:t>
      </w:r>
    </w:p>
    <w:p w:rsidR="00D470CB" w:rsidRPr="0065717C" w:rsidRDefault="00D470CB" w:rsidP="00D470CB">
      <w:pPr>
        <w:pStyle w:val="ListBullet"/>
      </w:pPr>
      <w:r w:rsidRPr="00D470CB">
        <w:t>The difference between</w:t>
      </w:r>
      <w:r w:rsidRPr="0065717C">
        <w:t xml:space="preserve"> the SCRs for the B strain (Victoria lineage).</w:t>
      </w:r>
    </w:p>
    <w:p w:rsidR="00182466" w:rsidRDefault="00D470CB" w:rsidP="00D470CB">
      <w:r w:rsidRPr="00B8281F">
        <w:t>*</w:t>
      </w:r>
      <w:r>
        <w:t xml:space="preserve"> </w:t>
      </w:r>
      <w:r w:rsidRPr="00B8281F">
        <w:t>GMT ratio =geometric mean of the post</w:t>
      </w:r>
      <w:r w:rsidR="008B267C">
        <w:t>-</w:t>
      </w:r>
      <w:r w:rsidRPr="00B8281F">
        <w:t>vaccination (28 days after last vaccination) HI titre for the US-licensed comparator QIV over the geometric mean of the post</w:t>
      </w:r>
      <w:r w:rsidR="008B267C">
        <w:t>-</w:t>
      </w:r>
      <w:r w:rsidRPr="00B8281F">
        <w:t>vaccination HI titre for bioCSL QIV</w:t>
      </w:r>
      <w:r w:rsidR="00182466">
        <w:t>.</w:t>
      </w:r>
    </w:p>
    <w:p w:rsidR="00D470CB" w:rsidRPr="00B8281F" w:rsidRDefault="00D470CB" w:rsidP="00D470CB">
      <w:r w:rsidRPr="00B8281F">
        <w:t>**</w:t>
      </w:r>
      <w:r>
        <w:t xml:space="preserve"> </w:t>
      </w:r>
      <w:r w:rsidRPr="00B8281F">
        <w:t>Rate of seroconversion = percentage of subjects with a pre</w:t>
      </w:r>
      <w:r w:rsidR="008B267C">
        <w:t>-</w:t>
      </w:r>
      <w:r w:rsidRPr="00B8281F">
        <w:t>vaccination HI titre &lt;1:10 and post</w:t>
      </w:r>
      <w:r w:rsidR="008B267C">
        <w:t>-</w:t>
      </w:r>
      <w:r w:rsidRPr="00B8281F">
        <w:t>vaccination HI titre ≥1:40 or pre</w:t>
      </w:r>
      <w:r w:rsidR="008B267C">
        <w:t>-v</w:t>
      </w:r>
      <w:r w:rsidRPr="00B8281F">
        <w:t>accination HI titre ≥1:10 and a ≥4-fold increase in post</w:t>
      </w:r>
      <w:r w:rsidR="008B267C">
        <w:t>-</w:t>
      </w:r>
      <w:r w:rsidRPr="00B8281F">
        <w:t>vaccination HI titre.</w:t>
      </w:r>
    </w:p>
    <w:p w:rsidR="00182466" w:rsidRDefault="00D470CB" w:rsidP="00D470CB">
      <w:r w:rsidRPr="00B8281F">
        <w:t xml:space="preserve">Secondary objective(s): To assess safety and tolerability of bioCSL QIV, among children aged 5 - 17 </w:t>
      </w:r>
      <w:proofErr w:type="spellStart"/>
      <w:r w:rsidRPr="00B8281F">
        <w:t>yrs</w:t>
      </w:r>
      <w:proofErr w:type="spellEnd"/>
      <w:r w:rsidRPr="00B8281F">
        <w:t xml:space="preserve"> in two age strata: 5 - 8 </w:t>
      </w:r>
      <w:proofErr w:type="spellStart"/>
      <w:r w:rsidRPr="00B8281F">
        <w:t>yrs</w:t>
      </w:r>
      <w:proofErr w:type="spellEnd"/>
      <w:r w:rsidRPr="00B8281F">
        <w:t xml:space="preserve"> of age, and 9 -17 </w:t>
      </w:r>
      <w:proofErr w:type="spellStart"/>
      <w:r w:rsidRPr="00B8281F">
        <w:t>yrs</w:t>
      </w:r>
      <w:proofErr w:type="spellEnd"/>
      <w:r w:rsidRPr="00B8281F">
        <w:t xml:space="preserve"> of age, as well as overall </w:t>
      </w:r>
      <w:r w:rsidR="008F1442">
        <w:t>that is,</w:t>
      </w:r>
    </w:p>
    <w:p w:rsidR="00D470CB" w:rsidRPr="00B8281F" w:rsidRDefault="00D470CB" w:rsidP="00D470CB">
      <w:r w:rsidRPr="00B8281F">
        <w:t>1. Safety assessed as the frequency and severity of:</w:t>
      </w:r>
    </w:p>
    <w:p w:rsidR="00D470CB" w:rsidRPr="00084631" w:rsidRDefault="00D470CB" w:rsidP="00D470CB">
      <w:pPr>
        <w:pStyle w:val="ListBullet"/>
        <w:numPr>
          <w:ilvl w:val="0"/>
          <w:numId w:val="3"/>
        </w:numPr>
      </w:pPr>
      <w:r w:rsidRPr="00084631">
        <w:t>Solicited local adverse reactions</w:t>
      </w:r>
      <w:r>
        <w:t xml:space="preserve"> (AR)</w:t>
      </w:r>
      <w:r w:rsidRPr="00084631">
        <w:t xml:space="preserve"> and systemic adverse</w:t>
      </w:r>
      <w:r>
        <w:t xml:space="preserve"> events (AEs) for 7 days after </w:t>
      </w:r>
      <w:r w:rsidRPr="00084631">
        <w:t>each vaccination dose;</w:t>
      </w:r>
    </w:p>
    <w:p w:rsidR="00D470CB" w:rsidRPr="00084631" w:rsidRDefault="00D470CB" w:rsidP="00D470CB">
      <w:pPr>
        <w:pStyle w:val="ListBullet"/>
        <w:numPr>
          <w:ilvl w:val="0"/>
          <w:numId w:val="3"/>
        </w:numPr>
      </w:pPr>
      <w:r w:rsidRPr="00084631">
        <w:t xml:space="preserve">Cellulitis-like reaction for </w:t>
      </w:r>
      <w:r>
        <w:t>≥</w:t>
      </w:r>
      <w:r w:rsidRPr="00084631">
        <w:t>28 days after each</w:t>
      </w:r>
      <w:r>
        <w:t xml:space="preserve"> </w:t>
      </w:r>
      <w:r w:rsidRPr="00084631">
        <w:t>vaccination dose;</w:t>
      </w:r>
    </w:p>
    <w:p w:rsidR="00D470CB" w:rsidRPr="00084631" w:rsidRDefault="00D470CB" w:rsidP="00D470CB">
      <w:pPr>
        <w:pStyle w:val="ListBullet"/>
        <w:numPr>
          <w:ilvl w:val="0"/>
          <w:numId w:val="3"/>
        </w:numPr>
      </w:pPr>
      <w:r w:rsidRPr="00084631">
        <w:lastRenderedPageBreak/>
        <w:t xml:space="preserve">Unsolicited AEs for </w:t>
      </w:r>
      <w:r>
        <w:t>≥</w:t>
      </w:r>
      <w:r w:rsidRPr="00084631">
        <w:t>28 days after each vaccination</w:t>
      </w:r>
      <w:r>
        <w:t xml:space="preserve"> </w:t>
      </w:r>
      <w:r w:rsidRPr="00084631">
        <w:t>dose;</w:t>
      </w:r>
    </w:p>
    <w:p w:rsidR="00D470CB" w:rsidRDefault="00D470CB" w:rsidP="00D470CB">
      <w:pPr>
        <w:pStyle w:val="ListBullet"/>
        <w:numPr>
          <w:ilvl w:val="0"/>
          <w:numId w:val="3"/>
        </w:numPr>
      </w:pPr>
      <w:r>
        <w:t xml:space="preserve">Serious Adverse Events (SAE) for 180 days after </w:t>
      </w:r>
      <w:r w:rsidRPr="00084631">
        <w:t>last</w:t>
      </w:r>
      <w:r>
        <w:t xml:space="preserve"> vaccination dose;</w:t>
      </w:r>
    </w:p>
    <w:p w:rsidR="00D470CB" w:rsidRPr="00B8281F" w:rsidRDefault="00D470CB" w:rsidP="00D470CB">
      <w:r w:rsidRPr="00B8281F">
        <w:t>2. To characterise the immunogenicity of bioCSL QIV and the comparator QIV in the two age strata, and overall. Immunogenicity assessed by: Serum HI antibody titres against the 4 influenza vaccine strains used to calculate:</w:t>
      </w:r>
    </w:p>
    <w:p w:rsidR="00D470CB" w:rsidRPr="00B8281F" w:rsidRDefault="00D470CB" w:rsidP="00D470CB">
      <w:pPr>
        <w:pStyle w:val="ListBullet"/>
        <w:numPr>
          <w:ilvl w:val="0"/>
          <w:numId w:val="3"/>
        </w:numPr>
      </w:pPr>
      <w:r w:rsidRPr="00B8281F">
        <w:t>GMTs: Geometric mean of HI titres pre</w:t>
      </w:r>
      <w:r w:rsidR="008B267C">
        <w:t>-</w:t>
      </w:r>
      <w:r w:rsidRPr="00B8281F">
        <w:t>vaccination (Day 1) and post</w:t>
      </w:r>
      <w:r w:rsidR="008B267C">
        <w:t>-</w:t>
      </w:r>
      <w:r w:rsidRPr="00B8281F">
        <w:t>vaccination (Exit Visit);</w:t>
      </w:r>
    </w:p>
    <w:p w:rsidR="00D470CB" w:rsidRPr="00B8281F" w:rsidRDefault="00D470CB" w:rsidP="00D470CB">
      <w:pPr>
        <w:pStyle w:val="ListBullet"/>
        <w:numPr>
          <w:ilvl w:val="0"/>
          <w:numId w:val="3"/>
        </w:numPr>
      </w:pPr>
      <w:r w:rsidRPr="00B8281F">
        <w:t>SCRs: % with a pre</w:t>
      </w:r>
      <w:r w:rsidR="008B267C">
        <w:t>-</w:t>
      </w:r>
      <w:r w:rsidRPr="00B8281F">
        <w:t>vaccination HI titre &lt;1:10 and a post</w:t>
      </w:r>
      <w:r w:rsidR="008B267C">
        <w:t>-</w:t>
      </w:r>
      <w:r w:rsidRPr="00B8281F">
        <w:t>vaccination HI titre ≥1:40 or pre</w:t>
      </w:r>
      <w:r w:rsidR="008B267C">
        <w:t>-</w:t>
      </w:r>
      <w:r w:rsidRPr="00B8281F">
        <w:t>vaccination titre ≥1:10 and a ≥4-fold increase in post</w:t>
      </w:r>
      <w:r w:rsidR="008B267C">
        <w:t>-</w:t>
      </w:r>
      <w:r w:rsidRPr="00B8281F">
        <w:t>vaccination titre;</w:t>
      </w:r>
    </w:p>
    <w:p w:rsidR="00D470CB" w:rsidRPr="00B8281F" w:rsidRDefault="00D470CB" w:rsidP="00D470CB">
      <w:pPr>
        <w:pStyle w:val="ListBullet"/>
        <w:numPr>
          <w:ilvl w:val="0"/>
          <w:numId w:val="3"/>
        </w:numPr>
      </w:pPr>
      <w:r w:rsidRPr="00B8281F">
        <w:t>The % with a titre ≥40 (</w:t>
      </w:r>
      <w:proofErr w:type="spellStart"/>
      <w:r w:rsidRPr="00B8281F">
        <w:t>seroprotection</w:t>
      </w:r>
      <w:proofErr w:type="spellEnd"/>
      <w:r w:rsidRPr="00B8281F">
        <w:t xml:space="preserve"> rates) at Day 1 and at Study Exit Visit;</w:t>
      </w:r>
    </w:p>
    <w:p w:rsidR="00D470CB" w:rsidRPr="00B8281F" w:rsidRDefault="00D470CB" w:rsidP="00D470CB">
      <w:pPr>
        <w:pStyle w:val="ListBullet"/>
        <w:numPr>
          <w:ilvl w:val="0"/>
          <w:numId w:val="3"/>
        </w:numPr>
      </w:pPr>
      <w:r w:rsidRPr="00B8281F">
        <w:t>Geomet</w:t>
      </w:r>
      <w:r w:rsidR="00182466">
        <w:t>ric mean fold increase (GMFI)**</w:t>
      </w:r>
      <w:r w:rsidRPr="00B8281F">
        <w:t>: the geometric mean fold titre rise from Day 1 to Study Exit Visit</w:t>
      </w:r>
    </w:p>
    <w:p w:rsidR="00D470CB" w:rsidRPr="00B8281F" w:rsidRDefault="00182466" w:rsidP="00D470CB">
      <w:r>
        <w:t>**</w:t>
      </w:r>
      <w:r w:rsidR="00D470CB" w:rsidRPr="00B8281F">
        <w:t>GMFI in antibody titre = geometric mean of the fold increase of post</w:t>
      </w:r>
      <w:r w:rsidR="008B267C">
        <w:t>-</w:t>
      </w:r>
      <w:r w:rsidR="00D470CB" w:rsidRPr="00B8281F">
        <w:t>vaccination HI antibody titre over the pre</w:t>
      </w:r>
      <w:r w:rsidR="008B267C">
        <w:t>-</w:t>
      </w:r>
      <w:r w:rsidR="00D470CB" w:rsidRPr="00B8281F">
        <w:t>vaccination HI antibody titre.</w:t>
      </w:r>
    </w:p>
    <w:p w:rsidR="00D470CB" w:rsidRPr="00B8281F" w:rsidRDefault="00D470CB" w:rsidP="00D470CB">
      <w:r w:rsidRPr="00B8281F">
        <w:t>Exploratory objectives:</w:t>
      </w:r>
    </w:p>
    <w:p w:rsidR="00D470CB" w:rsidRPr="00B8281F" w:rsidRDefault="00D470CB" w:rsidP="00D470CB">
      <w:r w:rsidRPr="00B8281F">
        <w:t>1. To explore associations between any severe grade fever (and other solicited systemic AEs), after bioCSL QIV or the comparator QIV by vaccine dose and baseline characteristics;</w:t>
      </w:r>
    </w:p>
    <w:p w:rsidR="00D470CB" w:rsidRPr="00B8281F" w:rsidRDefault="00D470CB" w:rsidP="00D470CB">
      <w:r w:rsidRPr="00B8281F">
        <w:t>2. To explore associations between immune response after bioCSL QIV or the comparator QIV by vaccine dose and baseline characteristics.</w:t>
      </w:r>
    </w:p>
    <w:p w:rsidR="00D470CB" w:rsidRPr="00B8281F" w:rsidRDefault="00D470CB" w:rsidP="00D470CB">
      <w:r w:rsidRPr="00B8281F">
        <w:t>Locations: n=32 sites in the US</w:t>
      </w:r>
    </w:p>
    <w:p w:rsidR="00D470CB" w:rsidRPr="00B8281F" w:rsidRDefault="00D470CB" w:rsidP="00D470CB">
      <w:r w:rsidRPr="00B8281F">
        <w:t>Dates:</w:t>
      </w:r>
      <w:r>
        <w:t xml:space="preserve"> </w:t>
      </w:r>
      <w:r w:rsidRPr="00B8281F">
        <w:t xml:space="preserve">Date of first </w:t>
      </w:r>
      <w:proofErr w:type="spellStart"/>
      <w:r w:rsidRPr="00B8281F">
        <w:t>enrollment</w:t>
      </w:r>
      <w:proofErr w:type="spellEnd"/>
      <w:r w:rsidRPr="00B8281F">
        <w:t>: 14 Sep 2015; Date of last visit: 13 Jun 2016.</w:t>
      </w:r>
    </w:p>
    <w:p w:rsidR="00182466" w:rsidRDefault="00D470CB" w:rsidP="00D470CB">
      <w:r w:rsidRPr="00B8281F">
        <w:t>Protocols: Version 1.0 14 May 2015; Amendment 1, version 2.0 05 Aug 2015</w:t>
      </w:r>
      <w:r w:rsidR="00182466">
        <w:t>.</w:t>
      </w:r>
    </w:p>
    <w:p w:rsidR="00D470CB" w:rsidRPr="005632DC" w:rsidRDefault="00D470CB" w:rsidP="00F70DB9">
      <w:pPr>
        <w:pStyle w:val="Heading5"/>
      </w:pPr>
      <w:r w:rsidRPr="005632DC">
        <w:t>Inclusion and exclusion criteria</w:t>
      </w:r>
    </w:p>
    <w:p w:rsidR="00D470CB" w:rsidRPr="00B8281F" w:rsidRDefault="00D470CB" w:rsidP="00D470CB">
      <w:r w:rsidRPr="00B8281F">
        <w:t xml:space="preserve">Key Inclusion Criteria: 1. Males or females 5 - 17 </w:t>
      </w:r>
      <w:proofErr w:type="spellStart"/>
      <w:r w:rsidRPr="00B8281F">
        <w:t>yrs</w:t>
      </w:r>
      <w:proofErr w:type="spellEnd"/>
      <w:r w:rsidRPr="00B8281F">
        <w:t xml:space="preserve"> of age on the day of first study vaccination; 2. Parent or legally acceptable representative able to provide written informed consent and willing and able to adhere to all protocol requirements including blood draws and ability to use a Smartphone or computer to complete the </w:t>
      </w:r>
      <w:proofErr w:type="spellStart"/>
      <w:r w:rsidRPr="00B8281F">
        <w:t>eDiaries</w:t>
      </w:r>
      <w:proofErr w:type="spellEnd"/>
      <w:r w:rsidRPr="00B8281F">
        <w:t xml:space="preserve">. Participant assent was also obtained if required by the applicable IRB; 3. </w:t>
      </w:r>
      <w:proofErr w:type="gramStart"/>
      <w:r w:rsidRPr="00B8281F">
        <w:t>Subject in generally good health; 4.</w:t>
      </w:r>
      <w:proofErr w:type="gramEnd"/>
      <w:r w:rsidRPr="00B8281F">
        <w:t xml:space="preserve"> If applicable, females of “childbearing potential” must have been abstinent or willing to use a medically accepted contraceptive regimen until ≥28 days after the last Study Vaccine. Girls under &lt;12 years of age who had not had their first period could be considered “not of childbearing potential”. Females of childbearing potential must have returned a negative urine pregnancy test result, prior to any vaccination dose with the study vaccine.</w:t>
      </w:r>
    </w:p>
    <w:p w:rsidR="00D470CB" w:rsidRPr="00B8281F" w:rsidRDefault="00D470CB" w:rsidP="00D470CB">
      <w:r w:rsidRPr="00B8281F">
        <w:t xml:space="preserve">Key Exclusion Criteria: 1. History of allergic reactions to egg proteins or any components of the Study Vaccines; 2. History of serious adverse reactions to any influenza vaccines; 3. History of </w:t>
      </w:r>
      <w:proofErr w:type="spellStart"/>
      <w:r w:rsidRPr="00B8281F">
        <w:t>Guillain-Barré</w:t>
      </w:r>
      <w:proofErr w:type="spellEnd"/>
      <w:r w:rsidRPr="00B8281F">
        <w:t xml:space="preserve"> syndrome or other demyelinating diseases such as encephalomyelitis and transverse myelitis;</w:t>
      </w:r>
      <w:r>
        <w:t xml:space="preserve"> </w:t>
      </w:r>
      <w:r w:rsidRPr="00B8281F">
        <w:t xml:space="preserve">4. History of licensed influenza vaccination in the last 6 </w:t>
      </w:r>
      <w:r w:rsidR="00F70DB9">
        <w:t>months</w:t>
      </w:r>
      <w:r w:rsidRPr="00B8281F">
        <w:t xml:space="preserve">; 5. Have clinical signs of active infection and/or an oral temperature of ≥100°F (37.8°C) on the day of vaccination or within 48 hrs preceding vaccination; 6. </w:t>
      </w:r>
      <w:proofErr w:type="gramStart"/>
      <w:r w:rsidRPr="00B8281F">
        <w:t>History of any seizures, with the exception of a single febrile seizure; 7.</w:t>
      </w:r>
      <w:proofErr w:type="gramEnd"/>
      <w:r w:rsidRPr="00B8281F">
        <w:t xml:space="preserve"> </w:t>
      </w:r>
      <w:proofErr w:type="gramStart"/>
      <w:r w:rsidRPr="00B8281F">
        <w:t xml:space="preserve">Self-reported or known </w:t>
      </w:r>
      <w:proofErr w:type="spellStart"/>
      <w:r w:rsidRPr="00B8281F">
        <w:t>seropositivity</w:t>
      </w:r>
      <w:proofErr w:type="spellEnd"/>
      <w:r w:rsidRPr="00B8281F">
        <w:t xml:space="preserve"> suggestive of acute or chronic viral infection for HIV, hepatitis B or hepatitis C; 8.</w:t>
      </w:r>
      <w:proofErr w:type="gramEnd"/>
      <w:r w:rsidRPr="00B8281F">
        <w:t xml:space="preserve"> </w:t>
      </w:r>
      <w:proofErr w:type="gramStart"/>
      <w:r w:rsidRPr="00B8281F">
        <w:t>Known or suspected congenital or acquired immunosuppressive conditions; 9.</w:t>
      </w:r>
      <w:proofErr w:type="gramEnd"/>
      <w:r w:rsidRPr="00B8281F">
        <w:t xml:space="preserve"> </w:t>
      </w:r>
      <w:proofErr w:type="gramStart"/>
      <w:r w:rsidRPr="00B8281F">
        <w:t>Current or recent immunosuppressive or immunomodulatory therapy; 10.</w:t>
      </w:r>
      <w:proofErr w:type="gramEnd"/>
      <w:r w:rsidRPr="00B8281F">
        <w:t xml:space="preserve"> </w:t>
      </w:r>
      <w:proofErr w:type="gramStart"/>
      <w:r w:rsidRPr="00B8281F">
        <w:t>History of previous or current malignant neoplasms; 11.</w:t>
      </w:r>
      <w:proofErr w:type="gramEnd"/>
      <w:r w:rsidRPr="00B8281F">
        <w:t xml:space="preserve"> Administration of immunoglobulin and/or any blood products within the 3 months preceding vaccination, or planned administration during the study; 12. Vaccination with a licensed vaccine 28 days (for live or inactivated vaccines) prior to receiving the first dose of Study Vaccine, or </w:t>
      </w:r>
      <w:r w:rsidRPr="00B8281F">
        <w:lastRenderedPageBreak/>
        <w:t xml:space="preserve">plans to receive any licensed vaccine prior to the Study Exit Visit; 13. </w:t>
      </w:r>
      <w:proofErr w:type="gramStart"/>
      <w:r w:rsidRPr="00B8281F">
        <w:t>Pregnant or lactating females.</w:t>
      </w:r>
      <w:proofErr w:type="gramEnd"/>
    </w:p>
    <w:p w:rsidR="00D470CB" w:rsidRDefault="00D470CB" w:rsidP="00F70DB9">
      <w:pPr>
        <w:pStyle w:val="Heading5"/>
      </w:pPr>
      <w:r w:rsidRPr="005632DC">
        <w:t>Study treatments</w:t>
      </w:r>
    </w:p>
    <w:p w:rsidR="00D470CB" w:rsidRPr="00B8281F" w:rsidRDefault="00D470CB" w:rsidP="00D470CB">
      <w:r w:rsidRPr="00B8281F">
        <w:t xml:space="preserve">Test Product, Dose and Mode of Administration: A single 0.5 mL dose of bioCSL QIV in a pre-filled needleless syringe given IM into the deltoid region of the arm. Each 0.5 mL dose contains 15 mcg HA from each of the following 4 influenza strains (recommended by the FDA’s VRBPAC for the 2015-2016 influenza </w:t>
      </w:r>
      <w:proofErr w:type="gramStart"/>
      <w:r w:rsidRPr="00B8281F">
        <w:t>season</w:t>
      </w:r>
      <w:proofErr w:type="gramEnd"/>
      <w:r w:rsidRPr="00B8281F">
        <w:t xml:space="preserve"> in the US), all 4 strains were split at the upper levels of TDOC concentration (1.5% w/v):</w:t>
      </w:r>
    </w:p>
    <w:p w:rsidR="00D470CB" w:rsidRPr="00B8281F" w:rsidRDefault="00D470CB" w:rsidP="00D470CB">
      <w:pPr>
        <w:pStyle w:val="ListBullet"/>
        <w:numPr>
          <w:ilvl w:val="0"/>
          <w:numId w:val="3"/>
        </w:numPr>
      </w:pPr>
      <w:r w:rsidRPr="00B8281F">
        <w:t>15 mcg per 0.5 mL dose A/California/7/2009 (H1N1)pdm09-like virus;</w:t>
      </w:r>
    </w:p>
    <w:p w:rsidR="00D470CB" w:rsidRPr="00B8281F" w:rsidRDefault="00D470CB" w:rsidP="00D470CB">
      <w:pPr>
        <w:pStyle w:val="ListBullet"/>
        <w:numPr>
          <w:ilvl w:val="0"/>
          <w:numId w:val="3"/>
        </w:numPr>
      </w:pPr>
      <w:r w:rsidRPr="00B8281F">
        <w:t>15 mcg per 0.5 mL dose A/Switzerland/9715293/2013 (H3N2)-like virus;</w:t>
      </w:r>
    </w:p>
    <w:p w:rsidR="00D470CB" w:rsidRPr="00B8281F" w:rsidRDefault="00D470CB" w:rsidP="00D470CB">
      <w:pPr>
        <w:pStyle w:val="ListBullet"/>
        <w:numPr>
          <w:ilvl w:val="0"/>
          <w:numId w:val="3"/>
        </w:numPr>
      </w:pPr>
      <w:r w:rsidRPr="00B8281F">
        <w:t>15 mcg per 0.5 mL dose B/Phuket/3073/2013-like virus (B/Yamagata lineage);</w:t>
      </w:r>
    </w:p>
    <w:p w:rsidR="00D470CB" w:rsidRPr="00B8281F" w:rsidRDefault="00D470CB" w:rsidP="00D470CB">
      <w:pPr>
        <w:pStyle w:val="ListBullet"/>
        <w:numPr>
          <w:ilvl w:val="0"/>
          <w:numId w:val="3"/>
        </w:numPr>
      </w:pPr>
      <w:r w:rsidRPr="00B8281F">
        <w:t>15 mcg per 0.5 mL dose B/Brisbane/60/2008-like virus (B/Victoria lineage).</w:t>
      </w:r>
    </w:p>
    <w:p w:rsidR="00182466" w:rsidRDefault="00D470CB" w:rsidP="00D470CB">
      <w:r w:rsidRPr="00B8281F">
        <w:t>Reference Therapy, Dose and Mode of Administration:</w:t>
      </w:r>
      <w:r>
        <w:t xml:space="preserve"> </w:t>
      </w:r>
      <w:r w:rsidRPr="00B8281F">
        <w:t>The US-licensed Comparator QIV (</w:t>
      </w:r>
      <w:proofErr w:type="spellStart"/>
      <w:r w:rsidRPr="00B8281F">
        <w:t>Fluarix</w:t>
      </w:r>
      <w:proofErr w:type="spellEnd"/>
      <w:r w:rsidRPr="00B8281F">
        <w:t xml:space="preserve"> </w:t>
      </w:r>
      <w:proofErr w:type="spellStart"/>
      <w:r w:rsidRPr="00B8281F">
        <w:t>quadrivalent</w:t>
      </w:r>
      <w:proofErr w:type="spellEnd"/>
      <w:r w:rsidRPr="00B8281F">
        <w:t>), inactivated, split-</w:t>
      </w:r>
      <w:proofErr w:type="spellStart"/>
      <w:r w:rsidRPr="00B8281F">
        <w:t>virion</w:t>
      </w:r>
      <w:proofErr w:type="spellEnd"/>
      <w:r w:rsidRPr="00B8281F">
        <w:t>, thimerosal-free, QIV, administered as one 0.5 mL IM dose into the deltoid muscle. Each 0.5 mL dose contains 15 mcg HA from each of the following 4 influenza strains (VRBPAC recommended for the 2015-2016 influenza season in the US):</w:t>
      </w:r>
    </w:p>
    <w:p w:rsidR="00182466" w:rsidRDefault="00D470CB" w:rsidP="00D470CB">
      <w:pPr>
        <w:pStyle w:val="ListBullet"/>
        <w:numPr>
          <w:ilvl w:val="0"/>
          <w:numId w:val="3"/>
        </w:numPr>
      </w:pPr>
      <w:r w:rsidRPr="00B8281F">
        <w:t>15 mcg per 0.5 mL dose A/California/7/2009 (H1N1)pdm09-like virus;</w:t>
      </w:r>
    </w:p>
    <w:p w:rsidR="00182466" w:rsidRDefault="00D470CB" w:rsidP="00D470CB">
      <w:pPr>
        <w:pStyle w:val="ListBullet"/>
        <w:numPr>
          <w:ilvl w:val="0"/>
          <w:numId w:val="3"/>
        </w:numPr>
      </w:pPr>
      <w:r w:rsidRPr="00B8281F">
        <w:t>15 mcg per 0.5 mL dose A/Switzerland/9715293/2013 (H3N2)-like virus;</w:t>
      </w:r>
    </w:p>
    <w:p w:rsidR="00182466" w:rsidRDefault="00D470CB" w:rsidP="00D470CB">
      <w:pPr>
        <w:pStyle w:val="ListBullet"/>
        <w:numPr>
          <w:ilvl w:val="0"/>
          <w:numId w:val="3"/>
        </w:numPr>
      </w:pPr>
      <w:r w:rsidRPr="00B8281F">
        <w:t>15 mcg per 0.5 mL dose B/Phuket/3073/2013-like virus (B/Yamagata lineage);</w:t>
      </w:r>
    </w:p>
    <w:p w:rsidR="00D470CB" w:rsidRPr="00B8281F" w:rsidRDefault="00D470CB" w:rsidP="00D470CB">
      <w:pPr>
        <w:pStyle w:val="ListBullet"/>
        <w:numPr>
          <w:ilvl w:val="0"/>
          <w:numId w:val="3"/>
        </w:numPr>
      </w:pPr>
      <w:r w:rsidRPr="00B8281F">
        <w:t>15 mcg per 0.5 mL dose B/Brisbane/60/2008-like virus (B/Victoria lineage).</w:t>
      </w:r>
    </w:p>
    <w:p w:rsidR="00D470CB" w:rsidRPr="005632DC" w:rsidRDefault="00D470CB" w:rsidP="00F70DB9">
      <w:pPr>
        <w:pStyle w:val="Heading5"/>
      </w:pPr>
      <w:r w:rsidRPr="005632DC">
        <w:t>Efficacy variables and outcomes</w:t>
      </w:r>
    </w:p>
    <w:p w:rsidR="00D470CB" w:rsidRPr="00B8281F" w:rsidRDefault="00D470CB" w:rsidP="00D470CB">
      <w:proofErr w:type="gramStart"/>
      <w:r w:rsidRPr="00B8281F">
        <w:t xml:space="preserve">Randomised using 3:1 allocation ratio to bioCSL QIV or </w:t>
      </w:r>
      <w:proofErr w:type="spellStart"/>
      <w:r w:rsidRPr="00B8281F">
        <w:t>Fluarix</w:t>
      </w:r>
      <w:proofErr w:type="spellEnd"/>
      <w:r w:rsidRPr="00B8281F">
        <w:t xml:space="preserve"> QIV.</w:t>
      </w:r>
      <w:proofErr w:type="gramEnd"/>
      <w:r w:rsidRPr="00B8281F">
        <w:t xml:space="preserve"> </w:t>
      </w:r>
      <w:proofErr w:type="gramStart"/>
      <w:r w:rsidRPr="00B8281F">
        <w:t>Stratified by age</w:t>
      </w:r>
      <w:r>
        <w:t>.</w:t>
      </w:r>
      <w:proofErr w:type="gramEnd"/>
    </w:p>
    <w:p w:rsidR="00D470CB" w:rsidRPr="00B8281F" w:rsidRDefault="00D470CB" w:rsidP="00D470CB">
      <w:r w:rsidRPr="00B8281F">
        <w:t xml:space="preserve">Study procedures: Subjects scheduled to single vaccination (Figure 1) or two-vaccination regimen (Figure 2) as clinically indicated. Overall study duration = maximum of 10 </w:t>
      </w:r>
      <w:r w:rsidR="00F70DB9">
        <w:t>months</w:t>
      </w:r>
      <w:r w:rsidRPr="00B8281F">
        <w:t>.</w:t>
      </w:r>
    </w:p>
    <w:p w:rsidR="00D470CB" w:rsidRPr="00483C26" w:rsidRDefault="00D470CB" w:rsidP="00D470CB">
      <w:pPr>
        <w:pStyle w:val="FigureTitle"/>
        <w:rPr>
          <w:noProof/>
          <w:lang w:eastAsia="en-AU"/>
        </w:rPr>
      </w:pPr>
      <w:r w:rsidRPr="00043105">
        <w:rPr>
          <w:noProof/>
          <w:lang w:eastAsia="en-AU"/>
        </w:rPr>
        <w:t>Figure 1: One vaccination schedule of visits</w:t>
      </w:r>
      <w:r w:rsidRPr="00043105">
        <w:t xml:space="preserve"> in </w:t>
      </w:r>
      <w:r w:rsidRPr="00043105">
        <w:rPr>
          <w:noProof/>
          <w:lang w:eastAsia="en-AU"/>
        </w:rPr>
        <w:t>CSLCT-QIV-13-02</w:t>
      </w:r>
    </w:p>
    <w:p w:rsidR="00D470CB" w:rsidRPr="00043105" w:rsidRDefault="0017010A" w:rsidP="00D470CB">
      <w:pPr>
        <w:autoSpaceDE w:val="0"/>
        <w:autoSpaceDN w:val="0"/>
        <w:adjustRightInd w:val="0"/>
        <w:spacing w:before="0" w:after="0" w:line="240" w:lineRule="auto"/>
        <w:rPr>
          <w:rFonts w:asciiTheme="minorHAnsi" w:eastAsiaTheme="minorHAnsi" w:hAnsiTheme="minorHAnsi"/>
          <w:noProof/>
          <w:lang w:eastAsia="en-AU"/>
        </w:rPr>
      </w:pPr>
      <w:r w:rsidRPr="00043105">
        <w:rPr>
          <w:rFonts w:asciiTheme="minorHAnsi" w:eastAsiaTheme="minorHAnsi" w:hAnsiTheme="minorHAnsi"/>
          <w:noProof/>
          <w:lang w:eastAsia="en-AU"/>
        </w:rPr>
        <w:object w:dxaOrig="8235" w:dyaOrig="3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ne vaccination schedule of visits in CSLCT-QIV-13-02" style="width:374.4pt;height:147.15pt" o:ole="">
            <v:imagedata r:id="rId19" o:title=""/>
          </v:shape>
          <o:OLEObject Type="Embed" ProgID="Acrobat.Document.DC" ShapeID="_x0000_i1025" DrawAspect="Content" ObjectID="_1609670732" r:id="rId20"/>
        </w:object>
      </w:r>
    </w:p>
    <w:p w:rsidR="00D470CB" w:rsidRPr="00483C26" w:rsidRDefault="00D470CB" w:rsidP="00F70DB9">
      <w:pPr>
        <w:pStyle w:val="FigureTitle"/>
        <w:keepNext/>
        <w:keepLines/>
        <w:rPr>
          <w:noProof/>
          <w:lang w:eastAsia="en-AU"/>
        </w:rPr>
      </w:pPr>
      <w:r w:rsidRPr="00043105">
        <w:rPr>
          <w:noProof/>
          <w:lang w:eastAsia="en-AU"/>
        </w:rPr>
        <w:lastRenderedPageBreak/>
        <w:t>Figure</w:t>
      </w:r>
      <w:r>
        <w:rPr>
          <w:noProof/>
          <w:lang w:eastAsia="en-AU"/>
        </w:rPr>
        <w:t xml:space="preserve"> 2</w:t>
      </w:r>
      <w:r w:rsidRPr="00043105">
        <w:rPr>
          <w:noProof/>
          <w:lang w:eastAsia="en-AU"/>
        </w:rPr>
        <w:t>: Two vaccination schedule of visits</w:t>
      </w:r>
      <w:r w:rsidRPr="00043105">
        <w:t xml:space="preserve"> in </w:t>
      </w:r>
      <w:r w:rsidRPr="00043105">
        <w:rPr>
          <w:noProof/>
          <w:lang w:eastAsia="en-AU"/>
        </w:rPr>
        <w:t>CSLCT-QIV-13-02</w:t>
      </w:r>
    </w:p>
    <w:p w:rsidR="00D470CB" w:rsidRDefault="0017010A" w:rsidP="0017010A">
      <w:pPr>
        <w:rPr>
          <w:b/>
        </w:rPr>
      </w:pPr>
      <w:r w:rsidRPr="00943068">
        <w:object w:dxaOrig="8370" w:dyaOrig="4050">
          <v:shape id="_x0000_i1026" type="#_x0000_t75" alt="Two vaccination schedule of visits in CSLCT-QIV-13-02" style="width:397.55pt;height:174.7pt" o:ole="">
            <v:imagedata r:id="rId21" o:title=""/>
          </v:shape>
          <o:OLEObject Type="Embed" ProgID="Acrobat.Document.DC" ShapeID="_x0000_i1026" DrawAspect="Content" ObjectID="_1609670733" r:id="rId22"/>
        </w:object>
      </w:r>
    </w:p>
    <w:p w:rsidR="00D470CB" w:rsidRPr="00561995" w:rsidRDefault="00D470CB" w:rsidP="00D470CB">
      <w:pPr>
        <w:pStyle w:val="FigureTitle"/>
      </w:pPr>
      <w:r w:rsidRPr="00994F98">
        <w:t>Figure 3: Schedule of assessments for participants receiving one dose of vaccine</w:t>
      </w:r>
    </w:p>
    <w:p w:rsidR="00D470CB" w:rsidRDefault="0017010A" w:rsidP="00D470CB">
      <w:pPr>
        <w:autoSpaceDE w:val="0"/>
        <w:autoSpaceDN w:val="0"/>
        <w:adjustRightInd w:val="0"/>
        <w:spacing w:before="0" w:after="0" w:line="240" w:lineRule="auto"/>
        <w:rPr>
          <w:rFonts w:asciiTheme="minorHAnsi" w:eastAsia="TimesNewRoman" w:hAnsiTheme="minorHAnsi" w:cs="TimesNewRoman"/>
        </w:rPr>
      </w:pPr>
      <w:r w:rsidRPr="00B3544D">
        <w:rPr>
          <w:rFonts w:asciiTheme="minorHAnsi" w:eastAsia="TimesNewRoman" w:hAnsiTheme="minorHAnsi" w:cs="TimesNewRoman"/>
        </w:rPr>
        <w:object w:dxaOrig="9721" w:dyaOrig="5940">
          <v:shape id="_x0000_i1027" type="#_x0000_t75" alt="Figure 3: Schedule of assessments for participants receiving one dose of vaccine" style="width:433.25pt;height:213.5pt" o:ole="">
            <v:imagedata r:id="rId23" o:title=""/>
          </v:shape>
          <o:OLEObject Type="Embed" ProgID="Acrobat.Document.DC" ShapeID="_x0000_i1027" DrawAspect="Content" ObjectID="_1609670734" r:id="rId24"/>
        </w:object>
      </w:r>
    </w:p>
    <w:p w:rsidR="00D470CB" w:rsidRPr="00B3544D" w:rsidRDefault="00D470CB" w:rsidP="00D470CB">
      <w:pPr>
        <w:pStyle w:val="FigureTitle"/>
      </w:pPr>
      <w:r w:rsidRPr="00994F98">
        <w:t>Figure 4: Schedule of assessments for participants receiving two doses of vaccine</w:t>
      </w:r>
    </w:p>
    <w:p w:rsidR="00D470CB" w:rsidRDefault="0017010A" w:rsidP="00D470CB">
      <w:pPr>
        <w:autoSpaceDE w:val="0"/>
        <w:autoSpaceDN w:val="0"/>
        <w:adjustRightInd w:val="0"/>
        <w:spacing w:before="0" w:after="0" w:line="240" w:lineRule="auto"/>
        <w:rPr>
          <w:rFonts w:asciiTheme="minorHAnsi" w:eastAsia="TimesNewRoman" w:hAnsiTheme="minorHAnsi" w:cs="TimesNewRoman"/>
        </w:rPr>
      </w:pPr>
      <w:r w:rsidRPr="00B3544D">
        <w:rPr>
          <w:rFonts w:asciiTheme="minorHAnsi" w:eastAsia="TimesNewRoman" w:hAnsiTheme="minorHAnsi" w:cs="TimesNewRoman"/>
        </w:rPr>
        <w:object w:dxaOrig="9721" w:dyaOrig="6481">
          <v:shape id="_x0000_i1028" type="#_x0000_t75" alt="Schedule of assessments for participants receiving two doses of vaccine" style="width:408.85pt;height:229.15pt" o:ole="">
            <v:imagedata r:id="rId25" o:title=""/>
          </v:shape>
          <o:OLEObject Type="Embed" ProgID="Acrobat.Document.DC" ShapeID="_x0000_i1028" DrawAspect="Content" ObjectID="_1609670735" r:id="rId26"/>
        </w:object>
      </w:r>
    </w:p>
    <w:p w:rsidR="00D470CB" w:rsidRPr="00B8281F" w:rsidRDefault="00D470CB" w:rsidP="00D470CB">
      <w:r w:rsidRPr="00B8281F">
        <w:lastRenderedPageBreak/>
        <w:t xml:space="preserve">Figures 3 and 4 </w:t>
      </w:r>
      <w:proofErr w:type="gramStart"/>
      <w:r w:rsidRPr="00B8281F">
        <w:t>show</w:t>
      </w:r>
      <w:proofErr w:type="gramEnd"/>
      <w:r w:rsidRPr="00B8281F">
        <w:t xml:space="preserve"> the schedule of assessments for subjects receiving a single or two doses of vaccine.</w:t>
      </w:r>
      <w:r>
        <w:t xml:space="preserve"> </w:t>
      </w:r>
      <w:r w:rsidRPr="00B8281F">
        <w:t xml:space="preserve">Serological specimens were provided before first vaccination and after last vaccination. Parents/guardians recorded the occurrence of a </w:t>
      </w:r>
      <w:proofErr w:type="spellStart"/>
      <w:r w:rsidRPr="00B8281F">
        <w:t>prespecified</w:t>
      </w:r>
      <w:proofErr w:type="spellEnd"/>
      <w:r w:rsidRPr="00B8281F">
        <w:t xml:space="preserve"> series of local and systemic symptoms and temperature that might occur between Day 1 and Day 7 following each indicated vaccine dose in a Solicited </w:t>
      </w:r>
      <w:proofErr w:type="spellStart"/>
      <w:r w:rsidRPr="00B8281F">
        <w:t>eDiary</w:t>
      </w:r>
      <w:proofErr w:type="spellEnd"/>
      <w:r w:rsidRPr="00B8281F">
        <w:t xml:space="preserve">. Any unsolicited AEs and concomitant medication use that occurred between Day 1 and the Study Exit Visit were recorded in an Unsolicited /Concomitant Medications </w:t>
      </w:r>
      <w:proofErr w:type="spellStart"/>
      <w:r w:rsidRPr="00B8281F">
        <w:t>eDiary</w:t>
      </w:r>
      <w:proofErr w:type="spellEnd"/>
      <w:r w:rsidRPr="00B8281F">
        <w:t xml:space="preserve">. Subjects returned to the clinic on Day 29 following each indicated vaccine dose, for a targeted physical examination as clinically indicated, and a urine pregnancy test (if appropriate). During this visit the Solicited </w:t>
      </w:r>
      <w:proofErr w:type="spellStart"/>
      <w:r w:rsidRPr="00B8281F">
        <w:t>eDiary</w:t>
      </w:r>
      <w:proofErr w:type="spellEnd"/>
      <w:r w:rsidRPr="00B8281F">
        <w:t xml:space="preserve"> for Dose 1 was reviewed with the subjects, and unsolicited AEs and concomitant medications recorded reviewed and reported for the active study period (Visit 1 to Exit Visit). For one</w:t>
      </w:r>
      <w:r w:rsidR="008B267C">
        <w:t xml:space="preserve"> </w:t>
      </w:r>
      <w:r w:rsidRPr="00B8281F">
        <w:t xml:space="preserve">dose subjects, Visit 2 (Day 29+4) =Exit Visit. For the two-dose subjects, Visit 3 = Exit Visit. SAEs collected via a telephone call </w:t>
      </w:r>
      <w:r w:rsidR="008B267C">
        <w:t xml:space="preserve">made </w:t>
      </w:r>
      <w:r w:rsidRPr="00B8281F">
        <w:t>≥90 days after last vaccination dose and another call at 180 days after last vaccination dose.</w:t>
      </w:r>
    </w:p>
    <w:p w:rsidR="00D470CB" w:rsidRPr="005632DC" w:rsidRDefault="00D470CB" w:rsidP="00F70DB9">
      <w:pPr>
        <w:pStyle w:val="Heading5"/>
      </w:pPr>
      <w:r w:rsidRPr="005632DC">
        <w:t>Randomisation and blinding methods</w:t>
      </w:r>
    </w:p>
    <w:p w:rsidR="00D470CB" w:rsidRPr="00B8281F" w:rsidRDefault="00D470CB" w:rsidP="00D470CB">
      <w:r w:rsidRPr="00B8281F">
        <w:t xml:space="preserve">Randomisation: via IRT to one of the 2 treatment </w:t>
      </w:r>
      <w:r w:rsidR="008B267C">
        <w:t>groups</w:t>
      </w:r>
      <w:r w:rsidRPr="00B8281F">
        <w:t xml:space="preserve"> in a 3:1 ratio (bioCSL QIV: QIV Comparator) and proportionally balanced in the two age strata (5 - 8 </w:t>
      </w:r>
      <w:proofErr w:type="spellStart"/>
      <w:r w:rsidRPr="00B8281F">
        <w:t>yrs</w:t>
      </w:r>
      <w:proofErr w:type="spellEnd"/>
      <w:r w:rsidRPr="00B8281F">
        <w:t xml:space="preserve"> and 9 - 17 </w:t>
      </w:r>
      <w:proofErr w:type="spellStart"/>
      <w:r w:rsidRPr="00B8281F">
        <w:t>yrs</w:t>
      </w:r>
      <w:proofErr w:type="spellEnd"/>
      <w:r w:rsidRPr="00B8281F">
        <w:t xml:space="preserve">), with ≥50% in the 5 - 8 </w:t>
      </w:r>
      <w:proofErr w:type="spellStart"/>
      <w:r w:rsidRPr="00B8281F">
        <w:t>yrs</w:t>
      </w:r>
      <w:proofErr w:type="spellEnd"/>
      <w:r w:rsidRPr="00B8281F">
        <w:t xml:space="preserve"> age stratum.</w:t>
      </w:r>
    </w:p>
    <w:p w:rsidR="00D470CB" w:rsidRPr="00B8281F" w:rsidRDefault="00D470CB" w:rsidP="00D470CB">
      <w:r w:rsidRPr="00B8281F">
        <w:t>Blinding: Investigational site staff</w:t>
      </w:r>
      <w:r w:rsidR="008B267C">
        <w:t>,</w:t>
      </w:r>
      <w:r w:rsidRPr="00B8281F">
        <w:t xml:space="preserve"> including the investigator and all personnel performing study assessments</w:t>
      </w:r>
      <w:r w:rsidR="008B267C">
        <w:t>,</w:t>
      </w:r>
      <w:r w:rsidRPr="00B8281F">
        <w:t xml:space="preserve"> w</w:t>
      </w:r>
      <w:r w:rsidR="008B267C">
        <w:t>as</w:t>
      </w:r>
      <w:r w:rsidRPr="00B8281F">
        <w:t xml:space="preserve"> blinded to treatment allocation (observer-blind). The subject and parent/ guardian were also blinded to treatment allocation. As there is a visual difference between the bioCSL QIV and the Comparator QIV pre-filled syringes, personnel who prepare and administer the Study Vaccine were considered </w:t>
      </w:r>
      <w:proofErr w:type="spellStart"/>
      <w:r w:rsidRPr="00B8281F">
        <w:t>unblinded</w:t>
      </w:r>
      <w:proofErr w:type="spellEnd"/>
      <w:r w:rsidRPr="00B8281F">
        <w:t xml:space="preserve"> and excluded from involvement in other study procedures, with the exception of other study vaccine related activities, such as receipt, preparation and accountability management.</w:t>
      </w:r>
    </w:p>
    <w:p w:rsidR="00D470CB" w:rsidRPr="005632DC" w:rsidDel="0081373E" w:rsidRDefault="00D470CB" w:rsidP="00F70DB9">
      <w:pPr>
        <w:pStyle w:val="Heading5"/>
      </w:pPr>
      <w:r w:rsidRPr="005632DC">
        <w:t>Analysis populations</w:t>
      </w:r>
    </w:p>
    <w:p w:rsidR="00182466" w:rsidRDefault="00D470CB" w:rsidP="00F70DB9">
      <w:pPr>
        <w:pStyle w:val="ListBullet"/>
      </w:pPr>
      <w:r w:rsidRPr="00F70DB9">
        <w:t>Full Analysis Set = all subjects whose parent(s)</w:t>
      </w:r>
      <w:r w:rsidR="00182466">
        <w:t xml:space="preserve"> </w:t>
      </w:r>
      <w:r w:rsidRPr="00F70DB9">
        <w:t>/</w:t>
      </w:r>
      <w:r w:rsidR="00182466">
        <w:t xml:space="preserve"> </w:t>
      </w:r>
      <w:r w:rsidRPr="00F70DB9">
        <w:t>guardian(s) gave informed consent and who were randomised</w:t>
      </w:r>
      <w:r w:rsidR="00182466">
        <w:t>.</w:t>
      </w:r>
    </w:p>
    <w:p w:rsidR="00182466" w:rsidRDefault="00D470CB" w:rsidP="00F70DB9">
      <w:pPr>
        <w:pStyle w:val="ListBullet"/>
      </w:pPr>
      <w:r w:rsidRPr="00F70DB9">
        <w:t>Overall Safety Population = all in the FAS who received ≥1 dose or partial dose of study vaccine and provided any evaluable follow-up safety data</w:t>
      </w:r>
      <w:r w:rsidR="00182466">
        <w:t>.</w:t>
      </w:r>
    </w:p>
    <w:p w:rsidR="00182466" w:rsidRDefault="00D470CB" w:rsidP="00F70DB9">
      <w:pPr>
        <w:pStyle w:val="ListBullet"/>
      </w:pPr>
      <w:r w:rsidRPr="00F70DB9">
        <w:t>Solicited Safety Population = all in the FAS who received ≥1 dose or partial dose of Study Vaccine and provided any evaluable data on solicited events</w:t>
      </w:r>
      <w:r w:rsidR="00182466">
        <w:t>.</w:t>
      </w:r>
    </w:p>
    <w:p w:rsidR="00182466" w:rsidRDefault="00D470CB" w:rsidP="00F70DB9">
      <w:pPr>
        <w:pStyle w:val="ListBullet"/>
      </w:pPr>
      <w:r w:rsidRPr="00F70DB9">
        <w:t>Solicited Safety Population after the First Vaccination = all randomised subjects who received the first vaccination and provided any evaluable data on solicited events after 1st vaccination</w:t>
      </w:r>
      <w:r w:rsidR="00182466">
        <w:t>.</w:t>
      </w:r>
    </w:p>
    <w:p w:rsidR="00182466" w:rsidRDefault="00D470CB" w:rsidP="00F70DB9">
      <w:pPr>
        <w:pStyle w:val="ListBullet"/>
      </w:pPr>
      <w:r w:rsidRPr="00F70DB9">
        <w:t>Solicited Safety Population after the Second Vaccination = all randomised subjects who received the 2nd vaccination and provided safety data on solicited events after 2nd vaccination</w:t>
      </w:r>
      <w:r w:rsidR="00182466">
        <w:t>.</w:t>
      </w:r>
    </w:p>
    <w:p w:rsidR="00182466" w:rsidRDefault="00D470CB" w:rsidP="00F70DB9">
      <w:pPr>
        <w:pStyle w:val="ListBullet"/>
      </w:pPr>
      <w:r w:rsidRPr="00F70DB9">
        <w:t>The Evaluable Population for immunogenicity analyses = all in the FAS who received vaccine at Visit 1, provided serology specimens which provided valid serology assay results from both Visit 1 and the Study Exit Visit (Visit 2 or 3), did not experience a lab-confirmed influenza illness between Visit 1 and the Study Exit Visit (Visit 2 or 3), and did not receive any prohibited medication during the study medically assessed as potentially impacting on immunogenicity</w:t>
      </w:r>
      <w:r w:rsidR="00182466">
        <w:t>.</w:t>
      </w:r>
    </w:p>
    <w:p w:rsidR="00D470CB" w:rsidRPr="00B8281F" w:rsidRDefault="00D470CB" w:rsidP="00F70DB9">
      <w:pPr>
        <w:pStyle w:val="ListBullet"/>
      </w:pPr>
      <w:r w:rsidRPr="00F70DB9">
        <w:t>The Per-Protocol Population = all in the Evaluable Population who did not have any protocol deviations that were medically</w:t>
      </w:r>
      <w:r w:rsidRPr="00B8281F">
        <w:t xml:space="preserve"> assessed as potentially impacting on immunogenicity.</w:t>
      </w:r>
    </w:p>
    <w:p w:rsidR="00D470CB" w:rsidRPr="005632DC" w:rsidRDefault="00D470CB" w:rsidP="00F70DB9">
      <w:pPr>
        <w:pStyle w:val="Heading5"/>
      </w:pPr>
      <w:r w:rsidRPr="005632DC" w:rsidDel="0081373E">
        <w:lastRenderedPageBreak/>
        <w:t>S</w:t>
      </w:r>
      <w:r w:rsidRPr="005632DC">
        <w:t>ample size</w:t>
      </w:r>
    </w:p>
    <w:p w:rsidR="00D470CB" w:rsidRPr="00874F55" w:rsidRDefault="00D470CB" w:rsidP="00F70DB9">
      <w:pPr>
        <w:rPr>
          <w:rFonts w:eastAsiaTheme="minorHAnsi"/>
        </w:rPr>
      </w:pPr>
      <w:r>
        <w:t>D</w:t>
      </w:r>
      <w:r w:rsidRPr="001F2456">
        <w:t>esigned to achieve at least 80% power to demonstrate non</w:t>
      </w:r>
      <w:r w:rsidR="008B267C">
        <w:t>-</w:t>
      </w:r>
      <w:r w:rsidRPr="001F2456">
        <w:t>inferiority for all</w:t>
      </w:r>
      <w:r w:rsidRPr="001F2456">
        <w:rPr>
          <w:rFonts w:eastAsiaTheme="minorHAnsi"/>
        </w:rPr>
        <w:t xml:space="preserve"> </w:t>
      </w:r>
      <w:r w:rsidRPr="001F2456">
        <w:t>of the 8 co-primary endpoints, seroconversion rates for 4 strains, and GMT for 4 strains using</w:t>
      </w:r>
      <w:r w:rsidRPr="001F2456">
        <w:rPr>
          <w:rFonts w:eastAsiaTheme="minorHAnsi"/>
        </w:rPr>
        <w:t xml:space="preserve"> </w:t>
      </w:r>
      <w:r w:rsidRPr="001F2456">
        <w:t>a one-sided alpha of 0.025 for each comparison in p</w:t>
      </w:r>
      <w:r>
        <w:t>a</w:t>
      </w:r>
      <w:r w:rsidRPr="001F2456">
        <w:t xml:space="preserve">ediatric subjects from 5 -17 </w:t>
      </w:r>
      <w:proofErr w:type="spellStart"/>
      <w:r w:rsidRPr="001F2456">
        <w:t>yrs</w:t>
      </w:r>
      <w:proofErr w:type="spellEnd"/>
      <w:r w:rsidRPr="001F2456">
        <w:t xml:space="preserve"> of age. No adjustment for multiple endpoints made. For comparisons of SCRs, a non</w:t>
      </w:r>
      <w:r w:rsidR="008B267C">
        <w:t>-</w:t>
      </w:r>
      <w:r w:rsidRPr="001F2456">
        <w:t>inferiority margin of 10% (Comparator QIV - bioCSL QIV) was employed. It was assumed that the SCR for all strains for bioCSL QIV is 50% and that there is no difference between bioCSL QIV and the Comparator QIV. For comparison of GMT ratio, a non</w:t>
      </w:r>
      <w:r w:rsidR="008B267C">
        <w:t>-</w:t>
      </w:r>
      <w:r w:rsidRPr="001F2456">
        <w:t>inferiority margin of 1.5 (Comparator QIV</w:t>
      </w:r>
      <w:r w:rsidR="00182466">
        <w:t xml:space="preserve"> </w:t>
      </w:r>
      <w:r w:rsidRPr="001F2456">
        <w:t>/</w:t>
      </w:r>
      <w:r w:rsidR="00182466">
        <w:t xml:space="preserve"> </w:t>
      </w:r>
      <w:r w:rsidRPr="001F2456">
        <w:t>bioCSL QIV, equivalent to a difference on the log scale of 0.405465108) was employed. It was assumed that there is no difference between bioCSL QIV and the Comparator QIV (</w:t>
      </w:r>
      <w:r w:rsidR="008F1442">
        <w:t>that is,</w:t>
      </w:r>
      <w:r w:rsidRPr="001F2456">
        <w:t xml:space="preserve"> a ratio of 1, difference on the log scale of 0) and that the </w:t>
      </w:r>
      <w:r>
        <w:t>SD</w:t>
      </w:r>
      <w:r w:rsidRPr="001F2456">
        <w:t xml:space="preserve"> of log (titre) is 1.4.</w:t>
      </w:r>
      <w:r w:rsidRPr="001F2456">
        <w:rPr>
          <w:rFonts w:eastAsiaTheme="minorHAnsi"/>
        </w:rPr>
        <w:t xml:space="preserve"> The treatment</w:t>
      </w:r>
      <w:r>
        <w:rPr>
          <w:rFonts w:eastAsiaTheme="minorHAnsi"/>
        </w:rPr>
        <w:t xml:space="preserve"> randomis</w:t>
      </w:r>
      <w:r w:rsidRPr="001F2456">
        <w:rPr>
          <w:rFonts w:eastAsiaTheme="minorHAnsi"/>
        </w:rPr>
        <w:t>ation ratio was 3:1 (bioCSL QIV: Comparator QIV).</w:t>
      </w:r>
      <w:r>
        <w:rPr>
          <w:rFonts w:eastAsiaTheme="minorHAnsi"/>
        </w:rPr>
        <w:t xml:space="preserve"> </w:t>
      </w:r>
      <w:r w:rsidRPr="001F2456">
        <w:rPr>
          <w:rFonts w:eastAsiaTheme="minorHAnsi"/>
        </w:rPr>
        <w:t xml:space="preserve">Under these assumptions and with n evaluable = 1500 in the bioCSL QIV </w:t>
      </w:r>
      <w:proofErr w:type="spellStart"/>
      <w:r>
        <w:rPr>
          <w:rFonts w:eastAsiaTheme="minorHAnsi"/>
        </w:rPr>
        <w:t>gp</w:t>
      </w:r>
      <w:proofErr w:type="spellEnd"/>
      <w:r w:rsidRPr="001F2456">
        <w:rPr>
          <w:rFonts w:eastAsiaTheme="minorHAnsi"/>
        </w:rPr>
        <w:t xml:space="preserve"> and</w:t>
      </w:r>
      <w:r>
        <w:rPr>
          <w:rFonts w:eastAsiaTheme="minorHAnsi"/>
        </w:rPr>
        <w:t xml:space="preserve"> </w:t>
      </w:r>
      <w:r w:rsidRPr="001F2456">
        <w:rPr>
          <w:rFonts w:eastAsiaTheme="minorHAnsi"/>
        </w:rPr>
        <w:t xml:space="preserve">500 in the Comparator QIV </w:t>
      </w:r>
      <w:proofErr w:type="spellStart"/>
      <w:r>
        <w:rPr>
          <w:rFonts w:eastAsiaTheme="minorHAnsi"/>
        </w:rPr>
        <w:t>gp</w:t>
      </w:r>
      <w:proofErr w:type="spellEnd"/>
      <w:r w:rsidRPr="001F2456">
        <w:rPr>
          <w:rFonts w:eastAsiaTheme="minorHAnsi"/>
        </w:rPr>
        <w:t xml:space="preserve">, the power for 4 GMT ratio endpoints </w:t>
      </w:r>
      <w:r>
        <w:rPr>
          <w:rFonts w:eastAsiaTheme="minorHAnsi"/>
        </w:rPr>
        <w:t>was</w:t>
      </w:r>
      <w:r w:rsidRPr="001F2456">
        <w:rPr>
          <w:rFonts w:eastAsiaTheme="minorHAnsi"/>
        </w:rPr>
        <w:t xml:space="preserve"> 99.95% and the</w:t>
      </w:r>
      <w:r>
        <w:rPr>
          <w:rFonts w:eastAsiaTheme="minorHAnsi"/>
        </w:rPr>
        <w:t xml:space="preserve"> power for 4 SCR endpoints was </w:t>
      </w:r>
      <w:r w:rsidRPr="001F2456">
        <w:rPr>
          <w:rFonts w:eastAsiaTheme="minorHAnsi"/>
        </w:rPr>
        <w:t xml:space="preserve">89.70%. The overall global power of the 8 </w:t>
      </w:r>
      <w:r w:rsidRPr="00874F55">
        <w:rPr>
          <w:rFonts w:eastAsiaTheme="minorHAnsi"/>
        </w:rPr>
        <w:t>endpoints was then 89.7% x 99.95% = 89.66%. This provides a total N evaluable = 2000 (with 10% dropouts n=2222). Sample size calculations performed using SAS v9.3 and PASS v12.0.2.</w:t>
      </w:r>
    </w:p>
    <w:p w:rsidR="00D470CB" w:rsidRPr="00874F55" w:rsidRDefault="00D470CB" w:rsidP="00F70DB9">
      <w:pPr>
        <w:pStyle w:val="Heading5"/>
      </w:pPr>
      <w:r w:rsidRPr="00874F55">
        <w:t>Statistical methods</w:t>
      </w:r>
    </w:p>
    <w:p w:rsidR="00D470CB" w:rsidRPr="00874F55" w:rsidRDefault="00D470CB" w:rsidP="00D470CB">
      <w:pPr>
        <w:autoSpaceDE w:val="0"/>
        <w:autoSpaceDN w:val="0"/>
        <w:adjustRightInd w:val="0"/>
        <w:spacing w:before="0" w:after="0" w:line="240" w:lineRule="auto"/>
        <w:rPr>
          <w:rFonts w:asciiTheme="minorHAnsi" w:eastAsiaTheme="minorHAnsi" w:hAnsiTheme="minorHAnsi"/>
          <w:bCs/>
        </w:rPr>
      </w:pPr>
      <w:r w:rsidRPr="00752F9D">
        <w:rPr>
          <w:rFonts w:asciiTheme="minorHAnsi" w:eastAsiaTheme="minorHAnsi" w:hAnsiTheme="minorHAnsi"/>
          <w:bCs/>
        </w:rPr>
        <w:t>Primary Endpoint: In line with US influenza development guidelines, the immune response</w:t>
      </w:r>
      <w:r w:rsidRPr="00874F55">
        <w:rPr>
          <w:rFonts w:asciiTheme="minorHAnsi" w:eastAsiaTheme="minorHAnsi" w:hAnsiTheme="minorHAnsi"/>
          <w:bCs/>
        </w:rPr>
        <w:t xml:space="preserve"> elicited by QIV was considered to be non-inferior to the US-licensed comparator QIV if, for each of the four strains the following statistical criteria were met:</w:t>
      </w:r>
    </w:p>
    <w:p w:rsidR="00D470CB" w:rsidRPr="00F70DB9" w:rsidRDefault="00D470CB" w:rsidP="00F70DB9">
      <w:pPr>
        <w:pStyle w:val="ListBullet"/>
      </w:pPr>
      <w:r w:rsidRPr="00F70DB9">
        <w:t>The upper bound of the two-sided 95% CI on the ratio of the GMT titres did not exceed 1.5. The GMT ratio was calculated by GMT</w:t>
      </w:r>
      <w:r w:rsidR="008B267C">
        <w:t xml:space="preserve"> </w:t>
      </w:r>
      <w:r w:rsidRPr="00F70DB9">
        <w:t>Comparator QIV divided by GMT</w:t>
      </w:r>
      <w:r w:rsidR="008B267C">
        <w:t xml:space="preserve"> </w:t>
      </w:r>
      <w:proofErr w:type="spellStart"/>
      <w:r w:rsidRPr="00F70DB9">
        <w:t>Seqirus</w:t>
      </w:r>
      <w:proofErr w:type="spellEnd"/>
      <w:r w:rsidRPr="00F70DB9">
        <w:t xml:space="preserve"> QIV.</w:t>
      </w:r>
    </w:p>
    <w:p w:rsidR="00D470CB" w:rsidRPr="00874F55" w:rsidRDefault="00D470CB" w:rsidP="00F70DB9">
      <w:pPr>
        <w:pStyle w:val="ListBullet"/>
      </w:pPr>
      <w:r w:rsidRPr="00F70DB9">
        <w:t>The upper bound of the two-sided 95% CI on the difference between the seroconversion rates did not exceed 10 percentage points. The difference in SCR was calculated by GMT</w:t>
      </w:r>
      <w:r w:rsidR="008B267C">
        <w:t xml:space="preserve"> </w:t>
      </w:r>
      <w:r w:rsidRPr="00F70DB9">
        <w:t>Comparator QIV minus GMT</w:t>
      </w:r>
      <w:r w:rsidR="008B267C">
        <w:t xml:space="preserve"> </w:t>
      </w:r>
      <w:proofErr w:type="spellStart"/>
      <w:r w:rsidR="008B267C">
        <w:t>S</w:t>
      </w:r>
      <w:r w:rsidRPr="00F70DB9">
        <w:t>eqirus</w:t>
      </w:r>
      <w:proofErr w:type="spellEnd"/>
      <w:r w:rsidRPr="00F70DB9">
        <w:t xml:space="preserve"> QIV</w:t>
      </w:r>
      <w:r w:rsidRPr="00874F55">
        <w:rPr>
          <w:vertAlign w:val="subscript"/>
        </w:rPr>
        <w:t>.</w:t>
      </w:r>
    </w:p>
    <w:p w:rsidR="00D470CB" w:rsidRPr="00B8281F" w:rsidRDefault="00D470CB" w:rsidP="00F70DB9">
      <w:r w:rsidRPr="00B8281F">
        <w:t xml:space="preserve">To determine the GMT ratio (adjusted analysis) a general linear model (GLM) was fitted on log-transformed </w:t>
      </w:r>
      <w:r w:rsidR="008B267C">
        <w:t>post-vaccination</w:t>
      </w:r>
      <w:r w:rsidRPr="00B8281F">
        <w:t xml:space="preserve"> HI titre (titre) as the outcome variable and terms for covariates such as vaccine, age stratum and site to acknowledge the study design and </w:t>
      </w:r>
      <w:r w:rsidR="008B267C">
        <w:t>pre-vaccination</w:t>
      </w:r>
      <w:r w:rsidRPr="00B8281F">
        <w:t xml:space="preserve"> titre to account for differences in </w:t>
      </w:r>
      <w:r w:rsidR="008B267C">
        <w:t>pre-vaccination</w:t>
      </w:r>
      <w:r w:rsidRPr="00B8281F">
        <w:t xml:space="preserve"> titres between the two treatment </w:t>
      </w:r>
      <w:r w:rsidR="008B267C">
        <w:t>groups</w:t>
      </w:r>
      <w:r w:rsidRPr="00B8281F">
        <w:t>, vaccination history, nos. of doses (1 vs. 2) and gender. Potential covariate interaction effects were examined in the fit of the GLM. From the model an adjusted difference in least-square means (on the log scale) was produced with 95% confidence limits. The estimated difference and the confidence limits were back</w:t>
      </w:r>
      <w:r w:rsidR="008B267C">
        <w:t>-</w:t>
      </w:r>
      <w:r w:rsidRPr="00B8281F">
        <w:t>transformed to obtain an adjusted GMT ratio with 95% confidence limits. Each of the 4 strains analysed separately. The adjusted GMT ratio was the result for which the non</w:t>
      </w:r>
      <w:r w:rsidR="008B267C">
        <w:t>-</w:t>
      </w:r>
      <w:r w:rsidRPr="00B8281F">
        <w:t xml:space="preserve">inferiority assessment was based on. The measure of the unadjusted GMT ratio based on </w:t>
      </w:r>
      <w:r w:rsidR="008B267C">
        <w:t>post-vaccination</w:t>
      </w:r>
      <w:r w:rsidRPr="00B8281F">
        <w:t xml:space="preserve"> GMTs only, is also presented. The PP Population was the primary analysis population for the primary immunogenicity analysis; a supporting analysis was performed using the Evaluable Population according to criteria outlined in the Statistical Analysis Plan (SAP). If all 8 co-primary endpoints fulfilled non</w:t>
      </w:r>
      <w:r w:rsidR="008B267C">
        <w:t>-</w:t>
      </w:r>
      <w:r w:rsidRPr="00B8281F">
        <w:t>inferiority criteria then overall non</w:t>
      </w:r>
      <w:r w:rsidR="008B267C">
        <w:t>-</w:t>
      </w:r>
      <w:r w:rsidRPr="00B8281F">
        <w:t>inferiority of bioCSL QIV v</w:t>
      </w:r>
      <w:r w:rsidR="008B267C">
        <w:t>ersu</w:t>
      </w:r>
      <w:r w:rsidRPr="00B8281F">
        <w:t>s</w:t>
      </w:r>
      <w:r w:rsidR="008B267C">
        <w:t xml:space="preserve"> </w:t>
      </w:r>
      <w:r w:rsidRPr="00B8281F">
        <w:t>comparator QIV was concluded.</w:t>
      </w:r>
    </w:p>
    <w:p w:rsidR="00D470CB" w:rsidRPr="00B8281F" w:rsidRDefault="00D470CB" w:rsidP="00D470CB">
      <w:r w:rsidRPr="00B8281F">
        <w:t>Secondary Immunogenicity Endpoints:</w:t>
      </w:r>
      <w:r>
        <w:t xml:space="preserve"> </w:t>
      </w:r>
      <w:r w:rsidRPr="00B8281F">
        <w:t>Serum HI antibody titres against the 4 influenza vaccine strains were used to calculate:</w:t>
      </w:r>
    </w:p>
    <w:p w:rsidR="00D470CB" w:rsidRPr="007579B5" w:rsidRDefault="00D470CB" w:rsidP="00D470CB">
      <w:pPr>
        <w:pStyle w:val="ListBullet"/>
        <w:numPr>
          <w:ilvl w:val="0"/>
          <w:numId w:val="3"/>
        </w:numPr>
      </w:pPr>
      <w:r>
        <w:t>GMTs: Geometric mean of HI tit</w:t>
      </w:r>
      <w:r w:rsidRPr="000A72E9">
        <w:t>r</w:t>
      </w:r>
      <w:r>
        <w:t>e</w:t>
      </w:r>
      <w:r w:rsidRPr="000A72E9">
        <w:t xml:space="preserve">s </w:t>
      </w:r>
      <w:r w:rsidR="008B267C">
        <w:t>pre-vaccination</w:t>
      </w:r>
      <w:r w:rsidRPr="000A72E9">
        <w:t xml:space="preserve"> (Day 1) and </w:t>
      </w:r>
      <w:r w:rsidR="008B267C">
        <w:t>post-vaccination</w:t>
      </w:r>
      <w:r>
        <w:t xml:space="preserve"> </w:t>
      </w:r>
      <w:r w:rsidRPr="000A72E9">
        <w:t xml:space="preserve">(Exit </w:t>
      </w:r>
      <w:r w:rsidRPr="007579B5">
        <w:t>Visit);</w:t>
      </w:r>
    </w:p>
    <w:p w:rsidR="00D470CB" w:rsidRPr="000A72E9" w:rsidRDefault="00D470CB" w:rsidP="00D470CB">
      <w:pPr>
        <w:pStyle w:val="ListBullet"/>
        <w:numPr>
          <w:ilvl w:val="0"/>
          <w:numId w:val="3"/>
        </w:numPr>
      </w:pPr>
      <w:r w:rsidRPr="000A72E9">
        <w:t xml:space="preserve">SCRs: </w:t>
      </w:r>
      <w:r>
        <w:t xml:space="preserve">% </w:t>
      </w:r>
      <w:r w:rsidRPr="000A72E9">
        <w:t>subjects with</w:t>
      </w:r>
      <w:r>
        <w:t xml:space="preserve"> either a </w:t>
      </w:r>
      <w:r w:rsidR="008B267C">
        <w:t>pre-vaccination</w:t>
      </w:r>
      <w:r>
        <w:t xml:space="preserve"> HI tit</w:t>
      </w:r>
      <w:r w:rsidRPr="000A72E9">
        <w:t>r</w:t>
      </w:r>
      <w:r>
        <w:t>e &lt;</w:t>
      </w:r>
      <w:r w:rsidRPr="000A72E9">
        <w:t>1:10 and a</w:t>
      </w:r>
      <w:r>
        <w:t xml:space="preserve"> </w:t>
      </w:r>
      <w:r w:rsidR="008B267C">
        <w:rPr>
          <w:rFonts w:eastAsia="TimesNewRomanPSMT" w:cs="TimesNewRomanPSMT"/>
        </w:rPr>
        <w:t>post-vaccination</w:t>
      </w:r>
      <w:r w:rsidRPr="000A72E9">
        <w:rPr>
          <w:rFonts w:eastAsia="TimesNewRomanPSMT" w:cs="TimesNewRomanPSMT"/>
        </w:rPr>
        <w:t xml:space="preserve"> HI titre</w:t>
      </w:r>
      <w:r>
        <w:rPr>
          <w:rFonts w:eastAsia="TimesNewRomanPSMT" w:cs="TimesNewRomanPSMT"/>
        </w:rPr>
        <w:t xml:space="preserve"> </w:t>
      </w:r>
      <w:r w:rsidRPr="000A72E9">
        <w:rPr>
          <w:rFonts w:eastAsia="TimesNewRomanPSMT" w:cs="TimesNewRomanPSMT"/>
        </w:rPr>
        <w:t>≥ 1:40</w:t>
      </w:r>
      <w:r w:rsidRPr="000A72E9">
        <w:t xml:space="preserve">, </w:t>
      </w:r>
      <w:r w:rsidRPr="000A72E9">
        <w:rPr>
          <w:rFonts w:eastAsia="TimesNewRomanPSMT" w:cs="TimesNewRomanPSMT"/>
        </w:rPr>
        <w:t xml:space="preserve">or a </w:t>
      </w:r>
      <w:r w:rsidR="008B267C">
        <w:rPr>
          <w:rFonts w:eastAsia="TimesNewRomanPSMT" w:cs="TimesNewRomanPSMT"/>
        </w:rPr>
        <w:t>pre-vaccination</w:t>
      </w:r>
      <w:r w:rsidRPr="000A72E9">
        <w:rPr>
          <w:rFonts w:eastAsia="TimesNewRomanPSMT" w:cs="TimesNewRomanPSMT"/>
        </w:rPr>
        <w:t xml:space="preserve"> titre</w:t>
      </w:r>
      <w:r>
        <w:rPr>
          <w:rFonts w:eastAsia="TimesNewRomanPSMT" w:cs="TimesNewRomanPSMT"/>
        </w:rPr>
        <w:t xml:space="preserve"> ≥1:10 and a ≥</w:t>
      </w:r>
      <w:r w:rsidRPr="000A72E9">
        <w:rPr>
          <w:rFonts w:eastAsia="TimesNewRomanPSMT" w:cs="TimesNewRomanPSMT"/>
        </w:rPr>
        <w:t>4</w:t>
      </w:r>
      <w:r w:rsidRPr="000A72E9">
        <w:t>-fold</w:t>
      </w:r>
      <w:r>
        <w:t xml:space="preserve"> increase in </w:t>
      </w:r>
      <w:r w:rsidR="008B267C">
        <w:t>post-vaccination</w:t>
      </w:r>
      <w:r>
        <w:t xml:space="preserve"> tit</w:t>
      </w:r>
      <w:r w:rsidRPr="000A72E9">
        <w:t>r</w:t>
      </w:r>
      <w:r>
        <w:t>e</w:t>
      </w:r>
      <w:r w:rsidRPr="000A72E9">
        <w:t>;</w:t>
      </w:r>
    </w:p>
    <w:p w:rsidR="00D470CB" w:rsidRPr="000A72E9" w:rsidRDefault="00D470CB" w:rsidP="00D470CB">
      <w:pPr>
        <w:pStyle w:val="ListBullet"/>
        <w:numPr>
          <w:ilvl w:val="0"/>
          <w:numId w:val="3"/>
        </w:numPr>
      </w:pPr>
      <w:r w:rsidRPr="000A72E9">
        <w:t>The</w:t>
      </w:r>
      <w:r>
        <w:t xml:space="preserve"> % subjects with a tit</w:t>
      </w:r>
      <w:r w:rsidRPr="000A72E9">
        <w:t>r</w:t>
      </w:r>
      <w:r>
        <w:t>e</w:t>
      </w:r>
      <w:r w:rsidRPr="000A72E9">
        <w:t xml:space="preserve"> </w:t>
      </w:r>
      <w:r w:rsidRPr="000A72E9">
        <w:rPr>
          <w:rFonts w:eastAsia="TimesNewRomanPSMT" w:cs="TimesNewRomanPSMT"/>
        </w:rPr>
        <w:t>≥40 (</w:t>
      </w:r>
      <w:r>
        <w:rPr>
          <w:rFonts w:eastAsia="TimesNewRomanPSMT" w:cs="TimesNewRomanPSMT"/>
        </w:rPr>
        <w:t>=</w:t>
      </w:r>
      <w:proofErr w:type="spellStart"/>
      <w:r w:rsidRPr="000A72E9">
        <w:rPr>
          <w:rFonts w:eastAsia="TimesNewRomanPSMT" w:cs="TimesNewRomanPSMT"/>
        </w:rPr>
        <w:t>seroprotection</w:t>
      </w:r>
      <w:proofErr w:type="spellEnd"/>
      <w:r w:rsidRPr="000A72E9">
        <w:rPr>
          <w:rFonts w:eastAsia="TimesNewRomanPSMT" w:cs="TimesNewRomanPSMT"/>
        </w:rPr>
        <w:t>) at Day 1 and at</w:t>
      </w:r>
      <w:r>
        <w:rPr>
          <w:rFonts w:eastAsia="TimesNewRomanPSMT" w:cs="TimesNewRomanPSMT"/>
        </w:rPr>
        <w:t xml:space="preserve"> </w:t>
      </w:r>
      <w:r w:rsidRPr="000A72E9">
        <w:t>Exit Visit;</w:t>
      </w:r>
    </w:p>
    <w:p w:rsidR="00D470CB" w:rsidRPr="001253B0" w:rsidRDefault="00D470CB" w:rsidP="00D470CB">
      <w:pPr>
        <w:pStyle w:val="ListBullet"/>
        <w:numPr>
          <w:ilvl w:val="0"/>
          <w:numId w:val="3"/>
        </w:numPr>
      </w:pPr>
      <w:r w:rsidRPr="000A72E9">
        <w:t>Geometric mean fold increase (</w:t>
      </w:r>
      <w:r>
        <w:t>GMFI)*: Geometric mean fold tit</w:t>
      </w:r>
      <w:r w:rsidRPr="000A72E9">
        <w:t>r</w:t>
      </w:r>
      <w:r>
        <w:t>e</w:t>
      </w:r>
      <w:r w:rsidRPr="000A72E9">
        <w:t xml:space="preserve"> rise Day 1</w:t>
      </w:r>
      <w:r>
        <w:t xml:space="preserve"> </w:t>
      </w:r>
      <w:r w:rsidRPr="001253B0">
        <w:t>to Exit Visit</w:t>
      </w:r>
    </w:p>
    <w:p w:rsidR="00D470CB" w:rsidRPr="00B8281F" w:rsidRDefault="00D470CB" w:rsidP="00D470CB">
      <w:r w:rsidRPr="00B8281F">
        <w:lastRenderedPageBreak/>
        <w:t>*</w:t>
      </w:r>
      <w:r>
        <w:t xml:space="preserve"> </w:t>
      </w:r>
      <w:r w:rsidRPr="00B8281F">
        <w:t xml:space="preserve">GMFI in antibody titre is defined as the geometric mean of the fold increase of </w:t>
      </w:r>
      <w:r w:rsidR="008B267C">
        <w:t>post-vaccination</w:t>
      </w:r>
      <w:r w:rsidRPr="00B8281F">
        <w:t xml:space="preserve"> HI antibody titre over the </w:t>
      </w:r>
      <w:r w:rsidR="008B267C">
        <w:t>pre-vaccination</w:t>
      </w:r>
      <w:r w:rsidRPr="00B8281F">
        <w:t xml:space="preserve"> HI antibody titre.</w:t>
      </w:r>
    </w:p>
    <w:p w:rsidR="00D470CB" w:rsidRPr="00B8281F" w:rsidRDefault="00D470CB" w:rsidP="00D470CB">
      <w:r w:rsidRPr="00B8281F">
        <w:t xml:space="preserve">For each treatment </w:t>
      </w:r>
      <w:proofErr w:type="spellStart"/>
      <w:r w:rsidRPr="00B8281F">
        <w:t>gp</w:t>
      </w:r>
      <w:proofErr w:type="spellEnd"/>
      <w:r w:rsidRPr="00B8281F">
        <w:t xml:space="preserve"> (each age strata, and overall), summary tables, by strain, presented for: GMT (mean and 95% CIs); </w:t>
      </w:r>
      <w:proofErr w:type="spellStart"/>
      <w:r w:rsidRPr="00B8281F">
        <w:t>seroprotection</w:t>
      </w:r>
      <w:proofErr w:type="spellEnd"/>
      <w:r w:rsidRPr="00B8281F">
        <w:t xml:space="preserve"> rates (nos. and % subjects) at Day 1 and Study Exit Visit; SCR (nos. and % subjects at Study Exit Visit); and GMFI (mean and 95% CIs). All secondary immunogenicity endpoint summaries described above presented overall, and by age strata, gender, race, and ethnicity.</w:t>
      </w:r>
    </w:p>
    <w:p w:rsidR="00D470CB" w:rsidRPr="00B8281F" w:rsidRDefault="00D470CB" w:rsidP="00D470CB">
      <w:r w:rsidRPr="00B8281F">
        <w:t>Secondary Safety Endpoints:</w:t>
      </w:r>
      <w:r>
        <w:t xml:space="preserve"> </w:t>
      </w:r>
      <w:r w:rsidRPr="00B8281F">
        <w:t>Secondary objectives include assessments of safety and tolerability of both vaccines, as assessed by the proportion of subjects with AEs. AEs monitored post</w:t>
      </w:r>
      <w:r w:rsidR="00F70DB9">
        <w:t>-</w:t>
      </w:r>
      <w:r w:rsidRPr="00B8281F">
        <w:t xml:space="preserve">vaccination </w:t>
      </w:r>
      <w:r w:rsidR="008F1442">
        <w:t>that is,</w:t>
      </w:r>
    </w:p>
    <w:p w:rsidR="00D470CB" w:rsidRPr="00F70DB9" w:rsidRDefault="00D470CB" w:rsidP="00F70DB9">
      <w:pPr>
        <w:pStyle w:val="ListBullet"/>
      </w:pPr>
      <w:r w:rsidRPr="00F70DB9">
        <w:t>Solicited local reactions and systemic AEs Days 1-7 inclusive after vaccination;</w:t>
      </w:r>
    </w:p>
    <w:p w:rsidR="00D470CB" w:rsidRPr="00F70DB9" w:rsidRDefault="00D470CB" w:rsidP="00F70DB9">
      <w:pPr>
        <w:pStyle w:val="ListBullet"/>
      </w:pPr>
      <w:r w:rsidRPr="00F70DB9">
        <w:t>Cellulitis-like reaction for ≥28 days after each vaccination dose;</w:t>
      </w:r>
    </w:p>
    <w:p w:rsidR="00D470CB" w:rsidRPr="00F70DB9" w:rsidRDefault="00D470CB" w:rsidP="00F70DB9">
      <w:pPr>
        <w:pStyle w:val="ListBullet"/>
      </w:pPr>
      <w:r w:rsidRPr="00F70DB9">
        <w:t>Unsolicited AEs for ≥28 days after each vaccination dose;</w:t>
      </w:r>
    </w:p>
    <w:p w:rsidR="00D470CB" w:rsidRDefault="00D470CB" w:rsidP="00F70DB9">
      <w:pPr>
        <w:pStyle w:val="ListBullet"/>
      </w:pPr>
      <w:r w:rsidRPr="00F70DB9">
        <w:t>SAEs for 180 days</w:t>
      </w:r>
      <w:r>
        <w:t xml:space="preserve"> following </w:t>
      </w:r>
      <w:r w:rsidRPr="005F5953">
        <w:t>last study vaccination dose.</w:t>
      </w:r>
    </w:p>
    <w:p w:rsidR="00D470CB" w:rsidRPr="00752F9D" w:rsidRDefault="00D470CB" w:rsidP="00D470CB">
      <w:r w:rsidRPr="00752F9D">
        <w:t>The frequency and intensity of solicited and unsolicited AEs was summarised for each age</w:t>
      </w:r>
      <w:r>
        <w:t xml:space="preserve"> </w:t>
      </w:r>
      <w:r w:rsidRPr="00752F9D">
        <w:t xml:space="preserve">and treatment </w:t>
      </w:r>
      <w:proofErr w:type="spellStart"/>
      <w:r w:rsidRPr="00752F9D">
        <w:t>gp</w:t>
      </w:r>
      <w:proofErr w:type="spellEnd"/>
      <w:r w:rsidRPr="00752F9D">
        <w:t xml:space="preserve">. The proportion of subjects reporting each type of AE was presented along with percentages and CIs. Solicited local adverse reactions and systemic AEs summarised by frequency, duration and intensity. Unsolicited AEs summarised by body system, intensity and relatedness to Study Vaccine. All summaries presented overall and by maximum intensity. Analyses </w:t>
      </w:r>
      <w:r w:rsidR="00F70DB9">
        <w:t xml:space="preserve">were made </w:t>
      </w:r>
      <w:r w:rsidRPr="00752F9D">
        <w:t xml:space="preserve">by treatment </w:t>
      </w:r>
      <w:proofErr w:type="spellStart"/>
      <w:r w:rsidRPr="00752F9D">
        <w:t>gp</w:t>
      </w:r>
      <w:proofErr w:type="spellEnd"/>
      <w:r w:rsidRPr="00752F9D">
        <w:t xml:space="preserve"> repeated by age strata, gender, race and ethnicity.</w:t>
      </w:r>
    </w:p>
    <w:p w:rsidR="00D470CB" w:rsidRPr="00250910" w:rsidRDefault="00F70DB9" w:rsidP="00F70DB9">
      <w:pPr>
        <w:pStyle w:val="Heading5"/>
      </w:pPr>
      <w:r>
        <w:t>Participant flow</w:t>
      </w:r>
    </w:p>
    <w:p w:rsidR="00D470CB" w:rsidRPr="00752F9D" w:rsidRDefault="00D470CB" w:rsidP="00D470CB">
      <w:r w:rsidRPr="00752F9D">
        <w:t>See below in Figures 5 and 6 for the immunogenicity population and safety population respectively.</w:t>
      </w:r>
    </w:p>
    <w:p w:rsidR="00D470CB" w:rsidRPr="000A72E9" w:rsidRDefault="00D470CB" w:rsidP="00D470CB">
      <w:pPr>
        <w:pStyle w:val="FigureTitle"/>
      </w:pPr>
      <w:r w:rsidRPr="00250910">
        <w:rPr>
          <w:lang w:eastAsia="ja-JP"/>
        </w:rPr>
        <w:t>Figure 5: Subject Disposition in</w:t>
      </w:r>
      <w:r w:rsidRPr="00250910">
        <w:t xml:space="preserve"> CSLCT-QIV-13-02 – Evaluable Population for immunogenicity</w:t>
      </w:r>
    </w:p>
    <w:p w:rsidR="00D470CB" w:rsidRPr="00687489" w:rsidRDefault="0017010A" w:rsidP="00D470CB">
      <w:pPr>
        <w:rPr>
          <w:rFonts w:asciiTheme="minorHAnsi" w:hAnsiTheme="minorHAnsi"/>
          <w:b/>
        </w:rPr>
      </w:pPr>
      <w:r w:rsidRPr="00687489">
        <w:rPr>
          <w:rFonts w:asciiTheme="minorHAnsi" w:hAnsiTheme="minorHAnsi"/>
          <w:b/>
        </w:rPr>
        <w:object w:dxaOrig="7830" w:dyaOrig="7695">
          <v:shape id="_x0000_i1029" type="#_x0000_t75" alt="Subject Disposition in CSLCT-QIV-13-02 – Evaluable Population for immunogenicity" style="width:301.15pt;height:244.8pt" o:ole="">
            <v:imagedata r:id="rId27" o:title="" cropbottom="3941f"/>
          </v:shape>
          <o:OLEObject Type="Embed" ProgID="Acrobat.Document.DC" ShapeID="_x0000_i1029" DrawAspect="Content" ObjectID="_1609670736" r:id="rId28"/>
        </w:object>
      </w:r>
    </w:p>
    <w:p w:rsidR="00D470CB" w:rsidRPr="00EC3AE0" w:rsidRDefault="00D470CB" w:rsidP="00F70DB9">
      <w:pPr>
        <w:pStyle w:val="Heading5"/>
      </w:pPr>
      <w:r w:rsidRPr="00F70DB9">
        <w:t>Major</w:t>
      </w:r>
      <w:r w:rsidRPr="00EC3AE0">
        <w:t xml:space="preserve"> protocol violations/deviations</w:t>
      </w:r>
    </w:p>
    <w:p w:rsidR="00D470CB" w:rsidRDefault="00D470CB" w:rsidP="00D470CB">
      <w:pPr>
        <w:autoSpaceDE w:val="0"/>
        <w:autoSpaceDN w:val="0"/>
        <w:adjustRightInd w:val="0"/>
        <w:spacing w:before="0" w:after="0" w:line="240" w:lineRule="auto"/>
        <w:rPr>
          <w:rFonts w:asciiTheme="minorHAnsi" w:eastAsia="TimesNewRoman" w:hAnsiTheme="minorHAnsi" w:cs="TimesNewRoman"/>
        </w:rPr>
      </w:pPr>
      <w:r w:rsidRPr="000A72E9">
        <w:rPr>
          <w:rFonts w:asciiTheme="minorHAnsi" w:eastAsia="TimesNewRoman" w:hAnsiTheme="minorHAnsi" w:cs="TimesNewRoman"/>
        </w:rPr>
        <w:t xml:space="preserve">The Evaluable Population </w:t>
      </w:r>
      <w:r>
        <w:rPr>
          <w:rFonts w:asciiTheme="minorHAnsi" w:eastAsia="TimesNewRoman" w:hAnsiTheme="minorHAnsi" w:cs="TimesNewRoman"/>
        </w:rPr>
        <w:t>=</w:t>
      </w:r>
      <w:r w:rsidRPr="000A72E9">
        <w:rPr>
          <w:rFonts w:asciiTheme="minorHAnsi" w:eastAsia="TimesNewRoman" w:hAnsiTheme="minorHAnsi" w:cs="TimesNewRoman"/>
        </w:rPr>
        <w:t xml:space="preserve"> 2155 subjects within the FAS who received study</w:t>
      </w:r>
      <w:r>
        <w:rPr>
          <w:rFonts w:asciiTheme="minorHAnsi" w:eastAsia="TimesNewRoman" w:hAnsiTheme="minorHAnsi" w:cs="TimesNewRoman"/>
        </w:rPr>
        <w:t xml:space="preserve"> </w:t>
      </w:r>
      <w:r w:rsidRPr="000A72E9">
        <w:rPr>
          <w:rFonts w:asciiTheme="minorHAnsi" w:eastAsia="TimesNewRoman" w:hAnsiTheme="minorHAnsi" w:cs="TimesNewRoman"/>
        </w:rPr>
        <w:t xml:space="preserve">vaccine: 114 subjects excluded because either pre- and/or </w:t>
      </w:r>
      <w:r w:rsidR="008B267C">
        <w:rPr>
          <w:rFonts w:asciiTheme="minorHAnsi" w:eastAsia="TimesNewRoman" w:hAnsiTheme="minorHAnsi" w:cs="TimesNewRoman"/>
        </w:rPr>
        <w:t>post-vaccination</w:t>
      </w:r>
      <w:r w:rsidRPr="000A72E9">
        <w:rPr>
          <w:rFonts w:asciiTheme="minorHAnsi" w:eastAsia="TimesNewRoman" w:hAnsiTheme="minorHAnsi" w:cs="TimesNewRoman"/>
        </w:rPr>
        <w:t xml:space="preserve"> serology</w:t>
      </w:r>
      <w:r>
        <w:rPr>
          <w:rFonts w:asciiTheme="minorHAnsi" w:eastAsia="TimesNewRoman" w:hAnsiTheme="minorHAnsi" w:cs="TimesNewRoman"/>
        </w:rPr>
        <w:t xml:space="preserve"> </w:t>
      </w:r>
      <w:r w:rsidRPr="000A72E9">
        <w:rPr>
          <w:rFonts w:asciiTheme="minorHAnsi" w:eastAsia="TimesNewRoman" w:hAnsiTheme="minorHAnsi" w:cs="TimesNewRoman"/>
        </w:rPr>
        <w:t xml:space="preserve">assay </w:t>
      </w:r>
      <w:r>
        <w:rPr>
          <w:rFonts w:asciiTheme="minorHAnsi" w:eastAsia="TimesNewRoman" w:hAnsiTheme="minorHAnsi" w:cs="TimesNewRoman"/>
        </w:rPr>
        <w:t xml:space="preserve">results were not </w:t>
      </w:r>
      <w:r>
        <w:rPr>
          <w:rFonts w:asciiTheme="minorHAnsi" w:eastAsia="TimesNewRoman" w:hAnsiTheme="minorHAnsi" w:cs="TimesNewRoman"/>
        </w:rPr>
        <w:lastRenderedPageBreak/>
        <w:t xml:space="preserve">available; </w:t>
      </w:r>
      <w:r w:rsidRPr="000A72E9">
        <w:rPr>
          <w:rFonts w:asciiTheme="minorHAnsi" w:eastAsia="TimesNewRoman" w:hAnsiTheme="minorHAnsi" w:cs="TimesNewRoman"/>
        </w:rPr>
        <w:t xml:space="preserve">another 6 were excluded because they had received </w:t>
      </w:r>
      <w:r>
        <w:rPr>
          <w:rFonts w:asciiTheme="minorHAnsi" w:eastAsia="TimesNewRoman" w:hAnsiTheme="minorHAnsi" w:cs="TimesNewRoman"/>
        </w:rPr>
        <w:t xml:space="preserve">≥1 </w:t>
      </w:r>
      <w:r w:rsidRPr="000A72E9">
        <w:rPr>
          <w:rFonts w:asciiTheme="minorHAnsi" w:eastAsia="TimesNewRoman" w:hAnsiTheme="minorHAnsi" w:cs="TimesNewRoman"/>
        </w:rPr>
        <w:t>prohibited medications potentially impacting on the immunogenicity results.</w:t>
      </w:r>
      <w:r>
        <w:rPr>
          <w:rFonts w:asciiTheme="minorHAnsi" w:eastAsia="TimesNewRoman" w:hAnsiTheme="minorHAnsi" w:cs="TimesNewRoman"/>
        </w:rPr>
        <w:t xml:space="preserve"> </w:t>
      </w:r>
      <w:r w:rsidRPr="000A72E9">
        <w:rPr>
          <w:rFonts w:asciiTheme="minorHAnsi" w:eastAsia="TimesNewRoman" w:hAnsiTheme="minorHAnsi" w:cs="TimesNewRoman"/>
        </w:rPr>
        <w:t xml:space="preserve">PP Population included subjects in the Evaluable Population </w:t>
      </w:r>
      <w:r>
        <w:rPr>
          <w:rFonts w:asciiTheme="minorHAnsi" w:eastAsia="TimesNewRoman" w:hAnsiTheme="minorHAnsi" w:cs="TimesNewRoman"/>
        </w:rPr>
        <w:t xml:space="preserve">(n=2155) minus </w:t>
      </w:r>
      <w:r w:rsidRPr="000A72E9">
        <w:rPr>
          <w:rFonts w:asciiTheme="minorHAnsi" w:eastAsia="TimesNewRoman" w:hAnsiTheme="minorHAnsi" w:cs="TimesNewRoman"/>
        </w:rPr>
        <w:t>subjects with</w:t>
      </w:r>
      <w:r>
        <w:rPr>
          <w:rFonts w:asciiTheme="minorHAnsi" w:eastAsia="TimesNewRoman" w:hAnsiTheme="minorHAnsi" w:cs="TimesNewRoman"/>
        </w:rPr>
        <w:t xml:space="preserve"> </w:t>
      </w:r>
      <w:r w:rsidRPr="000A72E9">
        <w:rPr>
          <w:rFonts w:asciiTheme="minorHAnsi" w:eastAsia="TimesNewRoman" w:hAnsiTheme="minorHAnsi" w:cs="TimesNewRoman"/>
        </w:rPr>
        <w:t>protocol deviations assessed as potentially affecting the immunogenicity results</w:t>
      </w:r>
      <w:r>
        <w:rPr>
          <w:rFonts w:asciiTheme="minorHAnsi" w:eastAsia="TimesNewRoman" w:hAnsiTheme="minorHAnsi" w:cs="TimesNewRoman"/>
        </w:rPr>
        <w:t xml:space="preserve"> (n=22), hence </w:t>
      </w:r>
      <w:r w:rsidRPr="000A72E9">
        <w:rPr>
          <w:rFonts w:asciiTheme="minorHAnsi" w:eastAsia="TimesNewRoman" w:hAnsiTheme="minorHAnsi" w:cs="TimesNewRoman"/>
        </w:rPr>
        <w:t>the</w:t>
      </w:r>
      <w:r>
        <w:rPr>
          <w:rFonts w:asciiTheme="minorHAnsi" w:eastAsia="TimesNewRoman" w:hAnsiTheme="minorHAnsi" w:cs="TimesNewRoman"/>
        </w:rPr>
        <w:t xml:space="preserve"> PP Population =</w:t>
      </w:r>
      <w:r w:rsidRPr="000A72E9">
        <w:rPr>
          <w:rFonts w:asciiTheme="minorHAnsi" w:eastAsia="TimesNewRoman" w:hAnsiTheme="minorHAnsi" w:cs="TimesNewRoman"/>
        </w:rPr>
        <w:t>2133 subjects.</w:t>
      </w:r>
    </w:p>
    <w:p w:rsidR="00D470CB" w:rsidRPr="00250910" w:rsidRDefault="00D470CB" w:rsidP="00D470CB">
      <w:pPr>
        <w:pStyle w:val="FigureTitle"/>
        <w:rPr>
          <w:lang w:eastAsia="ja-JP"/>
        </w:rPr>
      </w:pPr>
      <w:r w:rsidRPr="00250910">
        <w:rPr>
          <w:lang w:eastAsia="ja-JP"/>
        </w:rPr>
        <w:t>Figure 6: Subject Disposition in CSLCT-QIV-13-02 – Evaluable Population for safety</w:t>
      </w:r>
    </w:p>
    <w:p w:rsidR="00D470CB" w:rsidRDefault="0017010A" w:rsidP="00D470CB">
      <w:pPr>
        <w:rPr>
          <w:lang w:eastAsia="ja-JP"/>
        </w:rPr>
      </w:pPr>
      <w:r w:rsidRPr="00687489">
        <w:rPr>
          <w:lang w:eastAsia="ja-JP"/>
        </w:rPr>
        <w:object w:dxaOrig="7020" w:dyaOrig="7290">
          <v:shape id="_x0000_i1030" type="#_x0000_t75" alt="Subject Disposition in CSLCT-QIV-13-02 – Evaluable Population for safety" style="width:361.9pt;height:313.65pt;mso-position-vertical:absolute" o:ole="">
            <v:imagedata r:id="rId29" o:title="" cropbottom="5343f"/>
          </v:shape>
          <o:OLEObject Type="Embed" ProgID="Acrobat.Document.DC" ShapeID="_x0000_i1030" DrawAspect="Content" ObjectID="_1609670737" r:id="rId30"/>
        </w:object>
      </w:r>
    </w:p>
    <w:p w:rsidR="00D470CB" w:rsidRPr="00EC3AE0" w:rsidRDefault="00D470CB" w:rsidP="00F70DB9">
      <w:pPr>
        <w:pStyle w:val="Heading5"/>
      </w:pPr>
      <w:r w:rsidRPr="00EC3AE0">
        <w:t>Baseline data</w:t>
      </w:r>
    </w:p>
    <w:p w:rsidR="00D470CB" w:rsidRDefault="00D470CB" w:rsidP="00D470CB">
      <w:pPr>
        <w:autoSpaceDE w:val="0"/>
        <w:autoSpaceDN w:val="0"/>
        <w:adjustRightInd w:val="0"/>
        <w:spacing w:before="0" w:after="0" w:line="240" w:lineRule="auto"/>
        <w:rPr>
          <w:rFonts w:asciiTheme="minorHAnsi" w:eastAsia="TimesNewRoman" w:hAnsiTheme="minorHAnsi" w:cs="TimesNewRoman"/>
          <w:color w:val="000000"/>
        </w:rPr>
      </w:pPr>
      <w:r>
        <w:rPr>
          <w:rFonts w:asciiTheme="minorHAnsi" w:eastAsia="TimesNewRoman" w:hAnsiTheme="minorHAnsi" w:cs="TimesNewRoman"/>
          <w:color w:val="000000"/>
        </w:rPr>
        <w:t>N</w:t>
      </w:r>
      <w:r w:rsidRPr="00043158">
        <w:rPr>
          <w:rFonts w:asciiTheme="minorHAnsi" w:eastAsia="TimesNewRoman" w:hAnsiTheme="minorHAnsi" w:cs="TimesNewRoman"/>
          <w:color w:val="000000"/>
        </w:rPr>
        <w:t>o notable</w:t>
      </w:r>
      <w:r>
        <w:rPr>
          <w:rFonts w:asciiTheme="minorHAnsi" w:eastAsia="TimesNewRoman" w:hAnsiTheme="minorHAnsi" w:cs="TimesNewRoman"/>
          <w:color w:val="000000"/>
        </w:rPr>
        <w:t xml:space="preserve"> differences in demographic</w:t>
      </w:r>
      <w:r w:rsidR="00182466">
        <w:rPr>
          <w:rFonts w:asciiTheme="minorHAnsi" w:eastAsia="TimesNewRoman" w:hAnsiTheme="minorHAnsi" w:cs="TimesNewRoman"/>
          <w:color w:val="000000"/>
        </w:rPr>
        <w:t xml:space="preserve"> </w:t>
      </w:r>
      <w:r>
        <w:rPr>
          <w:rFonts w:asciiTheme="minorHAnsi" w:eastAsia="TimesNewRoman" w:hAnsiTheme="minorHAnsi" w:cs="TimesNewRoman"/>
          <w:color w:val="000000"/>
        </w:rPr>
        <w:t>/</w:t>
      </w:r>
      <w:r w:rsidR="00182466">
        <w:rPr>
          <w:rFonts w:asciiTheme="minorHAnsi" w:eastAsia="TimesNewRoman" w:hAnsiTheme="minorHAnsi" w:cs="TimesNewRoman"/>
          <w:color w:val="000000"/>
        </w:rPr>
        <w:t xml:space="preserve"> </w:t>
      </w:r>
      <w:r w:rsidRPr="00043158">
        <w:rPr>
          <w:rFonts w:asciiTheme="minorHAnsi" w:eastAsia="TimesNewRoman" w:hAnsiTheme="minorHAnsi" w:cs="TimesNewRoman"/>
          <w:color w:val="000000"/>
        </w:rPr>
        <w:t>baseline</w:t>
      </w:r>
      <w:r>
        <w:rPr>
          <w:rFonts w:asciiTheme="minorHAnsi" w:eastAsia="TimesNewRoman" w:hAnsiTheme="minorHAnsi" w:cs="TimesNewRoman"/>
          <w:color w:val="000000"/>
        </w:rPr>
        <w:t xml:space="preserve"> </w:t>
      </w:r>
      <w:r w:rsidRPr="00043158">
        <w:rPr>
          <w:rFonts w:asciiTheme="minorHAnsi" w:eastAsia="TimesNewRoman" w:hAnsiTheme="minorHAnsi" w:cs="TimesNewRoman"/>
          <w:color w:val="000000"/>
        </w:rPr>
        <w:t xml:space="preserve">characteristics between the two vaccine </w:t>
      </w:r>
      <w:r w:rsidR="008B267C">
        <w:rPr>
          <w:rFonts w:asciiTheme="minorHAnsi" w:eastAsia="TimesNewRoman" w:hAnsiTheme="minorHAnsi" w:cs="TimesNewRoman"/>
          <w:color w:val="000000"/>
        </w:rPr>
        <w:t>groups</w:t>
      </w:r>
      <w:r w:rsidRPr="00043158">
        <w:rPr>
          <w:rFonts w:asciiTheme="minorHAnsi" w:eastAsia="TimesNewRoman" w:hAnsiTheme="minorHAnsi" w:cs="TimesNewRoman"/>
          <w:color w:val="000000"/>
        </w:rPr>
        <w:t xml:space="preserve"> in the FAS or within the age</w:t>
      </w:r>
      <w:r>
        <w:rPr>
          <w:rFonts w:asciiTheme="minorHAnsi" w:eastAsia="TimesNewRoman" w:hAnsiTheme="minorHAnsi" w:cs="TimesNewRoman"/>
          <w:color w:val="000000"/>
        </w:rPr>
        <w:t xml:space="preserve"> cohorts. 52.1% male and 47.9% female subjects enrolled</w:t>
      </w:r>
      <w:r w:rsidRPr="00043158">
        <w:rPr>
          <w:rFonts w:asciiTheme="minorHAnsi" w:eastAsia="TimesNewRoman" w:hAnsiTheme="minorHAnsi" w:cs="TimesNewRoman"/>
          <w:color w:val="000000"/>
        </w:rPr>
        <w:t>.</w:t>
      </w:r>
      <w:r>
        <w:rPr>
          <w:rFonts w:asciiTheme="minorHAnsi" w:eastAsia="TimesNewRoman" w:hAnsiTheme="minorHAnsi" w:cs="TimesNewRoman"/>
          <w:color w:val="000000"/>
        </w:rPr>
        <w:t xml:space="preserve"> M</w:t>
      </w:r>
      <w:r w:rsidRPr="00043158">
        <w:rPr>
          <w:rFonts w:asciiTheme="minorHAnsi" w:eastAsia="TimesNewRoman" w:hAnsiTheme="minorHAnsi" w:cs="TimesNewRoman"/>
          <w:color w:val="000000"/>
        </w:rPr>
        <w:t>ajority</w:t>
      </w:r>
      <w:r>
        <w:rPr>
          <w:rFonts w:asciiTheme="minorHAnsi" w:eastAsia="TimesNewRoman" w:hAnsiTheme="minorHAnsi" w:cs="TimesNewRoman"/>
          <w:color w:val="000000"/>
        </w:rPr>
        <w:t xml:space="preserve"> of subjects were white (73.3%); 20.7% s</w:t>
      </w:r>
      <w:r w:rsidRPr="00043158">
        <w:rPr>
          <w:rFonts w:asciiTheme="minorHAnsi" w:eastAsia="TimesNewRoman" w:hAnsiTheme="minorHAnsi" w:cs="TimesNewRoman"/>
          <w:color w:val="000000"/>
        </w:rPr>
        <w:t>ubjects of black or Afr</w:t>
      </w:r>
      <w:r>
        <w:rPr>
          <w:rFonts w:asciiTheme="minorHAnsi" w:eastAsia="TimesNewRoman" w:hAnsiTheme="minorHAnsi" w:cs="TimesNewRoman"/>
          <w:color w:val="000000"/>
        </w:rPr>
        <w:t>ican American origin</w:t>
      </w:r>
      <w:r w:rsidRPr="00043158">
        <w:rPr>
          <w:rFonts w:asciiTheme="minorHAnsi" w:eastAsia="TimesNewRoman" w:hAnsiTheme="minorHAnsi" w:cs="TimesNewRoman"/>
          <w:color w:val="000000"/>
        </w:rPr>
        <w:t xml:space="preserve">. </w:t>
      </w:r>
      <w:r>
        <w:rPr>
          <w:rFonts w:asciiTheme="minorHAnsi" w:eastAsia="TimesNewRoman" w:hAnsiTheme="minorHAnsi" w:cs="TimesNewRoman"/>
          <w:color w:val="000000"/>
        </w:rPr>
        <w:t>M</w:t>
      </w:r>
      <w:r w:rsidRPr="00043158">
        <w:rPr>
          <w:rFonts w:asciiTheme="minorHAnsi" w:eastAsia="TimesNewRoman" w:hAnsiTheme="minorHAnsi" w:cs="TimesNewRoman"/>
          <w:color w:val="000000"/>
        </w:rPr>
        <w:t>ean (SD)</w:t>
      </w:r>
      <w:r>
        <w:rPr>
          <w:rFonts w:asciiTheme="minorHAnsi" w:eastAsia="TimesNewRoman" w:hAnsiTheme="minorHAnsi" w:cs="TimesNewRoman"/>
          <w:color w:val="000000"/>
        </w:rPr>
        <w:t xml:space="preserve"> age was 9.5 </w:t>
      </w:r>
      <w:proofErr w:type="spellStart"/>
      <w:r>
        <w:rPr>
          <w:rFonts w:asciiTheme="minorHAnsi" w:eastAsia="TimesNewRoman" w:hAnsiTheme="minorHAnsi" w:cs="TimesNewRoman"/>
          <w:color w:val="000000"/>
        </w:rPr>
        <w:t>y</w:t>
      </w:r>
      <w:r w:rsidRPr="00043158">
        <w:rPr>
          <w:rFonts w:asciiTheme="minorHAnsi" w:eastAsia="TimesNewRoman" w:hAnsiTheme="minorHAnsi" w:cs="TimesNewRoman"/>
          <w:color w:val="000000"/>
        </w:rPr>
        <w:t>rs</w:t>
      </w:r>
      <w:proofErr w:type="spellEnd"/>
      <w:r w:rsidRPr="00043158">
        <w:rPr>
          <w:rFonts w:asciiTheme="minorHAnsi" w:eastAsia="TimesNewRoman" w:hAnsiTheme="minorHAnsi" w:cs="TimesNewRoman"/>
          <w:color w:val="000000"/>
        </w:rPr>
        <w:t xml:space="preserve"> (3.48)</w:t>
      </w:r>
      <w:r>
        <w:rPr>
          <w:rFonts w:asciiTheme="minorHAnsi" w:eastAsia="TimesNewRoman" w:hAnsiTheme="minorHAnsi" w:cs="TimesNewRoman"/>
          <w:color w:val="000000"/>
        </w:rPr>
        <w:t xml:space="preserve"> </w:t>
      </w:r>
      <w:r w:rsidRPr="00043158">
        <w:rPr>
          <w:rFonts w:asciiTheme="minorHAnsi" w:eastAsia="TimesNewRoman" w:hAnsiTheme="minorHAnsi" w:cs="TimesNewRoman"/>
          <w:color w:val="000000"/>
        </w:rPr>
        <w:t xml:space="preserve">(5 </w:t>
      </w:r>
      <w:r>
        <w:rPr>
          <w:rFonts w:asciiTheme="minorHAnsi" w:eastAsia="TimesNewRoman" w:hAnsiTheme="minorHAnsi" w:cs="TimesNewRoman"/>
          <w:color w:val="000000"/>
        </w:rPr>
        <w:t xml:space="preserve">- 8 </w:t>
      </w:r>
      <w:proofErr w:type="spellStart"/>
      <w:r>
        <w:rPr>
          <w:rFonts w:asciiTheme="minorHAnsi" w:eastAsia="TimesNewRoman" w:hAnsiTheme="minorHAnsi" w:cs="TimesNewRoman"/>
          <w:color w:val="000000"/>
        </w:rPr>
        <w:t>yrs</w:t>
      </w:r>
      <w:proofErr w:type="spellEnd"/>
      <w:r>
        <w:rPr>
          <w:rFonts w:asciiTheme="minorHAnsi" w:eastAsia="TimesNewRoman" w:hAnsiTheme="minorHAnsi" w:cs="TimesNewRoman"/>
          <w:color w:val="000000"/>
        </w:rPr>
        <w:t xml:space="preserve"> age cohort: 6.7 </w:t>
      </w:r>
      <w:proofErr w:type="spellStart"/>
      <w:r>
        <w:rPr>
          <w:rFonts w:asciiTheme="minorHAnsi" w:eastAsia="TimesNewRoman" w:hAnsiTheme="minorHAnsi" w:cs="TimesNewRoman"/>
          <w:color w:val="000000"/>
        </w:rPr>
        <w:t>y</w:t>
      </w:r>
      <w:r w:rsidRPr="00043158">
        <w:rPr>
          <w:rFonts w:asciiTheme="minorHAnsi" w:eastAsia="TimesNewRoman" w:hAnsiTheme="minorHAnsi" w:cs="TimesNewRoman"/>
          <w:color w:val="000000"/>
        </w:rPr>
        <w:t>rs</w:t>
      </w:r>
      <w:proofErr w:type="spellEnd"/>
      <w:r w:rsidRPr="00043158">
        <w:rPr>
          <w:rFonts w:asciiTheme="minorHAnsi" w:eastAsia="TimesNewRoman" w:hAnsiTheme="minorHAnsi" w:cs="TimesNewRoman"/>
          <w:color w:val="000000"/>
        </w:rPr>
        <w:t xml:space="preserve"> [1.10]; 9 </w:t>
      </w:r>
      <w:r>
        <w:rPr>
          <w:rFonts w:asciiTheme="minorHAnsi" w:eastAsia="TimesNewRoman" w:hAnsiTheme="minorHAnsi" w:cs="TimesNewRoman"/>
          <w:color w:val="000000"/>
        </w:rPr>
        <w:t xml:space="preserve">-17 </w:t>
      </w:r>
      <w:proofErr w:type="spellStart"/>
      <w:r>
        <w:rPr>
          <w:rFonts w:asciiTheme="minorHAnsi" w:eastAsia="TimesNewRoman" w:hAnsiTheme="minorHAnsi" w:cs="TimesNewRoman"/>
          <w:color w:val="000000"/>
        </w:rPr>
        <w:t>yrs</w:t>
      </w:r>
      <w:proofErr w:type="spellEnd"/>
      <w:r>
        <w:rPr>
          <w:rFonts w:asciiTheme="minorHAnsi" w:eastAsia="TimesNewRoman" w:hAnsiTheme="minorHAnsi" w:cs="TimesNewRoman"/>
          <w:color w:val="000000"/>
        </w:rPr>
        <w:t xml:space="preserve"> age cohort: 12.5 </w:t>
      </w:r>
      <w:proofErr w:type="spellStart"/>
      <w:r>
        <w:rPr>
          <w:rFonts w:asciiTheme="minorHAnsi" w:eastAsia="TimesNewRoman" w:hAnsiTheme="minorHAnsi" w:cs="TimesNewRoman"/>
          <w:color w:val="000000"/>
        </w:rPr>
        <w:t>y</w:t>
      </w:r>
      <w:r w:rsidRPr="00043158">
        <w:rPr>
          <w:rFonts w:asciiTheme="minorHAnsi" w:eastAsia="TimesNewRoman" w:hAnsiTheme="minorHAnsi" w:cs="TimesNewRoman"/>
          <w:color w:val="000000"/>
        </w:rPr>
        <w:t>rs</w:t>
      </w:r>
      <w:proofErr w:type="spellEnd"/>
      <w:r>
        <w:rPr>
          <w:rFonts w:asciiTheme="minorHAnsi" w:eastAsia="TimesNewRoman" w:hAnsiTheme="minorHAnsi" w:cs="TimesNewRoman"/>
          <w:color w:val="000000"/>
        </w:rPr>
        <w:t xml:space="preserve"> </w:t>
      </w:r>
      <w:r w:rsidRPr="00043158">
        <w:rPr>
          <w:rFonts w:asciiTheme="minorHAnsi" w:eastAsia="TimesNewRoman" w:hAnsiTheme="minorHAnsi" w:cs="TimesNewRoman"/>
          <w:color w:val="000000"/>
        </w:rPr>
        <w:t>[2.52]).</w:t>
      </w:r>
      <w:r w:rsidRPr="00043158">
        <w:rPr>
          <w:rFonts w:asciiTheme="minorHAnsi" w:eastAsia="TimesNewRoman" w:hAnsiTheme="minorHAnsi" w:cs="TimesNewRoman"/>
        </w:rPr>
        <w:t xml:space="preserve"> The age </w:t>
      </w:r>
      <w:proofErr w:type="spellStart"/>
      <w:r>
        <w:rPr>
          <w:rFonts w:asciiTheme="minorHAnsi" w:eastAsia="TimesNewRoman" w:hAnsiTheme="minorHAnsi" w:cs="TimesNewRoman"/>
        </w:rPr>
        <w:t>gp</w:t>
      </w:r>
      <w:proofErr w:type="spellEnd"/>
      <w:r w:rsidRPr="00043158">
        <w:rPr>
          <w:rFonts w:asciiTheme="minorHAnsi" w:eastAsia="TimesNewRoman" w:hAnsiTheme="minorHAnsi" w:cs="TimesNewRoman"/>
        </w:rPr>
        <w:t xml:space="preserve"> balance remained within the rules set out in the protocol, with at least 50% in the 5 </w:t>
      </w:r>
      <w:r>
        <w:rPr>
          <w:rFonts w:asciiTheme="minorHAnsi" w:eastAsia="TimesNewRoman" w:hAnsiTheme="minorHAnsi" w:cs="TimesNewRoman"/>
        </w:rPr>
        <w:t xml:space="preserve">- 8 </w:t>
      </w:r>
      <w:proofErr w:type="spellStart"/>
      <w:r>
        <w:rPr>
          <w:rFonts w:asciiTheme="minorHAnsi" w:eastAsia="TimesNewRoman" w:hAnsiTheme="minorHAnsi" w:cs="TimesNewRoman"/>
        </w:rPr>
        <w:t>y</w:t>
      </w:r>
      <w:r w:rsidRPr="00043158">
        <w:rPr>
          <w:rFonts w:asciiTheme="minorHAnsi" w:eastAsia="TimesNewRoman" w:hAnsiTheme="minorHAnsi" w:cs="TimesNewRoman"/>
        </w:rPr>
        <w:t>rs</w:t>
      </w:r>
      <w:proofErr w:type="spellEnd"/>
      <w:r w:rsidRPr="00043158">
        <w:rPr>
          <w:rFonts w:asciiTheme="minorHAnsi" w:eastAsia="TimesNewRoman" w:hAnsiTheme="minorHAnsi" w:cs="TimesNewRoman"/>
        </w:rPr>
        <w:t xml:space="preserve"> of age stratum. </w:t>
      </w:r>
      <w:r>
        <w:rPr>
          <w:rFonts w:asciiTheme="minorHAnsi" w:eastAsia="TimesNewRoman" w:hAnsiTheme="minorHAnsi" w:cs="TimesNewRoman"/>
        </w:rPr>
        <w:t xml:space="preserve">In the </w:t>
      </w:r>
      <w:r w:rsidRPr="00043158">
        <w:rPr>
          <w:rFonts w:asciiTheme="minorHAnsi" w:eastAsia="TimesNewRoman" w:hAnsiTheme="minorHAnsi" w:cs="TimesNewRoman"/>
        </w:rPr>
        <w:t>FAS population, 51.19%</w:t>
      </w:r>
      <w:r>
        <w:rPr>
          <w:rFonts w:asciiTheme="minorHAnsi" w:eastAsia="TimesNewRoman" w:hAnsiTheme="minorHAnsi" w:cs="TimesNewRoman"/>
          <w:color w:val="000000"/>
        </w:rPr>
        <w:t xml:space="preserve"> </w:t>
      </w:r>
      <w:r>
        <w:rPr>
          <w:rFonts w:asciiTheme="minorHAnsi" w:eastAsia="TimesNewRoman" w:hAnsiTheme="minorHAnsi" w:cs="TimesNewRoman"/>
        </w:rPr>
        <w:t>(1166</w:t>
      </w:r>
      <w:r w:rsidR="00182466">
        <w:rPr>
          <w:rFonts w:asciiTheme="minorHAnsi" w:eastAsia="TimesNewRoman" w:hAnsiTheme="minorHAnsi" w:cs="TimesNewRoman"/>
        </w:rPr>
        <w:t xml:space="preserve"> </w:t>
      </w:r>
      <w:r>
        <w:rPr>
          <w:rFonts w:asciiTheme="minorHAnsi" w:eastAsia="TimesNewRoman" w:hAnsiTheme="minorHAnsi" w:cs="TimesNewRoman"/>
        </w:rPr>
        <w:t>/</w:t>
      </w:r>
      <w:r w:rsidR="00182466">
        <w:rPr>
          <w:rFonts w:asciiTheme="minorHAnsi" w:eastAsia="TimesNewRoman" w:hAnsiTheme="minorHAnsi" w:cs="TimesNewRoman"/>
        </w:rPr>
        <w:t xml:space="preserve"> </w:t>
      </w:r>
      <w:r w:rsidRPr="00043158">
        <w:rPr>
          <w:rFonts w:asciiTheme="minorHAnsi" w:eastAsia="TimesNewRoman" w:hAnsiTheme="minorHAnsi" w:cs="TimesNewRoman"/>
        </w:rPr>
        <w:t>2278) were in this age stratum.</w:t>
      </w:r>
      <w:r w:rsidRPr="00043158">
        <w:rPr>
          <w:rFonts w:asciiTheme="minorHAnsi" w:eastAsia="TimesNewRoman" w:hAnsiTheme="minorHAnsi" w:cs="TimesNewRoman"/>
          <w:color w:val="000000"/>
        </w:rPr>
        <w:t xml:space="preserve"> Of the 2278 in the FAS, 1998 subjects (87.7%) </w:t>
      </w:r>
      <w:r>
        <w:rPr>
          <w:rFonts w:asciiTheme="minorHAnsi" w:eastAsia="TimesNewRoman" w:hAnsiTheme="minorHAnsi" w:cs="TimesNewRoman"/>
          <w:color w:val="000000"/>
        </w:rPr>
        <w:t>had previously</w:t>
      </w:r>
      <w:r w:rsidRPr="00043158">
        <w:rPr>
          <w:rFonts w:asciiTheme="minorHAnsi" w:eastAsia="TimesNewRoman" w:hAnsiTheme="minorHAnsi" w:cs="TimesNewRoman"/>
          <w:color w:val="000000"/>
        </w:rPr>
        <w:t xml:space="preserve"> received an</w:t>
      </w:r>
      <w:r>
        <w:rPr>
          <w:rFonts w:asciiTheme="minorHAnsi" w:eastAsia="TimesNewRoman" w:hAnsiTheme="minorHAnsi" w:cs="TimesNewRoman"/>
          <w:color w:val="000000"/>
        </w:rPr>
        <w:t xml:space="preserve"> </w:t>
      </w:r>
      <w:r w:rsidRPr="00043158">
        <w:rPr>
          <w:rFonts w:asciiTheme="minorHAnsi" w:eastAsia="TimesNewRoman" w:hAnsiTheme="minorHAnsi" w:cs="TimesNewRoman"/>
          <w:color w:val="000000"/>
        </w:rPr>
        <w:t>influenza vaccine in the past (bioCSL QIV: 1498 subjects; Comparator QIV: 500 subjects).</w:t>
      </w:r>
      <w:r>
        <w:rPr>
          <w:rFonts w:asciiTheme="minorHAnsi" w:eastAsia="TimesNewRoman" w:hAnsiTheme="minorHAnsi" w:cs="TimesNewRoman"/>
          <w:color w:val="000000"/>
        </w:rPr>
        <w:t xml:space="preserve"> 53.0% </w:t>
      </w:r>
      <w:r w:rsidRPr="00043158">
        <w:rPr>
          <w:rFonts w:asciiTheme="minorHAnsi" w:eastAsia="TimesNewRoman" w:hAnsiTheme="minorHAnsi" w:cs="TimesNewRoman"/>
          <w:color w:val="000000"/>
        </w:rPr>
        <w:t>reported having received an influenza vaccine in the</w:t>
      </w:r>
      <w:r>
        <w:rPr>
          <w:rFonts w:asciiTheme="minorHAnsi" w:eastAsia="TimesNewRoman" w:hAnsiTheme="minorHAnsi" w:cs="TimesNewRoman"/>
          <w:color w:val="000000"/>
        </w:rPr>
        <w:t xml:space="preserve"> </w:t>
      </w:r>
      <w:r w:rsidRPr="00043158">
        <w:rPr>
          <w:rFonts w:asciiTheme="minorHAnsi" w:eastAsia="TimesNewRoman" w:hAnsiTheme="minorHAnsi" w:cs="TimesNewRoman"/>
          <w:color w:val="000000"/>
        </w:rPr>
        <w:t>2014</w:t>
      </w:r>
      <w:r w:rsidR="00182466">
        <w:rPr>
          <w:rFonts w:asciiTheme="minorHAnsi" w:eastAsia="TimesNewRoman" w:hAnsiTheme="minorHAnsi" w:cs="TimesNewRoman"/>
          <w:color w:val="000000"/>
        </w:rPr>
        <w:t xml:space="preserve"> </w:t>
      </w:r>
      <w:r w:rsidRPr="00043158">
        <w:rPr>
          <w:rFonts w:asciiTheme="minorHAnsi" w:eastAsia="TimesNewRoman" w:hAnsiTheme="minorHAnsi" w:cs="TimesNewRoman"/>
          <w:color w:val="000000"/>
        </w:rPr>
        <w:t>/</w:t>
      </w:r>
      <w:r w:rsidR="00182466">
        <w:rPr>
          <w:rFonts w:asciiTheme="minorHAnsi" w:eastAsia="TimesNewRoman" w:hAnsiTheme="minorHAnsi" w:cs="TimesNewRoman"/>
          <w:color w:val="000000"/>
        </w:rPr>
        <w:t xml:space="preserve"> </w:t>
      </w:r>
      <w:r w:rsidRPr="00043158">
        <w:rPr>
          <w:rFonts w:asciiTheme="minorHAnsi" w:eastAsia="TimesNewRoman" w:hAnsiTheme="minorHAnsi" w:cs="TimesNewRoman"/>
          <w:color w:val="000000"/>
        </w:rPr>
        <w:t xml:space="preserve">2015 </w:t>
      </w:r>
      <w:r>
        <w:rPr>
          <w:rFonts w:asciiTheme="minorHAnsi" w:eastAsia="TimesNewRoman" w:hAnsiTheme="minorHAnsi" w:cs="TimesNewRoman"/>
          <w:color w:val="000000"/>
        </w:rPr>
        <w:t xml:space="preserve">NH Season during the 12 </w:t>
      </w:r>
      <w:r w:rsidR="00F70DB9">
        <w:rPr>
          <w:rFonts w:asciiTheme="minorHAnsi" w:eastAsia="TimesNewRoman" w:hAnsiTheme="minorHAnsi" w:cs="TimesNewRoman"/>
          <w:color w:val="000000"/>
        </w:rPr>
        <w:t>months</w:t>
      </w:r>
      <w:r w:rsidRPr="00043158">
        <w:rPr>
          <w:rFonts w:asciiTheme="minorHAnsi" w:eastAsia="TimesNewRoman" w:hAnsiTheme="minorHAnsi" w:cs="TimesNewRoman"/>
          <w:color w:val="000000"/>
        </w:rPr>
        <w:t xml:space="preserve"> before the study start (bioCSL</w:t>
      </w:r>
      <w:r>
        <w:rPr>
          <w:rFonts w:asciiTheme="minorHAnsi" w:eastAsia="TimesNewRoman" w:hAnsiTheme="minorHAnsi" w:cs="TimesNewRoman"/>
          <w:color w:val="000000"/>
        </w:rPr>
        <w:t xml:space="preserve"> </w:t>
      </w:r>
      <w:r w:rsidRPr="00043158">
        <w:rPr>
          <w:rFonts w:asciiTheme="minorHAnsi" w:eastAsia="TimesNewRoman" w:hAnsiTheme="minorHAnsi" w:cs="TimesNewRoman"/>
          <w:color w:val="000000"/>
        </w:rPr>
        <w:t>QIV: 907 subjects; Comparator QIV: 300 subjects</w:t>
      </w:r>
      <w:r>
        <w:rPr>
          <w:rFonts w:asciiTheme="minorHAnsi" w:eastAsia="TimesNewRoman" w:hAnsiTheme="minorHAnsi" w:cs="TimesNewRoman"/>
          <w:color w:val="000000"/>
        </w:rPr>
        <w:t>)</w:t>
      </w:r>
      <w:r w:rsidRPr="00043158">
        <w:rPr>
          <w:rFonts w:asciiTheme="minorHAnsi" w:eastAsia="TimesNewRoman" w:hAnsiTheme="minorHAnsi" w:cs="TimesNewRoman"/>
          <w:color w:val="000000"/>
        </w:rPr>
        <w:t>.</w:t>
      </w:r>
      <w:r>
        <w:rPr>
          <w:rFonts w:asciiTheme="minorHAnsi" w:eastAsia="TimesNewRoman" w:hAnsiTheme="minorHAnsi" w:cs="TimesNewRoman"/>
          <w:color w:val="000000"/>
        </w:rPr>
        <w:t xml:space="preserve"> </w:t>
      </w:r>
      <w:r w:rsidRPr="00043158">
        <w:rPr>
          <w:rFonts w:asciiTheme="minorHAnsi" w:eastAsia="TimesNewRoman" w:hAnsiTheme="minorHAnsi" w:cs="TimesNewRoman"/>
          <w:color w:val="000000"/>
        </w:rPr>
        <w:t>Percentages of subjects reporting having received an influenza vaccine in the past were</w:t>
      </w:r>
      <w:r>
        <w:rPr>
          <w:rFonts w:asciiTheme="minorHAnsi" w:eastAsia="TimesNewRoman" w:hAnsiTheme="minorHAnsi" w:cs="TimesNewRoman"/>
          <w:color w:val="000000"/>
        </w:rPr>
        <w:t xml:space="preserve"> </w:t>
      </w:r>
      <w:r w:rsidRPr="00043158">
        <w:rPr>
          <w:rFonts w:asciiTheme="minorHAnsi" w:eastAsia="TimesNewRoman" w:hAnsiTheme="minorHAnsi" w:cs="TimesNewRoman"/>
          <w:color w:val="000000"/>
        </w:rPr>
        <w:t xml:space="preserve">similar in the two age cohorts, as were percentages reporting having </w:t>
      </w:r>
      <w:r>
        <w:rPr>
          <w:rFonts w:asciiTheme="minorHAnsi" w:eastAsia="TimesNewRoman" w:hAnsiTheme="minorHAnsi" w:cs="TimesNewRoman"/>
          <w:color w:val="000000"/>
        </w:rPr>
        <w:t xml:space="preserve">received </w:t>
      </w:r>
      <w:r w:rsidRPr="00043158">
        <w:rPr>
          <w:rFonts w:asciiTheme="minorHAnsi" w:eastAsia="TimesNewRoman" w:hAnsiTheme="minorHAnsi" w:cs="TimesNewRoman"/>
          <w:color w:val="000000"/>
        </w:rPr>
        <w:t>inf</w:t>
      </w:r>
      <w:r>
        <w:rPr>
          <w:rFonts w:asciiTheme="minorHAnsi" w:eastAsia="TimesNewRoman" w:hAnsiTheme="minorHAnsi" w:cs="TimesNewRoman"/>
          <w:color w:val="000000"/>
        </w:rPr>
        <w:t xml:space="preserve">luenza vaccine during the 12 </w:t>
      </w:r>
      <w:r w:rsidR="00F70DB9">
        <w:rPr>
          <w:rFonts w:asciiTheme="minorHAnsi" w:eastAsia="TimesNewRoman" w:hAnsiTheme="minorHAnsi" w:cs="TimesNewRoman"/>
          <w:color w:val="000000"/>
        </w:rPr>
        <w:t>months</w:t>
      </w:r>
      <w:r>
        <w:rPr>
          <w:rFonts w:asciiTheme="minorHAnsi" w:eastAsia="TimesNewRoman" w:hAnsiTheme="minorHAnsi" w:cs="TimesNewRoman"/>
          <w:color w:val="000000"/>
        </w:rPr>
        <w:t xml:space="preserve"> before </w:t>
      </w:r>
      <w:r w:rsidRPr="00043158">
        <w:rPr>
          <w:rFonts w:asciiTheme="minorHAnsi" w:eastAsia="TimesNewRoman" w:hAnsiTheme="minorHAnsi" w:cs="TimesNewRoman"/>
          <w:color w:val="000000"/>
        </w:rPr>
        <w:t>study start.</w:t>
      </w:r>
    </w:p>
    <w:p w:rsidR="00D470CB" w:rsidRPr="00EC3AE0" w:rsidRDefault="00D470CB" w:rsidP="00F70DB9">
      <w:pPr>
        <w:pStyle w:val="Heading5"/>
      </w:pPr>
      <w:r w:rsidRPr="00EC3AE0">
        <w:t>Results for the primary efficacy outcome</w:t>
      </w:r>
    </w:p>
    <w:p w:rsidR="00D470CB" w:rsidRPr="00752F9D" w:rsidRDefault="00D470CB" w:rsidP="00D470CB">
      <w:r w:rsidRPr="00752F9D">
        <w:t>Receipt of study vaccines: A total of 2275</w:t>
      </w:r>
      <w:r w:rsidR="00D64BB3">
        <w:t xml:space="preserve"> </w:t>
      </w:r>
      <w:r w:rsidRPr="00752F9D">
        <w:t>/</w:t>
      </w:r>
      <w:r w:rsidR="00D64BB3">
        <w:t xml:space="preserve"> </w:t>
      </w:r>
      <w:r w:rsidRPr="00752F9D">
        <w:t>2278 subjects (99.9%) received at least one vaccination with 2269/2278 subjects (99.7%) receiving vaccination according to protocol. 293 were assigned to 2 doses; 26 did not receive the 2nd vaccination and did not complete the study.</w:t>
      </w:r>
    </w:p>
    <w:p w:rsidR="00D470CB" w:rsidRPr="00752F9D" w:rsidRDefault="00D470CB" w:rsidP="00D470CB">
      <w:r w:rsidRPr="00752F9D">
        <w:t>Immunogenicity results</w:t>
      </w:r>
      <w:r>
        <w:t xml:space="preserve">: </w:t>
      </w:r>
      <w:r w:rsidRPr="00752F9D">
        <w:t xml:space="preserve">The primary analysis was completed using the PP Population. Duplicate tables for the co-primary endpoints were also produced based on the Evaluable </w:t>
      </w:r>
      <w:r w:rsidRPr="00752F9D">
        <w:lastRenderedPageBreak/>
        <w:t xml:space="preserve">Population as there was a &gt;1% difference in the total number of subjects between the PP Population and the Evaluable Population in the 5 - 8 </w:t>
      </w:r>
      <w:proofErr w:type="spellStart"/>
      <w:r w:rsidRPr="00752F9D">
        <w:t>yrs</w:t>
      </w:r>
      <w:proofErr w:type="spellEnd"/>
      <w:r w:rsidRPr="00752F9D">
        <w:t xml:space="preserve"> age </w:t>
      </w:r>
      <w:proofErr w:type="spellStart"/>
      <w:r w:rsidRPr="00752F9D">
        <w:t>gp</w:t>
      </w:r>
      <w:proofErr w:type="spellEnd"/>
      <w:r w:rsidRPr="00752F9D">
        <w:t xml:space="preserve"> (1.67%). bioCSL QIV was shown to be non</w:t>
      </w:r>
      <w:r w:rsidR="00F70DB9">
        <w:t>-</w:t>
      </w:r>
      <w:r w:rsidRPr="00752F9D">
        <w:t xml:space="preserve">inferior to the Comparator QIV, with all 8 co-primary endpoints met for the 4 strains in subjects 5 -17 </w:t>
      </w:r>
      <w:proofErr w:type="spellStart"/>
      <w:r w:rsidRPr="00752F9D">
        <w:t>yrs</w:t>
      </w:r>
      <w:proofErr w:type="spellEnd"/>
      <w:r w:rsidRPr="00752F9D">
        <w:t xml:space="preserve"> of age.</w:t>
      </w:r>
    </w:p>
    <w:p w:rsidR="00D470CB" w:rsidRPr="00693CE8" w:rsidRDefault="00D470CB" w:rsidP="00D470CB">
      <w:pPr>
        <w:pStyle w:val="Tabletitle"/>
      </w:pPr>
      <w:r w:rsidRPr="00693CE8">
        <w:t xml:space="preserve">Table </w:t>
      </w:r>
      <w:r>
        <w:t>1</w:t>
      </w:r>
      <w:r w:rsidRPr="00693CE8">
        <w:t>: Post</w:t>
      </w:r>
      <w:r>
        <w:t>-</w:t>
      </w:r>
      <w:r w:rsidRPr="00693CE8">
        <w:t>vaccination HI Antibody GMTs, SCRs, and Analyses of Non</w:t>
      </w:r>
      <w:r w:rsidR="00F70DB9">
        <w:t>-</w:t>
      </w:r>
      <w:r w:rsidRPr="00693CE8">
        <w:t xml:space="preserve">inferiority of bioCSL QIV Relative to Comparator QIV for Each Strain 28 Days after Last Vaccination </w:t>
      </w:r>
      <w:r w:rsidR="00F70DB9">
        <w:t>a</w:t>
      </w:r>
      <w:r w:rsidRPr="00693CE8">
        <w:t xml:space="preserve">mong a Paediatric Population 5 </w:t>
      </w:r>
      <w:proofErr w:type="gramStart"/>
      <w:r w:rsidRPr="00693CE8">
        <w:t>Through</w:t>
      </w:r>
      <w:proofErr w:type="gramEnd"/>
      <w:r w:rsidRPr="00693CE8">
        <w:t xml:space="preserve"> 17 Years of Age (Per-Protocol Population)</w:t>
      </w:r>
    </w:p>
    <w:p w:rsidR="00D470CB" w:rsidRDefault="0017010A" w:rsidP="00D470CB">
      <w:pPr>
        <w:autoSpaceDE w:val="0"/>
        <w:autoSpaceDN w:val="0"/>
        <w:adjustRightInd w:val="0"/>
        <w:spacing w:before="0" w:after="0" w:line="240" w:lineRule="auto"/>
        <w:rPr>
          <w:rFonts w:ascii="TimesNewRoman" w:eastAsia="TimesNewRoman" w:hAnsiTheme="minorHAnsi" w:cs="TimesNewRoman"/>
          <w:b/>
          <w:sz w:val="24"/>
          <w:szCs w:val="24"/>
        </w:rPr>
      </w:pPr>
      <w:r w:rsidRPr="00693CE8">
        <w:rPr>
          <w:rFonts w:ascii="TimesNewRoman" w:eastAsia="TimesNewRoman" w:hAnsiTheme="minorHAnsi" w:cs="TimesNewRoman"/>
          <w:b/>
          <w:sz w:val="24"/>
          <w:szCs w:val="24"/>
        </w:rPr>
        <w:object w:dxaOrig="7155" w:dyaOrig="4995">
          <v:shape id="_x0000_i1031" type="#_x0000_t75" alt="Post-vaccination HI Antibody GMTs, SCRs, and Analyses of Noninferiority of bioCSL QIV Relative to Comparator QIV for Each Strain 28 Days after Last Vaccination Among a Paediatric Population 5 Through 17 Years of Age (Per-Protocol Population)" style="width:368.75pt;height:224.15pt;mso-position-vertical:absolute" o:ole="">
            <v:imagedata r:id="rId31" o:title=""/>
          </v:shape>
          <o:OLEObject Type="Embed" ProgID="Acrobat.Document.DC" ShapeID="_x0000_i1031" DrawAspect="Content" ObjectID="_1609670738" r:id="rId32"/>
        </w:object>
      </w:r>
    </w:p>
    <w:p w:rsidR="00D470CB" w:rsidRPr="005632DC" w:rsidRDefault="00D470CB" w:rsidP="00F70DB9">
      <w:pPr>
        <w:pStyle w:val="Heading5"/>
      </w:pPr>
      <w:r w:rsidRPr="005632DC">
        <w:t>Results for other efficacy outcomes</w:t>
      </w:r>
    </w:p>
    <w:p w:rsidR="00D470CB" w:rsidRDefault="00D470CB" w:rsidP="00D470CB">
      <w:pPr>
        <w:autoSpaceDE w:val="0"/>
        <w:autoSpaceDN w:val="0"/>
        <w:adjustRightInd w:val="0"/>
        <w:spacing w:before="0" w:after="0" w:line="240" w:lineRule="auto"/>
        <w:rPr>
          <w:rFonts w:asciiTheme="minorHAnsi" w:eastAsiaTheme="minorHAnsi" w:hAnsiTheme="minorHAnsi"/>
        </w:rPr>
      </w:pPr>
      <w:r w:rsidRPr="00874F55">
        <w:rPr>
          <w:rFonts w:asciiTheme="minorHAnsi" w:eastAsiaTheme="minorHAnsi" w:hAnsiTheme="minorHAnsi"/>
        </w:rPr>
        <w:t xml:space="preserve">Secondary immunogenicity objectives were to characterise immunogenicity of bioCSL QIV and comparator QIV in two age strata, and overall. Immune responses were further characterised by </w:t>
      </w:r>
      <w:proofErr w:type="spellStart"/>
      <w:r w:rsidRPr="00874F55">
        <w:rPr>
          <w:rFonts w:asciiTheme="minorHAnsi" w:eastAsiaTheme="minorHAnsi" w:hAnsiTheme="minorHAnsi"/>
        </w:rPr>
        <w:t>seroprotection</w:t>
      </w:r>
      <w:proofErr w:type="spellEnd"/>
      <w:r w:rsidRPr="00874F55">
        <w:rPr>
          <w:rFonts w:asciiTheme="minorHAnsi" w:eastAsiaTheme="minorHAnsi" w:hAnsiTheme="minorHAnsi"/>
        </w:rPr>
        <w:t xml:space="preserve"> rates (% </w:t>
      </w:r>
      <w:r w:rsidRPr="00874F55">
        <w:rPr>
          <w:rFonts w:asciiTheme="minorHAnsi" w:eastAsia="TimesNewRomanPSMT" w:hAnsiTheme="minorHAnsi" w:cs="TimesNewRomanPSMT"/>
        </w:rPr>
        <w:t>with HI titre ≥40), SCRs</w:t>
      </w:r>
      <w:r w:rsidRPr="00874F55">
        <w:rPr>
          <w:rFonts w:asciiTheme="minorHAnsi" w:eastAsiaTheme="minorHAnsi" w:hAnsiTheme="minorHAnsi"/>
        </w:rPr>
        <w:t>, and GMFIs by study vaccine and age cohort. Similar patterns of immune responses to those seen in subjects overall were seen within each of the two age strata for both study treatments. The post-vaccination HI GMTs for bioCSL QIV were higher for A than the B strains, and post-vaccination HI GMTs were similar between bioCSL QIV and Comparator QIV for all strains. GMFIs were similar for both age sub</w:t>
      </w:r>
      <w:r w:rsidR="008B267C">
        <w:rPr>
          <w:rFonts w:asciiTheme="minorHAnsi" w:eastAsiaTheme="minorHAnsi" w:hAnsiTheme="minorHAnsi"/>
        </w:rPr>
        <w:t>groups</w:t>
      </w:r>
      <w:r w:rsidRPr="00874F55">
        <w:rPr>
          <w:rFonts w:asciiTheme="minorHAnsi" w:eastAsiaTheme="minorHAnsi" w:hAnsiTheme="minorHAnsi"/>
        </w:rPr>
        <w:t xml:space="preserve"> and both study </w:t>
      </w:r>
      <w:r w:rsidRPr="00752F9D">
        <w:rPr>
          <w:rFonts w:asciiTheme="minorHAnsi" w:eastAsiaTheme="minorHAnsi" w:hAnsiTheme="minorHAnsi"/>
        </w:rPr>
        <w:t>vaccines. Overall for bioCSL QIV, GMFIs were: A</w:t>
      </w:r>
      <w:r w:rsidR="00D64BB3">
        <w:rPr>
          <w:rFonts w:asciiTheme="minorHAnsi" w:eastAsiaTheme="minorHAnsi" w:hAnsiTheme="minorHAnsi"/>
        </w:rPr>
        <w:t xml:space="preserve"> </w:t>
      </w:r>
      <w:r w:rsidRPr="00752F9D">
        <w:rPr>
          <w:rFonts w:asciiTheme="minorHAnsi" w:eastAsiaTheme="minorHAnsi" w:hAnsiTheme="minorHAnsi"/>
        </w:rPr>
        <w:t>/</w:t>
      </w:r>
      <w:r w:rsidR="00D64BB3">
        <w:rPr>
          <w:rFonts w:asciiTheme="minorHAnsi" w:eastAsiaTheme="minorHAnsi" w:hAnsiTheme="minorHAnsi"/>
        </w:rPr>
        <w:t xml:space="preserve"> </w:t>
      </w:r>
      <w:r w:rsidRPr="00752F9D">
        <w:rPr>
          <w:rFonts w:asciiTheme="minorHAnsi" w:eastAsiaTheme="minorHAnsi" w:hAnsiTheme="minorHAnsi"/>
        </w:rPr>
        <w:t>H1N1 7.5, A</w:t>
      </w:r>
      <w:r w:rsidR="00D64BB3">
        <w:rPr>
          <w:rFonts w:asciiTheme="minorHAnsi" w:eastAsiaTheme="minorHAnsi" w:hAnsiTheme="minorHAnsi"/>
        </w:rPr>
        <w:t xml:space="preserve"> </w:t>
      </w:r>
      <w:r w:rsidRPr="00752F9D">
        <w:rPr>
          <w:rFonts w:asciiTheme="minorHAnsi" w:eastAsiaTheme="minorHAnsi" w:hAnsiTheme="minorHAnsi"/>
        </w:rPr>
        <w:t>/</w:t>
      </w:r>
      <w:r w:rsidR="00D64BB3">
        <w:rPr>
          <w:rFonts w:asciiTheme="minorHAnsi" w:eastAsiaTheme="minorHAnsi" w:hAnsiTheme="minorHAnsi"/>
        </w:rPr>
        <w:t xml:space="preserve"> </w:t>
      </w:r>
      <w:r w:rsidRPr="00752F9D">
        <w:rPr>
          <w:rFonts w:asciiTheme="minorHAnsi" w:eastAsiaTheme="minorHAnsi" w:hAnsiTheme="minorHAnsi"/>
        </w:rPr>
        <w:t>H3N2 10.7, B</w:t>
      </w:r>
      <w:r w:rsidR="00D64BB3">
        <w:rPr>
          <w:rFonts w:asciiTheme="minorHAnsi" w:eastAsiaTheme="minorHAnsi" w:hAnsiTheme="minorHAnsi"/>
        </w:rPr>
        <w:t xml:space="preserve"> </w:t>
      </w:r>
      <w:r w:rsidRPr="00752F9D">
        <w:rPr>
          <w:rFonts w:asciiTheme="minorHAnsi" w:eastAsiaTheme="minorHAnsi" w:hAnsiTheme="minorHAnsi"/>
        </w:rPr>
        <w:t>/</w:t>
      </w:r>
      <w:r w:rsidR="00D64BB3">
        <w:rPr>
          <w:rFonts w:asciiTheme="minorHAnsi" w:eastAsiaTheme="minorHAnsi" w:hAnsiTheme="minorHAnsi"/>
        </w:rPr>
        <w:t xml:space="preserve"> </w:t>
      </w:r>
      <w:r w:rsidRPr="00752F9D">
        <w:rPr>
          <w:rFonts w:asciiTheme="minorHAnsi" w:eastAsiaTheme="minorHAnsi" w:hAnsiTheme="minorHAnsi"/>
        </w:rPr>
        <w:t>Yam 5.8</w:t>
      </w:r>
      <w:r w:rsidRPr="00874F55">
        <w:rPr>
          <w:rFonts w:asciiTheme="minorHAnsi" w:eastAsiaTheme="minorHAnsi" w:hAnsiTheme="minorHAnsi"/>
        </w:rPr>
        <w:t xml:space="preserve"> and B</w:t>
      </w:r>
      <w:r w:rsidR="00D64BB3">
        <w:rPr>
          <w:rFonts w:asciiTheme="minorHAnsi" w:eastAsiaTheme="minorHAnsi" w:hAnsiTheme="minorHAnsi"/>
        </w:rPr>
        <w:t xml:space="preserve"> </w:t>
      </w:r>
      <w:r w:rsidRPr="00874F55">
        <w:rPr>
          <w:rFonts w:asciiTheme="minorHAnsi" w:eastAsiaTheme="minorHAnsi" w:hAnsiTheme="minorHAnsi"/>
        </w:rPr>
        <w:t>/</w:t>
      </w:r>
      <w:r w:rsidR="00D64BB3">
        <w:rPr>
          <w:rFonts w:asciiTheme="minorHAnsi" w:eastAsiaTheme="minorHAnsi" w:hAnsiTheme="minorHAnsi"/>
        </w:rPr>
        <w:t xml:space="preserve"> </w:t>
      </w:r>
      <w:r w:rsidRPr="00874F55">
        <w:rPr>
          <w:rFonts w:asciiTheme="minorHAnsi" w:eastAsiaTheme="minorHAnsi" w:hAnsiTheme="minorHAnsi"/>
        </w:rPr>
        <w:t>Vic 8.3.</w:t>
      </w:r>
    </w:p>
    <w:p w:rsidR="00182466" w:rsidRDefault="00D470CB" w:rsidP="00D470CB">
      <w:pPr>
        <w:pStyle w:val="Tabletitle"/>
      </w:pPr>
      <w:r w:rsidRPr="00693CE8">
        <w:lastRenderedPageBreak/>
        <w:t xml:space="preserve">Table </w:t>
      </w:r>
      <w:r>
        <w:t>2</w:t>
      </w:r>
      <w:r w:rsidRPr="00693CE8">
        <w:t>: Immune Responses (GMT and GMFI) to Each Antigen at Baseline or at 28 Days after Last Vaccination in Age Cohorts, and Overall (Per-Protocol Population)</w:t>
      </w:r>
    </w:p>
    <w:p w:rsidR="00D470CB" w:rsidRPr="0023658F" w:rsidRDefault="0017010A" w:rsidP="00D470CB">
      <w:pPr>
        <w:autoSpaceDE w:val="0"/>
        <w:autoSpaceDN w:val="0"/>
        <w:adjustRightInd w:val="0"/>
        <w:spacing w:before="0" w:after="0" w:line="240" w:lineRule="auto"/>
        <w:rPr>
          <w:rFonts w:asciiTheme="minorHAnsi" w:eastAsiaTheme="minorHAnsi" w:hAnsiTheme="minorHAnsi"/>
        </w:rPr>
      </w:pPr>
      <w:r w:rsidRPr="00E533E1">
        <w:rPr>
          <w:rFonts w:ascii="TimesNewRoman" w:eastAsia="TimesNewRoman" w:hAnsiTheme="minorHAnsi" w:cs="TimesNewRoman"/>
          <w:b/>
          <w:sz w:val="24"/>
          <w:szCs w:val="24"/>
        </w:rPr>
        <w:object w:dxaOrig="7830" w:dyaOrig="7695">
          <v:shape id="_x0000_i1032" type="#_x0000_t75" alt="Immune Responses (GMT and GMFI) to Each Antigen at Baseline or at 28 Days after Last Vaccination in Age Cohorts, and Overall (Per-Protocol Population)" style="width:404.45pt;height:291.75pt;mso-position-vertical:absolute" o:ole="">
            <v:imagedata r:id="rId33" o:title=""/>
          </v:shape>
          <o:OLEObject Type="Embed" ProgID="Acrobat.Document.DC" ShapeID="_x0000_i1032" DrawAspect="Content" ObjectID="_1609670739" r:id="rId34"/>
        </w:object>
      </w:r>
    </w:p>
    <w:p w:rsidR="00D470CB" w:rsidRPr="0023658F" w:rsidRDefault="00D470CB" w:rsidP="00D470CB">
      <w:pPr>
        <w:autoSpaceDE w:val="0"/>
        <w:autoSpaceDN w:val="0"/>
        <w:adjustRightInd w:val="0"/>
        <w:spacing w:before="0" w:after="0" w:line="240" w:lineRule="auto"/>
        <w:rPr>
          <w:rFonts w:asciiTheme="minorHAnsi" w:eastAsiaTheme="minorHAnsi" w:hAnsiTheme="minorHAnsi"/>
        </w:rPr>
      </w:pPr>
      <w:r w:rsidRPr="0023658F">
        <w:rPr>
          <w:rFonts w:asciiTheme="minorHAnsi" w:eastAsiaTheme="minorHAnsi" w:hAnsiTheme="minorHAnsi"/>
        </w:rPr>
        <w:t xml:space="preserve">Seroconversion and </w:t>
      </w:r>
      <w:proofErr w:type="spellStart"/>
      <w:r w:rsidRPr="00874F55">
        <w:rPr>
          <w:rFonts w:asciiTheme="minorHAnsi" w:eastAsiaTheme="minorHAnsi" w:hAnsiTheme="minorHAnsi"/>
        </w:rPr>
        <w:t>seroprotection</w:t>
      </w:r>
      <w:proofErr w:type="spellEnd"/>
      <w:r w:rsidRPr="00874F55">
        <w:rPr>
          <w:rFonts w:asciiTheme="minorHAnsi" w:eastAsiaTheme="minorHAnsi" w:hAnsiTheme="minorHAnsi"/>
        </w:rPr>
        <w:t xml:space="preserve"> rates were similar for both age sub</w:t>
      </w:r>
      <w:r w:rsidR="008B267C">
        <w:rPr>
          <w:rFonts w:asciiTheme="minorHAnsi" w:eastAsiaTheme="minorHAnsi" w:hAnsiTheme="minorHAnsi"/>
        </w:rPr>
        <w:t>groups</w:t>
      </w:r>
      <w:r w:rsidRPr="00874F55">
        <w:rPr>
          <w:rFonts w:asciiTheme="minorHAnsi" w:eastAsiaTheme="minorHAnsi" w:hAnsiTheme="minorHAnsi"/>
        </w:rPr>
        <w:t xml:space="preserve"> and both study treatments. Overall for bioCSL QIV, seroconversion rates and </w:t>
      </w:r>
      <w:proofErr w:type="spellStart"/>
      <w:r w:rsidRPr="00874F55">
        <w:rPr>
          <w:rFonts w:asciiTheme="minorHAnsi" w:eastAsiaTheme="minorHAnsi" w:hAnsiTheme="minorHAnsi"/>
        </w:rPr>
        <w:t>seroprotection</w:t>
      </w:r>
      <w:proofErr w:type="spellEnd"/>
      <w:r w:rsidRPr="00874F55">
        <w:rPr>
          <w:rFonts w:asciiTheme="minorHAnsi" w:eastAsiaTheme="minorHAnsi" w:hAnsiTheme="minorHAnsi"/>
        </w:rPr>
        <w:t xml:space="preserve"> rates were respectively: A/H1N1 66.4% and 99.7%, A/H3N2 82.9% and 99.4%, B/Yam 58.4% and 75.0% and B/Vic 72.1% and 90.3%. In general, male and female subjects showed similar pre- and </w:t>
      </w:r>
      <w:r w:rsidR="008B267C">
        <w:rPr>
          <w:rFonts w:asciiTheme="minorHAnsi" w:eastAsiaTheme="minorHAnsi" w:hAnsiTheme="minorHAnsi"/>
        </w:rPr>
        <w:t>post-vaccination</w:t>
      </w:r>
      <w:r w:rsidRPr="00874F55">
        <w:rPr>
          <w:rFonts w:asciiTheme="minorHAnsi" w:eastAsiaTheme="minorHAnsi" w:hAnsiTheme="minorHAnsi"/>
        </w:rPr>
        <w:t xml:space="preserve"> GMTs and SCRs for both study vaccines. The study was not powered to allow comparisons between race and ethnic sub</w:t>
      </w:r>
      <w:r w:rsidR="008B267C">
        <w:rPr>
          <w:rFonts w:asciiTheme="minorHAnsi" w:eastAsiaTheme="minorHAnsi" w:hAnsiTheme="minorHAnsi"/>
        </w:rPr>
        <w:t>groups</w:t>
      </w:r>
      <w:r w:rsidRPr="00874F55">
        <w:rPr>
          <w:rFonts w:asciiTheme="minorHAnsi" w:eastAsiaTheme="minorHAnsi" w:hAnsiTheme="minorHAnsi"/>
        </w:rPr>
        <w:t>.</w:t>
      </w:r>
    </w:p>
    <w:p w:rsidR="00D470CB" w:rsidRPr="00B712B4" w:rsidRDefault="00D470CB" w:rsidP="00F70DB9">
      <w:pPr>
        <w:pStyle w:val="Tabletitle"/>
      </w:pPr>
      <w:r w:rsidRPr="00B712B4">
        <w:lastRenderedPageBreak/>
        <w:t xml:space="preserve">Table </w:t>
      </w:r>
      <w:r>
        <w:t>3</w:t>
      </w:r>
      <w:r w:rsidRPr="00B712B4">
        <w:t>: Immune Responses (Proportion of Subjects with HI T</w:t>
      </w:r>
      <w:r w:rsidRPr="00B712B4">
        <w:rPr>
          <w:rFonts w:eastAsia="TimesNewRomanPS-BoldMT" w:cs="TimesNewRomanPS-BoldMT"/>
        </w:rPr>
        <w:t>itre ≥</w:t>
      </w:r>
      <w:r w:rsidRPr="00B712B4">
        <w:t>40 and Seroconversion Rates) to Each Antigen at Baseline or at 28 Days after Last Vaccination in Age Cohorts (Per-Protocol Population) Safety results</w:t>
      </w:r>
    </w:p>
    <w:p w:rsidR="00D470CB" w:rsidRDefault="0017010A" w:rsidP="00D470CB">
      <w:pPr>
        <w:autoSpaceDE w:val="0"/>
        <w:autoSpaceDN w:val="0"/>
        <w:adjustRightInd w:val="0"/>
        <w:spacing w:before="0" w:after="0" w:line="240" w:lineRule="auto"/>
        <w:rPr>
          <w:rFonts w:ascii="Times New Roman" w:eastAsiaTheme="minorHAnsi" w:hAnsi="Times New Roman"/>
          <w:sz w:val="23"/>
          <w:szCs w:val="23"/>
        </w:rPr>
      </w:pPr>
      <w:r w:rsidRPr="009D2E74">
        <w:rPr>
          <w:rFonts w:ascii="Times New Roman" w:eastAsiaTheme="minorHAnsi" w:hAnsi="Times New Roman"/>
          <w:sz w:val="23"/>
          <w:szCs w:val="23"/>
        </w:rPr>
        <w:object w:dxaOrig="7425" w:dyaOrig="6481">
          <v:shape id="_x0000_i1033" type="#_x0000_t75" alt="Immune Responses (Proportion of Subjects with HI Titre ≥40 and Seroconversion Rates) to Each Antigen at Baseline or at 28 Days after Last Vaccination in Age Cohorts (Per-Protocol Population) Safety results" style="width:375.05pt;height:300.5pt" o:ole="">
            <v:imagedata r:id="rId35" o:title=""/>
          </v:shape>
          <o:OLEObject Type="Embed" ProgID="Acrobat.Document.DC" ShapeID="_x0000_i1033" DrawAspect="Content" ObjectID="_1609670740" r:id="rId36"/>
        </w:object>
      </w:r>
    </w:p>
    <w:p w:rsidR="00D470CB" w:rsidRPr="00874F55" w:rsidRDefault="00D470CB" w:rsidP="00F70DB9">
      <w:pPr>
        <w:pStyle w:val="Heading5"/>
      </w:pPr>
      <w:r w:rsidRPr="00874F55">
        <w:t>Evaluator commentary</w:t>
      </w:r>
      <w:bookmarkStart w:id="69" w:name="_Toc241374312"/>
      <w:bookmarkStart w:id="70" w:name="_Toc272414656"/>
      <w:bookmarkStart w:id="71" w:name="_Toc290888507"/>
      <w:bookmarkStart w:id="72" w:name="_Toc416353723"/>
      <w:bookmarkStart w:id="73" w:name="_Toc421005271"/>
      <w:bookmarkStart w:id="74" w:name="_Toc432079153"/>
      <w:bookmarkStart w:id="75" w:name="_Toc432080726"/>
    </w:p>
    <w:p w:rsidR="00D470CB" w:rsidRDefault="00D470CB" w:rsidP="00F70DB9">
      <w:r w:rsidRPr="00874F55">
        <w:rPr>
          <w:bCs/>
        </w:rPr>
        <w:t xml:space="preserve">The study design was appropriately powered for the primary and key secondary endpoints for recipients. </w:t>
      </w:r>
      <w:r w:rsidRPr="00874F55">
        <w:rPr>
          <w:rFonts w:eastAsia="TimesNewRoman" w:cs="TimesNewRoman"/>
        </w:rPr>
        <w:t>Although there were 293 subjects assigned to receive 2 doses at randomisation, only 267 did so.</w:t>
      </w:r>
      <w:r w:rsidRPr="00874F55">
        <w:t xml:space="preserve"> Most of the </w:t>
      </w:r>
      <w:proofErr w:type="spellStart"/>
      <w:r w:rsidRPr="00874F55">
        <w:t>vaccinees</w:t>
      </w:r>
      <w:proofErr w:type="spellEnd"/>
      <w:r w:rsidRPr="00874F55">
        <w:t xml:space="preserve"> had received influenza vaccine in the past. The immunogenicity of bioCSL QIV, measured by post-vaccination HI GMTs and SCRs, demonstrated non</w:t>
      </w:r>
      <w:r w:rsidR="008B267C">
        <w:t>-</w:t>
      </w:r>
      <w:r w:rsidRPr="00874F55">
        <w:t xml:space="preserve">inferiority to the US licensed comparator QIV, in subjects 5 - 17 </w:t>
      </w:r>
      <w:proofErr w:type="spellStart"/>
      <w:r w:rsidRPr="00874F55">
        <w:t>yrs</w:t>
      </w:r>
      <w:proofErr w:type="spellEnd"/>
      <w:r w:rsidRPr="00874F55">
        <w:t xml:space="preserve"> of age. Similar patterns of good immune responses (characterised by </w:t>
      </w:r>
      <w:proofErr w:type="spellStart"/>
      <w:r w:rsidRPr="00874F55">
        <w:t>seroprotection</w:t>
      </w:r>
      <w:proofErr w:type="spellEnd"/>
      <w:r w:rsidRPr="00874F55">
        <w:t xml:space="preserve"> rates, SCRs and GMFIs by study vaccine and by age stratum) were seen overall, and within each of the two age strata, for both study vaccines. The safety and tolerability profile of </w:t>
      </w:r>
      <w:r>
        <w:t xml:space="preserve">bioCSL QIV </w:t>
      </w:r>
      <w:r w:rsidRPr="00874F55">
        <w:t>was broadly similar to the comparator QIV.</w:t>
      </w:r>
    </w:p>
    <w:p w:rsidR="00D470CB" w:rsidRDefault="00D470CB" w:rsidP="00F70DB9">
      <w:pPr>
        <w:pStyle w:val="Heading3"/>
      </w:pPr>
      <w:bookmarkStart w:id="76" w:name="_Toc521411080"/>
      <w:bookmarkStart w:id="77" w:name="_Toc535416860"/>
      <w:r w:rsidRPr="005632DC">
        <w:t>Analyses performed</w:t>
      </w:r>
      <w:r>
        <w:t xml:space="preserve"> across trials: pooled and </w:t>
      </w:r>
      <w:proofErr w:type="gramStart"/>
      <w:r>
        <w:t>meta</w:t>
      </w:r>
      <w:proofErr w:type="gramEnd"/>
      <w:r>
        <w:t xml:space="preserve"> </w:t>
      </w:r>
      <w:r w:rsidRPr="005632DC">
        <w:t>analyses</w:t>
      </w:r>
      <w:bookmarkEnd w:id="69"/>
      <w:bookmarkEnd w:id="70"/>
      <w:bookmarkEnd w:id="71"/>
      <w:bookmarkEnd w:id="72"/>
      <w:bookmarkEnd w:id="73"/>
      <w:bookmarkEnd w:id="74"/>
      <w:bookmarkEnd w:id="75"/>
      <w:bookmarkEnd w:id="76"/>
      <w:bookmarkEnd w:id="77"/>
    </w:p>
    <w:p w:rsidR="00182466" w:rsidRDefault="00D470CB" w:rsidP="00D470CB">
      <w:r w:rsidRPr="00752F9D">
        <w:t xml:space="preserve">There is no pooled data or </w:t>
      </w:r>
      <w:proofErr w:type="gramStart"/>
      <w:r w:rsidRPr="00752F9D">
        <w:t>meta</w:t>
      </w:r>
      <w:proofErr w:type="gramEnd"/>
      <w:r w:rsidRPr="00752F9D">
        <w:t xml:space="preserve"> analyses provided in the paediatric setting</w:t>
      </w:r>
      <w:r w:rsidR="00182466">
        <w:t>.</w:t>
      </w:r>
    </w:p>
    <w:p w:rsidR="00D470CB" w:rsidRPr="0037318D" w:rsidRDefault="00D470CB" w:rsidP="00F70DB9">
      <w:pPr>
        <w:pStyle w:val="Heading3"/>
      </w:pPr>
      <w:bookmarkStart w:id="78" w:name="_Ref271126605"/>
      <w:bookmarkStart w:id="79" w:name="_Toc272414657"/>
      <w:bookmarkStart w:id="80" w:name="_Toc290888508"/>
      <w:bookmarkStart w:id="81" w:name="_Toc416353724"/>
      <w:bookmarkStart w:id="82" w:name="_Toc421005272"/>
      <w:bookmarkStart w:id="83" w:name="_Toc432079154"/>
      <w:bookmarkStart w:id="84" w:name="_Toc432080727"/>
      <w:bookmarkStart w:id="85" w:name="_Toc521411081"/>
      <w:bookmarkStart w:id="86" w:name="_Toc535416861"/>
      <w:r w:rsidRPr="0037318D">
        <w:t>Evaluator’s conclusions on clinical efficacy</w:t>
      </w:r>
      <w:bookmarkEnd w:id="78"/>
      <w:bookmarkEnd w:id="79"/>
      <w:bookmarkEnd w:id="80"/>
      <w:bookmarkEnd w:id="81"/>
      <w:bookmarkEnd w:id="82"/>
      <w:bookmarkEnd w:id="83"/>
      <w:bookmarkEnd w:id="84"/>
      <w:bookmarkEnd w:id="85"/>
      <w:bookmarkEnd w:id="86"/>
    </w:p>
    <w:p w:rsidR="00D470CB" w:rsidRPr="00002E80" w:rsidRDefault="00D470CB" w:rsidP="00F70DB9">
      <w:r w:rsidRPr="00B00014">
        <w:t>The CSLCT-QIV-13-02 study, was conducted entirely within the US over one NH flu season</w:t>
      </w:r>
      <w:r>
        <w:t xml:space="preserve"> (2015-2016), </w:t>
      </w:r>
      <w:r w:rsidRPr="00F321FA">
        <w:t xml:space="preserve">in </w:t>
      </w:r>
      <w:r>
        <w:t xml:space="preserve">children aged 5-17 </w:t>
      </w:r>
      <w:proofErr w:type="spellStart"/>
      <w:r>
        <w:t>y</w:t>
      </w:r>
      <w:r w:rsidRPr="00F321FA">
        <w:t>rs</w:t>
      </w:r>
      <w:proofErr w:type="spellEnd"/>
      <w:r>
        <w:t xml:space="preserve">, the majority of subjects were of white ethnicity; 51% (n=1166) in the FAS population were in the younger age group (aged 5-8 </w:t>
      </w:r>
      <w:proofErr w:type="spellStart"/>
      <w:r>
        <w:t>yrs</w:t>
      </w:r>
      <w:proofErr w:type="spellEnd"/>
      <w:r>
        <w:t>)</w:t>
      </w:r>
      <w:r w:rsidRPr="00F321FA">
        <w:t>.</w:t>
      </w:r>
      <w:r>
        <w:t xml:space="preserve"> </w:t>
      </w:r>
      <w:r w:rsidRPr="00F321FA">
        <w:t>Standard methodology to demonstrate immunogenicity was utilised.</w:t>
      </w:r>
      <w:r>
        <w:rPr>
          <w:rFonts w:ascii="Times New Roman" w:eastAsiaTheme="minorHAnsi" w:hAnsi="Times New Roman"/>
          <w:sz w:val="23"/>
          <w:szCs w:val="23"/>
        </w:rPr>
        <w:t xml:space="preserve"> The </w:t>
      </w:r>
      <w:r>
        <w:t xml:space="preserve">non-inferiority of Afluria Quad </w:t>
      </w:r>
      <w:r>
        <w:rPr>
          <w:rFonts w:eastAsiaTheme="minorHAnsi"/>
        </w:rPr>
        <w:t>vs. an approved QIV was demonstrated</w:t>
      </w:r>
      <w:r w:rsidRPr="0065717C">
        <w:rPr>
          <w:rFonts w:eastAsiaTheme="minorHAnsi"/>
        </w:rPr>
        <w:t xml:space="preserve"> </w:t>
      </w:r>
      <w:r>
        <w:rPr>
          <w:rFonts w:eastAsiaTheme="minorHAnsi"/>
        </w:rPr>
        <w:t>through the</w:t>
      </w:r>
      <w:r w:rsidRPr="0065717C">
        <w:rPr>
          <w:rFonts w:eastAsiaTheme="minorHAnsi"/>
        </w:rPr>
        <w:t xml:space="preserve"> eight co-primary end</w:t>
      </w:r>
      <w:r>
        <w:rPr>
          <w:rFonts w:eastAsiaTheme="minorHAnsi"/>
        </w:rPr>
        <w:t>points of HI GMT</w:t>
      </w:r>
      <w:r w:rsidRPr="0065717C">
        <w:rPr>
          <w:rFonts w:eastAsiaTheme="minorHAnsi"/>
        </w:rPr>
        <w:t xml:space="preserve"> and </w:t>
      </w:r>
      <w:r>
        <w:rPr>
          <w:rFonts w:eastAsiaTheme="minorHAnsi"/>
        </w:rPr>
        <w:t>SCR</w:t>
      </w:r>
      <w:r w:rsidRPr="0065717C">
        <w:rPr>
          <w:rFonts w:eastAsiaTheme="minorHAnsi"/>
        </w:rPr>
        <w:t xml:space="preserve"> for each viral strain included in the vaccines</w:t>
      </w:r>
      <w:r>
        <w:rPr>
          <w:rFonts w:eastAsiaTheme="minorHAnsi"/>
        </w:rPr>
        <w:t xml:space="preserve">. Secondary immunogenicity findings also supported the primary endpoint conclusions. There was no difference in vaccine ‘efficacy’ </w:t>
      </w:r>
      <w:r>
        <w:rPr>
          <w:rFonts w:eastAsiaTheme="minorHAnsi"/>
        </w:rPr>
        <w:lastRenderedPageBreak/>
        <w:t>between the age strata. There were no safety concerns raised, the safety data is discussed in greater detail below.</w:t>
      </w:r>
    </w:p>
    <w:p w:rsidR="00D470CB" w:rsidRPr="0037318D" w:rsidRDefault="00D470CB" w:rsidP="00F70DB9">
      <w:pPr>
        <w:pStyle w:val="Heading2"/>
      </w:pPr>
      <w:bookmarkStart w:id="87" w:name="_Toc521411082"/>
      <w:bookmarkStart w:id="88" w:name="_Toc535416862"/>
      <w:r w:rsidRPr="0037318D">
        <w:t>Clinical safety</w:t>
      </w:r>
      <w:bookmarkEnd w:id="87"/>
      <w:bookmarkEnd w:id="88"/>
    </w:p>
    <w:p w:rsidR="00D470CB" w:rsidRPr="00DE21DF" w:rsidRDefault="00D470CB" w:rsidP="00775030">
      <w:r w:rsidRPr="00DE21DF">
        <w:t>Background: In 2010, bioCSL’s Southern Hemisphere TIV formulation was associated in Australia and New Zealand with increased post</w:t>
      </w:r>
      <w:r w:rsidR="008B267C">
        <w:t>-</w:t>
      </w:r>
      <w:r w:rsidRPr="00DE21DF">
        <w:t>marketing reports of fever and febrile seizures in children (</w:t>
      </w:r>
      <w:r w:rsidRPr="009B3E4E">
        <w:t>Department of Health and Ageing 2010; CDC 2010</w:t>
      </w:r>
      <w:r w:rsidRPr="00DE21DF">
        <w:t xml:space="preserve">). These reactions were predominantly in children between 6 </w:t>
      </w:r>
      <w:r w:rsidR="00F70DB9">
        <w:t>months</w:t>
      </w:r>
      <w:r w:rsidRPr="00DE21DF">
        <w:t xml:space="preserve"> to &lt;5 </w:t>
      </w:r>
      <w:proofErr w:type="spellStart"/>
      <w:r w:rsidRPr="00DE21DF">
        <w:t>yrs</w:t>
      </w:r>
      <w:proofErr w:type="spellEnd"/>
      <w:r w:rsidRPr="00DE21DF">
        <w:t xml:space="preserve"> of age. However, increased post</w:t>
      </w:r>
      <w:r w:rsidR="008B267C">
        <w:t>-</w:t>
      </w:r>
      <w:r w:rsidRPr="00DE21DF">
        <w:t xml:space="preserve">marketing reports of febrile reactions compared with historical averages were also observed in children 5 to &lt;9 </w:t>
      </w:r>
      <w:proofErr w:type="spellStart"/>
      <w:r w:rsidRPr="00DE21DF">
        <w:t>yrs</w:t>
      </w:r>
      <w:proofErr w:type="spellEnd"/>
      <w:r w:rsidRPr="00DE21DF">
        <w:t xml:space="preserve"> of age </w:t>
      </w:r>
      <w:r>
        <w:t>(CDC 2010</w:t>
      </w:r>
      <w:r w:rsidRPr="00DE21DF">
        <w:t>). Since the 2010 SH influenza vaccination season, bioCSL TIVs, including Afluria TIV, have not been approved for use in children &lt;5 years.</w:t>
      </w:r>
    </w:p>
    <w:p w:rsidR="00D470CB" w:rsidRPr="00DE21DF" w:rsidRDefault="00D470CB" w:rsidP="00D470CB">
      <w:r w:rsidRPr="00DE21DF">
        <w:t xml:space="preserve">Before the 2010 Southern Hemisphere Paediatric AEs, bioCSL TIV was approved for use in children from 6 </w:t>
      </w:r>
      <w:r w:rsidR="00F70DB9">
        <w:t>months</w:t>
      </w:r>
      <w:r w:rsidRPr="00DE21DF">
        <w:t xml:space="preserve"> of age in several countries globally. </w:t>
      </w:r>
      <w:proofErr w:type="gramStart"/>
      <w:r w:rsidRPr="00DE21DF">
        <w:t>bioCSL</w:t>
      </w:r>
      <w:proofErr w:type="gramEnd"/>
      <w:r w:rsidRPr="00DE21DF">
        <w:t xml:space="preserve"> TIV was used in children 6 </w:t>
      </w:r>
      <w:r w:rsidR="00F70DB9">
        <w:t>months</w:t>
      </w:r>
      <w:r w:rsidRPr="00DE21DF">
        <w:t xml:space="preserve"> and older in countries throughout the EU since first Marketing Authorization in 2004. This indication was also registered in Australia and New Zealand in 2007 and marketed from 2008. Additionally, approvals followed in Malaysia and Singapore (2008) and Argentina in 2009 and marketed from 2009 in these countries for use in children from 6 </w:t>
      </w:r>
      <w:r w:rsidR="00F70DB9">
        <w:t>months</w:t>
      </w:r>
      <w:r w:rsidRPr="00DE21DF">
        <w:t xml:space="preserve"> of age. The 2010 SH paediatric AEs were initially detected in the third year of a government sponsored paediatric influenza vaccination program in Western Australia (WA) in which bioCSL TIV was used. During the first two years of the WA program in which similar numbers of children were vaccinated only one febrile convulsion that was temporally related to TIV vaccination was reported. Research conducted in 2010 using in-vitro modelling in a subg</w:t>
      </w:r>
      <w:r w:rsidR="008B267C">
        <w:t>rou</w:t>
      </w:r>
      <w:r w:rsidRPr="00DE21DF">
        <w:t>p of children ≤5 years with bioCSL TIV vaccine-related febrile convulsions, showed differences in cytokine production when peripheral blood mononuclear cells were stimulated with bioCSL TIV 2010 vs. TIVs from other manufacturers (</w:t>
      </w:r>
      <w:r>
        <w:t>Blyth</w:t>
      </w:r>
      <w:r w:rsidRPr="00DE21DF">
        <w:t xml:space="preserve">). This research demonstrated a potential clinical mechanism for the febrile AEs </w:t>
      </w:r>
      <w:r w:rsidR="008F1442">
        <w:t>that is,</w:t>
      </w:r>
      <w:r w:rsidRPr="00DE21DF">
        <w:t xml:space="preserve"> a cytokine-mediated pyrogenic response.</w:t>
      </w:r>
    </w:p>
    <w:p w:rsidR="00D470CB" w:rsidRPr="00DE21DF" w:rsidRDefault="00D470CB" w:rsidP="00D470CB">
      <w:r w:rsidRPr="00DE21DF">
        <w:t>An increased frequency of fever after receipt of 2009 bioCSL TIV compared to a US-licensed</w:t>
      </w:r>
      <w:r>
        <w:t xml:space="preserve"> </w:t>
      </w:r>
      <w:r w:rsidRPr="00DE21DF">
        <w:t xml:space="preserve">TIV among children 6 </w:t>
      </w:r>
      <w:r w:rsidR="00F70DB9">
        <w:t>months</w:t>
      </w:r>
      <w:r w:rsidRPr="00DE21DF">
        <w:t xml:space="preserve"> to &lt;9 </w:t>
      </w:r>
      <w:proofErr w:type="spellStart"/>
      <w:r w:rsidRPr="00DE21DF">
        <w:t>yrs</w:t>
      </w:r>
      <w:proofErr w:type="spellEnd"/>
      <w:r w:rsidRPr="00DE21DF">
        <w:t xml:space="preserve"> of age was also observed in a clinical trial conducted in the US (</w:t>
      </w:r>
      <w:r>
        <w:t>Brady</w:t>
      </w:r>
      <w:r w:rsidRPr="00DE21DF">
        <w:t xml:space="preserve">). The AE summary results from this study for the two age </w:t>
      </w:r>
      <w:r w:rsidR="008B267C">
        <w:t>groups</w:t>
      </w:r>
      <w:r w:rsidRPr="00DE21DF">
        <w:t xml:space="preserve"> 5 to &lt;9 </w:t>
      </w:r>
      <w:proofErr w:type="spellStart"/>
      <w:r w:rsidRPr="00DE21DF">
        <w:t>yrs</w:t>
      </w:r>
      <w:proofErr w:type="spellEnd"/>
      <w:r w:rsidRPr="00DE21DF">
        <w:t xml:space="preserve"> and 9 to &lt;18 </w:t>
      </w:r>
      <w:proofErr w:type="spellStart"/>
      <w:r w:rsidRPr="00DE21DF">
        <w:t>yrs</w:t>
      </w:r>
      <w:proofErr w:type="spellEnd"/>
      <w:r w:rsidRPr="00DE21DF">
        <w:t xml:space="preserve"> are also included in the Afluria TIV label. After the 2010 SH paediatric AEs, bioCSL conducted intensive scientific investigations to identify the root cause of these AEs. Reports of the investigations, results, and conclusions have been presented to key regulatory agencies in countries where bioCSL TIV is licensed, including to the US FDA, and have been published (</w:t>
      </w:r>
      <w:proofErr w:type="spellStart"/>
      <w:r>
        <w:t>Rockman</w:t>
      </w:r>
      <w:proofErr w:type="spellEnd"/>
      <w:r w:rsidRPr="00DE21DF">
        <w:t>).</w:t>
      </w:r>
    </w:p>
    <w:p w:rsidR="00D470CB" w:rsidRPr="00837D35" w:rsidRDefault="00D470CB" w:rsidP="00D470CB">
      <w:r w:rsidRPr="00837D35">
        <w:t>The conclusions from the scientific investigations indicated that a combination of 3 key elements w</w:t>
      </w:r>
      <w:r w:rsidR="008B267C">
        <w:t>as</w:t>
      </w:r>
      <w:r w:rsidRPr="00837D35">
        <w:t xml:space="preserve"> predominant factors contributing to the 2010 SH paediatric AEs:</w:t>
      </w:r>
    </w:p>
    <w:p w:rsidR="00D470CB" w:rsidRPr="00837D35" w:rsidRDefault="00D470CB" w:rsidP="00D470CB">
      <w:pPr>
        <w:pStyle w:val="ListBullet"/>
        <w:numPr>
          <w:ilvl w:val="0"/>
          <w:numId w:val="3"/>
        </w:numPr>
      </w:pPr>
      <w:r w:rsidRPr="00837D35">
        <w:t>Strain changes, in particular, replacement of all 3 virus strains in the 2009 SH vaccine formulation with the new strains for 2010 SH;</w:t>
      </w:r>
    </w:p>
    <w:p w:rsidR="00D470CB" w:rsidRPr="00837D35" w:rsidRDefault="00D470CB" w:rsidP="00D470CB">
      <w:pPr>
        <w:pStyle w:val="ListBullet"/>
        <w:numPr>
          <w:ilvl w:val="0"/>
          <w:numId w:val="3"/>
        </w:numPr>
      </w:pPr>
      <w:r w:rsidRPr="00837D35">
        <w:t>Degraded RNA fragments that induced nuclear factor-kappa B (NF-</w:t>
      </w:r>
      <w:proofErr w:type="spellStart"/>
      <w:r w:rsidRPr="00837D35">
        <w:t>κB</w:t>
      </w:r>
      <w:proofErr w:type="spellEnd"/>
      <w:r w:rsidRPr="00837D35">
        <w:t>), a key cellular transcription factor in cytokine production, and</w:t>
      </w:r>
    </w:p>
    <w:p w:rsidR="00D470CB" w:rsidRPr="00837D35" w:rsidRDefault="00D470CB" w:rsidP="00D470CB">
      <w:pPr>
        <w:pStyle w:val="ListBullet"/>
        <w:numPr>
          <w:ilvl w:val="0"/>
          <w:numId w:val="3"/>
        </w:numPr>
      </w:pPr>
      <w:r w:rsidRPr="00837D35">
        <w:t>Conformation of heat-sensitive viral components, such as lipids, which appeared to facilitate RNA delivery.</w:t>
      </w:r>
    </w:p>
    <w:p w:rsidR="00D470CB" w:rsidRPr="00837D35" w:rsidRDefault="00D470CB" w:rsidP="00D470CB">
      <w:r w:rsidRPr="00837D35">
        <w:t xml:space="preserve">Although the presence of RNA appears to be the trigger for the febrile reactions, its delivery is key to the induction of the cytokine/chemokine signal and this appears dependent on the lipid level present in the final vaccine formulation. The lipid content is inversely proportional to the concentration of the detergent sodium </w:t>
      </w:r>
      <w:proofErr w:type="spellStart"/>
      <w:r w:rsidRPr="00837D35">
        <w:t>taurodeoxycholate</w:t>
      </w:r>
      <w:proofErr w:type="spellEnd"/>
      <w:r w:rsidRPr="00837D35">
        <w:t xml:space="preserve"> (TDOC), used to disrupt the virus (</w:t>
      </w:r>
      <w:proofErr w:type="spellStart"/>
      <w:r w:rsidRPr="00837D35">
        <w:t>Rockman</w:t>
      </w:r>
      <w:proofErr w:type="spellEnd"/>
      <w:r w:rsidRPr="00837D35">
        <w:t>). Characterisation studies conducted examined the effect of varying the concentration of TDOC, used to split the virus during manufacture, on the NF-</w:t>
      </w:r>
      <w:proofErr w:type="spellStart"/>
      <w:r w:rsidRPr="00837D35">
        <w:t>κB</w:t>
      </w:r>
      <w:proofErr w:type="spellEnd"/>
      <w:r w:rsidRPr="00837D35">
        <w:t xml:space="preserve"> activation </w:t>
      </w:r>
      <w:r w:rsidRPr="00837D35">
        <w:lastRenderedPageBreak/>
        <w:t>response. Reduction of lipids using the above process appears to reduce facilitated RNA fragment delivery into cells, decreasing the NF-</w:t>
      </w:r>
      <w:proofErr w:type="spellStart"/>
      <w:r w:rsidRPr="00837D35">
        <w:t>κB</w:t>
      </w:r>
      <w:proofErr w:type="spellEnd"/>
      <w:r w:rsidRPr="00837D35">
        <w:t xml:space="preserve"> induction associated with cytokine production. This may therefore reduce the potential for pyrogenic vaccine responses mediated by cytokines. During the scientific investigations, the highest cytokine signal in the surrogate </w:t>
      </w:r>
      <w:proofErr w:type="spellStart"/>
      <w:r w:rsidRPr="00837D35">
        <w:t>reactogenicity</w:t>
      </w:r>
      <w:proofErr w:type="spellEnd"/>
      <w:r w:rsidRPr="00837D35">
        <w:t xml:space="preserve"> assays was generated by the B strain viruses, leading bioCSL to focus on splitting conditions for B strains. Based on the available characterisation data to date, the vaccine to be used in clinical trials starting from 2014, and in commercially supplied vaccines from 2014, will have the B strain split at the upper levels of TDOC concentration (1.5% w/v), which is within bioCSL’s registered splitting range for TIV.</w:t>
      </w:r>
    </w:p>
    <w:p w:rsidR="00D470CB" w:rsidRPr="00837D35" w:rsidRDefault="00D470CB" w:rsidP="00D470CB">
      <w:r w:rsidRPr="00837D35">
        <w:t xml:space="preserve">CSLCT-QIV-13-02, described in Section 6.0 is the only study in this application that provides evaluable safety data for QIV. Study CSLCT-USF-10-69, was conducted in children aged 5-8 </w:t>
      </w:r>
      <w:proofErr w:type="spellStart"/>
      <w:r w:rsidRPr="00837D35">
        <w:t>yrs</w:t>
      </w:r>
      <w:proofErr w:type="spellEnd"/>
      <w:r w:rsidRPr="00837D35">
        <w:t xml:space="preserve"> of age, to provide contemporary data on the safety and tolerability of </w:t>
      </w:r>
      <w:proofErr w:type="spellStart"/>
      <w:r w:rsidRPr="00837D35">
        <w:t>Seqirus</w:t>
      </w:r>
      <w:proofErr w:type="spellEnd"/>
      <w:r w:rsidRPr="00837D35">
        <w:t xml:space="preserve"> TIV manufactured with 1.5%w/v splitting conditions for the B strain in children aged 5-8 </w:t>
      </w:r>
      <w:proofErr w:type="spellStart"/>
      <w:r w:rsidRPr="00837D35">
        <w:t>yrs</w:t>
      </w:r>
      <w:proofErr w:type="spellEnd"/>
      <w:r w:rsidRPr="00837D35">
        <w:t xml:space="preserve"> of age. Safety data from this study provides only indirect safety data for Afluria Quad.</w:t>
      </w:r>
    </w:p>
    <w:p w:rsidR="00182466" w:rsidRDefault="00D470CB" w:rsidP="00D470CB">
      <w:pPr>
        <w:autoSpaceDE w:val="0"/>
        <w:autoSpaceDN w:val="0"/>
        <w:adjustRightInd w:val="0"/>
        <w:spacing w:before="0" w:after="0"/>
      </w:pPr>
      <w:r w:rsidRPr="00837D35">
        <w:rPr>
          <w:rFonts w:asciiTheme="minorHAnsi" w:hAnsiTheme="minorHAnsi"/>
          <w:bCs/>
        </w:rPr>
        <w:t>Safety reporting definitions</w:t>
      </w:r>
      <w:r>
        <w:rPr>
          <w:rFonts w:asciiTheme="minorHAnsi" w:hAnsiTheme="minorHAnsi"/>
          <w:bCs/>
        </w:rPr>
        <w:t xml:space="preserve">: </w:t>
      </w:r>
      <w:r>
        <w:t>AE</w:t>
      </w:r>
      <w:r w:rsidRPr="00837D35">
        <w:t xml:space="preserve"> = untoward medical occurrence in a clinical investigation subject given a pharmaceutical product and which does not necessarily have a causal relationship with this treatment</w:t>
      </w:r>
      <w:r w:rsidR="00182466">
        <w:t>.</w:t>
      </w:r>
    </w:p>
    <w:p w:rsidR="00D470CB" w:rsidRPr="00837D35" w:rsidRDefault="00D470CB" w:rsidP="00D470CB">
      <w:r w:rsidRPr="00837D35">
        <w:t xml:space="preserve">Unsolicited AEs coded using </w:t>
      </w:r>
      <w:proofErr w:type="spellStart"/>
      <w:r w:rsidRPr="00837D35">
        <w:t>MedDRA</w:t>
      </w:r>
      <w:proofErr w:type="spellEnd"/>
      <w:r w:rsidRPr="00837D35">
        <w:t xml:space="preserve"> v</w:t>
      </w:r>
      <w:r w:rsidR="008B267C">
        <w:t xml:space="preserve">ersion </w:t>
      </w:r>
      <w:r w:rsidRPr="00837D35">
        <w:t>18. The n</w:t>
      </w:r>
      <w:r w:rsidR="008B267C">
        <w:t>umbers</w:t>
      </w:r>
      <w:r w:rsidRPr="00837D35">
        <w:t xml:space="preserve"> (and %) experiencing at ≥1 unsolicited AEs summarised by </w:t>
      </w:r>
      <w:proofErr w:type="spellStart"/>
      <w:r w:rsidRPr="00837D35">
        <w:t>MedDRA</w:t>
      </w:r>
      <w:proofErr w:type="spellEnd"/>
      <w:r w:rsidRPr="00837D35">
        <w:t xml:space="preserve"> system organ class (SOC) and preferred term (PT), overall and by maximum severity.</w:t>
      </w:r>
      <w:r>
        <w:t xml:space="preserve"> </w:t>
      </w:r>
      <w:r w:rsidRPr="00837D35">
        <w:t xml:space="preserve">Severity ranked: severe &gt;moderate &gt;mild &gt;unknown. All summaries presented by treatment </w:t>
      </w:r>
      <w:proofErr w:type="spellStart"/>
      <w:r w:rsidRPr="00837D35">
        <w:t>gp</w:t>
      </w:r>
      <w:proofErr w:type="spellEnd"/>
      <w:r w:rsidRPr="00837D35">
        <w:t xml:space="preserve"> (</w:t>
      </w:r>
      <w:r w:rsidR="008F1442">
        <w:t>that is,</w:t>
      </w:r>
      <w:r w:rsidRPr="00837D35">
        <w:t xml:space="preserve"> bioCSL QIV/Comparator QIV/Overall), and repeated by age strata, gender, and race/ethnicity where specified.</w:t>
      </w:r>
    </w:p>
    <w:p w:rsidR="00D470CB" w:rsidRPr="00CF7D7E" w:rsidRDefault="00D470CB" w:rsidP="00D470CB">
      <w:r w:rsidRPr="00CF7D7E">
        <w:t>Solicited AEs: SAE</w:t>
      </w:r>
      <w:r>
        <w:t xml:space="preserve"> </w:t>
      </w:r>
      <w:r w:rsidRPr="00CF7D7E">
        <w:t xml:space="preserve">= untoward medical occurrence resulting in death/is life-threatening/requires in-patient </w:t>
      </w:r>
      <w:r>
        <w:t>h</w:t>
      </w:r>
      <w:r w:rsidRPr="00CF7D7E">
        <w:t>ospitalisation/prolongation of existing hospitalisation/resul</w:t>
      </w:r>
      <w:r>
        <w:t xml:space="preserve">ts in persistent or significant </w:t>
      </w:r>
      <w:r w:rsidRPr="00CF7D7E">
        <w:t xml:space="preserve">disability or incapacity/congenital anomaly or birth defect/important medical event/is </w:t>
      </w:r>
      <w:r>
        <w:t xml:space="preserve">the </w:t>
      </w:r>
      <w:r w:rsidRPr="00CF7D7E">
        <w:t>suspected transmission of an infectious agent via a medicinal product. SAEs, collected for 180</w:t>
      </w:r>
      <w:r>
        <w:t xml:space="preserve"> </w:t>
      </w:r>
      <w:r w:rsidRPr="00CF7D7E">
        <w:t>days and 7 days after last vaccination in CSLCT-QIV-13-02 and CSLCT-USF-10-69</w:t>
      </w:r>
      <w:r>
        <w:t>,</w:t>
      </w:r>
      <w:r w:rsidRPr="00CF7D7E">
        <w:t xml:space="preserve"> respectively.</w:t>
      </w:r>
    </w:p>
    <w:p w:rsidR="00182466" w:rsidRDefault="00D470CB" w:rsidP="00775030">
      <w:pPr>
        <w:pStyle w:val="TableTitle0"/>
      </w:pPr>
      <w:r w:rsidRPr="006B0E45">
        <w:t xml:space="preserve">Table </w:t>
      </w:r>
      <w:r>
        <w:t>4</w:t>
      </w:r>
      <w:r w:rsidRPr="006B0E45">
        <w:t>: Solicited Local Reactions captured in CSLCT-QIV-13-02 and CSTCT-USF-10-69</w:t>
      </w:r>
    </w:p>
    <w:p w:rsidR="00D470CB" w:rsidRPr="006B0E45" w:rsidRDefault="0017010A" w:rsidP="00D470CB">
      <w:pPr>
        <w:spacing w:before="0" w:after="0"/>
        <w:rPr>
          <w:rFonts w:asciiTheme="minorHAnsi" w:eastAsiaTheme="minorHAnsi" w:hAnsiTheme="minorHAnsi"/>
          <w:b/>
          <w:bCs/>
        </w:rPr>
      </w:pPr>
      <w:r w:rsidRPr="006B0E45">
        <w:rPr>
          <w:rFonts w:asciiTheme="minorHAnsi" w:eastAsiaTheme="minorHAnsi" w:hAnsiTheme="minorHAnsi"/>
          <w:b/>
          <w:bCs/>
        </w:rPr>
        <w:object w:dxaOrig="7170" w:dyaOrig="3045">
          <v:shape id="_x0000_i1034" type="#_x0000_t75" alt="Solicited Local Reactions captured in CSLCT-QIV-13-02 and CSTCT-USF-10-69 " style="width:352.5pt;height:160.3pt" o:ole="">
            <v:imagedata r:id="rId37" o:title=""/>
          </v:shape>
          <o:OLEObject Type="Embed" ProgID="Acrobat.Document.DC" ShapeID="_x0000_i1034" DrawAspect="Content" ObjectID="_1609670741" r:id="rId38"/>
        </w:object>
      </w:r>
    </w:p>
    <w:p w:rsidR="00182466" w:rsidRDefault="00D470CB" w:rsidP="00775030">
      <w:pPr>
        <w:pStyle w:val="TableTitle0"/>
      </w:pPr>
      <w:r w:rsidRPr="006B0E45">
        <w:lastRenderedPageBreak/>
        <w:t xml:space="preserve">Table </w:t>
      </w:r>
      <w:r>
        <w:t>5</w:t>
      </w:r>
      <w:r w:rsidRPr="006B0E45">
        <w:t>: Solicited Systemic AEs captured in CSLCT-QIV-13-02 and CSTCT-USF-10-69</w:t>
      </w:r>
    </w:p>
    <w:p w:rsidR="00D470CB" w:rsidRPr="00874F55" w:rsidRDefault="0017010A" w:rsidP="00D470CB">
      <w:pPr>
        <w:autoSpaceDE w:val="0"/>
        <w:autoSpaceDN w:val="0"/>
        <w:adjustRightInd w:val="0"/>
        <w:spacing w:before="0" w:after="0" w:line="240" w:lineRule="auto"/>
        <w:rPr>
          <w:rFonts w:asciiTheme="minorHAnsi" w:eastAsiaTheme="minorHAnsi" w:hAnsiTheme="minorHAnsi"/>
        </w:rPr>
      </w:pPr>
      <w:r w:rsidRPr="00874F55">
        <w:rPr>
          <w:rFonts w:asciiTheme="minorHAnsi" w:eastAsiaTheme="minorHAnsi" w:hAnsiTheme="minorHAnsi"/>
        </w:rPr>
        <w:object w:dxaOrig="7036" w:dyaOrig="5070">
          <v:shape id="_x0000_i1035" type="#_x0000_t75" alt="Solicited Systemic AEs captured in CSLCT-QIV-13-02 and CSTCT-USF-10-69 " style="width:325.55pt;height:217.25pt" o:ole="">
            <v:imagedata r:id="rId39" o:title=""/>
          </v:shape>
          <o:OLEObject Type="Embed" ProgID="Acrobat.Document.DC" ShapeID="_x0000_i1035" DrawAspect="Content" ObjectID="_1609670742" r:id="rId40"/>
        </w:object>
      </w:r>
    </w:p>
    <w:p w:rsidR="00D470CB" w:rsidRPr="00F70DB9" w:rsidRDefault="00D470CB" w:rsidP="00F70DB9">
      <w:pPr>
        <w:pStyle w:val="ListBullet"/>
      </w:pPr>
      <w:r w:rsidRPr="00F70DB9">
        <w:t>CAUSALITY OF AEs: Assessed by Investigator as related or unrelated.</w:t>
      </w:r>
    </w:p>
    <w:p w:rsidR="00D470CB" w:rsidRPr="00F70DB9" w:rsidRDefault="00D470CB" w:rsidP="00F70DB9">
      <w:pPr>
        <w:pStyle w:val="ListBullet"/>
      </w:pPr>
      <w:r w:rsidRPr="00F70DB9">
        <w:t>SEVERITY of AEs: Assessed by Investigator as mild, moderate, severe</w:t>
      </w:r>
    </w:p>
    <w:p w:rsidR="00D470CB" w:rsidRPr="00CF7D7E" w:rsidRDefault="00D470CB" w:rsidP="00F70DB9">
      <w:pPr>
        <w:pStyle w:val="ListBullet"/>
      </w:pPr>
      <w:r w:rsidRPr="00F70DB9">
        <w:t xml:space="preserve">AESIs: The following AESIs were collected CSLCT-QIV-13-02, and were to be reported as medically important SAEs: Optic neuritis; encephalomyelitis; thrombocytopenia; vasculitis; </w:t>
      </w:r>
      <w:proofErr w:type="spellStart"/>
      <w:r w:rsidRPr="00F70DB9">
        <w:t>Guillain-Barré</w:t>
      </w:r>
      <w:proofErr w:type="spellEnd"/>
      <w:r w:rsidRPr="00CF7D7E">
        <w:t xml:space="preserve"> syndrome; Bell’s palsy; Transverse myelitis; Demyelinating disorders.</w:t>
      </w:r>
    </w:p>
    <w:p w:rsidR="00D470CB" w:rsidRDefault="00D470CB" w:rsidP="00F70DB9">
      <w:pPr>
        <w:pStyle w:val="Heading3"/>
      </w:pPr>
      <w:bookmarkStart w:id="89" w:name="_Toc441843523"/>
      <w:bookmarkStart w:id="90" w:name="_Toc521411083"/>
      <w:bookmarkStart w:id="91" w:name="_Toc535416863"/>
      <w:r w:rsidRPr="00545B14">
        <w:t>Studies providing evaluable safety data</w:t>
      </w:r>
      <w:bookmarkEnd w:id="89"/>
      <w:bookmarkEnd w:id="90"/>
      <w:bookmarkEnd w:id="91"/>
    </w:p>
    <w:p w:rsidR="00D470CB" w:rsidRPr="00C3572A" w:rsidRDefault="00D470CB" w:rsidP="00F70DB9">
      <w:pPr>
        <w:pStyle w:val="Heading4"/>
      </w:pPr>
      <w:r>
        <w:t>P</w:t>
      </w:r>
      <w:r w:rsidRPr="00C3572A">
        <w:t>ivotal studies that assessed safety as the sole primary outcome</w:t>
      </w:r>
    </w:p>
    <w:p w:rsidR="00D470CB" w:rsidRPr="00CF7D7E" w:rsidRDefault="00D470CB" w:rsidP="00D470CB">
      <w:r w:rsidRPr="00CF7D7E">
        <w:t>CSLCT-USF-10-69, described below. This is not a pivotal study</w:t>
      </w:r>
      <w:r w:rsidR="00F70DB9">
        <w:t>;</w:t>
      </w:r>
      <w:r w:rsidRPr="00CF7D7E">
        <w:t xml:space="preserve"> it is a supporting safety study.</w:t>
      </w:r>
    </w:p>
    <w:p w:rsidR="00D470CB" w:rsidRPr="00545B14" w:rsidRDefault="00D470CB" w:rsidP="00F70DB9">
      <w:pPr>
        <w:pStyle w:val="Heading4"/>
      </w:pPr>
      <w:r w:rsidRPr="00545B14">
        <w:t xml:space="preserve">Pivotal </w:t>
      </w:r>
      <w:r>
        <w:t xml:space="preserve">and/or main </w:t>
      </w:r>
      <w:r w:rsidRPr="00545B14">
        <w:t>efficacy studies</w:t>
      </w:r>
    </w:p>
    <w:p w:rsidR="00D470CB" w:rsidRDefault="00D470CB" w:rsidP="00D470CB">
      <w:pPr>
        <w:rPr>
          <w:lang w:eastAsia="ja-JP"/>
        </w:rPr>
      </w:pPr>
      <w:bookmarkStart w:id="92" w:name="_Ref269204367"/>
      <w:bookmarkStart w:id="93" w:name="_Ref271195835"/>
      <w:bookmarkStart w:id="94" w:name="_Ref271195841"/>
      <w:bookmarkStart w:id="95" w:name="_Toc272414660"/>
      <w:bookmarkStart w:id="96" w:name="_Toc290888511"/>
      <w:bookmarkStart w:id="97" w:name="_Toc416353727"/>
      <w:bookmarkStart w:id="98" w:name="_Toc421005283"/>
      <w:bookmarkStart w:id="99" w:name="_Toc432079160"/>
      <w:bookmarkStart w:id="100" w:name="_Toc432080733"/>
      <w:bookmarkStart w:id="101" w:name="_Toc441843524"/>
      <w:r w:rsidRPr="00CF7D7E">
        <w:t xml:space="preserve">CSLCT-QIV-13-02, immunogenicity results described </w:t>
      </w:r>
      <w:r>
        <w:t>above</w:t>
      </w:r>
      <w:r w:rsidRPr="00CF7D7E">
        <w:t>.</w:t>
      </w:r>
    </w:p>
    <w:p w:rsidR="00D470CB" w:rsidRDefault="00D470CB" w:rsidP="00F70DB9">
      <w:pPr>
        <w:pStyle w:val="Heading3"/>
      </w:pPr>
      <w:bookmarkStart w:id="102" w:name="_Toc521411084"/>
      <w:bookmarkStart w:id="103" w:name="_Toc535416864"/>
      <w:r>
        <w:t>Studies that assessed safety as the sole</w:t>
      </w:r>
      <w:r w:rsidRPr="00545B14">
        <w:t xml:space="preserve"> primary outcome</w:t>
      </w:r>
      <w:bookmarkEnd w:id="92"/>
      <w:bookmarkEnd w:id="93"/>
      <w:bookmarkEnd w:id="94"/>
      <w:bookmarkEnd w:id="95"/>
      <w:bookmarkEnd w:id="96"/>
      <w:bookmarkEnd w:id="97"/>
      <w:bookmarkEnd w:id="98"/>
      <w:bookmarkEnd w:id="99"/>
      <w:bookmarkEnd w:id="100"/>
      <w:bookmarkEnd w:id="101"/>
      <w:bookmarkEnd w:id="102"/>
      <w:bookmarkEnd w:id="103"/>
    </w:p>
    <w:p w:rsidR="00D470CB" w:rsidRPr="00C36A23" w:rsidRDefault="00D470CB" w:rsidP="00F70DB9">
      <w:pPr>
        <w:pStyle w:val="Heading4"/>
      </w:pPr>
      <w:r>
        <w:t xml:space="preserve">Study </w:t>
      </w:r>
      <w:r w:rsidRPr="002E29C4">
        <w:t>CSLCT-USF-10-69</w:t>
      </w:r>
    </w:p>
    <w:p w:rsidR="00D470CB" w:rsidRPr="00C36A23" w:rsidRDefault="00D470CB" w:rsidP="00D470CB">
      <w:pPr>
        <w:rPr>
          <w:i/>
        </w:rPr>
      </w:pPr>
      <w:r w:rsidRPr="00C36A23">
        <w:rPr>
          <w:i/>
        </w:rPr>
        <w:t xml:space="preserve">A Phase IV, </w:t>
      </w:r>
      <w:r w:rsidRPr="000C2E9C">
        <w:rPr>
          <w:i/>
        </w:rPr>
        <w:t>multicentr</w:t>
      </w:r>
      <w:r>
        <w:rPr>
          <w:i/>
        </w:rPr>
        <w:t>e</w:t>
      </w:r>
      <w:r w:rsidRPr="000C2E9C">
        <w:rPr>
          <w:i/>
        </w:rPr>
        <w:t>, randomi</w:t>
      </w:r>
      <w:r>
        <w:rPr>
          <w:i/>
        </w:rPr>
        <w:t>s</w:t>
      </w:r>
      <w:r w:rsidRPr="000C2E9C">
        <w:rPr>
          <w:i/>
        </w:rPr>
        <w:t xml:space="preserve">ed, observer-blind, parallel-arm study to evaluate the safety and tolerability of </w:t>
      </w:r>
      <w:r w:rsidRPr="00C36A23">
        <w:rPr>
          <w:i/>
        </w:rPr>
        <w:t xml:space="preserve">CSL’s </w:t>
      </w:r>
      <w:r w:rsidRPr="000C2E9C">
        <w:rPr>
          <w:i/>
        </w:rPr>
        <w:t xml:space="preserve">trivalent influenza virus vaccine </w:t>
      </w:r>
      <w:r w:rsidRPr="00C36A23">
        <w:rPr>
          <w:i/>
        </w:rPr>
        <w:t xml:space="preserve">(CSL TIV) in </w:t>
      </w:r>
      <w:r>
        <w:rPr>
          <w:i/>
        </w:rPr>
        <w:t>c</w:t>
      </w:r>
      <w:r w:rsidRPr="00C36A23">
        <w:rPr>
          <w:i/>
        </w:rPr>
        <w:t xml:space="preserve">hildren 5 to </w:t>
      </w:r>
      <w:r w:rsidRPr="000C2E9C">
        <w:rPr>
          <w:i/>
        </w:rPr>
        <w:t>less than 9 years of a</w:t>
      </w:r>
      <w:r w:rsidRPr="00A85453">
        <w:rPr>
          <w:i/>
        </w:rPr>
        <w:t>ge</w:t>
      </w:r>
    </w:p>
    <w:p w:rsidR="00D470CB" w:rsidRPr="00E8481A" w:rsidRDefault="00D470CB" w:rsidP="00F70DB9">
      <w:pPr>
        <w:pStyle w:val="Heading5"/>
      </w:pPr>
      <w:bookmarkStart w:id="104" w:name="_Toc290888513"/>
      <w:bookmarkStart w:id="105" w:name="_Toc416353729"/>
      <w:r w:rsidRPr="00E8481A">
        <w:t>Study design, objectives, locations and dates</w:t>
      </w:r>
      <w:bookmarkEnd w:id="104"/>
      <w:bookmarkEnd w:id="105"/>
    </w:p>
    <w:p w:rsidR="00D470CB" w:rsidRPr="001F2CEC" w:rsidRDefault="00D470CB" w:rsidP="00D470CB">
      <w:bookmarkStart w:id="106" w:name="_Toc290888514"/>
      <w:bookmarkStart w:id="107" w:name="_Toc416353730"/>
      <w:r w:rsidRPr="001F2CEC">
        <w:t xml:space="preserve">Design: randomised, observer-blind, comparator-controlled, parallel-arm, multicentre study to evaluate safety and tolerability of bioCSL TIV in children 5 - 8 </w:t>
      </w:r>
      <w:proofErr w:type="spellStart"/>
      <w:r w:rsidRPr="001F2CEC">
        <w:t>yrs</w:t>
      </w:r>
      <w:proofErr w:type="spellEnd"/>
      <w:r w:rsidRPr="001F2CEC">
        <w:t xml:space="preserve"> of age. Subjects received one or two study vaccinations depending on their influenza vaccination history. A single study vaccination was scheduled if the subject received ≥2 seasonal influenza vaccinations since July 2010. Subjects were randomised to one of the two treatment </w:t>
      </w:r>
      <w:r w:rsidR="008B267C">
        <w:t>groups</w:t>
      </w:r>
      <w:r w:rsidRPr="001F2CEC">
        <w:t xml:space="preserve"> in a 3:1 ratio (</w:t>
      </w:r>
      <w:proofErr w:type="spellStart"/>
      <w:r w:rsidRPr="001F2CEC">
        <w:t>Seqirus</w:t>
      </w:r>
      <w:proofErr w:type="spellEnd"/>
      <w:r>
        <w:t xml:space="preserve"> </w:t>
      </w:r>
      <w:r w:rsidRPr="001F2CEC">
        <w:t>(=</w:t>
      </w:r>
      <w:r>
        <w:t xml:space="preserve"> </w:t>
      </w:r>
      <w:r w:rsidRPr="001F2CEC">
        <w:t xml:space="preserve">CSL) TIV: Comparator QIV). This was a safety-only study, with no efficacy or immunogenicity evaluations. After each vaccination, the parents/guardians of the subjects completed a 7-day diary to record the subject’s temperature and all AEs that occurred on the day of vaccination and during the subsequent six days after the day of vaccination. All medications used during this period were documented. The study was not powered to allow direct comparison between </w:t>
      </w:r>
      <w:r w:rsidRPr="001F2CEC">
        <w:lastRenderedPageBreak/>
        <w:t xml:space="preserve">safety and tolerability of the two study treatments. It was primarily conducted to provide contemporary data on safety and tolerability profile of </w:t>
      </w:r>
      <w:proofErr w:type="spellStart"/>
      <w:r w:rsidRPr="001F2CEC">
        <w:t>Seqirus</w:t>
      </w:r>
      <w:proofErr w:type="spellEnd"/>
      <w:r w:rsidRPr="001F2CEC">
        <w:t xml:space="preserve"> TIV manufactured with 1.5% w/v TDOC splitting conditions for the B strain, to inform the design &amp; conduct of planned </w:t>
      </w:r>
      <w:proofErr w:type="spellStart"/>
      <w:r w:rsidRPr="001F2CEC">
        <w:t>Seqirus</w:t>
      </w:r>
      <w:proofErr w:type="spellEnd"/>
      <w:r w:rsidRPr="001F2CEC">
        <w:t xml:space="preserve"> QIV clinical development in children.</w:t>
      </w:r>
    </w:p>
    <w:p w:rsidR="00D470CB" w:rsidRPr="001F2CEC" w:rsidRDefault="00D470CB" w:rsidP="00D470CB">
      <w:r w:rsidRPr="001F2CEC">
        <w:t>Primary</w:t>
      </w:r>
      <w:r>
        <w:t xml:space="preserve"> objective</w:t>
      </w:r>
      <w:r w:rsidRPr="001F2CEC">
        <w:t xml:space="preserve">: Evaluate frequency and intensity of fever in healthy children 5 - 8 </w:t>
      </w:r>
      <w:proofErr w:type="spellStart"/>
      <w:r w:rsidRPr="001F2CEC">
        <w:t>yrs</w:t>
      </w:r>
      <w:proofErr w:type="spellEnd"/>
      <w:r w:rsidRPr="001F2CEC">
        <w:t xml:space="preserve"> of age administered the 2014-2015 NH season formulation of bioCSL TIV, in the 7 days after each administration.</w:t>
      </w:r>
    </w:p>
    <w:p w:rsidR="00D470CB" w:rsidRPr="001F2CEC" w:rsidRDefault="00D470CB" w:rsidP="00D470CB">
      <w:r w:rsidRPr="001F2CEC">
        <w:t>Secondary</w:t>
      </w:r>
      <w:r>
        <w:t xml:space="preserve"> objectives</w:t>
      </w:r>
      <w:r w:rsidRPr="001F2CEC">
        <w:t>:</w:t>
      </w:r>
    </w:p>
    <w:p w:rsidR="00D470CB" w:rsidRPr="00F70DB9" w:rsidRDefault="00D470CB" w:rsidP="00F70DB9">
      <w:pPr>
        <w:pStyle w:val="ListBullet"/>
      </w:pPr>
      <w:r w:rsidRPr="00F70DB9">
        <w:t>Frequency/intensity of fever in healthy 5 - 8 year olds administered the 2014-2015 NH season formulation of the Comparator QIV, in the 7 days after each administration;</w:t>
      </w:r>
    </w:p>
    <w:p w:rsidR="00D470CB" w:rsidRPr="00F70DB9" w:rsidRDefault="00D470CB" w:rsidP="00F70DB9">
      <w:pPr>
        <w:pStyle w:val="ListBullet"/>
      </w:pPr>
      <w:r w:rsidRPr="00F70DB9">
        <w:t>Describe the nature of febrile events after each bioCSL TIV or Comparator QIV vaccine;</w:t>
      </w:r>
    </w:p>
    <w:p w:rsidR="00D470CB" w:rsidRPr="00F70DB9" w:rsidRDefault="00D470CB" w:rsidP="00F70DB9">
      <w:pPr>
        <w:pStyle w:val="ListBullet"/>
      </w:pPr>
      <w:r w:rsidRPr="00F70DB9">
        <w:t>Safety/tolerability of bioCSL TIV in 5 – 8 year olds in the 7 days after each vaccine;</w:t>
      </w:r>
    </w:p>
    <w:p w:rsidR="00D470CB" w:rsidRPr="001F2CEC" w:rsidRDefault="00D470CB" w:rsidP="00F70DB9">
      <w:pPr>
        <w:pStyle w:val="ListBullet"/>
      </w:pPr>
      <w:r w:rsidRPr="00F70DB9">
        <w:t>Safety/tolerability</w:t>
      </w:r>
      <w:r w:rsidRPr="001F2CEC">
        <w:t xml:space="preserve"> of Comparator QIV in 5 – 8 year olds in the 7 days after each vaccine;</w:t>
      </w:r>
    </w:p>
    <w:p w:rsidR="00D470CB" w:rsidRPr="001F2CEC" w:rsidRDefault="00D470CB" w:rsidP="00D470CB">
      <w:r w:rsidRPr="001F2CEC">
        <w:t>Exploratory: To explore the association between any and severe grade fever after administration of bioCSL TIV or the Comparator QIV by vaccine dose and baseline characteristics.</w:t>
      </w:r>
    </w:p>
    <w:p w:rsidR="00D470CB" w:rsidRPr="001F2CEC" w:rsidRDefault="00D470CB" w:rsidP="00D470CB">
      <w:r w:rsidRPr="001F2CEC">
        <w:t>Locations: 11 sites in the USA.</w:t>
      </w:r>
    </w:p>
    <w:p w:rsidR="00D470CB" w:rsidRPr="001F2CEC" w:rsidRDefault="00D470CB" w:rsidP="00D470CB">
      <w:r w:rsidRPr="001F2CEC">
        <w:t>Dates: 22 Sep 2014 (first subject first visit); 05 Dec 2014 (last subject last visit).</w:t>
      </w:r>
    </w:p>
    <w:p w:rsidR="00D470CB" w:rsidRPr="00E8481A" w:rsidRDefault="00D470CB" w:rsidP="00F70DB9">
      <w:pPr>
        <w:pStyle w:val="Heading5"/>
      </w:pPr>
      <w:r w:rsidRPr="00F70DB9">
        <w:t>Inclusion</w:t>
      </w:r>
      <w:r w:rsidRPr="00E8481A">
        <w:t xml:space="preserve"> and exclusion criteria</w:t>
      </w:r>
      <w:bookmarkEnd w:id="106"/>
      <w:bookmarkEnd w:id="107"/>
    </w:p>
    <w:p w:rsidR="00D470CB" w:rsidRPr="00884FEA" w:rsidRDefault="00D470CB" w:rsidP="00D470CB">
      <w:bookmarkStart w:id="108" w:name="_Toc290888515"/>
      <w:bookmarkStart w:id="109" w:name="_Toc416353731"/>
      <w:r w:rsidRPr="001F2CEC">
        <w:t>Key inclusions: 1. Healthy male or female subjects aged 5 - 8 years in good health at the time of first study vaccination; 2. informed consent by parent/legal guardian. Key exclusion criteria:</w:t>
      </w:r>
      <w:r w:rsidRPr="00884FEA">
        <w:t xml:space="preserve"> </w:t>
      </w:r>
      <w:r>
        <w:t xml:space="preserve">1. </w:t>
      </w:r>
      <w:r w:rsidRPr="00884FEA">
        <w:t>known hypersensitivity to a previous dose of influenza virus vaccine or</w:t>
      </w:r>
      <w:r>
        <w:t xml:space="preserve"> </w:t>
      </w:r>
      <w:r w:rsidRPr="00884FEA">
        <w:t xml:space="preserve">allergy to eggs, chicken protein, neomycin, </w:t>
      </w:r>
      <w:proofErr w:type="spellStart"/>
      <w:r w:rsidRPr="00884FEA">
        <w:t>polymyxin</w:t>
      </w:r>
      <w:proofErr w:type="spellEnd"/>
      <w:r w:rsidRPr="00884FEA">
        <w:t xml:space="preserve">, or any study vaccines </w:t>
      </w:r>
      <w:r>
        <w:t>components</w:t>
      </w:r>
      <w:r w:rsidRPr="00884FEA">
        <w:t xml:space="preserve">; </w:t>
      </w:r>
      <w:r>
        <w:t xml:space="preserve">2. </w:t>
      </w:r>
      <w:r w:rsidRPr="00884FEA">
        <w:t>Clinical</w:t>
      </w:r>
      <w:r>
        <w:t xml:space="preserve"> </w:t>
      </w:r>
      <w:r w:rsidRPr="00884FEA">
        <w:t xml:space="preserve">signs of significant active infection or an elevated oral temperature of </w:t>
      </w:r>
      <w:r>
        <w:t>≥ 100.4 ºF (≥ 38.0ºC)</w:t>
      </w:r>
      <w:r w:rsidRPr="00884FEA">
        <w:t>;</w:t>
      </w:r>
      <w:r>
        <w:t xml:space="preserve"> 3. </w:t>
      </w:r>
      <w:proofErr w:type="gramStart"/>
      <w:r w:rsidRPr="00884FEA">
        <w:t>history</w:t>
      </w:r>
      <w:proofErr w:type="gramEnd"/>
      <w:r w:rsidRPr="00884FEA">
        <w:t xml:space="preserve"> of seizures or febrile convulsions; </w:t>
      </w:r>
      <w:r>
        <w:t xml:space="preserve">4. </w:t>
      </w:r>
      <w:proofErr w:type="gramStart"/>
      <w:r w:rsidRPr="00884FEA">
        <w:t>history</w:t>
      </w:r>
      <w:proofErr w:type="gramEnd"/>
      <w:r w:rsidRPr="00884FEA">
        <w:t xml:space="preserve"> of </w:t>
      </w:r>
      <w:r>
        <w:t>GBS</w:t>
      </w:r>
      <w:r w:rsidRPr="00884FEA">
        <w:t xml:space="preserve">; </w:t>
      </w:r>
      <w:r>
        <w:t xml:space="preserve">5. </w:t>
      </w:r>
      <w:r w:rsidRPr="00884FEA">
        <w:t>vaccination against</w:t>
      </w:r>
      <w:r>
        <w:t xml:space="preserve"> influenza 6 </w:t>
      </w:r>
      <w:r w:rsidR="00F70DB9">
        <w:t>months</w:t>
      </w:r>
      <w:r w:rsidRPr="00884FEA">
        <w:t xml:space="preserve"> prior to study entry or any vaccine 14 days prior to study entry; </w:t>
      </w:r>
      <w:r>
        <w:t xml:space="preserve">6. </w:t>
      </w:r>
      <w:proofErr w:type="gramStart"/>
      <w:r w:rsidRPr="00884FEA">
        <w:t>any</w:t>
      </w:r>
      <w:proofErr w:type="gramEnd"/>
      <w:r w:rsidRPr="00884FEA">
        <w:t xml:space="preserve"> clinical condition</w:t>
      </w:r>
      <w:r>
        <w:t xml:space="preserve"> </w:t>
      </w:r>
      <w:r w:rsidRPr="00884FEA">
        <w:t xml:space="preserve">that would preclude reliable assessment of the subject’s mental state; </w:t>
      </w:r>
      <w:r>
        <w:t xml:space="preserve">7. </w:t>
      </w:r>
      <w:proofErr w:type="gramStart"/>
      <w:r w:rsidRPr="00884FEA">
        <w:t>a</w:t>
      </w:r>
      <w:proofErr w:type="gramEnd"/>
      <w:r w:rsidRPr="00884FEA">
        <w:t xml:space="preserve"> confirmed or suspected</w:t>
      </w:r>
      <w:r>
        <w:t xml:space="preserve"> </w:t>
      </w:r>
      <w:r w:rsidRPr="00884FEA">
        <w:t xml:space="preserve">immunosuppressive condition; </w:t>
      </w:r>
      <w:r>
        <w:t xml:space="preserve">8. </w:t>
      </w:r>
      <w:proofErr w:type="gramStart"/>
      <w:r w:rsidRPr="00884FEA">
        <w:t>treatment</w:t>
      </w:r>
      <w:proofErr w:type="gramEnd"/>
      <w:r w:rsidRPr="00884FEA">
        <w:t xml:space="preserve"> with radiotherapy or cytotoxic drugs or systemic glucocorticoid</w:t>
      </w:r>
      <w:r>
        <w:t>s,</w:t>
      </w:r>
      <w:r w:rsidRPr="00884FEA">
        <w:t xml:space="preserve"> immunoglobulins and/or any blood products, warfarin or other anticoagulants.</w:t>
      </w:r>
    </w:p>
    <w:p w:rsidR="00D470CB" w:rsidRDefault="00D470CB" w:rsidP="00F70DB9">
      <w:pPr>
        <w:pStyle w:val="Heading5"/>
      </w:pPr>
      <w:r w:rsidRPr="00E8481A">
        <w:t>Study treatments</w:t>
      </w:r>
      <w:bookmarkEnd w:id="108"/>
      <w:bookmarkEnd w:id="109"/>
    </w:p>
    <w:p w:rsidR="00182466" w:rsidRDefault="00D470CB" w:rsidP="00D470CB">
      <w:r w:rsidRPr="001F2CEC">
        <w:t>Trial vaccine: bioCSL TIV (2014-2015 NH season formulation), containing the following HA: A/California/7/2009 H1N1)</w:t>
      </w:r>
      <w:r w:rsidR="008B267C">
        <w:t xml:space="preserve"> </w:t>
      </w:r>
      <w:r w:rsidRPr="001F2CEC">
        <w:t>pdm09-like virus; A/Texas/50/2012 (H3N2)-like virus; B/Massachusetts/2/2012-like virus; Batch Number: T56805.</w:t>
      </w:r>
      <w:r>
        <w:t xml:space="preserve"> </w:t>
      </w:r>
      <w:r w:rsidRPr="001F2CEC">
        <w:t>H3N2 and B strains were split at the upper levels of TDOC concentration (1.5% w/v)</w:t>
      </w:r>
      <w:r w:rsidR="00182466">
        <w:t>.</w:t>
      </w:r>
    </w:p>
    <w:p w:rsidR="00D470CB" w:rsidRPr="001F2CEC" w:rsidRDefault="00D470CB" w:rsidP="00D470CB">
      <w:r w:rsidRPr="001F2CEC">
        <w:t xml:space="preserve">Comparator: </w:t>
      </w:r>
      <w:proofErr w:type="spellStart"/>
      <w:r w:rsidRPr="001F2CEC">
        <w:t>Fluzone</w:t>
      </w:r>
      <w:proofErr w:type="spellEnd"/>
      <w:r w:rsidRPr="001F2CEC">
        <w:t xml:space="preserve"> </w:t>
      </w:r>
      <w:proofErr w:type="spellStart"/>
      <w:r w:rsidRPr="001F2CEC">
        <w:t>Quadrivalent</w:t>
      </w:r>
      <w:proofErr w:type="spellEnd"/>
      <w:r w:rsidRPr="001F2CEC">
        <w:t xml:space="preserve"> (Sanofi Pasteur), supplied in a thimerosal-free</w:t>
      </w:r>
      <w:r>
        <w:t xml:space="preserve"> </w:t>
      </w:r>
      <w:r w:rsidRPr="001F2CEC">
        <w:t>prefilled syringe containing 60 mcg HA in 0.5 mL (15 mcg of each of the four strains) for each</w:t>
      </w:r>
      <w:r>
        <w:t xml:space="preserve"> </w:t>
      </w:r>
      <w:r w:rsidRPr="001F2CEC">
        <w:t>vaccination, and injected IM into the deltoid region of the arm. Lot Number: UI169AB.</w:t>
      </w:r>
    </w:p>
    <w:p w:rsidR="00D470CB" w:rsidRPr="00874F55" w:rsidRDefault="00D470CB" w:rsidP="00F70DB9">
      <w:pPr>
        <w:pStyle w:val="Heading5"/>
      </w:pPr>
      <w:bookmarkStart w:id="110" w:name="_Toc290888516"/>
      <w:bookmarkStart w:id="111" w:name="_Toc416353732"/>
      <w:r w:rsidRPr="00874F55">
        <w:t>Safety variables and outcomes</w:t>
      </w:r>
      <w:bookmarkEnd w:id="110"/>
      <w:bookmarkEnd w:id="111"/>
    </w:p>
    <w:p w:rsidR="00D470CB" w:rsidRPr="00801392" w:rsidRDefault="00D470CB" w:rsidP="00D470CB">
      <w:bookmarkStart w:id="112" w:name="_Toc290888517"/>
      <w:bookmarkStart w:id="113" w:name="_Toc416353733"/>
      <w:r w:rsidRPr="00801392">
        <w:t>Primary Safety Endpoint: Fever occurring during the 7 days after administration of bioCSL TIV assessed by the frequency and intensity of fever events.</w:t>
      </w:r>
    </w:p>
    <w:p w:rsidR="00D470CB" w:rsidRPr="00801392" w:rsidRDefault="00D470CB" w:rsidP="00D470CB">
      <w:r w:rsidRPr="00801392">
        <w:t>Secondary Safety Endpoints: For fever events occurring during the seven days after each administration of bioCSL TIV or the Comparator QIV, the following characteristics were described for all fever events, and by mild, moderate and severe fever grade events, regardless of causality assessment:</w:t>
      </w:r>
    </w:p>
    <w:p w:rsidR="00D470CB" w:rsidRPr="00F70DB9" w:rsidRDefault="00D470CB" w:rsidP="00F70DB9">
      <w:pPr>
        <w:pStyle w:val="ListBullet"/>
      </w:pPr>
      <w:r w:rsidRPr="00F70DB9">
        <w:t>Time to event onset</w:t>
      </w:r>
    </w:p>
    <w:p w:rsidR="00D470CB" w:rsidRPr="00F70DB9" w:rsidRDefault="00D470CB" w:rsidP="00F70DB9">
      <w:pPr>
        <w:pStyle w:val="ListBullet"/>
      </w:pPr>
      <w:r w:rsidRPr="00F70DB9">
        <w:lastRenderedPageBreak/>
        <w:t>Duration</w:t>
      </w:r>
    </w:p>
    <w:p w:rsidR="00D470CB" w:rsidRPr="00F70DB9" w:rsidRDefault="00D470CB" w:rsidP="00F70DB9">
      <w:pPr>
        <w:pStyle w:val="ListBullet"/>
      </w:pPr>
      <w:r w:rsidRPr="00F70DB9">
        <w:t>Composite systemic fever AEs</w:t>
      </w:r>
    </w:p>
    <w:p w:rsidR="00D470CB" w:rsidRPr="00874F55" w:rsidRDefault="00D470CB" w:rsidP="00F70DB9">
      <w:pPr>
        <w:pStyle w:val="ListBullet"/>
      </w:pPr>
      <w:r w:rsidRPr="00F70DB9">
        <w:t>Fever associated</w:t>
      </w:r>
      <w:r w:rsidRPr="00874F55">
        <w:t xml:space="preserve"> with 2 or more systemic AEs</w:t>
      </w:r>
    </w:p>
    <w:p w:rsidR="00D470CB" w:rsidRPr="00874F55" w:rsidRDefault="00D470CB" w:rsidP="00D470CB">
      <w:pPr>
        <w:pStyle w:val="ListBullet"/>
        <w:numPr>
          <w:ilvl w:val="0"/>
          <w:numId w:val="3"/>
        </w:numPr>
      </w:pPr>
      <w:r w:rsidRPr="00874F55">
        <w:t>Medical attention required</w:t>
      </w:r>
    </w:p>
    <w:p w:rsidR="00D470CB" w:rsidRPr="00874F55" w:rsidRDefault="00D470CB" w:rsidP="00D470CB">
      <w:pPr>
        <w:pStyle w:val="ListBullet"/>
        <w:numPr>
          <w:ilvl w:val="0"/>
          <w:numId w:val="3"/>
        </w:numPr>
      </w:pPr>
      <w:r w:rsidRPr="00874F55">
        <w:t>Antipyretic use</w:t>
      </w:r>
    </w:p>
    <w:p w:rsidR="00182466" w:rsidRDefault="00D470CB" w:rsidP="00F70DB9">
      <w:pPr>
        <w:pStyle w:val="ListBullet2"/>
      </w:pPr>
      <w:r w:rsidRPr="00F70DB9">
        <w:t>Frequency/intensity of fever events during the 7 days after the Comparator QIV;</w:t>
      </w:r>
    </w:p>
    <w:p w:rsidR="00D470CB" w:rsidRPr="00801392" w:rsidRDefault="00D470CB" w:rsidP="00F70DB9">
      <w:pPr>
        <w:pStyle w:val="ListBullet2"/>
      </w:pPr>
      <w:r w:rsidRPr="00F70DB9">
        <w:t>Frequency/intensity of fever events considered vaccine-related during the 7 days after the bioCSL</w:t>
      </w:r>
      <w:r w:rsidRPr="00801392">
        <w:t xml:space="preserve"> TIV or Comparator QIV.</w:t>
      </w:r>
    </w:p>
    <w:p w:rsidR="00D470CB" w:rsidRPr="00801392" w:rsidRDefault="00D470CB" w:rsidP="00D470CB">
      <w:r w:rsidRPr="00801392">
        <w:t>Safety and tolerability were assessed by:</w:t>
      </w:r>
    </w:p>
    <w:p w:rsidR="00D470CB" w:rsidRPr="00F70DB9" w:rsidRDefault="00D470CB" w:rsidP="00F70DB9">
      <w:pPr>
        <w:pStyle w:val="ListBullet"/>
      </w:pPr>
      <w:r w:rsidRPr="00F70DB9">
        <w:t>Frequency, intensity and duration of solicited local AEs occurring during the 7 days after each bioCSL TIV or Comparator QIV;</w:t>
      </w:r>
    </w:p>
    <w:p w:rsidR="00D470CB" w:rsidRPr="00F70DB9" w:rsidRDefault="00D470CB" w:rsidP="00F70DB9">
      <w:pPr>
        <w:pStyle w:val="ListBullet"/>
      </w:pPr>
      <w:r w:rsidRPr="00F70DB9">
        <w:t>The frequency, intensity and duration of solicited systemic AEs occurring during the 7 days after each administration of bioCSL TIV or the Comparator QIV;</w:t>
      </w:r>
    </w:p>
    <w:p w:rsidR="00D470CB" w:rsidRPr="00F70DB9" w:rsidRDefault="00D470CB" w:rsidP="00F70DB9">
      <w:pPr>
        <w:pStyle w:val="ListBullet"/>
      </w:pPr>
      <w:r w:rsidRPr="00F70DB9">
        <w:t>Frequency, intensity and duration of unsolicited AEs occurring during the 7 days after each administration of bioCSL TIV or the Comparator QIV;</w:t>
      </w:r>
    </w:p>
    <w:p w:rsidR="00182466" w:rsidRDefault="00D470CB" w:rsidP="00F70DB9">
      <w:pPr>
        <w:pStyle w:val="ListBullet"/>
      </w:pPr>
      <w:r w:rsidRPr="00F70DB9">
        <w:t>Incidence</w:t>
      </w:r>
      <w:r w:rsidRPr="00801392">
        <w:t xml:space="preserve"> of SAEs occurring up to 7 days after vaccination</w:t>
      </w:r>
      <w:r w:rsidR="00182466">
        <w:t>.</w:t>
      </w:r>
    </w:p>
    <w:p w:rsidR="00D470CB" w:rsidRPr="00E8481A" w:rsidRDefault="00D470CB" w:rsidP="00F70DB9">
      <w:pPr>
        <w:pStyle w:val="Heading5"/>
      </w:pPr>
      <w:r w:rsidRPr="00E8481A">
        <w:t>Randomisation and blinding methods</w:t>
      </w:r>
      <w:bookmarkEnd w:id="112"/>
      <w:bookmarkEnd w:id="113"/>
    </w:p>
    <w:p w:rsidR="00182466" w:rsidRDefault="00D470CB" w:rsidP="00D470CB">
      <w:bookmarkStart w:id="114" w:name="_Toc290888518"/>
      <w:bookmarkStart w:id="115" w:name="_Toc416353734"/>
      <w:r w:rsidRPr="00801392">
        <w:t xml:space="preserve">≈400, </w:t>
      </w:r>
      <w:r>
        <w:t>5-</w:t>
      </w:r>
      <w:r w:rsidRPr="00801392">
        <w:t>8 year olds, randomised 3 (bioCSL TIV):1 (Comparator QIV) allocation ratio. Observer blinded</w:t>
      </w:r>
      <w:r w:rsidR="00182466">
        <w:t>.</w:t>
      </w:r>
    </w:p>
    <w:p w:rsidR="00D470CB" w:rsidRPr="00E8481A" w:rsidRDefault="00D470CB" w:rsidP="00F70DB9">
      <w:pPr>
        <w:pStyle w:val="Heading5"/>
      </w:pPr>
      <w:r w:rsidRPr="00E8481A">
        <w:t>Analysis populations</w:t>
      </w:r>
      <w:bookmarkEnd w:id="114"/>
      <w:bookmarkEnd w:id="115"/>
    </w:p>
    <w:p w:rsidR="00D470CB" w:rsidRPr="00801392" w:rsidRDefault="00D470CB" w:rsidP="00D470CB">
      <w:pPr>
        <w:pStyle w:val="ListBullet"/>
        <w:numPr>
          <w:ilvl w:val="0"/>
          <w:numId w:val="3"/>
        </w:numPr>
      </w:pPr>
      <w:bookmarkStart w:id="116" w:name="_Toc290888519"/>
      <w:bookmarkStart w:id="117" w:name="_Toc416353735"/>
      <w:r w:rsidRPr="00801392">
        <w:t>FAS = all subjects who were randomised to treatment.</w:t>
      </w:r>
    </w:p>
    <w:p w:rsidR="00182466" w:rsidRDefault="00D470CB" w:rsidP="00D470CB">
      <w:pPr>
        <w:pStyle w:val="ListBullet"/>
        <w:numPr>
          <w:ilvl w:val="0"/>
          <w:numId w:val="3"/>
        </w:numPr>
      </w:pPr>
      <w:r w:rsidRPr="00801392">
        <w:t>Overall Safety Population =</w:t>
      </w:r>
      <w:r>
        <w:t xml:space="preserve"> </w:t>
      </w:r>
      <w:r w:rsidRPr="00801392">
        <w:t>all randomised subjects who received ≥1 study vaccination and provided any follow-up safety data after any vaccination</w:t>
      </w:r>
      <w:r w:rsidR="00182466">
        <w:t>.</w:t>
      </w:r>
    </w:p>
    <w:p w:rsidR="00D470CB" w:rsidRPr="00801392" w:rsidRDefault="00D470CB" w:rsidP="00D470CB">
      <w:pPr>
        <w:pStyle w:val="ListBullet"/>
        <w:numPr>
          <w:ilvl w:val="0"/>
          <w:numId w:val="3"/>
        </w:numPr>
      </w:pPr>
      <w:r w:rsidRPr="00801392">
        <w:t>Safety Population after the First Vaccination =all randomised subjects who received the first vaccination and provided follow-up safety data after the first vaccination.</w:t>
      </w:r>
    </w:p>
    <w:p w:rsidR="00D470CB" w:rsidRPr="00801392" w:rsidRDefault="00D470CB" w:rsidP="00D470CB">
      <w:pPr>
        <w:pStyle w:val="ListBullet"/>
        <w:numPr>
          <w:ilvl w:val="0"/>
          <w:numId w:val="3"/>
        </w:numPr>
      </w:pPr>
      <w:r w:rsidRPr="00801392">
        <w:t>Safety Population after the Second Vaccination =all randomised subjects who received the second vaccination and provided follow-up safety data after the second vaccination.</w:t>
      </w:r>
    </w:p>
    <w:p w:rsidR="00D470CB" w:rsidRPr="000B55C7" w:rsidRDefault="00D470CB" w:rsidP="00D470CB">
      <w:pPr>
        <w:pStyle w:val="Tabletitle"/>
      </w:pPr>
      <w:r w:rsidRPr="005B2FD3">
        <w:t xml:space="preserve">Table </w:t>
      </w:r>
      <w:r>
        <w:t>6</w:t>
      </w:r>
      <w:r w:rsidRPr="005B2FD3">
        <w:t>: Number and % of subjects in each Analysis Population, Study CSLCT-USF-10-69</w:t>
      </w:r>
    </w:p>
    <w:p w:rsidR="00D470CB" w:rsidRPr="00846C89" w:rsidRDefault="0017010A" w:rsidP="00F70DB9">
      <w:r w:rsidRPr="00846C89">
        <w:object w:dxaOrig="7170" w:dyaOrig="1560">
          <v:shape id="_x0000_i1036" type="#_x0000_t75" alt="Number and % of subjects in each Analysis Population, Study CSLCT-USF-10-69" style="width:436.4pt;height:72.65pt;mso-position-horizontal:absolute;mso-position-vertical:absolute" o:ole="">
            <v:imagedata r:id="rId41" o:title="" cropbottom="15340f"/>
          </v:shape>
          <o:OLEObject Type="Embed" ProgID="Acrobat.Document.DC" ShapeID="_x0000_i1036" DrawAspect="Content" ObjectID="_1609670743" r:id="rId42"/>
        </w:object>
      </w:r>
    </w:p>
    <w:p w:rsidR="00D470CB" w:rsidRPr="00846C89" w:rsidRDefault="00D470CB" w:rsidP="00F70DB9">
      <w:pPr>
        <w:pStyle w:val="Heading5"/>
      </w:pPr>
      <w:r w:rsidRPr="00846C89" w:rsidDel="0081373E">
        <w:t>Sample size</w:t>
      </w:r>
      <w:bookmarkEnd w:id="116"/>
      <w:bookmarkEnd w:id="117"/>
    </w:p>
    <w:p w:rsidR="00D470CB" w:rsidRPr="00801392" w:rsidRDefault="00D470CB" w:rsidP="00D470CB">
      <w:bookmarkStart w:id="118" w:name="_Toc290888520"/>
      <w:bookmarkStart w:id="119" w:name="_Toc416353736"/>
      <w:r w:rsidRPr="00801392">
        <w:t xml:space="preserve">In previous clinical studies of bioCSL TIV, the proportion of subjects 5 through 8 </w:t>
      </w:r>
      <w:proofErr w:type="spellStart"/>
      <w:r w:rsidRPr="00801392">
        <w:t>yrs</w:t>
      </w:r>
      <w:proofErr w:type="spellEnd"/>
      <w:r w:rsidRPr="00801392">
        <w:t xml:space="preserve"> of age who reported fever was between 9.8% and 16.2%. Based on 300 subjects in the bioCSL TIV </w:t>
      </w:r>
      <w:proofErr w:type="spellStart"/>
      <w:r w:rsidRPr="00801392">
        <w:t>gp</w:t>
      </w:r>
      <w:proofErr w:type="spellEnd"/>
      <w:r w:rsidRPr="00801392">
        <w:t>, if the rate was observed to be 16% the width of a 95% CI was to be 8.5%.</w:t>
      </w:r>
    </w:p>
    <w:p w:rsidR="00D470CB" w:rsidRPr="00E8481A" w:rsidRDefault="00D470CB" w:rsidP="00F70DB9">
      <w:pPr>
        <w:pStyle w:val="Heading5"/>
      </w:pPr>
      <w:r w:rsidRPr="00E8481A">
        <w:t>Statistical methods</w:t>
      </w:r>
      <w:bookmarkEnd w:id="118"/>
      <w:bookmarkEnd w:id="119"/>
    </w:p>
    <w:p w:rsidR="00182466" w:rsidRDefault="00D470CB" w:rsidP="00D470CB">
      <w:bookmarkStart w:id="120" w:name="_Toc290888521"/>
      <w:bookmarkStart w:id="121" w:name="_Toc416353737"/>
      <w:r>
        <w:t xml:space="preserve">Descriptive: </w:t>
      </w:r>
      <w:r w:rsidRPr="00801392">
        <w:t xml:space="preserve">The safety population was used in the assessment of AEs. Summary statistics presented for continuous variables, by way of n, mean, SD, median, minimum and maximum and </w:t>
      </w:r>
      <w:proofErr w:type="spellStart"/>
      <w:r w:rsidRPr="00801392">
        <w:t>gp</w:t>
      </w:r>
      <w:proofErr w:type="spellEnd"/>
      <w:r w:rsidRPr="00801392">
        <w:t xml:space="preserve"> frequencies and % for categories of categorical variables. Percentages calculated using total </w:t>
      </w:r>
      <w:r w:rsidRPr="00801392">
        <w:lastRenderedPageBreak/>
        <w:t xml:space="preserve">subjects per treatment </w:t>
      </w:r>
      <w:proofErr w:type="spellStart"/>
      <w:r w:rsidRPr="00801392">
        <w:t>gp</w:t>
      </w:r>
      <w:proofErr w:type="spellEnd"/>
      <w:r w:rsidRPr="00801392">
        <w:t>. 95% CIs provided for descriptive statistics. The 95% CI for % were exact CIs based upon the binomial distribution. Statistics displayed for: bioCSL TIV, Comparator QIV, Overall. For primary and secondary safety endpoints statistics were displayed for: bioCSL TIV or Comparator QIV: After first and second vaccination, Overall</w:t>
      </w:r>
      <w:r w:rsidR="00182466">
        <w:t>.</w:t>
      </w:r>
    </w:p>
    <w:p w:rsidR="00D470CB" w:rsidRPr="00E8481A" w:rsidRDefault="00D470CB" w:rsidP="00F70DB9">
      <w:pPr>
        <w:pStyle w:val="Heading5"/>
      </w:pPr>
      <w:r w:rsidRPr="00E8481A">
        <w:t>Participant flow</w:t>
      </w:r>
      <w:bookmarkEnd w:id="120"/>
      <w:bookmarkEnd w:id="121"/>
    </w:p>
    <w:p w:rsidR="00D470CB" w:rsidRPr="0086121A" w:rsidRDefault="00D470CB" w:rsidP="00D470CB">
      <w:bookmarkStart w:id="122" w:name="_Toc290888522"/>
      <w:bookmarkStart w:id="123" w:name="_Toc416353738"/>
      <w:r w:rsidRPr="0086121A">
        <w:t>See above.</w:t>
      </w:r>
    </w:p>
    <w:p w:rsidR="00D470CB" w:rsidRPr="00E8481A" w:rsidRDefault="00D470CB" w:rsidP="00F70DB9">
      <w:pPr>
        <w:pStyle w:val="Heading5"/>
      </w:pPr>
      <w:r w:rsidRPr="00E8481A">
        <w:t>Major protocol violations/deviations</w:t>
      </w:r>
      <w:bookmarkEnd w:id="122"/>
      <w:bookmarkEnd w:id="123"/>
    </w:p>
    <w:p w:rsidR="00182466" w:rsidRDefault="00D470CB" w:rsidP="00D470CB">
      <w:bookmarkStart w:id="124" w:name="_Toc290888523"/>
      <w:bookmarkStart w:id="125" w:name="_Toc416353739"/>
      <w:r w:rsidRPr="0086121A">
        <w:t xml:space="preserve">No major protocol deviations relating to inclusion/exclusion criteria occurred. 53 subjects had 70 major protocol deviations mainly due to ‘out-of-window’ diary return or diary not completed/returned, missed study visits and informed consent errors. Two subjects were randomised to the two-vaccination </w:t>
      </w:r>
      <w:proofErr w:type="spellStart"/>
      <w:r w:rsidRPr="0086121A">
        <w:t>gp</w:t>
      </w:r>
      <w:proofErr w:type="spellEnd"/>
      <w:r w:rsidRPr="0086121A">
        <w:t xml:space="preserve"> in error; however they only received one vaccination. Some subjects had ≥1 protocol deviation. On medical review of concomitant medications, there were no vaccinations reported, and no evidence that prophylactic antipyretics were given on the day of vaccination</w:t>
      </w:r>
      <w:r w:rsidR="00182466">
        <w:t>.</w:t>
      </w:r>
    </w:p>
    <w:p w:rsidR="00D470CB" w:rsidRPr="00E8481A" w:rsidRDefault="00D470CB" w:rsidP="00F70DB9">
      <w:pPr>
        <w:pStyle w:val="Heading5"/>
      </w:pPr>
      <w:r w:rsidRPr="00E8481A">
        <w:t>Baseline data</w:t>
      </w:r>
    </w:p>
    <w:p w:rsidR="00D470CB" w:rsidRDefault="00D470CB" w:rsidP="00D470CB">
      <w:pPr>
        <w:rPr>
          <w:b/>
        </w:rPr>
      </w:pPr>
      <w:r w:rsidRPr="0086121A">
        <w:t xml:space="preserve">The mean (SD) age was 6.6 (1.04) </w:t>
      </w:r>
      <w:proofErr w:type="spellStart"/>
      <w:r w:rsidRPr="0086121A">
        <w:t>yrs</w:t>
      </w:r>
      <w:proofErr w:type="spellEnd"/>
      <w:r w:rsidRPr="0086121A">
        <w:t xml:space="preserve"> ranging from 5 to 8 years old. There were slightly more male subjects than female subjects overall (52.0% male; 48.0% female). Majority of subjects were white (71.4%), with 22.4% subjects black or African American, 5.0% ‘other’, 0.5% Asian, 0.5% Native Hawaiian or Pacific Islander and 0.2% American Indian/Alaska Native.</w:t>
      </w:r>
      <w:r>
        <w:t xml:space="preserve"> </w:t>
      </w:r>
      <w:r w:rsidRPr="0086121A">
        <w:t xml:space="preserve">The mean (SD) </w:t>
      </w:r>
      <w:r w:rsidR="008B267C">
        <w:t>pre-vaccination</w:t>
      </w:r>
      <w:r w:rsidRPr="0086121A">
        <w:t xml:space="preserve"> temperature of all randomized subjects in the FAS was 98.15 ºF (0.626) (range: 95.7 to 99.7 ºF). No differences &gt;10% were noted between the vaccine </w:t>
      </w:r>
      <w:r w:rsidR="008B267C">
        <w:t>groups</w:t>
      </w:r>
      <w:r w:rsidRPr="0086121A">
        <w:t xml:space="preserve"> in the distribution of sex, ethnicity and race, with exception of the subjects who were black or African American (bioCSL TIV: 19.5%; Comparator QIV: 31.0%).</w:t>
      </w:r>
    </w:p>
    <w:p w:rsidR="00D470CB" w:rsidRPr="000B55C7" w:rsidRDefault="00D470CB" w:rsidP="00D470CB">
      <w:pPr>
        <w:pStyle w:val="FigureTitle"/>
      </w:pPr>
      <w:r w:rsidRPr="006B0E45">
        <w:t>Figure 7: Subject Disposition in CSLCT-USF-10-69</w:t>
      </w:r>
    </w:p>
    <w:p w:rsidR="00D470CB" w:rsidRPr="00A66FA9" w:rsidRDefault="0017010A" w:rsidP="00F70DB9">
      <w:pPr>
        <w:rPr>
          <w:rFonts w:asciiTheme="minorHAnsi" w:eastAsiaTheme="minorHAnsi" w:hAnsiTheme="minorHAnsi"/>
          <w:color w:val="000000"/>
        </w:rPr>
      </w:pPr>
      <w:r w:rsidRPr="00CD4E06">
        <w:rPr>
          <w:lang w:eastAsia="ja-JP"/>
        </w:rPr>
        <w:object w:dxaOrig="6765" w:dyaOrig="5475">
          <v:shape id="_x0000_i1037" type="#_x0000_t75" alt="Subject Disposition in CSLCT-USF-10-69" style="width:280.5pt;height:3in;mso-position-horizontal:absolute" o:ole="">
            <v:imagedata r:id="rId43" o:title="" cropbottom="3964f"/>
          </v:shape>
          <o:OLEObject Type="Embed" ProgID="Acrobat.Document.DC" ShapeID="_x0000_i1037" DrawAspect="Content" ObjectID="_1609670744" r:id="rId44"/>
        </w:object>
      </w:r>
    </w:p>
    <w:p w:rsidR="00D470CB" w:rsidRPr="00E8481A" w:rsidRDefault="00D470CB" w:rsidP="00F70DB9">
      <w:pPr>
        <w:pStyle w:val="Heading5"/>
      </w:pPr>
      <w:bookmarkStart w:id="126" w:name="_Toc290888524"/>
      <w:bookmarkStart w:id="127" w:name="_Toc416353740"/>
      <w:bookmarkEnd w:id="124"/>
      <w:bookmarkEnd w:id="125"/>
      <w:r w:rsidRPr="00E8481A">
        <w:t>Results for the primary safety outcome</w:t>
      </w:r>
      <w:bookmarkEnd w:id="126"/>
      <w:bookmarkEnd w:id="127"/>
    </w:p>
    <w:p w:rsidR="00D470CB" w:rsidRPr="0086121A" w:rsidRDefault="00D470CB" w:rsidP="00D470CB">
      <w:bookmarkStart w:id="128" w:name="_Toc290888525"/>
      <w:bookmarkStart w:id="129" w:name="_Toc416353741"/>
      <w:r w:rsidRPr="0086121A">
        <w:t>Overall fever rate (during 7 days after vaccination) with bioCSL TIV was</w:t>
      </w:r>
      <w:r>
        <w:t xml:space="preserve"> 8.2%</w:t>
      </w:r>
      <w:r w:rsidRPr="0086121A">
        <w:t>; most fever event(s) were considered related. Severe fever event(s) occurred in 2.1% of subjects and related severe fever event(s) occurred in 1.7% of subjects. The proportion of subjects who had any fever event with ≥2 solicited systemic AEs was 3.4% (fever with ≥1 solicited systemic AE was 4.5%); subjects who had a severe fever event with ≥2 solicited systemic AE was 1.4% (severe fever with ≥1 solicited systemic AE was 1.7%). Mean onset for all fevers (mild, moderate, severe) was on Day 2 and lasted 1 to 3 days.</w:t>
      </w:r>
    </w:p>
    <w:p w:rsidR="00D470CB" w:rsidRPr="0086121A" w:rsidRDefault="00D470CB" w:rsidP="00D470CB">
      <w:r w:rsidRPr="0086121A">
        <w:lastRenderedPageBreak/>
        <w:t xml:space="preserve">Direct comparison with Comparator QIV could not be made as this study was not sufficiently powered; however, fever rates were similar between the vaccine </w:t>
      </w:r>
      <w:r w:rsidR="008B267C">
        <w:t>groups</w:t>
      </w:r>
      <w:r w:rsidRPr="0086121A">
        <w:t xml:space="preserve"> (proportion of subjects in the Comparator QIV </w:t>
      </w:r>
      <w:proofErr w:type="spellStart"/>
      <w:r w:rsidRPr="0086121A">
        <w:t>gp</w:t>
      </w:r>
      <w:proofErr w:type="spellEnd"/>
      <w:r w:rsidRPr="0086121A">
        <w:t>: overall fever rate: 9.2%; severe fever: 4.1%; related fever: 5.1%; severe related fever: none reported; overall fever with ≥2 solicited systemic AE: 4.1%; overall fever with ≥1 solicited systemic AE: 6.1%). Exploratory analyses performed with adjustment for covariates including age, sex, weight, vaccine dose or previous vaccination in order to evaluate the contribution of these factors to fever outcomes, no association was found.</w:t>
      </w:r>
    </w:p>
    <w:p w:rsidR="00D470CB" w:rsidRPr="006B0E45" w:rsidRDefault="00D470CB" w:rsidP="00D470CB">
      <w:pPr>
        <w:pStyle w:val="Tabletitle"/>
      </w:pPr>
      <w:r w:rsidRPr="006B0E45">
        <w:t xml:space="preserve">Table </w:t>
      </w:r>
      <w:r>
        <w:t>7</w:t>
      </w:r>
      <w:r w:rsidRPr="006B0E45">
        <w:t>: Proportion with Fever Event, Related Fever Event or Composite Solicited Systemic Fever AEs by Intensity during the 7 Days after bioCSL TIV Vaccination (CSLCT-USF-10-69)</w:t>
      </w:r>
    </w:p>
    <w:p w:rsidR="00D470CB" w:rsidRDefault="0017010A" w:rsidP="008B267C">
      <w:r w:rsidRPr="006B0E45">
        <w:object w:dxaOrig="6900" w:dyaOrig="9120">
          <v:shape id="_x0000_i1038" type="#_x0000_t75" alt="Proportion with Fever Event, Related Fever Event or Composite Solicited Systemic Fever AEs by Intensity during the 7 Days after bioCSL TIV Vaccination (CSLCT-USF-10-69)" style="width:364.4pt;height:284.85pt;mso-position-horizontal:absolute;mso-position-vertical:absolute" o:ole="">
            <v:imagedata r:id="rId45" o:title="" cropbottom="3585f"/>
          </v:shape>
          <o:OLEObject Type="Embed" ProgID="Acrobat.Document.DC" ShapeID="_x0000_i1038" DrawAspect="Content" ObjectID="_1609670745" r:id="rId46"/>
        </w:object>
      </w:r>
    </w:p>
    <w:p w:rsidR="00D470CB" w:rsidRPr="00E8481A" w:rsidRDefault="00D470CB" w:rsidP="008B267C">
      <w:pPr>
        <w:pStyle w:val="Heading5"/>
      </w:pPr>
      <w:r w:rsidRPr="00E8481A">
        <w:t xml:space="preserve">Results for </w:t>
      </w:r>
      <w:r w:rsidRPr="008B267C">
        <w:t>other</w:t>
      </w:r>
      <w:r w:rsidRPr="00E8481A">
        <w:t xml:space="preserve"> safety outcomes</w:t>
      </w:r>
      <w:bookmarkEnd w:id="128"/>
      <w:bookmarkEnd w:id="129"/>
    </w:p>
    <w:p w:rsidR="00D470CB" w:rsidRPr="0086121A" w:rsidRDefault="00D470CB" w:rsidP="00D470CB">
      <w:r w:rsidRPr="0086121A">
        <w:t>See below.</w:t>
      </w:r>
    </w:p>
    <w:p w:rsidR="00D470CB" w:rsidRPr="006B0E45" w:rsidRDefault="00D470CB" w:rsidP="00D470CB">
      <w:pPr>
        <w:pStyle w:val="Tabletitle"/>
        <w:rPr>
          <w:lang w:eastAsia="ja-JP"/>
        </w:rPr>
      </w:pPr>
      <w:r>
        <w:rPr>
          <w:lang w:eastAsia="ja-JP"/>
        </w:rPr>
        <w:t>Table 8</w:t>
      </w:r>
      <w:r w:rsidRPr="006B0E45">
        <w:rPr>
          <w:lang w:eastAsia="ja-JP"/>
        </w:rPr>
        <w:t>:</w:t>
      </w:r>
      <w:r w:rsidRPr="006B0E45">
        <w:t xml:space="preserve"> </w:t>
      </w:r>
      <w:r w:rsidRPr="006B0E45">
        <w:rPr>
          <w:lang w:eastAsia="ja-JP"/>
        </w:rPr>
        <w:t>Solicited and Unsolicited AE after bioCSL TIV Vaccination in CSLCT-USF-10-69</w:t>
      </w:r>
    </w:p>
    <w:p w:rsidR="00D470CB" w:rsidRDefault="0017010A" w:rsidP="008B267C">
      <w:pPr>
        <w:rPr>
          <w:lang w:eastAsia="ja-JP"/>
        </w:rPr>
      </w:pPr>
      <w:r w:rsidRPr="004C0D28">
        <w:rPr>
          <w:lang w:eastAsia="ja-JP"/>
        </w:rPr>
        <w:object w:dxaOrig="7036" w:dyaOrig="4530">
          <v:shape id="_x0000_i1039" type="#_x0000_t75" alt="Solicited and Unsolicited AE after bioCSL TIV Vaccination in CSLCT-USF-10-69" style="width:344.95pt;height:191.6pt;mso-position-vertical:absolute" o:ole="">
            <v:imagedata r:id="rId47" o:title=""/>
          </v:shape>
          <o:OLEObject Type="Embed" ProgID="Acrobat.Document.DC" ShapeID="_x0000_i1039" DrawAspect="Content" ObjectID="_1609670746" r:id="rId48"/>
        </w:object>
      </w:r>
    </w:p>
    <w:p w:rsidR="00D470CB" w:rsidRPr="0086121A" w:rsidRDefault="00D470CB" w:rsidP="00D470CB">
      <w:r w:rsidRPr="0086121A">
        <w:lastRenderedPageBreak/>
        <w:t xml:space="preserve">No deaths or AEs leading to study withdrawal. No AEs triggering the halting rules in either vaccine </w:t>
      </w:r>
      <w:proofErr w:type="spellStart"/>
      <w:r w:rsidRPr="0086121A">
        <w:t>gp</w:t>
      </w:r>
      <w:proofErr w:type="spellEnd"/>
      <w:r w:rsidRPr="0086121A">
        <w:t xml:space="preserve">. One SAE (severe delirium febrile) occurred on Day 3 post bioCSL TIV and was resolved the same day. The SAE was assessed as ‘listed/expected’ and vaccine related. Although the event of ‘delirium febrile’ did not meet halting criteria at the time and did not trigger study halt, the Data and Safety Monitoring Board (DSMB) Chair was notified of the event via email communication one day after initial receipt of the SAE. After </w:t>
      </w:r>
      <w:proofErr w:type="spellStart"/>
      <w:r w:rsidRPr="0086121A">
        <w:t>unblinding</w:t>
      </w:r>
      <w:proofErr w:type="spellEnd"/>
      <w:r w:rsidRPr="0086121A">
        <w:t xml:space="preserve">, the event was re-reviewed later by </w:t>
      </w:r>
      <w:r>
        <w:t>the sponsor</w:t>
      </w:r>
      <w:r w:rsidRPr="0086121A">
        <w:t xml:space="preserve"> and reassessed as ‘unlisted/unexpected’</w:t>
      </w:r>
      <w:r w:rsidR="008B267C">
        <w:t>,</w:t>
      </w:r>
      <w:r w:rsidRPr="0086121A">
        <w:t xml:space="preserve"> which would have halted the study pending DSMB review according to the protocol. However, as noted above, the DSMB Chair was provided the initial case details and informed of additional follow-up clinical information.</w:t>
      </w:r>
    </w:p>
    <w:p w:rsidR="00D470CB" w:rsidRPr="0086121A" w:rsidRDefault="00D470CB" w:rsidP="00D470CB">
      <w:r w:rsidRPr="0086121A">
        <w:t xml:space="preserve">Solicited local AR occurred in most subjects (bioCSL TIV: 70.2% and Comparator QIV: 68.4%) and of mild intensity (bioCSL TIV: 49.8% and Comparator QIV: 46.9%). A higher proportion reported local AR after the first vaccination in both vaccine </w:t>
      </w:r>
      <w:r w:rsidR="008B267C">
        <w:t>groups</w:t>
      </w:r>
      <w:r w:rsidRPr="0086121A">
        <w:t xml:space="preserve">. Most local AR reported after bioCSL TIV started on Day 1 and lasted 1- 2 days. Mean duration of pain, redness and swelling was longer following the 1st vaccination compared with 2nd in both vaccine </w:t>
      </w:r>
      <w:r w:rsidR="008B267C">
        <w:t>groups</w:t>
      </w:r>
      <w:r w:rsidRPr="0086121A">
        <w:t xml:space="preserve">. In the Comparator QIV </w:t>
      </w:r>
      <w:proofErr w:type="spellStart"/>
      <w:r w:rsidRPr="0086121A">
        <w:t>gp</w:t>
      </w:r>
      <w:proofErr w:type="spellEnd"/>
      <w:r w:rsidRPr="0086121A">
        <w:t xml:space="preserve">, most reactions started on Day 1 and lasted 2 - 3 days. The most common solicited local AR was pain (bioCSL TIV: 64.4% and Comparator QIV: 57.1%) and persisted for a mean (SD) duration of 2 days in both vaccine </w:t>
      </w:r>
      <w:r w:rsidR="008B267C">
        <w:t>groups</w:t>
      </w:r>
      <w:r w:rsidRPr="0086121A">
        <w:t xml:space="preserve"> (bioCSL TIV: 1.7 days [0.84]; Comparator QIV: 1.9 days [0.93]).</w:t>
      </w:r>
    </w:p>
    <w:p w:rsidR="00182466" w:rsidRDefault="00D470CB" w:rsidP="00D470CB">
      <w:r w:rsidRPr="0086121A">
        <w:t>Solicited systemic AEs occurred in 40.8% (bioCSL TIV) and 44.9% (Comparator QIV).</w:t>
      </w:r>
      <w:r>
        <w:t xml:space="preserve"> </w:t>
      </w:r>
      <w:r w:rsidRPr="0086121A">
        <w:t xml:space="preserve">A higher proportion of subjects reported solicited systemic AEs after the first vaccination. The most common solicited systemic AE was myalgia (bioCSL TIV: 24.3% and Comparator QIV: 23.5%) and headache (bioCSL TIV: 14.7% and Comparator QIV: 23.5%). Malaise and diarrhoea more commonly reported (by &gt;10% subjects) in the Comparator QIV </w:t>
      </w:r>
      <w:proofErr w:type="spellStart"/>
      <w:r w:rsidRPr="0086121A">
        <w:t>gp</w:t>
      </w:r>
      <w:proofErr w:type="spellEnd"/>
      <w:r w:rsidR="00182466">
        <w:t>.</w:t>
      </w:r>
    </w:p>
    <w:p w:rsidR="00182466" w:rsidRDefault="00D470CB" w:rsidP="00D470CB">
      <w:r w:rsidRPr="0086121A">
        <w:t xml:space="preserve">Most solicited systemic events reported by the bioCSL TIV </w:t>
      </w:r>
      <w:proofErr w:type="spellStart"/>
      <w:r w:rsidRPr="0086121A">
        <w:t>gp</w:t>
      </w:r>
      <w:proofErr w:type="spellEnd"/>
      <w:r w:rsidRPr="0086121A">
        <w:t xml:space="preserve"> began on/after Day 2 (except myalgia, which started on Day 1) and lasted 1-2 days. Average onset day for solicited systemic AEs was Day 1, 2 or 3 (myalgia and diarrhoea: average onset Day 1; headache, malaise &amp; vomiting: average onset Day 2; nausea &amp; fever: average onset Day 3). The duration of events was slightly longer after Comparator QIV (1-3 days)</w:t>
      </w:r>
      <w:r w:rsidR="00182466">
        <w:t>.</w:t>
      </w:r>
    </w:p>
    <w:p w:rsidR="00D470CB" w:rsidRPr="0086121A" w:rsidRDefault="00D470CB" w:rsidP="00D470CB">
      <w:r w:rsidRPr="0086121A">
        <w:t>Unsolicited AEs experienced within 7 days post</w:t>
      </w:r>
      <w:r w:rsidR="008B267C">
        <w:t>-</w:t>
      </w:r>
      <w:r w:rsidRPr="0086121A">
        <w:t xml:space="preserve">vaccination were reported in 14.0% in the bioCSL TIV </w:t>
      </w:r>
      <w:proofErr w:type="spellStart"/>
      <w:r w:rsidRPr="0086121A">
        <w:t>gp</w:t>
      </w:r>
      <w:proofErr w:type="spellEnd"/>
      <w:r w:rsidRPr="0086121A">
        <w:t xml:space="preserve"> and in 22.4% in Comparator QIV </w:t>
      </w:r>
      <w:proofErr w:type="spellStart"/>
      <w:r w:rsidRPr="0086121A">
        <w:t>gp</w:t>
      </w:r>
      <w:proofErr w:type="spellEnd"/>
      <w:r w:rsidRPr="0086121A">
        <w:t xml:space="preserve">. Cough more commonly reported (4.1%) in the bioCSL TIV </w:t>
      </w:r>
      <w:proofErr w:type="spellStart"/>
      <w:r w:rsidRPr="0086121A">
        <w:t>gp</w:t>
      </w:r>
      <w:proofErr w:type="spellEnd"/>
      <w:r w:rsidRPr="0086121A">
        <w:t xml:space="preserve"> and oropharyngeal pain and abdominal pain more commonly reported (3.1%) with Comparator QIV. Higher proportions reported unsolicited AEs after 1st vs. 2nd vaccination in both vaccine </w:t>
      </w:r>
      <w:r w:rsidR="008B267C">
        <w:t>groups</w:t>
      </w:r>
      <w:r w:rsidRPr="0086121A">
        <w:t>.</w:t>
      </w:r>
    </w:p>
    <w:p w:rsidR="00D470CB" w:rsidRPr="00874F55" w:rsidRDefault="00D470CB" w:rsidP="008B267C">
      <w:pPr>
        <w:pStyle w:val="Heading5"/>
      </w:pPr>
      <w:r w:rsidRPr="00874F55">
        <w:t>Evaluator commentary</w:t>
      </w:r>
    </w:p>
    <w:p w:rsidR="00182466" w:rsidRDefault="00D470CB" w:rsidP="00D470CB">
      <w:bookmarkStart w:id="130" w:name="_Toc241374318"/>
      <w:bookmarkStart w:id="131" w:name="_Ref271196630"/>
      <w:bookmarkStart w:id="132" w:name="_Toc272414662"/>
      <w:bookmarkStart w:id="133" w:name="_Toc290888526"/>
      <w:bookmarkStart w:id="134" w:name="_Toc416353742"/>
      <w:bookmarkStart w:id="135" w:name="_Toc421005285"/>
      <w:bookmarkStart w:id="136" w:name="_Toc432079162"/>
      <w:bookmarkStart w:id="137" w:name="_Toc432080735"/>
      <w:r w:rsidRPr="0086121A">
        <w:t xml:space="preserve">CSLCT-USF-10-69 provided safety data on </w:t>
      </w:r>
      <w:proofErr w:type="spellStart"/>
      <w:r w:rsidRPr="0086121A">
        <w:t>Seqirus</w:t>
      </w:r>
      <w:proofErr w:type="spellEnd"/>
      <w:r w:rsidRPr="0086121A">
        <w:t xml:space="preserve"> TIV manufactured with 1.5% w/v TDOC splitting conditions for the B strain. Vaccination with bioCSL TIV and Comparator QIV was generally safe and well tolerated in 5 - 8 year olds. The study was underpowered for a proper comparison with the Comparator QIV. Overall fever rate and severe fever rate was 8.2% and 2.1%, respectively with bioCSL TIV. Similar rates were observed in the Comparator QIV </w:t>
      </w:r>
      <w:proofErr w:type="spellStart"/>
      <w:r w:rsidRPr="0086121A">
        <w:t>gp</w:t>
      </w:r>
      <w:proofErr w:type="spellEnd"/>
      <w:r w:rsidRPr="0086121A">
        <w:t xml:space="preserve"> with an overall fever rate and severe fever rate of 9.2% and 4.1%, respectively. Fever events deemed related occurred in 7.5% recipients of bioCSL TIV and 5.1% vaccinated with Comparator QIV. Severe related fever events occurred in 1.7% of subjects vaccinated with bioCSL TIV vs. none with Comparator QIV.</w:t>
      </w:r>
      <w:r>
        <w:t xml:space="preserve"> </w:t>
      </w:r>
      <w:r w:rsidRPr="0086121A">
        <w:t xml:space="preserve">Few events occurred in either vaccine </w:t>
      </w:r>
      <w:proofErr w:type="spellStart"/>
      <w:r w:rsidRPr="0086121A">
        <w:t>gp</w:t>
      </w:r>
      <w:proofErr w:type="spellEnd"/>
      <w:r w:rsidRPr="0086121A">
        <w:t xml:space="preserve"> which required medical attention or for which antipyretics were given. No statistically significant association between fever outcomes and age, sex, weight, vaccine dose, previous vaccination. When considering historical fever rates in previous paediatric clinical studies in 5 - 8 y</w:t>
      </w:r>
      <w:r w:rsidR="008B267C">
        <w:t>ear</w:t>
      </w:r>
      <w:r w:rsidRPr="0086121A">
        <w:t xml:space="preserve"> olds vaccinated with </w:t>
      </w:r>
      <w:proofErr w:type="spellStart"/>
      <w:r w:rsidRPr="0086121A">
        <w:t>Seqirus</w:t>
      </w:r>
      <w:proofErr w:type="spellEnd"/>
      <w:r w:rsidRPr="0086121A">
        <w:t xml:space="preserve"> TIV overall and severe fever rates were lower in children vaccinated with the 2014-2015 NH TIV manufactured using 1.5% TDOC splitting conditions for the B strain</w:t>
      </w:r>
      <w:r w:rsidR="00182466">
        <w:t>.</w:t>
      </w:r>
    </w:p>
    <w:p w:rsidR="00D470CB" w:rsidRDefault="00D470CB" w:rsidP="008B267C">
      <w:pPr>
        <w:pStyle w:val="Heading3"/>
      </w:pPr>
      <w:bookmarkStart w:id="138" w:name="_Toc521411085"/>
      <w:bookmarkStart w:id="139" w:name="_Toc535416865"/>
      <w:r w:rsidRPr="008B267C">
        <w:lastRenderedPageBreak/>
        <w:t>Patient</w:t>
      </w:r>
      <w:r w:rsidRPr="00545B14">
        <w:t xml:space="preserve"> exposure</w:t>
      </w:r>
      <w:bookmarkEnd w:id="130"/>
      <w:bookmarkEnd w:id="131"/>
      <w:bookmarkEnd w:id="132"/>
      <w:bookmarkEnd w:id="133"/>
      <w:bookmarkEnd w:id="134"/>
      <w:bookmarkEnd w:id="135"/>
      <w:bookmarkEnd w:id="136"/>
      <w:bookmarkEnd w:id="137"/>
      <w:r>
        <w:t xml:space="preserve"> </w:t>
      </w:r>
      <w:r w:rsidR="008B267C">
        <w:t>C</w:t>
      </w:r>
      <w:r>
        <w:t>hildren and adolescents aged 5-17 y</w:t>
      </w:r>
      <w:r w:rsidR="008B267C">
        <w:t>ea</w:t>
      </w:r>
      <w:r>
        <w:t>rs of age</w:t>
      </w:r>
      <w:bookmarkEnd w:id="138"/>
      <w:bookmarkEnd w:id="139"/>
    </w:p>
    <w:p w:rsidR="00D470CB" w:rsidRPr="0086121A" w:rsidRDefault="00D470CB" w:rsidP="00D470CB">
      <w:r w:rsidRPr="0086121A">
        <w:t xml:space="preserve">As this is an application seeking approval of Afluria Quad in children/adolescents aged 5-17 </w:t>
      </w:r>
      <w:proofErr w:type="spellStart"/>
      <w:r w:rsidRPr="0086121A">
        <w:t>yrs</w:t>
      </w:r>
      <w:proofErr w:type="spellEnd"/>
      <w:r w:rsidRPr="0086121A">
        <w:t xml:space="preserve"> of age, the safety data in adults is not of direct relevance. See </w:t>
      </w:r>
      <w:r>
        <w:t>below</w:t>
      </w:r>
      <w:r w:rsidRPr="0086121A">
        <w:t xml:space="preserve"> for a summary of the safety populations in CSLCT-QIV-13-02.</w:t>
      </w:r>
    </w:p>
    <w:p w:rsidR="00D470CB" w:rsidRPr="00176196" w:rsidRDefault="00D470CB" w:rsidP="00775030">
      <w:pPr>
        <w:pStyle w:val="TableTitle0"/>
      </w:pPr>
      <w:r>
        <w:t>Table 9</w:t>
      </w:r>
      <w:r w:rsidRPr="00176196">
        <w:t>: Number and % of Subjects in Each Analysis Population, Study CSLCT-QIV-13-02</w:t>
      </w:r>
    </w:p>
    <w:p w:rsidR="00D470CB" w:rsidRPr="00EA3F71" w:rsidRDefault="0017010A" w:rsidP="00D470CB">
      <w:pPr>
        <w:autoSpaceDE w:val="0"/>
        <w:autoSpaceDN w:val="0"/>
        <w:adjustRightInd w:val="0"/>
        <w:spacing w:before="0" w:after="0" w:line="240" w:lineRule="auto"/>
        <w:ind w:left="113"/>
        <w:rPr>
          <w:rFonts w:asciiTheme="minorHAnsi" w:eastAsiaTheme="minorHAnsi" w:hAnsiTheme="minorHAnsi" w:cs="TimesNewRoman,Bold"/>
          <w:b/>
          <w:bCs/>
          <w:sz w:val="20"/>
          <w:szCs w:val="20"/>
          <w:highlight w:val="magenta"/>
        </w:rPr>
      </w:pPr>
      <w:r w:rsidRPr="00EA3F71">
        <w:rPr>
          <w:rFonts w:asciiTheme="minorHAnsi" w:eastAsiaTheme="minorHAnsi" w:hAnsiTheme="minorHAnsi" w:cs="TimesNewRoman,Bold"/>
          <w:b/>
          <w:bCs/>
          <w:sz w:val="20"/>
          <w:szCs w:val="20"/>
        </w:rPr>
        <w:object w:dxaOrig="7036" w:dyaOrig="2370">
          <v:shape id="_x0000_i1040" type="#_x0000_t75" alt="Number and % of Subjects in Each Analysis Population, Study CSLCT-QIV-13-02" style="width:297.4pt;height:109.55pt" o:ole="">
            <v:imagedata r:id="rId49" o:title="" cropbottom="10801f"/>
          </v:shape>
          <o:OLEObject Type="Embed" ProgID="Acrobat.Document.DC" ShapeID="_x0000_i1040" DrawAspect="Content" ObjectID="_1609670747" r:id="rId50"/>
        </w:object>
      </w:r>
    </w:p>
    <w:p w:rsidR="00D470CB" w:rsidRDefault="00D470CB" w:rsidP="008B267C">
      <w:pPr>
        <w:pStyle w:val="Heading3"/>
      </w:pPr>
      <w:bookmarkStart w:id="140" w:name="_Toc241374319"/>
      <w:bookmarkStart w:id="141" w:name="_Ref271044764"/>
      <w:bookmarkStart w:id="142" w:name="_Toc272414663"/>
      <w:bookmarkStart w:id="143" w:name="_Toc290888527"/>
      <w:bookmarkStart w:id="144" w:name="_Toc416353743"/>
      <w:bookmarkStart w:id="145" w:name="_Toc421005286"/>
      <w:bookmarkStart w:id="146" w:name="_Toc432079163"/>
      <w:bookmarkStart w:id="147" w:name="_Toc432080736"/>
      <w:bookmarkStart w:id="148" w:name="_Toc521411086"/>
      <w:bookmarkStart w:id="149" w:name="_Toc535416866"/>
      <w:r w:rsidRPr="00545B14">
        <w:t>Adverse events</w:t>
      </w:r>
      <w:bookmarkEnd w:id="140"/>
      <w:bookmarkEnd w:id="141"/>
      <w:bookmarkEnd w:id="142"/>
      <w:bookmarkEnd w:id="143"/>
      <w:bookmarkEnd w:id="144"/>
      <w:bookmarkEnd w:id="145"/>
      <w:bookmarkEnd w:id="146"/>
      <w:bookmarkEnd w:id="147"/>
      <w:bookmarkEnd w:id="148"/>
      <w:bookmarkEnd w:id="149"/>
    </w:p>
    <w:p w:rsidR="00D470CB" w:rsidRPr="00545B14" w:rsidRDefault="00D470CB" w:rsidP="008B267C">
      <w:pPr>
        <w:pStyle w:val="Heading4"/>
      </w:pPr>
      <w:bookmarkStart w:id="150" w:name="_Ref272317284"/>
      <w:bookmarkStart w:id="151" w:name="_Ref272333565"/>
      <w:bookmarkStart w:id="152" w:name="_Toc272414664"/>
      <w:bookmarkStart w:id="153" w:name="_Toc290888528"/>
      <w:bookmarkStart w:id="154" w:name="_Toc416353744"/>
      <w:bookmarkStart w:id="155" w:name="_Toc421005287"/>
      <w:bookmarkStart w:id="156" w:name="_Toc432079164"/>
      <w:bookmarkStart w:id="157" w:name="_Toc432080737"/>
      <w:r w:rsidRPr="00545B14">
        <w:t>All adverse events (irrespective of relationship to study treatment)</w:t>
      </w:r>
      <w:bookmarkEnd w:id="150"/>
      <w:bookmarkEnd w:id="151"/>
      <w:bookmarkEnd w:id="152"/>
      <w:bookmarkEnd w:id="153"/>
      <w:bookmarkEnd w:id="154"/>
      <w:bookmarkEnd w:id="155"/>
      <w:bookmarkEnd w:id="156"/>
      <w:bookmarkEnd w:id="157"/>
    </w:p>
    <w:p w:rsidR="00D470CB" w:rsidRDefault="00D470CB" w:rsidP="008B267C">
      <w:pPr>
        <w:pStyle w:val="Heading5"/>
      </w:pPr>
      <w:r w:rsidRPr="00073FEC">
        <w:t>Integrated safety analyses</w:t>
      </w:r>
    </w:p>
    <w:p w:rsidR="00D470CB" w:rsidRPr="0086121A" w:rsidRDefault="00D470CB" w:rsidP="00D470CB">
      <w:r w:rsidRPr="0086121A">
        <w:t xml:space="preserve">There is no integrated safety analysis; safety data arises from one </w:t>
      </w:r>
      <w:r>
        <w:t>Study CSL</w:t>
      </w:r>
      <w:r w:rsidRPr="0086121A">
        <w:t>CT-QIV-13-02.</w:t>
      </w:r>
    </w:p>
    <w:p w:rsidR="00D470CB" w:rsidRPr="00073FEC" w:rsidRDefault="00D470CB" w:rsidP="008B267C">
      <w:pPr>
        <w:pStyle w:val="Heading5"/>
      </w:pPr>
      <w:r w:rsidRPr="00073FEC">
        <w:t xml:space="preserve">Pivotal and/or main efficacy </w:t>
      </w:r>
      <w:r w:rsidR="008B267C">
        <w:t>S</w:t>
      </w:r>
      <w:r w:rsidRPr="00073FEC">
        <w:t>tud</w:t>
      </w:r>
      <w:r w:rsidR="008B267C">
        <w:t>y</w:t>
      </w:r>
      <w:r w:rsidRPr="00CA58F0">
        <w:t xml:space="preserve"> </w:t>
      </w:r>
      <w:r>
        <w:t>CSLCT-QIV-13-02</w:t>
      </w:r>
    </w:p>
    <w:p w:rsidR="00D470CB" w:rsidRPr="0086121A" w:rsidRDefault="00D470CB" w:rsidP="00D470CB">
      <w:pPr>
        <w:pStyle w:val="Heading6"/>
        <w:rPr>
          <w:rFonts w:eastAsia="TimesNewRoman,BoldItalic"/>
        </w:rPr>
      </w:pPr>
      <w:bookmarkStart w:id="158" w:name="_Ref272333567"/>
      <w:bookmarkStart w:id="159" w:name="_Toc272414665"/>
      <w:bookmarkStart w:id="160" w:name="_Toc290888529"/>
      <w:bookmarkStart w:id="161" w:name="_Toc416353745"/>
      <w:bookmarkStart w:id="162" w:name="_Toc421005288"/>
      <w:bookmarkStart w:id="163" w:name="_Toc432079165"/>
      <w:bookmarkStart w:id="164" w:name="_Toc432080738"/>
      <w:r w:rsidRPr="0086121A">
        <w:rPr>
          <w:rFonts w:eastAsia="TimesNewRoman,BoldItalic"/>
        </w:rPr>
        <w:t xml:space="preserve">Unsolicited Adverse Events in Children 5 to 17 </w:t>
      </w:r>
      <w:proofErr w:type="spellStart"/>
      <w:r w:rsidRPr="0086121A">
        <w:rPr>
          <w:rFonts w:eastAsia="TimesNewRoman,BoldItalic"/>
        </w:rPr>
        <w:t>yrs</w:t>
      </w:r>
      <w:proofErr w:type="spellEnd"/>
      <w:r w:rsidRPr="0086121A">
        <w:rPr>
          <w:rFonts w:eastAsia="TimesNewRoman,BoldItalic"/>
        </w:rPr>
        <w:t xml:space="preserve"> of age</w:t>
      </w:r>
    </w:p>
    <w:p w:rsidR="00182466" w:rsidRDefault="00D470CB" w:rsidP="00D470CB">
      <w:r w:rsidRPr="0086121A">
        <w:t xml:space="preserve">Unsolicited AEs reported by 15.1% of subjects overall, 15.9% in the </w:t>
      </w:r>
      <w:proofErr w:type="spellStart"/>
      <w:r w:rsidRPr="0086121A">
        <w:t>Seqirus</w:t>
      </w:r>
      <w:proofErr w:type="spellEnd"/>
      <w:r w:rsidRPr="0086121A">
        <w:t xml:space="preserve"> QIV vs. 12.5% in Comparator QIV </w:t>
      </w:r>
      <w:proofErr w:type="spellStart"/>
      <w:r w:rsidRPr="0086121A">
        <w:t>gp</w:t>
      </w:r>
      <w:proofErr w:type="spellEnd"/>
      <w:r w:rsidRPr="0086121A">
        <w:t xml:space="preserve">. Unsolicited AEs considered vaccine related, reported in a higher proportion in the </w:t>
      </w:r>
      <w:proofErr w:type="spellStart"/>
      <w:r w:rsidRPr="0086121A">
        <w:t>Seqirus</w:t>
      </w:r>
      <w:proofErr w:type="spellEnd"/>
      <w:r w:rsidRPr="0086121A">
        <w:t xml:space="preserve"> QIV </w:t>
      </w:r>
      <w:proofErr w:type="spellStart"/>
      <w:r w:rsidRPr="0086121A">
        <w:t>gp</w:t>
      </w:r>
      <w:proofErr w:type="spellEnd"/>
      <w:r w:rsidRPr="0086121A">
        <w:t xml:space="preserve"> vs. Comparator QIV </w:t>
      </w:r>
      <w:proofErr w:type="spellStart"/>
      <w:r w:rsidRPr="0086121A">
        <w:t>gp</w:t>
      </w:r>
      <w:proofErr w:type="spellEnd"/>
      <w:r w:rsidRPr="0086121A">
        <w:t xml:space="preserve"> (3.8% vs. 2.0% respectively)</w:t>
      </w:r>
      <w:r w:rsidR="00182466">
        <w:t>.</w:t>
      </w:r>
    </w:p>
    <w:p w:rsidR="00D470CB" w:rsidRPr="0086121A" w:rsidRDefault="00D470CB" w:rsidP="00D470CB">
      <w:r w:rsidRPr="0086121A">
        <w:t>Intensity (</w:t>
      </w:r>
      <w:proofErr w:type="spellStart"/>
      <w:r w:rsidRPr="0086121A">
        <w:t>Seqirus</w:t>
      </w:r>
      <w:proofErr w:type="spellEnd"/>
      <w:r w:rsidRPr="0086121A">
        <w:t xml:space="preserve"> QIV </w:t>
      </w:r>
      <w:proofErr w:type="spellStart"/>
      <w:r w:rsidRPr="0086121A">
        <w:t>gp</w:t>
      </w:r>
      <w:proofErr w:type="spellEnd"/>
      <w:r w:rsidRPr="0086121A">
        <w:t>) =mild (8.8% subjects) or moderate (6.4% subjects); 0.7% of subjects reported severe intensity unsolicited AEs. Similar rates observed in the two age strata.</w:t>
      </w:r>
    </w:p>
    <w:p w:rsidR="00D470CB" w:rsidRPr="0086121A" w:rsidRDefault="00D470CB" w:rsidP="00D470CB">
      <w:r w:rsidRPr="0086121A">
        <w:t xml:space="preserve">The majority in the Comparator QIV </w:t>
      </w:r>
      <w:proofErr w:type="spellStart"/>
      <w:r w:rsidRPr="0086121A">
        <w:t>gp</w:t>
      </w:r>
      <w:proofErr w:type="spellEnd"/>
      <w:r w:rsidRPr="0086121A">
        <w:t xml:space="preserve"> reporting unsolicited AEs reported events with a maximum intensity of mild (5.5% subjects) or moderate (5.9% subjects); 1.1% of subjects reported unsolicited AEs of severe intensity.</w:t>
      </w:r>
    </w:p>
    <w:p w:rsidR="00D470CB" w:rsidRPr="0086121A" w:rsidRDefault="00D470CB" w:rsidP="00D470CB">
      <w:r w:rsidRPr="0086121A">
        <w:t xml:space="preserve">No related unsolicited AE were reported by ≥1% of subjects in either vaccine </w:t>
      </w:r>
      <w:proofErr w:type="spellStart"/>
      <w:r w:rsidRPr="0086121A">
        <w:t>gp</w:t>
      </w:r>
      <w:proofErr w:type="spellEnd"/>
      <w:r w:rsidRPr="0086121A">
        <w:t>. Most common related unsolicited AEs (≥0.1% to &lt;0.5% of overall subjects) were cough, oropharyngeal pain, rhinorrhoea, nasal congestion, vomiting, headache, pyrexia, injection site warmth.</w:t>
      </w:r>
    </w:p>
    <w:p w:rsidR="00D470CB" w:rsidRPr="0086121A" w:rsidRDefault="00D470CB" w:rsidP="00D470CB">
      <w:r w:rsidRPr="0086121A">
        <w:t xml:space="preserve">No clinically significant differences noted in those reporting unsolicited AEs based on sex, race, or ethnicity in either vaccine </w:t>
      </w:r>
      <w:proofErr w:type="spellStart"/>
      <w:r w:rsidRPr="0086121A">
        <w:t>gp</w:t>
      </w:r>
      <w:proofErr w:type="spellEnd"/>
      <w:r w:rsidRPr="0086121A">
        <w:t>.</w:t>
      </w:r>
    </w:p>
    <w:p w:rsidR="00D470CB" w:rsidRDefault="00D470CB" w:rsidP="008B267C">
      <w:pPr>
        <w:pStyle w:val="Heading5"/>
      </w:pPr>
      <w:r w:rsidRPr="00545B14">
        <w:t>Treatment</w:t>
      </w:r>
      <w:r>
        <w:t xml:space="preserve"> </w:t>
      </w:r>
      <w:r w:rsidRPr="00545B14">
        <w:t>related adverse events (adverse drug reactions)</w:t>
      </w:r>
      <w:bookmarkEnd w:id="158"/>
      <w:bookmarkEnd w:id="159"/>
      <w:bookmarkEnd w:id="160"/>
      <w:bookmarkEnd w:id="161"/>
      <w:bookmarkEnd w:id="162"/>
      <w:bookmarkEnd w:id="163"/>
      <w:bookmarkEnd w:id="164"/>
      <w:r w:rsidRPr="00CA58F0">
        <w:t xml:space="preserve"> CSLCT-QIV-13-02</w:t>
      </w:r>
    </w:p>
    <w:p w:rsidR="00D470CB" w:rsidRPr="0086121A" w:rsidRDefault="00D470CB" w:rsidP="008B267C">
      <w:pPr>
        <w:pStyle w:val="Heading6"/>
      </w:pPr>
      <w:bookmarkStart w:id="165" w:name="_Toc241374320"/>
      <w:bookmarkStart w:id="166" w:name="_Ref272333507"/>
      <w:bookmarkStart w:id="167" w:name="_Toc272414666"/>
      <w:bookmarkStart w:id="168" w:name="_Toc290888530"/>
      <w:bookmarkStart w:id="169" w:name="_Toc416353746"/>
      <w:bookmarkStart w:id="170" w:name="_Toc421005289"/>
      <w:bookmarkStart w:id="171" w:name="_Toc432079166"/>
      <w:bookmarkStart w:id="172" w:name="_Toc432080739"/>
      <w:r w:rsidRPr="0086121A">
        <w:rPr>
          <w:rFonts w:eastAsia="TimesNewRoman,BoldItalic"/>
        </w:rPr>
        <w:t xml:space="preserve">Solicited Local Adverse Reactions in Children 5 to &lt;9 </w:t>
      </w:r>
      <w:proofErr w:type="spellStart"/>
      <w:r w:rsidRPr="0086121A">
        <w:rPr>
          <w:rFonts w:eastAsia="TimesNewRoman,BoldItalic"/>
        </w:rPr>
        <w:t>yrs</w:t>
      </w:r>
      <w:proofErr w:type="spellEnd"/>
      <w:r w:rsidRPr="0086121A">
        <w:rPr>
          <w:rFonts w:eastAsia="TimesNewRoman,BoldItalic"/>
        </w:rPr>
        <w:t xml:space="preserve"> of age</w:t>
      </w:r>
    </w:p>
    <w:p w:rsidR="00182466" w:rsidRDefault="00D470CB" w:rsidP="00D470CB">
      <w:r w:rsidRPr="0086121A">
        <w:t xml:space="preserve">After Any Vaccination: Solicited local AR after any vaccination, experienced by 57.2% in </w:t>
      </w:r>
      <w:proofErr w:type="spellStart"/>
      <w:r w:rsidRPr="0086121A">
        <w:t>Seqirus</w:t>
      </w:r>
      <w:proofErr w:type="spellEnd"/>
      <w:r w:rsidRPr="0086121A">
        <w:t xml:space="preserve"> QIV and 54.0% in Comparator QIV </w:t>
      </w:r>
      <w:proofErr w:type="spellStart"/>
      <w:r w:rsidRPr="0086121A">
        <w:t>gp</w:t>
      </w:r>
      <w:proofErr w:type="spellEnd"/>
      <w:r w:rsidRPr="0086121A">
        <w:t>.</w:t>
      </w:r>
      <w:r>
        <w:t xml:space="preserve"> </w:t>
      </w:r>
      <w:r w:rsidRPr="0086121A">
        <w:t xml:space="preserve">In both study vaccine </w:t>
      </w:r>
      <w:r w:rsidR="008B267C">
        <w:t>groups</w:t>
      </w:r>
      <w:r w:rsidRPr="0086121A">
        <w:t>, pain&gt;redness &gt; swelling were reported. The most common local AR was injection site pain (</w:t>
      </w:r>
      <w:proofErr w:type="spellStart"/>
      <w:r w:rsidRPr="0086121A">
        <w:t>Seqirus</w:t>
      </w:r>
      <w:proofErr w:type="spellEnd"/>
      <w:r w:rsidRPr="0086121A">
        <w:t xml:space="preserve"> QIV: 51.3%, Comparator QIV: 49.6%). Injection site redness and swelling were experienced by &gt;10% of subjects (</w:t>
      </w:r>
      <w:proofErr w:type="spellStart"/>
      <w:r w:rsidRPr="0086121A">
        <w:t>Seqirus</w:t>
      </w:r>
      <w:proofErr w:type="spellEnd"/>
      <w:r w:rsidRPr="0086121A">
        <w:t xml:space="preserve"> QIV: 19.4% (redness), 15.3% (swelling), respectively; Comparator QIV: 18.6% (redness), 12.4% (swelling), respectively). Most solicited local AR</w:t>
      </w:r>
      <w:r w:rsidR="008B267C">
        <w:t>s</w:t>
      </w:r>
      <w:r w:rsidRPr="0086121A">
        <w:t xml:space="preserve"> were mild in both </w:t>
      </w:r>
      <w:r w:rsidR="008B267C">
        <w:t>groups</w:t>
      </w:r>
      <w:r w:rsidRPr="0086121A">
        <w:t xml:space="preserve">. Moderate swelling and redness were experienced by a slightly higher proportion of the </w:t>
      </w:r>
      <w:proofErr w:type="spellStart"/>
      <w:r w:rsidRPr="0086121A">
        <w:t>Seqirus</w:t>
      </w:r>
      <w:proofErr w:type="spellEnd"/>
      <w:r w:rsidRPr="0086121A">
        <w:t xml:space="preserve"> QIV </w:t>
      </w:r>
      <w:proofErr w:type="spellStart"/>
      <w:r w:rsidRPr="0086121A">
        <w:t>gp</w:t>
      </w:r>
      <w:proofErr w:type="spellEnd"/>
      <w:r w:rsidRPr="0086121A">
        <w:t xml:space="preserve"> (7.0% and 5.1%, respectively) vs. Comparator QIV </w:t>
      </w:r>
      <w:proofErr w:type="spellStart"/>
      <w:r w:rsidRPr="0086121A">
        <w:t>gp</w:t>
      </w:r>
      <w:proofErr w:type="spellEnd"/>
      <w:r w:rsidRPr="0086121A">
        <w:t xml:space="preserve"> (4.0% and 2.6%, respectively). A </w:t>
      </w:r>
      <w:r w:rsidRPr="0086121A">
        <w:lastRenderedPageBreak/>
        <w:t>similar pattern was observed for severe swelling and redness (</w:t>
      </w:r>
      <w:proofErr w:type="spellStart"/>
      <w:r w:rsidRPr="0086121A">
        <w:t>Seqirus</w:t>
      </w:r>
      <w:proofErr w:type="spellEnd"/>
      <w:r w:rsidRPr="0086121A">
        <w:t xml:space="preserve"> QIV: 3.4% and 3.5%, respectively and Comparator QIV: 2.2% and 1.8%, respectively). Severe solicited local AR occurred in 5.5% of the </w:t>
      </w:r>
      <w:proofErr w:type="spellStart"/>
      <w:r w:rsidRPr="0086121A">
        <w:t>Seqirus</w:t>
      </w:r>
      <w:proofErr w:type="spellEnd"/>
      <w:r w:rsidRPr="0086121A">
        <w:t xml:space="preserve"> QIV </w:t>
      </w:r>
      <w:proofErr w:type="spellStart"/>
      <w:r w:rsidRPr="0086121A">
        <w:t>gp</w:t>
      </w:r>
      <w:proofErr w:type="spellEnd"/>
      <w:r w:rsidRPr="0086121A">
        <w:t xml:space="preserve"> and 4.0% of the Comparator QIV</w:t>
      </w:r>
      <w:r w:rsidR="00182466">
        <w:t>.</w:t>
      </w:r>
    </w:p>
    <w:p w:rsidR="00D470CB" w:rsidRPr="0086121A" w:rsidRDefault="00D470CB" w:rsidP="00D470CB">
      <w:r w:rsidRPr="0086121A">
        <w:t xml:space="preserve">After the First Vaccination: After the first vaccination, the proportion of subjects experiencing any of the solicited local adverse reactions was similar between the study vaccine groups. Solicited local adverse reactions after the first vaccination were experienced by 55.1% of subjects who received </w:t>
      </w:r>
      <w:proofErr w:type="spellStart"/>
      <w:r w:rsidRPr="0086121A">
        <w:t>Seqirus</w:t>
      </w:r>
      <w:proofErr w:type="spellEnd"/>
      <w:r w:rsidRPr="0086121A">
        <w:t xml:space="preserve"> QIV and by 53.1% of subjects who received Comparator QIV. In both study vaccine groups, pain, redness and swelling were reported in</w:t>
      </w:r>
      <w:r>
        <w:t xml:space="preserve"> decreasing order of frequency</w:t>
      </w:r>
      <w:r w:rsidRPr="0086121A">
        <w:t xml:space="preserve">. Severe intensity local adverse reactions were experienced by 4.8% of subjects in the 5 to &lt; 9 years age stratum after the first vaccination (5.2% of subjects who received </w:t>
      </w:r>
      <w:proofErr w:type="spellStart"/>
      <w:r w:rsidRPr="0086121A">
        <w:t>Seqirus</w:t>
      </w:r>
      <w:proofErr w:type="spellEnd"/>
      <w:r w:rsidRPr="0086121A">
        <w:t xml:space="preserve"> QIV and 3.7% of subjects who received Comparator QIV. These severe local adverse reactions included pain, redness and swelling. All solicited local adverse reactions (pain, swelling, and redness), experienced in either vaccine group, had a mean onset between Day 1 and Day 2. The mean duration of pain and swelling was similar between vaccine groups (1.7 days in both and 1.8 days in both, respectively). The mean duration of redness was slightly longer in the </w:t>
      </w:r>
      <w:proofErr w:type="spellStart"/>
      <w:r w:rsidRPr="0086121A">
        <w:t>Seqirus</w:t>
      </w:r>
      <w:proofErr w:type="spellEnd"/>
      <w:r w:rsidRPr="0086121A">
        <w:t xml:space="preserve"> QIV group (1.9 days) than in the Comparator QIV group (1.5 days).</w:t>
      </w:r>
    </w:p>
    <w:p w:rsidR="00D470CB" w:rsidRPr="0086121A" w:rsidRDefault="00D470CB" w:rsidP="00D470CB">
      <w:r w:rsidRPr="0086121A">
        <w:t>One su</w:t>
      </w:r>
      <w:r>
        <w:t xml:space="preserve">bject who received </w:t>
      </w:r>
      <w:proofErr w:type="spellStart"/>
      <w:r>
        <w:t>Seqirus</w:t>
      </w:r>
      <w:proofErr w:type="spellEnd"/>
      <w:r>
        <w:t xml:space="preserve"> QIV </w:t>
      </w:r>
      <w:r w:rsidRPr="0086121A">
        <w:t>experienced a cellulitis-like reaction during the study. This subject experienced Grade 3</w:t>
      </w:r>
      <w:r>
        <w:t xml:space="preserve"> </w:t>
      </w:r>
      <w:r w:rsidRPr="0086121A">
        <w:t>pain, Grade 3 swelling (up to 78 mm), and Grade 3 redness (up to 78 mm) concurrently from</w:t>
      </w:r>
      <w:r>
        <w:t xml:space="preserve"> </w:t>
      </w:r>
      <w:r w:rsidRPr="0086121A">
        <w:t>Day 3 to Day 7 after the first vaccination into the deltoid muscle of the right arm. The</w:t>
      </w:r>
      <w:r>
        <w:t xml:space="preserve"> </w:t>
      </w:r>
      <w:r w:rsidRPr="0086121A">
        <w:t>reaction was assessed by the Investigator and confirmed not to be cellulitis.</w:t>
      </w:r>
    </w:p>
    <w:p w:rsidR="00D470CB" w:rsidRPr="0086121A" w:rsidRDefault="00D470CB" w:rsidP="00D470CB">
      <w:r w:rsidRPr="0086121A">
        <w:t xml:space="preserve">All solicited local AR (pain, swelling, redness), had a mean onset between Days 1-2; mean duration for all solicited local AR was &lt;2 days, and similar between vaccine </w:t>
      </w:r>
      <w:r w:rsidR="008B267C">
        <w:t>groups</w:t>
      </w:r>
      <w:r w:rsidRPr="0086121A">
        <w:t>.</w:t>
      </w:r>
    </w:p>
    <w:p w:rsidR="00D470CB" w:rsidRPr="0086121A" w:rsidRDefault="00D470CB" w:rsidP="00D470CB">
      <w:r w:rsidRPr="0086121A">
        <w:t>After the Second Vaccination: Solicited local AR less frequent after the 2nd vaccination than 1st, but numbers receiving a 2nd vaccine were much smaller. After the 2nd vaccination, 37.1% (</w:t>
      </w:r>
      <w:proofErr w:type="spellStart"/>
      <w:r w:rsidRPr="0086121A">
        <w:t>Seqirus</w:t>
      </w:r>
      <w:proofErr w:type="spellEnd"/>
      <w:r w:rsidRPr="0086121A">
        <w:t xml:space="preserve"> QIV) and 34.9% (Comparator QIV) experienced solicited local AR. Injection site pain and redness were less frequently experienced after the 2nd vaccination than the 1st in both study vaccine </w:t>
      </w:r>
      <w:r w:rsidR="008B267C">
        <w:t>groups</w:t>
      </w:r>
      <w:r w:rsidRPr="0086121A">
        <w:t xml:space="preserve">. The proportion of subjects in the 5 - 8 </w:t>
      </w:r>
      <w:proofErr w:type="spellStart"/>
      <w:r w:rsidRPr="0086121A">
        <w:t>yrs</w:t>
      </w:r>
      <w:proofErr w:type="spellEnd"/>
      <w:r w:rsidRPr="0086121A">
        <w:t xml:space="preserve"> age </w:t>
      </w:r>
      <w:proofErr w:type="spellStart"/>
      <w:r w:rsidRPr="0086121A">
        <w:t>gp</w:t>
      </w:r>
      <w:proofErr w:type="spellEnd"/>
      <w:r w:rsidRPr="0086121A">
        <w:t xml:space="preserve"> experiencing pain and redness after a 2nd vaccination decreased to 34.8% and 9.6%, respectively (from 49.0% and 19.1%, respectively after the 1st vaccination) in the </w:t>
      </w:r>
      <w:proofErr w:type="spellStart"/>
      <w:r w:rsidRPr="0086121A">
        <w:t>Seqirus</w:t>
      </w:r>
      <w:proofErr w:type="spellEnd"/>
      <w:r w:rsidRPr="0086121A">
        <w:t xml:space="preserve"> QIV </w:t>
      </w:r>
      <w:proofErr w:type="spellStart"/>
      <w:r w:rsidRPr="0086121A">
        <w:t>gp</w:t>
      </w:r>
      <w:proofErr w:type="spellEnd"/>
      <w:r w:rsidRPr="0086121A">
        <w:t xml:space="preserve">. Similar findings observed in the Comparator QIV </w:t>
      </w:r>
      <w:proofErr w:type="spellStart"/>
      <w:r w:rsidRPr="0086121A">
        <w:t>gp</w:t>
      </w:r>
      <w:proofErr w:type="spellEnd"/>
      <w:r w:rsidRPr="0086121A">
        <w:t xml:space="preserve">. After the 2nd vaccination, the proportion reporting moderate and severe injection site swelling was slightly higher in the </w:t>
      </w:r>
      <w:proofErr w:type="spellStart"/>
      <w:r w:rsidRPr="0086121A">
        <w:t>Seqirus</w:t>
      </w:r>
      <w:proofErr w:type="spellEnd"/>
      <w:r w:rsidRPr="0086121A">
        <w:t xml:space="preserve"> QIV </w:t>
      </w:r>
      <w:proofErr w:type="spellStart"/>
      <w:r w:rsidRPr="0086121A">
        <w:t>gp</w:t>
      </w:r>
      <w:proofErr w:type="spellEnd"/>
      <w:r w:rsidRPr="0086121A">
        <w:t xml:space="preserve"> (5.1% and 2.2%, respectively) compared with the </w:t>
      </w:r>
      <w:r>
        <w:t>Comparator QIV (none reported)</w:t>
      </w:r>
      <w:r w:rsidRPr="0086121A">
        <w:t>.</w:t>
      </w:r>
    </w:p>
    <w:p w:rsidR="00D470CB" w:rsidRPr="00F305C7" w:rsidRDefault="00D470CB" w:rsidP="00D470CB">
      <w:pPr>
        <w:pStyle w:val="Tabletitle"/>
      </w:pPr>
      <w:r>
        <w:lastRenderedPageBreak/>
        <w:t>Table 10</w:t>
      </w:r>
      <w:r w:rsidRPr="00F305C7">
        <w:t>: Maximum Intensity of Solicited Local Reactions Experienced after Va</w:t>
      </w:r>
      <w:r>
        <w:t>ccination by Subjects 5 to 8</w:t>
      </w:r>
      <w:r w:rsidRPr="00F305C7">
        <w:t xml:space="preserve"> </w:t>
      </w:r>
      <w:proofErr w:type="spellStart"/>
      <w:r w:rsidRPr="00F305C7">
        <w:t>yrs</w:t>
      </w:r>
      <w:proofErr w:type="spellEnd"/>
      <w:r w:rsidRPr="00F305C7">
        <w:t xml:space="preserve"> of age (Solicited Safety Population), Study CSLCT-QIV-13-02</w:t>
      </w:r>
    </w:p>
    <w:p w:rsidR="00D470CB" w:rsidRPr="00D0054C" w:rsidRDefault="0017010A" w:rsidP="00D470CB">
      <w:pPr>
        <w:autoSpaceDE w:val="0"/>
        <w:autoSpaceDN w:val="0"/>
        <w:adjustRightInd w:val="0"/>
        <w:spacing w:before="0" w:after="0" w:line="240" w:lineRule="auto"/>
        <w:ind w:left="170"/>
        <w:rPr>
          <w:rFonts w:asciiTheme="minorHAnsi" w:eastAsiaTheme="minorHAnsi" w:hAnsiTheme="minorHAnsi" w:cs="TimesNewRoman,Bold"/>
          <w:b/>
          <w:bCs/>
          <w:sz w:val="20"/>
          <w:szCs w:val="20"/>
        </w:rPr>
      </w:pPr>
      <w:r w:rsidRPr="00EA3F71">
        <w:rPr>
          <w:rFonts w:asciiTheme="minorHAnsi" w:eastAsiaTheme="minorHAnsi" w:hAnsiTheme="minorHAnsi" w:cs="TimesNewRoman,Bold"/>
          <w:b/>
          <w:bCs/>
          <w:sz w:val="20"/>
          <w:szCs w:val="20"/>
        </w:rPr>
        <w:object w:dxaOrig="7036" w:dyaOrig="6825">
          <v:shape id="_x0000_i1041" type="#_x0000_t75" alt="Maximum Intensity of Solicited Local Reactions Experienced after Vaccination by Subjects 5 to 8 yrs of age (Solicited Safety Population), Study CSLCT-QIV-13-02" style="width:328.7pt;height:265.45pt" o:ole="">
            <v:imagedata r:id="rId51" o:title="" cropbottom="2283f"/>
          </v:shape>
          <o:OLEObject Type="Embed" ProgID="Acrobat.Document.DC" ShapeID="_x0000_i1041" DrawAspect="Content" ObjectID="_1609670748" r:id="rId52"/>
        </w:object>
      </w:r>
    </w:p>
    <w:p w:rsidR="00D470CB" w:rsidRPr="008B267C" w:rsidRDefault="00D470CB" w:rsidP="008B267C">
      <w:pPr>
        <w:pStyle w:val="Heading6"/>
        <w:rPr>
          <w:rFonts w:eastAsia="TimesNewRoman,BoldItalic"/>
        </w:rPr>
      </w:pPr>
      <w:r w:rsidRPr="0086121A">
        <w:rPr>
          <w:rFonts w:eastAsia="TimesNewRoman,BoldItalic"/>
        </w:rPr>
        <w:t xml:space="preserve">Solicited </w:t>
      </w:r>
      <w:r w:rsidR="0017010A">
        <w:rPr>
          <w:rFonts w:eastAsia="TimesNewRoman,BoldItalic"/>
        </w:rPr>
        <w:t>l</w:t>
      </w:r>
      <w:r w:rsidRPr="0086121A">
        <w:rPr>
          <w:rFonts w:eastAsia="TimesNewRoman,BoldItalic"/>
        </w:rPr>
        <w:t xml:space="preserve">ocal AR in children/adolescents 9 to 17 </w:t>
      </w:r>
      <w:proofErr w:type="spellStart"/>
      <w:r w:rsidRPr="0086121A">
        <w:rPr>
          <w:rFonts w:eastAsia="TimesNewRoman,BoldItalic"/>
        </w:rPr>
        <w:t>yrs</w:t>
      </w:r>
      <w:proofErr w:type="spellEnd"/>
      <w:r w:rsidRPr="0086121A">
        <w:rPr>
          <w:rFonts w:eastAsia="TimesNewRoman,BoldItalic"/>
        </w:rPr>
        <w:t xml:space="preserve"> of age</w:t>
      </w:r>
    </w:p>
    <w:p w:rsidR="00D470CB" w:rsidRPr="0086121A" w:rsidRDefault="00D470CB" w:rsidP="00D470CB">
      <w:r w:rsidRPr="0086121A">
        <w:t xml:space="preserve">In the 9 to &lt;18 </w:t>
      </w:r>
      <w:proofErr w:type="spellStart"/>
      <w:r w:rsidRPr="0086121A">
        <w:t>yrs</w:t>
      </w:r>
      <w:proofErr w:type="spellEnd"/>
      <w:r w:rsidRPr="0086121A">
        <w:t xml:space="preserve"> age </w:t>
      </w:r>
      <w:proofErr w:type="spellStart"/>
      <w:r w:rsidRPr="0086121A">
        <w:t>gp</w:t>
      </w:r>
      <w:proofErr w:type="spellEnd"/>
      <w:r w:rsidRPr="0086121A">
        <w:t xml:space="preserve">, the proportion experiencing any solicited local AR after vaccination was slightly higher in the </w:t>
      </w:r>
      <w:proofErr w:type="spellStart"/>
      <w:r w:rsidRPr="0086121A">
        <w:t>Seqirus</w:t>
      </w:r>
      <w:proofErr w:type="spellEnd"/>
      <w:r w:rsidRPr="0086121A">
        <w:t xml:space="preserve"> QIV </w:t>
      </w:r>
      <w:proofErr w:type="spellStart"/>
      <w:r w:rsidRPr="0086121A">
        <w:t>gp</w:t>
      </w:r>
      <w:proofErr w:type="spellEnd"/>
      <w:r w:rsidRPr="0086121A">
        <w:t xml:space="preserve"> (54.9%) than Comparator QIV </w:t>
      </w:r>
      <w:proofErr w:type="spellStart"/>
      <w:r w:rsidRPr="0086121A">
        <w:t>gp</w:t>
      </w:r>
      <w:proofErr w:type="spellEnd"/>
      <w:r w:rsidRPr="0086121A">
        <w:t xml:space="preserve"> (50.2%). In both study vaccine </w:t>
      </w:r>
      <w:r w:rsidR="008B267C">
        <w:t>groups</w:t>
      </w:r>
      <w:r w:rsidRPr="0086121A">
        <w:t>, pain, redness and swelling were reported in decreasing order of frequency.</w:t>
      </w:r>
      <w:r>
        <w:t xml:space="preserve"> </w:t>
      </w:r>
      <w:r w:rsidRPr="0086121A">
        <w:t xml:space="preserve">The most common local AR experienced was injection site pain, more frequently reported in the </w:t>
      </w:r>
      <w:proofErr w:type="spellStart"/>
      <w:r w:rsidRPr="0086121A">
        <w:t>Seqirus</w:t>
      </w:r>
      <w:proofErr w:type="spellEnd"/>
      <w:r w:rsidRPr="0086121A">
        <w:t xml:space="preserve"> QIV </w:t>
      </w:r>
      <w:proofErr w:type="spellStart"/>
      <w:r w:rsidRPr="0086121A">
        <w:t>gp</w:t>
      </w:r>
      <w:proofErr w:type="spellEnd"/>
      <w:r w:rsidRPr="0086121A">
        <w:t xml:space="preserve"> (</w:t>
      </w:r>
      <w:proofErr w:type="spellStart"/>
      <w:r w:rsidRPr="0086121A">
        <w:t>Seqirus</w:t>
      </w:r>
      <w:proofErr w:type="spellEnd"/>
      <w:r w:rsidRPr="0086121A">
        <w:t xml:space="preserve"> QIV: 51.5%, Comparator QIV: 45.2%); maximum intensity was mild, in the majority. Severe local AR (pain, redness, swelling) reported by 3.3% after vaccination (3.2% </w:t>
      </w:r>
      <w:proofErr w:type="spellStart"/>
      <w:r w:rsidRPr="0086121A">
        <w:t>Seqirus</w:t>
      </w:r>
      <w:proofErr w:type="spellEnd"/>
      <w:r w:rsidRPr="0086121A">
        <w:t xml:space="preserve"> QIV; 3.8% Comparator QIV). Overall, solicited local AR had a mean onset between Day 1 and 2; most resolved within 2 days, and similar between vaccine </w:t>
      </w:r>
      <w:r w:rsidR="008B267C">
        <w:t>groups</w:t>
      </w:r>
      <w:r w:rsidRPr="0086121A">
        <w:t>.</w:t>
      </w:r>
    </w:p>
    <w:p w:rsidR="00D470CB" w:rsidRPr="008B267C" w:rsidRDefault="00D470CB" w:rsidP="008B267C">
      <w:pPr>
        <w:pStyle w:val="Heading6"/>
        <w:rPr>
          <w:rFonts w:eastAsia="TimesNewRoman"/>
        </w:rPr>
      </w:pPr>
      <w:r w:rsidRPr="0086121A">
        <w:rPr>
          <w:rFonts w:eastAsia="TimesNewRoman,BoldItalic"/>
        </w:rPr>
        <w:t xml:space="preserve">Solicited </w:t>
      </w:r>
      <w:r w:rsidR="0017010A" w:rsidRPr="0086121A">
        <w:rPr>
          <w:rFonts w:eastAsia="TimesNewRoman,BoldItalic"/>
        </w:rPr>
        <w:t xml:space="preserve">systemic adverse events </w:t>
      </w:r>
      <w:r w:rsidRPr="0086121A">
        <w:rPr>
          <w:rFonts w:eastAsia="TimesNewRoman,BoldItalic"/>
        </w:rPr>
        <w:t xml:space="preserve">in Children 5 to 8 </w:t>
      </w:r>
      <w:proofErr w:type="spellStart"/>
      <w:r w:rsidRPr="0086121A">
        <w:rPr>
          <w:rFonts w:eastAsia="TimesNewRoman,BoldItalic"/>
        </w:rPr>
        <w:t>yrs</w:t>
      </w:r>
      <w:proofErr w:type="spellEnd"/>
      <w:r w:rsidRPr="0086121A">
        <w:rPr>
          <w:rFonts w:eastAsia="TimesNewRoman,BoldItalic"/>
        </w:rPr>
        <w:t xml:space="preserve"> of age</w:t>
      </w:r>
    </w:p>
    <w:p w:rsidR="00D470CB" w:rsidRPr="0086121A" w:rsidRDefault="00D470CB" w:rsidP="00D470CB">
      <w:r w:rsidRPr="0086121A">
        <w:t>After Any Vaccination: Solicited systemic AEs after any vaccination were experienced by 27.6% (</w:t>
      </w:r>
      <w:proofErr w:type="spellStart"/>
      <w:r w:rsidRPr="0086121A">
        <w:t>Seqirus</w:t>
      </w:r>
      <w:proofErr w:type="spellEnd"/>
      <w:r w:rsidRPr="0086121A">
        <w:t xml:space="preserve"> QIV) and 26.3% (Comparator QIV) subjects. Most frequently experienced in the </w:t>
      </w:r>
      <w:proofErr w:type="spellStart"/>
      <w:r w:rsidRPr="0086121A">
        <w:t>Seqirus</w:t>
      </w:r>
      <w:proofErr w:type="spellEnd"/>
      <w:r w:rsidRPr="0086121A">
        <w:t xml:space="preserve"> QIV </w:t>
      </w:r>
      <w:proofErr w:type="spellStart"/>
      <w:r w:rsidRPr="0086121A">
        <w:t>gp</w:t>
      </w:r>
      <w:proofErr w:type="spellEnd"/>
      <w:r w:rsidRPr="0086121A">
        <w:t xml:space="preserve"> was headache (12.3%; Comparator QIV: 10.6%) followed by myalgia (9.8%; Comparator QIV: 11.3%). Malaise and fatigue, nausea, diarrhoea, fever, and vomiting were reported in decreasing order of frequency. Any fever and severe fever (≥39.0°C) was reported by 4.5% and 1.2% of subjects who received </w:t>
      </w:r>
      <w:proofErr w:type="spellStart"/>
      <w:r w:rsidRPr="0086121A">
        <w:t>Seqirus</w:t>
      </w:r>
      <w:proofErr w:type="spellEnd"/>
      <w:r w:rsidRPr="0086121A">
        <w:t xml:space="preserve"> QIV and by 3.6% and 0.7% of subjects who received Comparator QIV, respectively. Solicited systemic AEs with a maximum intensity of mild or moderate were experienced by the majority. The mean onset for solicited systemic events was generally between Day 2 - 4, and mean duration for all AEs was &lt;2 days. Mean onset for headache, the most frequently experienced systemic AE, was Day 2.7 in </w:t>
      </w:r>
      <w:proofErr w:type="spellStart"/>
      <w:r w:rsidRPr="0086121A">
        <w:t>Seqirus</w:t>
      </w:r>
      <w:proofErr w:type="spellEnd"/>
      <w:r w:rsidRPr="0086121A">
        <w:t xml:space="preserve"> QIV </w:t>
      </w:r>
      <w:proofErr w:type="spellStart"/>
      <w:r w:rsidRPr="0086121A">
        <w:t>gp</w:t>
      </w:r>
      <w:proofErr w:type="spellEnd"/>
      <w:r w:rsidRPr="0086121A">
        <w:t xml:space="preserve"> and Day 3.3 in Comparator QIV </w:t>
      </w:r>
      <w:proofErr w:type="spellStart"/>
      <w:r w:rsidRPr="0086121A">
        <w:t>gp</w:t>
      </w:r>
      <w:proofErr w:type="spellEnd"/>
      <w:r w:rsidRPr="0086121A">
        <w:t>; mean duration 1.3 and 1.6 days respectively. The mean onset for myalgia, the next most frequently experienced systemic AE, was Day 1.8 (</w:t>
      </w:r>
      <w:proofErr w:type="spellStart"/>
      <w:r w:rsidRPr="0086121A">
        <w:t>Seqirus</w:t>
      </w:r>
      <w:proofErr w:type="spellEnd"/>
      <w:r w:rsidRPr="0086121A">
        <w:t xml:space="preserve"> QIV) and Day 1.9 (Comparator QIV); mean duration 1.6 and 1.5 days respectively. The mean onset for fever was on Day 3.0 in the </w:t>
      </w:r>
      <w:proofErr w:type="spellStart"/>
      <w:r w:rsidRPr="0086121A">
        <w:t>Seqirus</w:t>
      </w:r>
      <w:proofErr w:type="spellEnd"/>
      <w:r w:rsidRPr="0086121A">
        <w:t xml:space="preserve"> QIV </w:t>
      </w:r>
      <w:proofErr w:type="spellStart"/>
      <w:r w:rsidRPr="0086121A">
        <w:t>gp</w:t>
      </w:r>
      <w:proofErr w:type="spellEnd"/>
      <w:r w:rsidRPr="0086121A">
        <w:t xml:space="preserve"> and on Day 3.5 in the Comparator QIV </w:t>
      </w:r>
      <w:proofErr w:type="spellStart"/>
      <w:r w:rsidRPr="0086121A">
        <w:t>gp</w:t>
      </w:r>
      <w:proofErr w:type="spellEnd"/>
      <w:r w:rsidRPr="0086121A">
        <w:t>; mean duration 1.2 and 1.3 days respectively.</w:t>
      </w:r>
    </w:p>
    <w:p w:rsidR="00182466" w:rsidRDefault="00D470CB" w:rsidP="00D470CB">
      <w:r w:rsidRPr="0086121A">
        <w:t>After the First Vaccination</w:t>
      </w:r>
      <w:r>
        <w:t xml:space="preserve">: </w:t>
      </w:r>
      <w:r w:rsidRPr="0086121A">
        <w:t xml:space="preserve">In the 5 to 8 </w:t>
      </w:r>
      <w:proofErr w:type="spellStart"/>
      <w:r w:rsidRPr="0086121A">
        <w:t>yrs</w:t>
      </w:r>
      <w:proofErr w:type="spellEnd"/>
      <w:r w:rsidRPr="0086121A">
        <w:t xml:space="preserve"> age stratum, solicited systemic AEs after 1st vaccination were experienced by 25.5% (</w:t>
      </w:r>
      <w:proofErr w:type="spellStart"/>
      <w:r w:rsidRPr="0086121A">
        <w:t>Seqirus</w:t>
      </w:r>
      <w:proofErr w:type="spellEnd"/>
      <w:r w:rsidRPr="0086121A">
        <w:t xml:space="preserve"> QIV) and 24.0% (Comparator QIV) subjects. </w:t>
      </w:r>
      <w:r w:rsidRPr="0086121A">
        <w:lastRenderedPageBreak/>
        <w:t>The most frequently experienced solicited systemic AE was headache (</w:t>
      </w:r>
      <w:proofErr w:type="spellStart"/>
      <w:r w:rsidRPr="0086121A">
        <w:t>Seqirus</w:t>
      </w:r>
      <w:proofErr w:type="spellEnd"/>
      <w:r w:rsidRPr="0086121A">
        <w:t xml:space="preserve"> QIV: 11.3%; Comparator QIV: 9.6%). Myalgia, malaise and fatigue, nausea, diarrhoea, fever and vomiting reported in decreasing order of frequency. Solicited systemic AEs with maximum intensity of mild/moderate were experienced by the majority. Similar frequencies of moderate or severe solicited systemic AEs observed after </w:t>
      </w:r>
      <w:proofErr w:type="spellStart"/>
      <w:r w:rsidRPr="0086121A">
        <w:t>Seqirus</w:t>
      </w:r>
      <w:proofErr w:type="spellEnd"/>
      <w:r w:rsidRPr="0086121A">
        <w:t xml:space="preserve"> QIV vs. Comparator QIV. Solicited systemic AEs maximum intensity o</w:t>
      </w:r>
      <w:r w:rsidR="008B267C">
        <w:t>r</w:t>
      </w:r>
      <w:r w:rsidRPr="0086121A">
        <w:t xml:space="preserve"> severe were experienced by 1.6% (</w:t>
      </w:r>
      <w:proofErr w:type="spellStart"/>
      <w:r w:rsidRPr="0086121A">
        <w:t>Seqirus</w:t>
      </w:r>
      <w:proofErr w:type="spellEnd"/>
      <w:r w:rsidRPr="0086121A">
        <w:t xml:space="preserve"> QIV) and by 1.5% (Comparator QIV)</w:t>
      </w:r>
      <w:r w:rsidR="00182466">
        <w:t>.</w:t>
      </w:r>
    </w:p>
    <w:p w:rsidR="00D470CB" w:rsidRPr="0086121A" w:rsidRDefault="00D470CB" w:rsidP="00D470CB">
      <w:proofErr w:type="spellStart"/>
      <w:r w:rsidRPr="0086121A">
        <w:t>Seqirus</w:t>
      </w:r>
      <w:proofErr w:type="spellEnd"/>
      <w:r w:rsidRPr="0086121A">
        <w:t xml:space="preserve"> QIV was associated with earlier onset of solicited systemic AEs than Comparator QIV (with the exception of vomiting), and most solicited systemic AEs resolved within 3 days. Mean onset for solicited systemic events was between Day 2 – 4; mean duration for all AEs was &lt;2 days. The mean onset for headache, the most frequently experienced solicited systemic AE, was on Day 2.8 (</w:t>
      </w:r>
      <w:proofErr w:type="spellStart"/>
      <w:r w:rsidRPr="0086121A">
        <w:t>Seqirus</w:t>
      </w:r>
      <w:proofErr w:type="spellEnd"/>
      <w:r w:rsidRPr="0086121A">
        <w:t xml:space="preserve"> QIV) and Day 3.3 (Comparator QIV); mean duration 1.3 and 1.6 days respectively. The mean onset for myalgia, the next most frequently experienced solicited systemic AE, was Day 1.8 in both vaccine </w:t>
      </w:r>
      <w:r w:rsidR="008B267C">
        <w:t>groups</w:t>
      </w:r>
      <w:r w:rsidRPr="0086121A">
        <w:t>; mean duration 1.6 and 1.5 days respectively. The mean onset for fever was Day 3.1 (</w:t>
      </w:r>
      <w:proofErr w:type="spellStart"/>
      <w:r w:rsidRPr="0086121A">
        <w:t>Seqirus</w:t>
      </w:r>
      <w:proofErr w:type="spellEnd"/>
      <w:r w:rsidRPr="0086121A">
        <w:t xml:space="preserve"> QIV) and Day 3.5 (Comparator QIV); mean duration 1.2 and 1.4 days respectively.</w:t>
      </w:r>
    </w:p>
    <w:p w:rsidR="00D470CB" w:rsidRPr="0086121A" w:rsidRDefault="00D470CB" w:rsidP="008B267C">
      <w:r w:rsidRPr="0086121A">
        <w:t>After the Second Vaccination</w:t>
      </w:r>
      <w:r>
        <w:t xml:space="preserve">: </w:t>
      </w:r>
      <w:r w:rsidRPr="0086121A">
        <w:t xml:space="preserve">In the 5 - 8 </w:t>
      </w:r>
      <w:proofErr w:type="spellStart"/>
      <w:r w:rsidRPr="0086121A">
        <w:t>yrs</w:t>
      </w:r>
      <w:proofErr w:type="spellEnd"/>
      <w:r w:rsidRPr="0086121A">
        <w:t xml:space="preserve"> age </w:t>
      </w:r>
      <w:proofErr w:type="spellStart"/>
      <w:r w:rsidRPr="0086121A">
        <w:t>gp</w:t>
      </w:r>
      <w:proofErr w:type="spellEnd"/>
      <w:r w:rsidRPr="0086121A">
        <w:t xml:space="preserve">, solicited systemic AEs (overall and for each AE) were less frequent after the 2nd vaccination than after the 1st vaccination for all AEs except vomiting (overall, </w:t>
      </w:r>
      <w:proofErr w:type="spellStart"/>
      <w:r w:rsidRPr="0086121A">
        <w:t>Seqirus</w:t>
      </w:r>
      <w:proofErr w:type="spellEnd"/>
      <w:r w:rsidRPr="0086121A">
        <w:t xml:space="preserve"> QIV and Comparator QIV) and fever (Comparator QIV). Solicited systemic AEs after the 2nd vaccination were experienced by 16.9% of subjects who received </w:t>
      </w:r>
      <w:proofErr w:type="spellStart"/>
      <w:r w:rsidRPr="0086121A">
        <w:t>Seqirus</w:t>
      </w:r>
      <w:proofErr w:type="spellEnd"/>
      <w:r w:rsidRPr="0086121A">
        <w:t xml:space="preserve"> QIV and by 19.0% of subjects who received Comparator QIV. In both study vaccine </w:t>
      </w:r>
      <w:r w:rsidR="008B267C">
        <w:t>groups</w:t>
      </w:r>
      <w:r w:rsidRPr="0086121A">
        <w:t>, the most frequently experienced solicited systemic AEs were headache (</w:t>
      </w:r>
      <w:proofErr w:type="spellStart"/>
      <w:r w:rsidRPr="0086121A">
        <w:t>Seqirus</w:t>
      </w:r>
      <w:proofErr w:type="spellEnd"/>
      <w:r w:rsidRPr="0086121A">
        <w:t xml:space="preserve"> QIV: 6.7%; Comparator QIV: 7.9%) and malaise and fatigue (</w:t>
      </w:r>
      <w:proofErr w:type="spellStart"/>
      <w:r w:rsidRPr="0086121A">
        <w:t>Seqirus</w:t>
      </w:r>
      <w:proofErr w:type="spellEnd"/>
      <w:r w:rsidRPr="0086121A">
        <w:t xml:space="preserve"> QIV: 5.6%; Comparator QIV: 1.6%). Diarrhoea, myalgia and nausea were experienced in decreasing order of frequency in the </w:t>
      </w:r>
      <w:proofErr w:type="spellStart"/>
      <w:r w:rsidRPr="0086121A">
        <w:t>Seqirus</w:t>
      </w:r>
      <w:proofErr w:type="spellEnd"/>
      <w:r w:rsidRPr="0086121A">
        <w:t xml:space="preserve"> QIV </w:t>
      </w:r>
      <w:proofErr w:type="spellStart"/>
      <w:r w:rsidRPr="0086121A">
        <w:t>gp</w:t>
      </w:r>
      <w:proofErr w:type="spellEnd"/>
      <w:r w:rsidRPr="0086121A">
        <w:t xml:space="preserve">. The mean times to first onset were earlier in the </w:t>
      </w:r>
      <w:proofErr w:type="spellStart"/>
      <w:r w:rsidRPr="0086121A">
        <w:t>Seqirus</w:t>
      </w:r>
      <w:proofErr w:type="spellEnd"/>
      <w:r w:rsidRPr="0086121A">
        <w:t xml:space="preserve"> QIV </w:t>
      </w:r>
      <w:proofErr w:type="spellStart"/>
      <w:r w:rsidRPr="0086121A">
        <w:t>gp</w:t>
      </w:r>
      <w:proofErr w:type="spellEnd"/>
      <w:r w:rsidRPr="0086121A">
        <w:t xml:space="preserve"> than Comparator QIV </w:t>
      </w:r>
      <w:proofErr w:type="spellStart"/>
      <w:r w:rsidRPr="0086121A">
        <w:t>gp</w:t>
      </w:r>
      <w:proofErr w:type="spellEnd"/>
      <w:r w:rsidRPr="0086121A">
        <w:t xml:space="preserve">; duration of solicited systemic AEs similar between the vaccine </w:t>
      </w:r>
      <w:r w:rsidR="008B267C">
        <w:t>groups</w:t>
      </w:r>
      <w:r w:rsidRPr="0086121A">
        <w:t xml:space="preserve">. The majority in the 5 – 8 </w:t>
      </w:r>
      <w:proofErr w:type="spellStart"/>
      <w:r w:rsidRPr="0086121A">
        <w:t>yrs</w:t>
      </w:r>
      <w:proofErr w:type="spellEnd"/>
      <w:r w:rsidRPr="0086121A">
        <w:t xml:space="preserve"> age </w:t>
      </w:r>
      <w:proofErr w:type="spellStart"/>
      <w:r w:rsidRPr="0086121A">
        <w:t>gp</w:t>
      </w:r>
      <w:proofErr w:type="spellEnd"/>
      <w:r w:rsidRPr="0086121A">
        <w:t xml:space="preserve"> reported solicited systemic AEs of mild/moderate intensity. There were no severe solicited systemic AEs reported. After the 2nd vaccination, proportions reporting each of the solicited systemic AEs were not significantly different between the study vaccine </w:t>
      </w:r>
      <w:r w:rsidR="008B267C">
        <w:t>groups.</w:t>
      </w:r>
    </w:p>
    <w:p w:rsidR="00D470CB" w:rsidRPr="00EE1B47" w:rsidRDefault="00D470CB" w:rsidP="00D470CB">
      <w:pPr>
        <w:pStyle w:val="Tabletitle"/>
      </w:pPr>
      <w:r w:rsidRPr="00EE1B47">
        <w:lastRenderedPageBreak/>
        <w:t>Table 1</w:t>
      </w:r>
      <w:r>
        <w:t>1</w:t>
      </w:r>
      <w:r w:rsidRPr="00EE1B47">
        <w:t xml:space="preserve">: Maximum Intensity of Solicited Systemic AEs Experienced after </w:t>
      </w:r>
      <w:r>
        <w:t>Vaccination by Subjects 5 to 8</w:t>
      </w:r>
      <w:r w:rsidRPr="00EE1B47">
        <w:t xml:space="preserve"> Years of Age (Solicited Safety Population), CSLCT-QIV-13-02</w:t>
      </w:r>
    </w:p>
    <w:p w:rsidR="00D470CB" w:rsidRDefault="0017010A" w:rsidP="008B267C">
      <w:r w:rsidRPr="00EA3F71">
        <w:object w:dxaOrig="7170" w:dyaOrig="9255">
          <v:shape id="_x0000_i1042" type="#_x0000_t75" alt="Maximum Intensity of Solicited Systemic AEs Experienced after Vaccination by Subjects 5 to 8 Years of Age (Solicited Safety Population), CSLCT-QIV-13-02" style="width:347.5pt;height:299.25pt" o:ole="">
            <v:imagedata r:id="rId53" o:title="" cropbottom="2435f"/>
          </v:shape>
          <o:OLEObject Type="Embed" ProgID="Acrobat.Document.DC" ShapeID="_x0000_i1042" DrawAspect="Content" ObjectID="_1609670749" r:id="rId54"/>
        </w:object>
      </w:r>
    </w:p>
    <w:p w:rsidR="00D470CB" w:rsidRPr="008B267C" w:rsidRDefault="00D470CB" w:rsidP="008B267C">
      <w:pPr>
        <w:pStyle w:val="Heading6"/>
        <w:rPr>
          <w:rFonts w:eastAsia="TimesNewRoman,BoldItalic"/>
        </w:rPr>
      </w:pPr>
      <w:r w:rsidRPr="0086121A">
        <w:rPr>
          <w:rFonts w:eastAsia="TimesNewRoman,BoldItalic"/>
        </w:rPr>
        <w:t xml:space="preserve">Solicited </w:t>
      </w:r>
      <w:r w:rsidR="0017010A" w:rsidRPr="0086121A">
        <w:rPr>
          <w:rFonts w:eastAsia="TimesNewRoman,BoldItalic"/>
        </w:rPr>
        <w:t xml:space="preserve">systemic adverse events in children </w:t>
      </w:r>
      <w:r w:rsidRPr="0086121A">
        <w:rPr>
          <w:rFonts w:eastAsia="TimesNewRoman,BoldItalic"/>
        </w:rPr>
        <w:t xml:space="preserve">9 - 17 </w:t>
      </w:r>
      <w:proofErr w:type="spellStart"/>
      <w:r w:rsidRPr="0086121A">
        <w:rPr>
          <w:rFonts w:eastAsia="TimesNewRoman,BoldItalic"/>
        </w:rPr>
        <w:t>yrs</w:t>
      </w:r>
      <w:proofErr w:type="spellEnd"/>
      <w:r w:rsidRPr="0086121A">
        <w:rPr>
          <w:rFonts w:eastAsia="TimesNewRoman,BoldItalic"/>
        </w:rPr>
        <w:t xml:space="preserve"> of age</w:t>
      </w:r>
    </w:p>
    <w:p w:rsidR="00D470CB" w:rsidRPr="0086121A" w:rsidRDefault="00D470CB" w:rsidP="00D470CB">
      <w:r w:rsidRPr="0086121A">
        <w:t>Solicited systemic AEs experienced by 34.1% (</w:t>
      </w:r>
      <w:proofErr w:type="spellStart"/>
      <w:r w:rsidRPr="0086121A">
        <w:t>Seqirus</w:t>
      </w:r>
      <w:proofErr w:type="spellEnd"/>
      <w:r w:rsidRPr="0086121A">
        <w:t xml:space="preserve"> QIV) and by 28.7% (Comparator QIV) subjects. In both study vaccine </w:t>
      </w:r>
      <w:r w:rsidR="008B267C">
        <w:t>groups</w:t>
      </w:r>
      <w:r w:rsidRPr="0086121A">
        <w:t>, the most frequently experienced solicited systemic AE was headache (</w:t>
      </w:r>
      <w:proofErr w:type="spellStart"/>
      <w:r w:rsidRPr="0086121A">
        <w:t>Seqirus</w:t>
      </w:r>
      <w:proofErr w:type="spellEnd"/>
      <w:r w:rsidRPr="0086121A">
        <w:t xml:space="preserve"> QIV: 18.8%; Comparator QIV: 14.6%). Myalgia, malaise and fatigue, nausea, diarrhoea, fever and vomiting were reported in decreasing order of frequency for </w:t>
      </w:r>
      <w:proofErr w:type="spellStart"/>
      <w:r w:rsidRPr="0086121A">
        <w:t>Seqirus</w:t>
      </w:r>
      <w:proofErr w:type="spellEnd"/>
      <w:r w:rsidRPr="0086121A">
        <w:t xml:space="preserve"> QIV.</w:t>
      </w:r>
    </w:p>
    <w:p w:rsidR="00D470CB" w:rsidRPr="0086121A" w:rsidRDefault="00D470CB" w:rsidP="00D470CB">
      <w:r w:rsidRPr="0086121A">
        <w:t xml:space="preserve">A higher frequency of some solicited systemic AEs seen with </w:t>
      </w:r>
      <w:proofErr w:type="spellStart"/>
      <w:r w:rsidRPr="0086121A">
        <w:t>Seqirus</w:t>
      </w:r>
      <w:proofErr w:type="spellEnd"/>
      <w:r w:rsidRPr="0086121A">
        <w:t xml:space="preserve"> QIV than Comparator QIV, particularly headache, myalgia, and malaise and fatigue. Fever was experienced by 2.1% who received </w:t>
      </w:r>
      <w:proofErr w:type="spellStart"/>
      <w:r w:rsidRPr="0086121A">
        <w:t>Seqirus</w:t>
      </w:r>
      <w:proofErr w:type="spellEnd"/>
      <w:r w:rsidRPr="0086121A">
        <w:t xml:space="preserve"> QIV and by 0.8% who received Comparator QIV. A significant difference for myalgia between two vaccines was observed in this age stratum. </w:t>
      </w:r>
      <w:proofErr w:type="spellStart"/>
      <w:r w:rsidRPr="0086121A">
        <w:t>Seqirus</w:t>
      </w:r>
      <w:proofErr w:type="spellEnd"/>
      <w:r w:rsidRPr="0086121A">
        <w:t xml:space="preserve"> QIV subjects were 1.5 times more likely to experience myalgia after vaccination vs. Comparator QIV (RR: 1.50; 95% CI 1.03, 2.19). The majority experienced solicited systemic AEs with maximum intensity of mild/moderate. Severe intensity solicited systemic AEs were reported by 1.4% and 0.8% in the </w:t>
      </w:r>
      <w:proofErr w:type="spellStart"/>
      <w:r w:rsidRPr="0086121A">
        <w:t>Seqirus</w:t>
      </w:r>
      <w:proofErr w:type="spellEnd"/>
      <w:r w:rsidRPr="0086121A">
        <w:t xml:space="preserve"> QIV and Comparator QIV </w:t>
      </w:r>
      <w:r w:rsidR="008B267C">
        <w:t>groups</w:t>
      </w:r>
      <w:r w:rsidRPr="0086121A">
        <w:t xml:space="preserve"> respectively. Severe fever was experienced by 0.5% in the </w:t>
      </w:r>
      <w:proofErr w:type="spellStart"/>
      <w:r w:rsidRPr="0086121A">
        <w:t>Seqirus</w:t>
      </w:r>
      <w:proofErr w:type="spellEnd"/>
      <w:r w:rsidRPr="0086121A">
        <w:t xml:space="preserve"> QIV </w:t>
      </w:r>
      <w:proofErr w:type="spellStart"/>
      <w:r w:rsidRPr="0086121A">
        <w:t>gp</w:t>
      </w:r>
      <w:proofErr w:type="spellEnd"/>
      <w:r w:rsidRPr="0086121A">
        <w:t xml:space="preserve">. There were no severe fevers experienced in the Comparator QIV </w:t>
      </w:r>
      <w:proofErr w:type="spellStart"/>
      <w:r w:rsidRPr="0086121A">
        <w:t>gp</w:t>
      </w:r>
      <w:proofErr w:type="spellEnd"/>
      <w:r w:rsidRPr="0086121A">
        <w:t xml:space="preserve">. </w:t>
      </w:r>
      <w:proofErr w:type="spellStart"/>
      <w:r w:rsidRPr="0086121A">
        <w:t>Seqirus</w:t>
      </w:r>
      <w:proofErr w:type="spellEnd"/>
      <w:r w:rsidRPr="0086121A">
        <w:t xml:space="preserve"> QIV was associated with similar onset of solicited systemic AEs as Comparator QIV, except for fever. Mean onset for fever was Day 2.1 (</w:t>
      </w:r>
      <w:proofErr w:type="spellStart"/>
      <w:r w:rsidRPr="0086121A">
        <w:t>Seqirus</w:t>
      </w:r>
      <w:proofErr w:type="spellEnd"/>
      <w:r w:rsidRPr="0086121A">
        <w:t xml:space="preserve"> QIV) and Day 4.0 in the Comparator QIV </w:t>
      </w:r>
      <w:proofErr w:type="spellStart"/>
      <w:r w:rsidRPr="0086121A">
        <w:t>gp</w:t>
      </w:r>
      <w:proofErr w:type="spellEnd"/>
      <w:r w:rsidRPr="0086121A">
        <w:t>; mean duration was 1.2 and 1.0 days respectively. Most solicited systemic AEs resolved in less than 2 days.</w:t>
      </w:r>
    </w:p>
    <w:p w:rsidR="00D470CB" w:rsidRPr="007A7A85" w:rsidRDefault="00D470CB" w:rsidP="00D470CB">
      <w:pPr>
        <w:pStyle w:val="Tabletitle"/>
      </w:pPr>
      <w:r w:rsidRPr="007A7A85">
        <w:lastRenderedPageBreak/>
        <w:t>Table 1</w:t>
      </w:r>
      <w:r>
        <w:t>2</w:t>
      </w:r>
      <w:r w:rsidRPr="007A7A85">
        <w:t>: Maximum Intensity of Solicited Systemic AEs Reported after V</w:t>
      </w:r>
      <w:r>
        <w:t>accination by Subjects 9 to 17</w:t>
      </w:r>
      <w:r w:rsidRPr="007A7A85">
        <w:t xml:space="preserve"> Years of Age (Solicited Safety Population), Study CSLCT-QIV-13-02</w:t>
      </w:r>
    </w:p>
    <w:p w:rsidR="00D470CB" w:rsidRDefault="0017010A" w:rsidP="008B267C">
      <w:r w:rsidRPr="00DE6310">
        <w:object w:dxaOrig="7170" w:dyaOrig="4665">
          <v:shape id="_x0000_i1043" type="#_x0000_t75" alt="Maximum Intensity of Solicited Systemic AEs Reported after Vaccination by Subjects 9 to 17 Years of Age (Solicited Safety Population), Study CSLCT-QIV-13-02" style="width:342.45pt;height:190.35pt" o:ole="">
            <v:imagedata r:id="rId55" o:title="" cropbottom="4712f"/>
          </v:shape>
          <o:OLEObject Type="Embed" ProgID="Acrobat.Document.DC" ShapeID="_x0000_i1043" DrawAspect="Content" ObjectID="_1609670750" r:id="rId56"/>
        </w:object>
      </w:r>
    </w:p>
    <w:p w:rsidR="00D470CB" w:rsidRDefault="00D470CB" w:rsidP="008B267C">
      <w:pPr>
        <w:pStyle w:val="Heading4"/>
      </w:pPr>
      <w:r w:rsidRPr="00545B14">
        <w:t xml:space="preserve">Deaths and other serious adverse </w:t>
      </w:r>
      <w:r w:rsidRPr="00CA58F0">
        <w:t>events</w:t>
      </w:r>
      <w:bookmarkEnd w:id="165"/>
      <w:bookmarkEnd w:id="166"/>
      <w:bookmarkEnd w:id="167"/>
      <w:bookmarkEnd w:id="168"/>
      <w:bookmarkEnd w:id="169"/>
      <w:bookmarkEnd w:id="170"/>
      <w:bookmarkEnd w:id="171"/>
      <w:bookmarkEnd w:id="172"/>
      <w:r w:rsidRPr="00CA58F0">
        <w:t xml:space="preserve"> in CSLCT-QIV-13-02</w:t>
      </w:r>
    </w:p>
    <w:p w:rsidR="00D470CB" w:rsidRPr="0086121A" w:rsidRDefault="00D470CB" w:rsidP="00D470CB">
      <w:bookmarkStart w:id="173" w:name="_Toc241374325"/>
      <w:bookmarkStart w:id="174" w:name="_Ref272333477"/>
      <w:bookmarkStart w:id="175" w:name="_Toc272414667"/>
      <w:bookmarkStart w:id="176" w:name="_Toc290888531"/>
      <w:bookmarkStart w:id="177" w:name="_Toc416353747"/>
      <w:bookmarkStart w:id="178" w:name="_Toc421005290"/>
      <w:bookmarkStart w:id="179" w:name="_Toc432079167"/>
      <w:bookmarkStart w:id="180" w:name="_Toc432080740"/>
      <w:r w:rsidRPr="0086121A">
        <w:t xml:space="preserve">DEATHS: None. SAEs: 10 subjects (8 in the </w:t>
      </w:r>
      <w:proofErr w:type="spellStart"/>
      <w:r w:rsidRPr="0086121A">
        <w:t>Seqirus</w:t>
      </w:r>
      <w:proofErr w:type="spellEnd"/>
      <w:r w:rsidRPr="0086121A">
        <w:t xml:space="preserve"> QIV </w:t>
      </w:r>
      <w:proofErr w:type="spellStart"/>
      <w:r w:rsidRPr="0086121A">
        <w:t>gp</w:t>
      </w:r>
      <w:proofErr w:type="spellEnd"/>
      <w:r w:rsidRPr="0086121A">
        <w:t xml:space="preserve"> (0.5%) and 2 in the Comparator QIV </w:t>
      </w:r>
      <w:proofErr w:type="spellStart"/>
      <w:r w:rsidRPr="0086121A">
        <w:t>gp</w:t>
      </w:r>
      <w:proofErr w:type="spellEnd"/>
      <w:r w:rsidRPr="0086121A">
        <w:t xml:space="preserve"> (0.4%)) with 13 SAEs. Subject narratives for all </w:t>
      </w:r>
      <w:r>
        <w:t>SAEs are provided</w:t>
      </w:r>
      <w:r w:rsidRPr="0086121A">
        <w:t xml:space="preserve">. One SAE (influenza) was assessed as related to study vaccine by </w:t>
      </w:r>
      <w:r>
        <w:t>the sponsor</w:t>
      </w:r>
      <w:r w:rsidRPr="0086121A">
        <w:t xml:space="preserve"> (but not by the Investigator) and the majority of SAEs were reported by subjects in the 9 to &lt;18 </w:t>
      </w:r>
      <w:proofErr w:type="spellStart"/>
      <w:r w:rsidRPr="0086121A">
        <w:t>yrs</w:t>
      </w:r>
      <w:proofErr w:type="spellEnd"/>
      <w:r w:rsidRPr="0086121A">
        <w:t xml:space="preserve"> age stratum. AESI: None.</w:t>
      </w:r>
    </w:p>
    <w:p w:rsidR="00D470CB" w:rsidRPr="00545B14" w:rsidRDefault="00D470CB" w:rsidP="008B267C">
      <w:pPr>
        <w:pStyle w:val="Heading4"/>
      </w:pPr>
      <w:r w:rsidRPr="00545B14">
        <w:t>Discontinuation</w:t>
      </w:r>
      <w:r>
        <w:t>s</w:t>
      </w:r>
      <w:r w:rsidRPr="00545B14">
        <w:t xml:space="preserve"> due to adverse events</w:t>
      </w:r>
      <w:bookmarkEnd w:id="173"/>
      <w:bookmarkEnd w:id="174"/>
      <w:bookmarkEnd w:id="175"/>
      <w:bookmarkEnd w:id="176"/>
      <w:bookmarkEnd w:id="177"/>
      <w:bookmarkEnd w:id="178"/>
      <w:bookmarkEnd w:id="179"/>
      <w:bookmarkEnd w:id="180"/>
      <w:r w:rsidRPr="00CA58F0">
        <w:t xml:space="preserve"> </w:t>
      </w:r>
      <w:r>
        <w:t xml:space="preserve">in </w:t>
      </w:r>
      <w:r w:rsidRPr="00CA58F0">
        <w:t>CSLCT-QIV-13-02</w:t>
      </w:r>
    </w:p>
    <w:p w:rsidR="00D470CB" w:rsidRPr="0086121A" w:rsidRDefault="00D470CB" w:rsidP="00D470CB">
      <w:bookmarkStart w:id="181" w:name="_Toc241374321"/>
      <w:bookmarkStart w:id="182" w:name="_Ref271044780"/>
      <w:bookmarkStart w:id="183" w:name="_Ref271196640"/>
      <w:bookmarkStart w:id="184" w:name="_Ref272333085"/>
      <w:bookmarkStart w:id="185" w:name="_Toc272414668"/>
      <w:bookmarkStart w:id="186" w:name="_Toc290888532"/>
      <w:bookmarkStart w:id="187" w:name="_Toc416353748"/>
      <w:bookmarkStart w:id="188" w:name="_Toc421005291"/>
      <w:bookmarkStart w:id="189" w:name="_Toc432079168"/>
      <w:bookmarkStart w:id="190" w:name="_Toc432080741"/>
      <w:r w:rsidRPr="0086121A">
        <w:t>No subjects discontinued due to an AE CSLCTQIV-13-02.</w:t>
      </w:r>
    </w:p>
    <w:p w:rsidR="00D470CB" w:rsidRPr="00D64BB3" w:rsidRDefault="00D470CB" w:rsidP="00D64BB3">
      <w:pPr>
        <w:pStyle w:val="Heading3"/>
      </w:pPr>
      <w:bookmarkStart w:id="191" w:name="_Toc521411087"/>
      <w:bookmarkStart w:id="192" w:name="_Toc535416867"/>
      <w:r w:rsidRPr="00D64BB3">
        <w:t xml:space="preserve">Issues </w:t>
      </w:r>
      <w:bookmarkEnd w:id="181"/>
      <w:bookmarkEnd w:id="182"/>
      <w:bookmarkEnd w:id="183"/>
      <w:bookmarkEnd w:id="184"/>
      <w:bookmarkEnd w:id="185"/>
      <w:bookmarkEnd w:id="186"/>
      <w:bookmarkEnd w:id="187"/>
      <w:bookmarkEnd w:id="188"/>
      <w:r w:rsidRPr="00D64BB3">
        <w:t xml:space="preserve">in </w:t>
      </w:r>
      <w:r w:rsidRPr="00D64BB3">
        <w:rPr>
          <w:rFonts w:eastAsia="TimesNewRoman"/>
        </w:rPr>
        <w:t xml:space="preserve">CSLCT-QIV-13-02 </w:t>
      </w:r>
      <w:r w:rsidRPr="00D64BB3">
        <w:t>with possible regulatory impact</w:t>
      </w:r>
      <w:bookmarkEnd w:id="189"/>
      <w:bookmarkEnd w:id="190"/>
      <w:bookmarkEnd w:id="191"/>
      <w:bookmarkEnd w:id="192"/>
    </w:p>
    <w:p w:rsidR="00D470CB" w:rsidRPr="00D64BB3" w:rsidRDefault="00D470CB" w:rsidP="00D64BB3">
      <w:pPr>
        <w:pStyle w:val="Heading4"/>
      </w:pPr>
      <w:bookmarkStart w:id="193" w:name="_Toc272414669"/>
      <w:bookmarkStart w:id="194" w:name="_Toc290888533"/>
      <w:bookmarkStart w:id="195" w:name="_Toc416353749"/>
      <w:bookmarkStart w:id="196" w:name="_Toc421005292"/>
      <w:bookmarkStart w:id="197" w:name="_Toc432079169"/>
      <w:bookmarkStart w:id="198" w:name="_Toc432080742"/>
      <w:r w:rsidRPr="00D64BB3">
        <w:t>Liver function</w:t>
      </w:r>
      <w:bookmarkEnd w:id="193"/>
      <w:bookmarkEnd w:id="194"/>
      <w:bookmarkEnd w:id="195"/>
      <w:bookmarkEnd w:id="196"/>
      <w:r w:rsidRPr="00D64BB3">
        <w:t>, liver toxicity</w:t>
      </w:r>
      <w:bookmarkStart w:id="199" w:name="_Toc272414670"/>
      <w:bookmarkStart w:id="200" w:name="_Toc290888534"/>
      <w:bookmarkStart w:id="201" w:name="_Toc416353750"/>
      <w:bookmarkStart w:id="202" w:name="_Toc421005293"/>
      <w:bookmarkStart w:id="203" w:name="_Toc432079170"/>
      <w:bookmarkStart w:id="204" w:name="_Toc432080743"/>
      <w:bookmarkEnd w:id="197"/>
      <w:bookmarkEnd w:id="198"/>
      <w:r w:rsidRPr="00D64BB3">
        <w:t>, renal function</w:t>
      </w:r>
      <w:bookmarkEnd w:id="199"/>
      <w:bookmarkEnd w:id="200"/>
      <w:bookmarkEnd w:id="201"/>
      <w:bookmarkEnd w:id="202"/>
      <w:r w:rsidRPr="00D64BB3">
        <w:t>, renal toxicity</w:t>
      </w:r>
      <w:bookmarkStart w:id="205" w:name="_Toc272414671"/>
      <w:bookmarkStart w:id="206" w:name="_Toc290888535"/>
      <w:bookmarkStart w:id="207" w:name="_Toc416353751"/>
      <w:bookmarkStart w:id="208" w:name="_Toc421005294"/>
      <w:bookmarkStart w:id="209" w:name="_Toc432079171"/>
      <w:bookmarkStart w:id="210" w:name="_Toc432080744"/>
      <w:bookmarkEnd w:id="203"/>
      <w:bookmarkEnd w:id="204"/>
      <w:r w:rsidRPr="00D64BB3">
        <w:t xml:space="preserve">, </w:t>
      </w:r>
      <w:r w:rsidR="0017010A" w:rsidRPr="00D64BB3">
        <w:t>other</w:t>
      </w:r>
      <w:r w:rsidRPr="00D64BB3">
        <w:t xml:space="preserve"> clinical chemistr</w:t>
      </w:r>
      <w:bookmarkStart w:id="211" w:name="_Toc272414672"/>
      <w:bookmarkStart w:id="212" w:name="_Toc290888536"/>
      <w:bookmarkStart w:id="213" w:name="_Toc416353752"/>
      <w:bookmarkStart w:id="214" w:name="_Toc421005295"/>
      <w:bookmarkStart w:id="215" w:name="_Toc432079172"/>
      <w:bookmarkStart w:id="216" w:name="_Toc432080745"/>
      <w:bookmarkEnd w:id="205"/>
      <w:bookmarkEnd w:id="206"/>
      <w:bookmarkEnd w:id="207"/>
      <w:bookmarkEnd w:id="208"/>
      <w:bookmarkEnd w:id="209"/>
      <w:bookmarkEnd w:id="210"/>
      <w:r w:rsidRPr="00D64BB3">
        <w:t>y, haematology</w:t>
      </w:r>
      <w:bookmarkEnd w:id="211"/>
      <w:bookmarkEnd w:id="212"/>
      <w:bookmarkEnd w:id="213"/>
      <w:bookmarkEnd w:id="214"/>
      <w:r w:rsidRPr="00D64BB3">
        <w:t xml:space="preserve"> and haematological toxicity</w:t>
      </w:r>
      <w:bookmarkEnd w:id="215"/>
      <w:bookmarkEnd w:id="216"/>
    </w:p>
    <w:p w:rsidR="00D470CB" w:rsidRPr="0086121A" w:rsidRDefault="00D470CB" w:rsidP="00D470CB">
      <w:bookmarkStart w:id="217" w:name="_Toc272414674"/>
      <w:bookmarkStart w:id="218" w:name="_Toc290888538"/>
      <w:bookmarkStart w:id="219" w:name="_Toc416353753"/>
      <w:bookmarkStart w:id="220" w:name="_Toc421005296"/>
      <w:bookmarkStart w:id="221" w:name="_Toc432079173"/>
      <w:bookmarkStart w:id="222" w:name="_Toc432080746"/>
      <w:r w:rsidRPr="0086121A">
        <w:t>Not assessed.</w:t>
      </w:r>
      <w:bookmarkStart w:id="223" w:name="_Toc272414675"/>
      <w:bookmarkStart w:id="224" w:name="_Toc290888539"/>
      <w:bookmarkStart w:id="225" w:name="_Toc416353754"/>
      <w:bookmarkStart w:id="226" w:name="_Toc421005297"/>
      <w:bookmarkStart w:id="227" w:name="_Toc432079174"/>
      <w:bookmarkStart w:id="228" w:name="_Toc432080747"/>
      <w:bookmarkEnd w:id="217"/>
      <w:bookmarkEnd w:id="218"/>
      <w:bookmarkEnd w:id="219"/>
      <w:bookmarkEnd w:id="220"/>
      <w:bookmarkEnd w:id="221"/>
      <w:bookmarkEnd w:id="222"/>
    </w:p>
    <w:p w:rsidR="00D470CB" w:rsidRPr="00545B14" w:rsidRDefault="00D470CB" w:rsidP="008B267C">
      <w:pPr>
        <w:pStyle w:val="Heading4"/>
      </w:pPr>
      <w:r w:rsidRPr="00545B14">
        <w:t>Electrocardiograph</w:t>
      </w:r>
      <w:bookmarkEnd w:id="223"/>
      <w:bookmarkEnd w:id="224"/>
      <w:bookmarkEnd w:id="225"/>
      <w:bookmarkEnd w:id="226"/>
      <w:r>
        <w:t xml:space="preserve"> findings and cardiovascular safety</w:t>
      </w:r>
      <w:bookmarkEnd w:id="227"/>
      <w:bookmarkEnd w:id="228"/>
    </w:p>
    <w:p w:rsidR="00D470CB" w:rsidRPr="0086121A" w:rsidRDefault="00D470CB" w:rsidP="00D470CB">
      <w:r w:rsidRPr="0086121A">
        <w:t>Not applicable, not assessed.</w:t>
      </w:r>
      <w:bookmarkStart w:id="229" w:name="_Toc272414676"/>
      <w:bookmarkStart w:id="230" w:name="_Toc290888540"/>
      <w:bookmarkStart w:id="231" w:name="_Toc416353755"/>
      <w:bookmarkStart w:id="232" w:name="_Toc421005298"/>
      <w:bookmarkStart w:id="233" w:name="_Toc432079175"/>
      <w:bookmarkStart w:id="234" w:name="_Toc432080748"/>
    </w:p>
    <w:p w:rsidR="00D470CB" w:rsidRPr="00545B14" w:rsidRDefault="00D470CB" w:rsidP="008B267C">
      <w:pPr>
        <w:pStyle w:val="Heading4"/>
      </w:pPr>
      <w:r w:rsidRPr="00545B14">
        <w:t>Vital signs</w:t>
      </w:r>
      <w:bookmarkEnd w:id="229"/>
      <w:bookmarkEnd w:id="230"/>
      <w:bookmarkEnd w:id="231"/>
      <w:bookmarkEnd w:id="232"/>
      <w:r>
        <w:t xml:space="preserve"> and clinical examination findings</w:t>
      </w:r>
      <w:bookmarkEnd w:id="233"/>
      <w:bookmarkEnd w:id="234"/>
    </w:p>
    <w:p w:rsidR="00D470CB" w:rsidRPr="0086121A" w:rsidRDefault="00D470CB" w:rsidP="00D470CB">
      <w:bookmarkStart w:id="235" w:name="_Toc432079176"/>
      <w:bookmarkStart w:id="236" w:name="_Toc432080749"/>
      <w:r w:rsidRPr="0086121A">
        <w:t>None revealed.</w:t>
      </w:r>
    </w:p>
    <w:p w:rsidR="00D470CB" w:rsidRDefault="00D470CB" w:rsidP="008B267C">
      <w:pPr>
        <w:pStyle w:val="Heading4"/>
      </w:pPr>
      <w:r>
        <w:t>Immunogenicity and immunological events</w:t>
      </w:r>
      <w:bookmarkEnd w:id="235"/>
      <w:bookmarkEnd w:id="236"/>
    </w:p>
    <w:p w:rsidR="00182466" w:rsidRDefault="00D470CB" w:rsidP="00D470CB">
      <w:bookmarkStart w:id="237" w:name="_Toc432079177"/>
      <w:bookmarkStart w:id="238" w:name="_Toc432080750"/>
      <w:r w:rsidRPr="0086121A">
        <w:t>None revealed</w:t>
      </w:r>
      <w:r w:rsidR="00182466">
        <w:t>.</w:t>
      </w:r>
    </w:p>
    <w:p w:rsidR="00D470CB" w:rsidRPr="00E7113A" w:rsidRDefault="00D470CB" w:rsidP="008B267C">
      <w:pPr>
        <w:pStyle w:val="Heading4"/>
      </w:pPr>
      <w:r w:rsidRPr="00E7113A">
        <w:t>Serious skin reactions</w:t>
      </w:r>
      <w:bookmarkEnd w:id="237"/>
      <w:bookmarkEnd w:id="238"/>
    </w:p>
    <w:p w:rsidR="00D470CB" w:rsidRPr="0086121A" w:rsidRDefault="00D470CB" w:rsidP="00D470CB">
      <w:bookmarkStart w:id="239" w:name="_Toc272414686"/>
      <w:bookmarkStart w:id="240" w:name="_Ref273005527"/>
      <w:bookmarkStart w:id="241" w:name="_Toc290888550"/>
      <w:bookmarkStart w:id="242" w:name="_Toc416353765"/>
      <w:bookmarkStart w:id="243" w:name="_Toc421005308"/>
      <w:bookmarkStart w:id="244" w:name="_Toc432079179"/>
      <w:bookmarkStart w:id="245" w:name="_Toc432080752"/>
      <w:r w:rsidRPr="0086121A">
        <w:t>One su</w:t>
      </w:r>
      <w:r>
        <w:t xml:space="preserve">bject who received </w:t>
      </w:r>
      <w:proofErr w:type="spellStart"/>
      <w:r>
        <w:t>Seqirus</w:t>
      </w:r>
      <w:proofErr w:type="spellEnd"/>
      <w:r>
        <w:t xml:space="preserve"> QIV </w:t>
      </w:r>
      <w:r w:rsidRPr="0086121A">
        <w:t>experienced a ‘cellulitis-like reaction’. This subject experienced Grade 3 pain, Grade 3 swelling (up to 78mm), and Grade 3 redness (up to 78mm) concurrently from Day 3 -7 after 1st vaccination into right deltoid muscle. Investigator assessed and confirmed not cellulitis.</w:t>
      </w:r>
    </w:p>
    <w:p w:rsidR="00D470CB" w:rsidRPr="00545B14" w:rsidRDefault="00D470CB" w:rsidP="008B267C">
      <w:pPr>
        <w:pStyle w:val="Heading3"/>
      </w:pPr>
      <w:bookmarkStart w:id="246" w:name="_Toc521411088"/>
      <w:bookmarkStart w:id="247" w:name="_Toc535416868"/>
      <w:r w:rsidRPr="00545B14">
        <w:t>Other safety issues</w:t>
      </w:r>
      <w:bookmarkEnd w:id="239"/>
      <w:bookmarkEnd w:id="240"/>
      <w:bookmarkEnd w:id="241"/>
      <w:bookmarkEnd w:id="242"/>
      <w:bookmarkEnd w:id="243"/>
      <w:bookmarkEnd w:id="244"/>
      <w:bookmarkEnd w:id="245"/>
      <w:bookmarkEnd w:id="246"/>
      <w:bookmarkEnd w:id="247"/>
    </w:p>
    <w:p w:rsidR="00D470CB" w:rsidRPr="00545B14" w:rsidRDefault="00D470CB" w:rsidP="008B267C">
      <w:pPr>
        <w:pStyle w:val="Heading4"/>
      </w:pPr>
      <w:bookmarkStart w:id="248" w:name="_Toc241374322"/>
      <w:bookmarkStart w:id="249" w:name="_Ref272331212"/>
      <w:bookmarkStart w:id="250" w:name="_Toc272414687"/>
      <w:bookmarkStart w:id="251" w:name="_Toc290888551"/>
      <w:bookmarkStart w:id="252" w:name="_Toc416353766"/>
      <w:bookmarkStart w:id="253" w:name="_Toc421005309"/>
      <w:bookmarkStart w:id="254" w:name="_Toc432079180"/>
      <w:bookmarkStart w:id="255" w:name="_Toc432080753"/>
      <w:r w:rsidRPr="00545B14">
        <w:t>Safety in special populations</w:t>
      </w:r>
      <w:bookmarkEnd w:id="248"/>
      <w:bookmarkEnd w:id="249"/>
      <w:bookmarkEnd w:id="250"/>
      <w:bookmarkEnd w:id="251"/>
      <w:bookmarkEnd w:id="252"/>
      <w:bookmarkEnd w:id="253"/>
      <w:bookmarkEnd w:id="254"/>
      <w:bookmarkEnd w:id="255"/>
    </w:p>
    <w:p w:rsidR="00D470CB" w:rsidRPr="0086121A" w:rsidRDefault="00D470CB" w:rsidP="00D470CB">
      <w:bookmarkStart w:id="256" w:name="_Toc241374324"/>
      <w:bookmarkStart w:id="257" w:name="_Ref272331214"/>
      <w:bookmarkStart w:id="258" w:name="_Toc272414688"/>
      <w:bookmarkStart w:id="259" w:name="_Toc290888552"/>
      <w:bookmarkStart w:id="260" w:name="_Toc416353767"/>
      <w:bookmarkStart w:id="261" w:name="_Toc421005310"/>
      <w:bookmarkStart w:id="262" w:name="_Toc432079181"/>
      <w:bookmarkStart w:id="263" w:name="_Toc432080754"/>
      <w:r w:rsidRPr="0086121A">
        <w:t>Not assessed.</w:t>
      </w:r>
    </w:p>
    <w:p w:rsidR="00D470CB" w:rsidRDefault="00D470CB" w:rsidP="008B267C">
      <w:pPr>
        <w:pStyle w:val="Heading4"/>
      </w:pPr>
      <w:r w:rsidRPr="00545B14">
        <w:lastRenderedPageBreak/>
        <w:t>Safety related to drug-drug interactions and other interactions</w:t>
      </w:r>
      <w:bookmarkEnd w:id="256"/>
      <w:bookmarkEnd w:id="257"/>
      <w:bookmarkEnd w:id="258"/>
      <w:bookmarkEnd w:id="259"/>
      <w:bookmarkEnd w:id="260"/>
      <w:bookmarkEnd w:id="261"/>
      <w:bookmarkEnd w:id="262"/>
      <w:bookmarkEnd w:id="263"/>
    </w:p>
    <w:p w:rsidR="00D470CB" w:rsidRPr="0086121A" w:rsidRDefault="00D470CB" w:rsidP="00D470CB">
      <w:bookmarkStart w:id="264" w:name="_Toc241374326"/>
      <w:bookmarkStart w:id="265" w:name="_Ref272333048"/>
      <w:bookmarkStart w:id="266" w:name="_Toc272414679"/>
      <w:bookmarkStart w:id="267" w:name="_Toc290888543"/>
      <w:bookmarkStart w:id="268" w:name="_Toc416353758"/>
      <w:bookmarkStart w:id="269" w:name="_Toc421005301"/>
      <w:bookmarkStart w:id="270" w:name="_Toc432079182"/>
      <w:bookmarkStart w:id="271" w:name="_Toc432080755"/>
      <w:r w:rsidRPr="0086121A">
        <w:t>Not assessed.</w:t>
      </w:r>
    </w:p>
    <w:p w:rsidR="00D470CB" w:rsidRPr="00E4342F" w:rsidRDefault="00D470CB" w:rsidP="008B267C">
      <w:pPr>
        <w:pStyle w:val="Heading3"/>
      </w:pPr>
      <w:bookmarkStart w:id="272" w:name="_Toc521411089"/>
      <w:bookmarkStart w:id="273" w:name="_Toc535416869"/>
      <w:r w:rsidRPr="00E4342F">
        <w:t>Post</w:t>
      </w:r>
      <w:r>
        <w:t xml:space="preserve"> </w:t>
      </w:r>
      <w:r w:rsidRPr="00E4342F">
        <w:t>marketing experience</w:t>
      </w:r>
      <w:bookmarkEnd w:id="264"/>
      <w:bookmarkEnd w:id="265"/>
      <w:bookmarkEnd w:id="266"/>
      <w:bookmarkEnd w:id="267"/>
      <w:bookmarkEnd w:id="268"/>
      <w:bookmarkEnd w:id="269"/>
      <w:bookmarkEnd w:id="270"/>
      <w:bookmarkEnd w:id="271"/>
      <w:bookmarkEnd w:id="272"/>
      <w:bookmarkEnd w:id="273"/>
    </w:p>
    <w:p w:rsidR="00D470CB" w:rsidRPr="0086121A" w:rsidRDefault="00D470CB" w:rsidP="00D470CB">
      <w:bookmarkStart w:id="274" w:name="_Toc241374328"/>
      <w:bookmarkStart w:id="275" w:name="_Toc272414691"/>
      <w:bookmarkStart w:id="276" w:name="_Toc290888555"/>
      <w:bookmarkStart w:id="277" w:name="_Toc416353770"/>
      <w:bookmarkStart w:id="278" w:name="_Toc421005312"/>
      <w:bookmarkStart w:id="279" w:name="_Toc432079183"/>
      <w:bookmarkStart w:id="280" w:name="_Toc432080756"/>
      <w:r w:rsidRPr="0086121A">
        <w:t>Not applicable.</w:t>
      </w:r>
    </w:p>
    <w:p w:rsidR="00D470CB" w:rsidRPr="0086121A" w:rsidRDefault="00D470CB" w:rsidP="008B267C">
      <w:pPr>
        <w:pStyle w:val="Heading3"/>
      </w:pPr>
      <w:bookmarkStart w:id="281" w:name="_Toc521411090"/>
      <w:bookmarkStart w:id="282" w:name="_Toc535416870"/>
      <w:r w:rsidRPr="0086121A">
        <w:t>Evaluator’s overall conclusions on clinical safety</w:t>
      </w:r>
      <w:bookmarkEnd w:id="274"/>
      <w:bookmarkEnd w:id="275"/>
      <w:bookmarkEnd w:id="276"/>
      <w:bookmarkEnd w:id="277"/>
      <w:bookmarkEnd w:id="278"/>
      <w:bookmarkEnd w:id="279"/>
      <w:bookmarkEnd w:id="280"/>
      <w:bookmarkEnd w:id="281"/>
      <w:bookmarkEnd w:id="282"/>
    </w:p>
    <w:p w:rsidR="00D470CB" w:rsidRPr="005D123C" w:rsidRDefault="00D470CB" w:rsidP="00D470CB">
      <w:r w:rsidRPr="005D123C">
        <w:t xml:space="preserve">Safety data was provided for Afluria Quad from a single study conducted during the NH 2015-2016 season, CSLCT-QIV-13-02. In this study, the </w:t>
      </w:r>
      <w:proofErr w:type="spellStart"/>
      <w:r w:rsidRPr="005D123C">
        <w:t>Seqirus</w:t>
      </w:r>
      <w:proofErr w:type="spellEnd"/>
      <w:r w:rsidRPr="005D123C">
        <w:t xml:space="preserve"> QIV contained the </w:t>
      </w:r>
      <w:r>
        <w:t>4 influenza strains split with a higher concentration of</w:t>
      </w:r>
      <w:r w:rsidRPr="005D123C">
        <w:t xml:space="preserve"> TDOC. In total, 874 c</w:t>
      </w:r>
      <w:r>
        <w:t xml:space="preserve">hildren aged 5-8 years and 834 </w:t>
      </w:r>
      <w:r w:rsidRPr="005D123C">
        <w:t>children/adolescents aged 9-17 years received at least 1 dose of Afluria Quad. Fever rates were comparable to the QIV comparator, in both age groups. There was a slight excess of local injection site reactions (pain/swelling/redness) in the younger age group compared to the comparator QIV, although these resolved quickly. There was also a slight excess of severe solicited local adverse reactions in</w:t>
      </w:r>
      <w:r>
        <w:t xml:space="preserve"> the </w:t>
      </w:r>
      <w:proofErr w:type="spellStart"/>
      <w:r>
        <w:t>Seqirus</w:t>
      </w:r>
      <w:proofErr w:type="spellEnd"/>
      <w:r>
        <w:t xml:space="preserve"> QIV recipients versus </w:t>
      </w:r>
      <w:r w:rsidRPr="005D123C">
        <w:t xml:space="preserve">Comparator QIV. One </w:t>
      </w:r>
      <w:proofErr w:type="spellStart"/>
      <w:r w:rsidRPr="005D123C">
        <w:t>Seqirus</w:t>
      </w:r>
      <w:proofErr w:type="spellEnd"/>
      <w:r w:rsidRPr="005D123C">
        <w:t xml:space="preserve"> QIV patient (aged 8) had a ‘cellulitis like reaction’ with grade 3 pain/swelling/redness which lasted through to Day 7 post vaccination. In the older age group myalgia was 1.5 fold more likely to be experienced in the </w:t>
      </w:r>
      <w:proofErr w:type="spellStart"/>
      <w:r w:rsidRPr="005D123C">
        <w:t>Seqirus</w:t>
      </w:r>
      <w:proofErr w:type="spellEnd"/>
      <w:r w:rsidRPr="005D123C">
        <w:t xml:space="preserve"> QIV recipients. Although relatively small numbers of subjects received a second vaccine on study, there was no evidence that receipt on the second vaccine was associated with an excess of solicited local and systemic side-effects, or unsolicited adverse events; in general the second vaccine was better tolerated. CSLCT-USF-10-69 provided supportive safety data for </w:t>
      </w:r>
      <w:proofErr w:type="spellStart"/>
      <w:r w:rsidRPr="005D123C">
        <w:t>Seqirus</w:t>
      </w:r>
      <w:proofErr w:type="spellEnd"/>
      <w:r w:rsidRPr="005D123C">
        <w:t xml:space="preserve"> TIV (2014-2015 NH</w:t>
      </w:r>
      <w:r>
        <w:t xml:space="preserve"> season product) in which the H</w:t>
      </w:r>
      <w:r w:rsidRPr="005D123C">
        <w:t>3N2 and B strains were split at the upper levels</w:t>
      </w:r>
      <w:r>
        <w:t xml:space="preserve"> of TDOC concentration</w:t>
      </w:r>
      <w:r w:rsidRPr="005D123C">
        <w:t xml:space="preserve">. In total there were 292 children aged 5-8 years in the safety analysis set for 1st vaccination. When considering historical fever rates in previous paediatric clinical studies (CSLCT-USF-07-36, CSLCT-USF-06-29 and CSLCT-FLU-04-05) in the same age group, overall and severe fever rates were lower in children vaccinated with the </w:t>
      </w:r>
      <w:proofErr w:type="spellStart"/>
      <w:r>
        <w:t>Seqirus</w:t>
      </w:r>
      <w:proofErr w:type="spellEnd"/>
      <w:r>
        <w:t xml:space="preserve"> TIV manufactured using higher</w:t>
      </w:r>
      <w:r w:rsidRPr="005D123C">
        <w:t xml:space="preserve"> TDOC splitting conditions</w:t>
      </w:r>
      <w:r>
        <w:t xml:space="preserve"> for the H3N2 and B strains.</w:t>
      </w:r>
    </w:p>
    <w:p w:rsidR="00D470CB" w:rsidRPr="005D123C" w:rsidRDefault="00D470CB" w:rsidP="00D470CB">
      <w:r w:rsidRPr="005D123C">
        <w:t xml:space="preserve">The clinical reviewer notes the reporting of an SAE (‘severe delirium febrile’) which was reported as ‘expected’ and then later reassessed as ‘unlisted/unexpected’. This event </w:t>
      </w:r>
      <w:r>
        <w:t>was reported to the DSMB Chair.</w:t>
      </w:r>
      <w:r w:rsidRPr="005D123C">
        <w:t xml:space="preserve"> In summary, with respect to the safety data arising from </w:t>
      </w:r>
      <w:r>
        <w:t>Study CSL</w:t>
      </w:r>
      <w:r w:rsidRPr="005D123C">
        <w:t xml:space="preserve">CT-QIV-13-02, Afluria Quad appears </w:t>
      </w:r>
      <w:r w:rsidRPr="00CB0E3F">
        <w:t>to have an acceptable safety profile</w:t>
      </w:r>
      <w:r w:rsidRPr="00CB0E3F" w:rsidDel="00CB0E3F">
        <w:t xml:space="preserve"> </w:t>
      </w:r>
      <w:r w:rsidRPr="005D123C">
        <w:t>in both age groups enrolled.</w:t>
      </w:r>
    </w:p>
    <w:p w:rsidR="00D470CB" w:rsidRDefault="00D470CB" w:rsidP="008B267C">
      <w:pPr>
        <w:pStyle w:val="Heading2"/>
      </w:pPr>
      <w:bookmarkStart w:id="283" w:name="_Toc521411091"/>
      <w:bookmarkStart w:id="284" w:name="_Toc535416871"/>
      <w:r>
        <w:t>First round benefit-risk assessment</w:t>
      </w:r>
      <w:bookmarkEnd w:id="283"/>
      <w:bookmarkEnd w:id="284"/>
    </w:p>
    <w:p w:rsidR="00182466" w:rsidRDefault="00D470CB" w:rsidP="008B267C">
      <w:pPr>
        <w:pStyle w:val="Heading3"/>
      </w:pPr>
      <w:bookmarkStart w:id="285" w:name="_Toc236802592"/>
      <w:bookmarkStart w:id="286" w:name="_Toc241374331"/>
      <w:bookmarkStart w:id="287" w:name="_Ref272160836"/>
      <w:bookmarkStart w:id="288" w:name="_Toc272414693"/>
      <w:bookmarkStart w:id="289" w:name="_Toc290888557"/>
      <w:bookmarkStart w:id="290" w:name="_Toc416353772"/>
      <w:bookmarkStart w:id="291" w:name="_Toc421005314"/>
      <w:bookmarkStart w:id="292" w:name="_Toc432079185"/>
      <w:bookmarkStart w:id="293" w:name="_Toc432080758"/>
      <w:bookmarkStart w:id="294" w:name="_Toc521411092"/>
      <w:bookmarkStart w:id="295" w:name="_Toc535416872"/>
      <w:r w:rsidRPr="00545B14">
        <w:t xml:space="preserve">First round </w:t>
      </w:r>
      <w:r w:rsidRPr="008B267C">
        <w:t>assessment</w:t>
      </w:r>
      <w:r w:rsidRPr="00545B14">
        <w:t xml:space="preserve"> of </w:t>
      </w:r>
      <w:r w:rsidRPr="000D5752">
        <w:t>benefits</w:t>
      </w:r>
      <w:bookmarkEnd w:id="285"/>
      <w:bookmarkEnd w:id="286"/>
      <w:bookmarkEnd w:id="287"/>
      <w:bookmarkEnd w:id="288"/>
      <w:bookmarkEnd w:id="289"/>
      <w:bookmarkEnd w:id="290"/>
      <w:bookmarkEnd w:id="291"/>
      <w:bookmarkEnd w:id="292"/>
      <w:bookmarkEnd w:id="293"/>
      <w:bookmarkEnd w:id="294"/>
      <w:bookmarkEnd w:id="295"/>
    </w:p>
    <w:p w:rsidR="00D470CB" w:rsidRDefault="00D470CB" w:rsidP="00D470CB">
      <w:bookmarkStart w:id="296" w:name="_Toc236802596"/>
      <w:bookmarkStart w:id="297" w:name="_Toc241374334"/>
      <w:bookmarkStart w:id="298" w:name="_Ref272160964"/>
      <w:bookmarkStart w:id="299" w:name="_Toc272414694"/>
      <w:bookmarkStart w:id="300" w:name="_Toc290888558"/>
      <w:bookmarkStart w:id="301" w:name="_Toc416353773"/>
      <w:bookmarkStart w:id="302" w:name="_Toc421005315"/>
      <w:bookmarkStart w:id="303" w:name="_Toc432079186"/>
      <w:bookmarkStart w:id="304" w:name="_Toc432080759"/>
      <w:r>
        <w:t>See table below.</w:t>
      </w:r>
    </w:p>
    <w:p w:rsidR="00D470CB" w:rsidRDefault="00D470CB" w:rsidP="00D470CB">
      <w:pPr>
        <w:pStyle w:val="TableTitle0"/>
      </w:pPr>
      <w:r>
        <w:t>Table 13: First round assessment of benefits</w:t>
      </w:r>
    </w:p>
    <w:tbl>
      <w:tblPr>
        <w:tblStyle w:val="TableTGAblue"/>
        <w:tblW w:w="0" w:type="auto"/>
        <w:tblLook w:val="04A0" w:firstRow="1" w:lastRow="0" w:firstColumn="1" w:lastColumn="0" w:noHBand="0" w:noVBand="1"/>
        <w:tblDescription w:val="First round assessment of benefits"/>
      </w:tblPr>
      <w:tblGrid>
        <w:gridCol w:w="4678"/>
        <w:gridCol w:w="4111"/>
      </w:tblGrid>
      <w:tr w:rsidR="008B267C" w:rsidRPr="008B267C" w:rsidTr="00D64B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89" w:type="dxa"/>
            <w:gridSpan w:val="2"/>
          </w:tcPr>
          <w:p w:rsidR="00D470CB" w:rsidRPr="008B267C" w:rsidRDefault="00D470CB" w:rsidP="00D64BB3">
            <w:r w:rsidRPr="008B267C">
              <w:t>Indication</w:t>
            </w:r>
          </w:p>
        </w:tc>
      </w:tr>
      <w:tr w:rsidR="008B267C" w:rsidRPr="008B267C" w:rsidTr="00D64B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8" w:type="dxa"/>
            <w:shd w:val="clear" w:color="auto" w:fill="007EC4"/>
          </w:tcPr>
          <w:p w:rsidR="00D470CB" w:rsidRPr="008B267C" w:rsidRDefault="00D470CB" w:rsidP="00D64BB3">
            <w:r w:rsidRPr="008B267C">
              <w:t>Benefits</w:t>
            </w:r>
          </w:p>
        </w:tc>
        <w:tc>
          <w:tcPr>
            <w:tcW w:w="4111" w:type="dxa"/>
            <w:shd w:val="clear" w:color="auto" w:fill="007EC4"/>
          </w:tcPr>
          <w:p w:rsidR="00D470CB" w:rsidRPr="008B267C" w:rsidRDefault="00D470CB" w:rsidP="00D64BB3">
            <w:pPr>
              <w:cnfStyle w:val="100000000000" w:firstRow="1" w:lastRow="0" w:firstColumn="0" w:lastColumn="0" w:oddVBand="0" w:evenVBand="0" w:oddHBand="0" w:evenHBand="0" w:firstRowFirstColumn="0" w:firstRowLastColumn="0" w:lastRowFirstColumn="0" w:lastRowLastColumn="0"/>
            </w:pPr>
            <w:r w:rsidRPr="008B267C">
              <w:t>Strengths and Uncertainties</w:t>
            </w:r>
          </w:p>
        </w:tc>
      </w:tr>
      <w:tr w:rsidR="00D470CB" w:rsidRPr="002A5D0A" w:rsidTr="00D64BB3">
        <w:tc>
          <w:tcPr>
            <w:cnfStyle w:val="001000000000" w:firstRow="0" w:lastRow="0" w:firstColumn="1" w:lastColumn="0" w:oddVBand="0" w:evenVBand="0" w:oddHBand="0" w:evenHBand="0" w:firstRowFirstColumn="0" w:firstRowLastColumn="0" w:lastRowFirstColumn="0" w:lastRowLastColumn="0"/>
            <w:tcW w:w="4678" w:type="dxa"/>
          </w:tcPr>
          <w:p w:rsidR="00D470CB" w:rsidRPr="008B267C" w:rsidRDefault="00D470CB" w:rsidP="00D64BB3">
            <w:pPr>
              <w:pStyle w:val="Numberbullet0"/>
            </w:pPr>
            <w:r w:rsidRPr="008B267C">
              <w:t xml:space="preserve">Afluria Quad in the proposed usage provides non-inferior ‘coverage’ (antibody seroconversion and other </w:t>
            </w:r>
            <w:r w:rsidRPr="008B267C">
              <w:lastRenderedPageBreak/>
              <w:t>standard measures of immunogenicity) against all 4 influenza strains contained in the vaccine vs. an approved US Comparator QIV.</w:t>
            </w:r>
          </w:p>
          <w:p w:rsidR="00D470CB" w:rsidRPr="008B267C" w:rsidRDefault="00D470CB" w:rsidP="00D64BB3">
            <w:pPr>
              <w:pStyle w:val="Numberbullet0"/>
            </w:pPr>
            <w:r w:rsidRPr="008B267C">
              <w:t>Safety profile of this QIV is similar to the comparator QIV.</w:t>
            </w:r>
          </w:p>
          <w:p w:rsidR="00D470CB" w:rsidRPr="008B267C" w:rsidRDefault="00D470CB" w:rsidP="00D64BB3">
            <w:pPr>
              <w:pStyle w:val="Numberbullet0"/>
            </w:pPr>
            <w:r w:rsidRPr="008B267C">
              <w:t xml:space="preserve">Safety data from the CSLCTUSF-10-69 study is supportive, although it used a TIV vaccine, with 2 of the 3 strains split with the higher concentrations of TDOC. </w:t>
            </w:r>
          </w:p>
        </w:tc>
        <w:tc>
          <w:tcPr>
            <w:tcW w:w="4111" w:type="dxa"/>
          </w:tcPr>
          <w:p w:rsidR="00D470CB" w:rsidRPr="00D64BB3" w:rsidRDefault="00D470CB" w:rsidP="00D64BB3">
            <w:pPr>
              <w:pStyle w:val="Numberbullet0"/>
              <w:numPr>
                <w:ilvl w:val="0"/>
                <w:numId w:val="47"/>
              </w:numPr>
              <w:cnfStyle w:val="000000000000" w:firstRow="0" w:lastRow="0" w:firstColumn="0" w:lastColumn="0" w:oddVBand="0" w:evenVBand="0" w:oddHBand="0" w:evenHBand="0" w:firstRowFirstColumn="0" w:firstRowLastColumn="0" w:lastRowFirstColumn="0" w:lastRowLastColumn="0"/>
              <w:rPr>
                <w:rFonts w:cstheme="minorHAnsi"/>
              </w:rPr>
            </w:pPr>
            <w:r w:rsidRPr="00D64BB3">
              <w:rPr>
                <w:rFonts w:cstheme="minorHAnsi"/>
              </w:rPr>
              <w:lastRenderedPageBreak/>
              <w:t xml:space="preserve">Data are robust, study design appropriate with adequate power, standard immunogenicity </w:t>
            </w:r>
            <w:r w:rsidRPr="00D64BB3">
              <w:rPr>
                <w:rFonts w:cstheme="minorHAnsi"/>
              </w:rPr>
              <w:lastRenderedPageBreak/>
              <w:t>endpoints</w:t>
            </w:r>
          </w:p>
          <w:p w:rsidR="00D470CB" w:rsidRPr="008B267C" w:rsidRDefault="00D470CB" w:rsidP="00D64BB3">
            <w:pPr>
              <w:pStyle w:val="Numberbullet0"/>
              <w:cnfStyle w:val="000000000000" w:firstRow="0" w:lastRow="0" w:firstColumn="0" w:lastColumn="0" w:oddVBand="0" w:evenVBand="0" w:oddHBand="0" w:evenHBand="0" w:firstRowFirstColumn="0" w:firstRowLastColumn="0" w:lastRowFirstColumn="0" w:lastRowLastColumn="0"/>
              <w:rPr>
                <w:rFonts w:cstheme="minorHAnsi"/>
              </w:rPr>
            </w:pPr>
            <w:r w:rsidRPr="008B267C">
              <w:rPr>
                <w:rFonts w:cstheme="minorHAnsi"/>
              </w:rPr>
              <w:t>Safety data provided for only 874 in the younger age group (5-8 years), I feel uncertain with this new QIV and with all 4 split with the higher percentages of TDOC, that this is sufficient immunogenicity and safety data.</w:t>
            </w:r>
          </w:p>
          <w:p w:rsidR="00D470CB" w:rsidRPr="008B267C" w:rsidRDefault="00D470CB" w:rsidP="00D64BB3">
            <w:pPr>
              <w:pStyle w:val="Numberbullet0"/>
              <w:cnfStyle w:val="000000000000" w:firstRow="0" w:lastRow="0" w:firstColumn="0" w:lastColumn="0" w:oddVBand="0" w:evenVBand="0" w:oddHBand="0" w:evenHBand="0" w:firstRowFirstColumn="0" w:firstRowLastColumn="0" w:lastRowFirstColumn="0" w:lastRowLastColumn="0"/>
              <w:rPr>
                <w:rFonts w:cstheme="minorHAnsi"/>
              </w:rPr>
            </w:pPr>
            <w:r w:rsidRPr="008B267C">
              <w:t>While the safety data from the CSLCTUSF-10-69 study is reassuring, it did not use Afluria Quad, and is underpowered for the comparator arm. No immunogenicity data provided in this study.</w:t>
            </w:r>
          </w:p>
          <w:p w:rsidR="00D470CB" w:rsidRPr="008B267C" w:rsidRDefault="00D470CB" w:rsidP="00D64BB3">
            <w:pPr>
              <w:pStyle w:val="Numberbullet0"/>
              <w:cnfStyle w:val="000000000000" w:firstRow="0" w:lastRow="0" w:firstColumn="0" w:lastColumn="0" w:oddVBand="0" w:evenVBand="0" w:oddHBand="0" w:evenHBand="0" w:firstRowFirstColumn="0" w:firstRowLastColumn="0" w:lastRowFirstColumn="0" w:lastRowLastColumn="0"/>
              <w:rPr>
                <w:rFonts w:cstheme="minorHAnsi"/>
              </w:rPr>
            </w:pPr>
            <w:r w:rsidRPr="008B267C">
              <w:rPr>
                <w:rFonts w:cstheme="minorHAnsi"/>
              </w:rPr>
              <w:t xml:space="preserve">Other QIV flu vaccines available, so this QIV will not fill a ‘gap in the market’. </w:t>
            </w:r>
          </w:p>
        </w:tc>
      </w:tr>
    </w:tbl>
    <w:p w:rsidR="00182466" w:rsidRDefault="00D470CB" w:rsidP="008B267C">
      <w:pPr>
        <w:pStyle w:val="Heading3"/>
      </w:pPr>
      <w:bookmarkStart w:id="305" w:name="_Toc521411093"/>
      <w:bookmarkStart w:id="306" w:name="_Toc535416873"/>
      <w:r w:rsidRPr="000D5752">
        <w:lastRenderedPageBreak/>
        <w:t xml:space="preserve">First round </w:t>
      </w:r>
      <w:r w:rsidRPr="008B267C">
        <w:t>assessment</w:t>
      </w:r>
      <w:r w:rsidRPr="000D5752">
        <w:t xml:space="preserve"> of risks</w:t>
      </w:r>
      <w:bookmarkEnd w:id="296"/>
      <w:bookmarkEnd w:id="297"/>
      <w:bookmarkEnd w:id="298"/>
      <w:bookmarkEnd w:id="299"/>
      <w:bookmarkEnd w:id="300"/>
      <w:bookmarkEnd w:id="301"/>
      <w:bookmarkEnd w:id="302"/>
      <w:bookmarkEnd w:id="303"/>
      <w:bookmarkEnd w:id="304"/>
      <w:bookmarkEnd w:id="305"/>
      <w:bookmarkEnd w:id="306"/>
    </w:p>
    <w:p w:rsidR="00D470CB" w:rsidRDefault="00D470CB" w:rsidP="00D470CB">
      <w:bookmarkStart w:id="307" w:name="_Toc236802597"/>
      <w:bookmarkStart w:id="308" w:name="_Toc241374335"/>
      <w:bookmarkStart w:id="309" w:name="_Toc272414695"/>
      <w:bookmarkStart w:id="310" w:name="_Toc290888559"/>
      <w:bookmarkStart w:id="311" w:name="_Toc416353775"/>
      <w:bookmarkStart w:id="312" w:name="_Toc421005316"/>
      <w:bookmarkStart w:id="313" w:name="_Toc432079187"/>
      <w:bookmarkStart w:id="314" w:name="_Toc432080760"/>
      <w:r>
        <w:t>See table below.</w:t>
      </w:r>
    </w:p>
    <w:p w:rsidR="00D470CB" w:rsidRDefault="00D470CB" w:rsidP="00D470CB">
      <w:pPr>
        <w:pStyle w:val="TableTitle0"/>
      </w:pPr>
      <w:r>
        <w:t>Table 14:</w:t>
      </w:r>
      <w:r w:rsidRPr="00051D3F">
        <w:t xml:space="preserve"> </w:t>
      </w:r>
      <w:r>
        <w:t>First round assessment of risks</w:t>
      </w:r>
    </w:p>
    <w:tbl>
      <w:tblPr>
        <w:tblStyle w:val="TableTGAblue"/>
        <w:tblW w:w="0" w:type="auto"/>
        <w:tblLook w:val="04A0" w:firstRow="1" w:lastRow="0" w:firstColumn="1" w:lastColumn="0" w:noHBand="0" w:noVBand="1"/>
        <w:tblDescription w:val="First round assessment of risks"/>
      </w:tblPr>
      <w:tblGrid>
        <w:gridCol w:w="4678"/>
        <w:gridCol w:w="4111"/>
      </w:tblGrid>
      <w:tr w:rsidR="008B267C" w:rsidRPr="008B267C" w:rsidTr="007750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8" w:type="dxa"/>
          </w:tcPr>
          <w:p w:rsidR="00D470CB" w:rsidRPr="008B267C" w:rsidRDefault="00D470CB" w:rsidP="00775030">
            <w:pPr>
              <w:pStyle w:val="Numberbullet0"/>
              <w:numPr>
                <w:ilvl w:val="0"/>
                <w:numId w:val="0"/>
              </w:numPr>
              <w:ind w:left="425"/>
            </w:pPr>
            <w:r w:rsidRPr="008B267C">
              <w:t>Risks</w:t>
            </w:r>
          </w:p>
        </w:tc>
        <w:tc>
          <w:tcPr>
            <w:tcW w:w="4111" w:type="dxa"/>
          </w:tcPr>
          <w:p w:rsidR="00D470CB" w:rsidRPr="008B267C" w:rsidRDefault="00D470CB" w:rsidP="00775030">
            <w:pPr>
              <w:pStyle w:val="Numberbullet0"/>
              <w:numPr>
                <w:ilvl w:val="0"/>
                <w:numId w:val="0"/>
              </w:numPr>
              <w:ind w:left="425"/>
              <w:cnfStyle w:val="100000000000" w:firstRow="1" w:lastRow="0" w:firstColumn="0" w:lastColumn="0" w:oddVBand="0" w:evenVBand="0" w:oddHBand="0" w:evenHBand="0" w:firstRowFirstColumn="0" w:firstRowLastColumn="0" w:lastRowFirstColumn="0" w:lastRowLastColumn="0"/>
            </w:pPr>
            <w:r w:rsidRPr="008B267C">
              <w:t>Strengths and Uncertainties</w:t>
            </w:r>
          </w:p>
        </w:tc>
      </w:tr>
      <w:tr w:rsidR="00D470CB" w:rsidRPr="002A5D0A" w:rsidTr="00D64BB3">
        <w:tc>
          <w:tcPr>
            <w:cnfStyle w:val="001000000000" w:firstRow="0" w:lastRow="0" w:firstColumn="1" w:lastColumn="0" w:oddVBand="0" w:evenVBand="0" w:oddHBand="0" w:evenHBand="0" w:firstRowFirstColumn="0" w:firstRowLastColumn="0" w:lastRowFirstColumn="0" w:lastRowLastColumn="0"/>
            <w:tcW w:w="4678" w:type="dxa"/>
          </w:tcPr>
          <w:p w:rsidR="00D470CB" w:rsidRPr="00D64BB3" w:rsidRDefault="00D470CB" w:rsidP="00D64BB3">
            <w:pPr>
              <w:pStyle w:val="Numberbullet0"/>
              <w:numPr>
                <w:ilvl w:val="0"/>
                <w:numId w:val="48"/>
              </w:numPr>
            </w:pPr>
            <w:r w:rsidRPr="00D64BB3">
              <w:t>No data on the immunogenicity and safety profile in immunocompromised patients as these subjects were specifically excluded from participation;</w:t>
            </w:r>
          </w:p>
          <w:p w:rsidR="00182466" w:rsidRDefault="00D470CB" w:rsidP="00D64BB3">
            <w:pPr>
              <w:pStyle w:val="Numberbullet0"/>
            </w:pPr>
            <w:r w:rsidRPr="008B267C">
              <w:t>Data supplied is over one NH season, in one country, predominantly children of white ethnicity enrolled, only 874 younger children aged 5-8 years exposed, are these data representative for a new formulation of QIV?</w:t>
            </w:r>
          </w:p>
          <w:p w:rsidR="00D470CB" w:rsidRPr="008B267C" w:rsidRDefault="00D470CB" w:rsidP="00D64BB3">
            <w:pPr>
              <w:pStyle w:val="Numberbullet0"/>
            </w:pPr>
            <w:r w:rsidRPr="008B267C">
              <w:t>Hardly any data for the QIV in subjects of Asian ethnicity, this is of direct relevance to Australia.</w:t>
            </w:r>
          </w:p>
          <w:p w:rsidR="00D470CB" w:rsidRPr="008B267C" w:rsidRDefault="00D470CB" w:rsidP="00D64BB3">
            <w:pPr>
              <w:pStyle w:val="Numberbullet0"/>
            </w:pPr>
            <w:r w:rsidRPr="008B267C">
              <w:t>No data for the QIV in Australian indigenous ethnicity – this is of direct relevance to Australia.</w:t>
            </w:r>
          </w:p>
        </w:tc>
        <w:tc>
          <w:tcPr>
            <w:tcW w:w="4111" w:type="dxa"/>
          </w:tcPr>
          <w:p w:rsidR="00182466" w:rsidRPr="00D64BB3" w:rsidRDefault="00D470CB" w:rsidP="00D64BB3">
            <w:pPr>
              <w:pStyle w:val="Numberbullet0"/>
              <w:numPr>
                <w:ilvl w:val="0"/>
                <w:numId w:val="49"/>
              </w:numPr>
              <w:cnfStyle w:val="000000000000" w:firstRow="0" w:lastRow="0" w:firstColumn="0" w:lastColumn="0" w:oddVBand="0" w:evenVBand="0" w:oddHBand="0" w:evenHBand="0" w:firstRowFirstColumn="0" w:firstRowLastColumn="0" w:lastRowFirstColumn="0" w:lastRowLastColumn="0"/>
              <w:rPr>
                <w:rFonts w:cstheme="minorHAnsi"/>
              </w:rPr>
            </w:pPr>
            <w:r w:rsidRPr="00D64BB3">
              <w:rPr>
                <w:rFonts w:cstheme="minorHAnsi"/>
              </w:rPr>
              <w:t>Flagged in</w:t>
            </w:r>
            <w:r w:rsidR="00D64BB3">
              <w:rPr>
                <w:rFonts w:cstheme="minorHAnsi"/>
              </w:rPr>
              <w:t xml:space="preserve"> the PI; as detailed in the RMP.</w:t>
            </w:r>
          </w:p>
          <w:p w:rsidR="00D470CB" w:rsidRPr="008B267C" w:rsidRDefault="00D470CB" w:rsidP="00D64BB3">
            <w:pPr>
              <w:pStyle w:val="Numberbullet0"/>
              <w:numPr>
                <w:ilvl w:val="0"/>
                <w:numId w:val="0"/>
              </w:numPr>
              <w:ind w:left="425"/>
              <w:cnfStyle w:val="000000000000" w:firstRow="0" w:lastRow="0" w:firstColumn="0" w:lastColumn="0" w:oddVBand="0" w:evenVBand="0" w:oddHBand="0" w:evenHBand="0" w:firstRowFirstColumn="0" w:firstRowLastColumn="0" w:lastRowFirstColumn="0" w:lastRowLastColumn="0"/>
              <w:rPr>
                <w:rFonts w:cstheme="minorHAnsi"/>
              </w:rPr>
            </w:pPr>
            <w:r w:rsidRPr="008B267C">
              <w:rPr>
                <w:rFonts w:eastAsiaTheme="minorHAnsi" w:cs="Calibri"/>
                <w:color w:val="000000"/>
              </w:rPr>
              <w:t>Other routine measures including monitoring and reporting of post-marketing safety data and signal detection in the immunocompromised.</w:t>
            </w:r>
          </w:p>
        </w:tc>
      </w:tr>
    </w:tbl>
    <w:p w:rsidR="00D470CB" w:rsidRPr="00545B14" w:rsidRDefault="00D470CB" w:rsidP="008B267C">
      <w:pPr>
        <w:pStyle w:val="Heading3"/>
      </w:pPr>
      <w:bookmarkStart w:id="315" w:name="_Toc521411094"/>
      <w:bookmarkStart w:id="316" w:name="_Toc535416874"/>
      <w:r w:rsidRPr="00545B14">
        <w:lastRenderedPageBreak/>
        <w:t>First round assessment of benefit-risk</w:t>
      </w:r>
      <w:bookmarkEnd w:id="307"/>
      <w:bookmarkEnd w:id="308"/>
      <w:bookmarkEnd w:id="309"/>
      <w:bookmarkEnd w:id="310"/>
      <w:bookmarkEnd w:id="311"/>
      <w:bookmarkEnd w:id="312"/>
      <w:r>
        <w:t xml:space="preserve"> balance</w:t>
      </w:r>
      <w:bookmarkEnd w:id="313"/>
      <w:bookmarkEnd w:id="314"/>
      <w:bookmarkEnd w:id="315"/>
      <w:bookmarkEnd w:id="316"/>
    </w:p>
    <w:p w:rsidR="00D470CB" w:rsidRPr="00DB1342" w:rsidRDefault="00D470CB" w:rsidP="00D470CB">
      <w:r w:rsidRPr="00DB1342">
        <w:t xml:space="preserve">While the data arising from this single </w:t>
      </w:r>
      <w:r>
        <w:t>Study CSL</w:t>
      </w:r>
      <w:r w:rsidRPr="00DB1342">
        <w:t xml:space="preserve">CT-QIV-13-02, demonstrate that Afluria Quad appears safe and immunogenic against all 4 influenza strains (2 x ‘A’ and 2 x ‘B’) in the younger and </w:t>
      </w:r>
      <w:r w:rsidR="008B267C">
        <w:t xml:space="preserve">the </w:t>
      </w:r>
      <w:r w:rsidRPr="00DB1342">
        <w:t xml:space="preserve">older children enrolled in the study, </w:t>
      </w:r>
      <w:r>
        <w:t xml:space="preserve">the evaluator has </w:t>
      </w:r>
      <w:r w:rsidRPr="00DB1342">
        <w:t>a number of concerns:</w:t>
      </w:r>
    </w:p>
    <w:p w:rsidR="00D470CB" w:rsidRPr="008B267C" w:rsidRDefault="00D470CB" w:rsidP="008B267C">
      <w:pPr>
        <w:pStyle w:val="ListBullet"/>
      </w:pPr>
      <w:r w:rsidRPr="008B267C">
        <w:t>The study took place over just one NH season;</w:t>
      </w:r>
    </w:p>
    <w:p w:rsidR="00D470CB" w:rsidRPr="008B267C" w:rsidRDefault="00D470CB" w:rsidP="008B267C">
      <w:pPr>
        <w:pStyle w:val="ListBullet"/>
      </w:pPr>
      <w:r w:rsidRPr="008B267C">
        <w:t>The study enrolled predominantly children of white ethnicity, and hardly any children of Asian ethnicity were enrolled, this is of direct relevance to Australia;</w:t>
      </w:r>
    </w:p>
    <w:p w:rsidR="00D470CB" w:rsidRPr="008B267C" w:rsidRDefault="00D470CB" w:rsidP="008B267C">
      <w:pPr>
        <w:pStyle w:val="ListBullet"/>
      </w:pPr>
      <w:r w:rsidRPr="008B267C">
        <w:t>Overall, only 874 younger children (aged 5-8 years) have been exposed to Afluria Quad with all 4 strains split with higher levels of TDOC</w:t>
      </w:r>
      <w:r w:rsidR="008B267C">
        <w:t>;</w:t>
      </w:r>
      <w:r w:rsidRPr="008B267C">
        <w:t xml:space="preserve"> do we know that future lots will be as immunogenic and safe?</w:t>
      </w:r>
    </w:p>
    <w:p w:rsidR="00D470CB" w:rsidRPr="008B267C" w:rsidRDefault="00D470CB" w:rsidP="008B267C">
      <w:pPr>
        <w:pStyle w:val="ListBullet"/>
      </w:pPr>
      <w:r w:rsidRPr="008B267C">
        <w:t>While CSLCTUSF-10-69 is a supportive study providing safety information without any immunogenicity data in the 5-8 year old age group, the TIV vaccine used in this study contained the H3N2 and B/Massachusetts/02/2012 (B Yamagata) strains split with higher concentrations of TDOC, the H1N1 strain was split with lower, more ‘usual’ concentrations of TDOC. While no safety signals of concern were revealed when comparing febrile reactions to historical data from older TIV formulations, these data would have been more compelling if the study was properly powered for the Comparator (a US registered QIV), and if the TIV vaccine had included all 3 strains split with higher concentrations of TDOC.</w:t>
      </w:r>
    </w:p>
    <w:p w:rsidR="00182466" w:rsidRDefault="00D470CB" w:rsidP="008B267C">
      <w:pPr>
        <w:pStyle w:val="ListBullet"/>
      </w:pPr>
      <w:r w:rsidRPr="008B267C">
        <w:t>The evaluator is aware that there is an ongoing study of Afluria Quad in children between the ages of 6-6-59 months, CSLCT-QIV-15-03, which is due to report in 3rd Quarter of 2017. The safety and immunogenicity data for different lot(s) of Afluria Quad (containing A/California/7/2009 (H1N1); A/Hong Kong/4801/2014 (H3N2); B/Phuket/3073/2013 (B Yamagata); B/Brisbane/60/2008; (B Victoria)), albeit in a slightly younger age group, will provide further important data of this QIV in children, albeit in a younger age group. The evaluator thinks the data arising from CSLCT-QIV-15-03 will compliment that already provided in CSLCT-QIV-13-02 and provide a broader immunogenicity and safety profile in the paediatric</w:t>
      </w:r>
      <w:r w:rsidR="00182466">
        <w:t>.</w:t>
      </w:r>
    </w:p>
    <w:p w:rsidR="00D470CB" w:rsidRDefault="00D470CB" w:rsidP="008B267C">
      <w:pPr>
        <w:pStyle w:val="Heading2"/>
      </w:pPr>
      <w:bookmarkStart w:id="317" w:name="_Toc521411095"/>
      <w:bookmarkStart w:id="318" w:name="_Toc535416875"/>
      <w:r>
        <w:t>First round recommendation regarding authorisation</w:t>
      </w:r>
      <w:bookmarkEnd w:id="317"/>
      <w:bookmarkEnd w:id="318"/>
    </w:p>
    <w:p w:rsidR="00D470CB" w:rsidRPr="00CC6F29" w:rsidRDefault="00D470CB" w:rsidP="00D470CB">
      <w:r>
        <w:t>The evaluator does not</w:t>
      </w:r>
      <w:r w:rsidRPr="00CC6F29">
        <w:t xml:space="preserve"> recommend authorisation.</w:t>
      </w:r>
    </w:p>
    <w:p w:rsidR="00D470CB" w:rsidRDefault="00D470CB" w:rsidP="008B267C">
      <w:pPr>
        <w:pStyle w:val="Heading2"/>
      </w:pPr>
      <w:bookmarkStart w:id="319" w:name="_Toc521411096"/>
      <w:bookmarkStart w:id="320" w:name="_Toc535416876"/>
      <w:r>
        <w:t xml:space="preserve">Clinical </w:t>
      </w:r>
      <w:r w:rsidRPr="008B267C">
        <w:t>questions</w:t>
      </w:r>
      <w:bookmarkEnd w:id="319"/>
      <w:bookmarkEnd w:id="320"/>
    </w:p>
    <w:p w:rsidR="00D470CB" w:rsidRPr="008E2D54" w:rsidRDefault="00D470CB" w:rsidP="008B267C">
      <w:pPr>
        <w:pStyle w:val="Heading3"/>
      </w:pPr>
      <w:bookmarkStart w:id="321" w:name="_Toc272414704"/>
      <w:bookmarkStart w:id="322" w:name="_Toc290888570"/>
      <w:bookmarkStart w:id="323" w:name="_Toc416353786"/>
      <w:bookmarkStart w:id="324" w:name="_Toc421005326"/>
      <w:bookmarkStart w:id="325" w:name="_Toc432079197"/>
      <w:bookmarkStart w:id="326" w:name="_Toc432080770"/>
      <w:bookmarkStart w:id="327" w:name="_Toc521411097"/>
      <w:bookmarkStart w:id="328" w:name="_Toc535416877"/>
      <w:r w:rsidRPr="008E2D54">
        <w:t>Efficacy</w:t>
      </w:r>
      <w:bookmarkEnd w:id="321"/>
      <w:bookmarkEnd w:id="322"/>
      <w:bookmarkEnd w:id="323"/>
      <w:bookmarkEnd w:id="324"/>
      <w:bookmarkEnd w:id="325"/>
      <w:bookmarkEnd w:id="326"/>
      <w:bookmarkEnd w:id="327"/>
      <w:bookmarkEnd w:id="328"/>
    </w:p>
    <w:p w:rsidR="00D470CB" w:rsidRDefault="00D470CB" w:rsidP="00D470CB">
      <w:pPr>
        <w:spacing w:before="0" w:after="0"/>
        <w:rPr>
          <w:lang w:eastAsia="ja-JP"/>
        </w:rPr>
      </w:pPr>
      <w:bookmarkStart w:id="329" w:name="_Toc272414705"/>
      <w:bookmarkStart w:id="330" w:name="_Toc290888571"/>
      <w:bookmarkStart w:id="331" w:name="_Toc416353787"/>
      <w:bookmarkStart w:id="332" w:name="_Toc421005327"/>
      <w:bookmarkStart w:id="333" w:name="_Toc432079198"/>
      <w:bookmarkStart w:id="334" w:name="_Toc432080771"/>
      <w:proofErr w:type="gramStart"/>
      <w:r>
        <w:rPr>
          <w:lang w:eastAsia="ja-JP"/>
        </w:rPr>
        <w:t>None</w:t>
      </w:r>
      <w:r w:rsidR="00D64BB3">
        <w:rPr>
          <w:lang w:eastAsia="ja-JP"/>
        </w:rPr>
        <w:t>.</w:t>
      </w:r>
      <w:proofErr w:type="gramEnd"/>
    </w:p>
    <w:p w:rsidR="00D470CB" w:rsidRPr="00E01445" w:rsidRDefault="00D470CB" w:rsidP="008B267C">
      <w:pPr>
        <w:pStyle w:val="Heading3"/>
      </w:pPr>
      <w:bookmarkStart w:id="335" w:name="_Toc521411098"/>
      <w:bookmarkStart w:id="336" w:name="_Toc535416878"/>
      <w:r w:rsidRPr="00E01445">
        <w:t>Safety</w:t>
      </w:r>
      <w:bookmarkEnd w:id="329"/>
      <w:bookmarkEnd w:id="330"/>
      <w:bookmarkEnd w:id="331"/>
      <w:bookmarkEnd w:id="332"/>
      <w:bookmarkEnd w:id="333"/>
      <w:bookmarkEnd w:id="334"/>
      <w:bookmarkEnd w:id="335"/>
      <w:bookmarkEnd w:id="336"/>
    </w:p>
    <w:p w:rsidR="00D470CB" w:rsidRDefault="00D470CB" w:rsidP="00D470CB">
      <w:pPr>
        <w:spacing w:before="0" w:after="0"/>
        <w:rPr>
          <w:lang w:eastAsia="ja-JP"/>
        </w:rPr>
      </w:pPr>
      <w:proofErr w:type="gramStart"/>
      <w:r>
        <w:rPr>
          <w:lang w:eastAsia="ja-JP"/>
        </w:rPr>
        <w:t>None</w:t>
      </w:r>
      <w:r w:rsidR="00D64BB3">
        <w:rPr>
          <w:lang w:eastAsia="ja-JP"/>
        </w:rPr>
        <w:t>.</w:t>
      </w:r>
      <w:proofErr w:type="gramEnd"/>
    </w:p>
    <w:p w:rsidR="00D470CB" w:rsidRPr="00392C0A" w:rsidRDefault="00D470CB" w:rsidP="008B267C">
      <w:pPr>
        <w:pStyle w:val="Heading3"/>
      </w:pPr>
      <w:bookmarkStart w:id="337" w:name="_Ref272312341"/>
      <w:bookmarkStart w:id="338" w:name="_Toc272414700"/>
      <w:bookmarkStart w:id="339" w:name="_Toc290888566"/>
      <w:bookmarkStart w:id="340" w:name="_Toc416353782"/>
      <w:bookmarkStart w:id="341" w:name="_Toc421005330"/>
      <w:bookmarkStart w:id="342" w:name="_Toc432079200"/>
      <w:bookmarkStart w:id="343" w:name="_Toc432080773"/>
      <w:bookmarkStart w:id="344" w:name="_Toc521411099"/>
      <w:bookmarkStart w:id="345" w:name="_Toc535416879"/>
      <w:r w:rsidRPr="00392C0A">
        <w:t>Additional expert input</w:t>
      </w:r>
      <w:bookmarkEnd w:id="337"/>
      <w:bookmarkEnd w:id="338"/>
      <w:bookmarkEnd w:id="339"/>
      <w:bookmarkEnd w:id="340"/>
      <w:bookmarkEnd w:id="341"/>
      <w:bookmarkEnd w:id="342"/>
      <w:bookmarkEnd w:id="343"/>
      <w:bookmarkEnd w:id="344"/>
      <w:bookmarkEnd w:id="345"/>
    </w:p>
    <w:p w:rsidR="00D470CB" w:rsidRDefault="00D470CB" w:rsidP="00D470CB">
      <w:pPr>
        <w:spacing w:before="0" w:after="0"/>
        <w:rPr>
          <w:lang w:eastAsia="ja-JP"/>
        </w:rPr>
      </w:pPr>
      <w:r>
        <w:rPr>
          <w:lang w:eastAsia="ja-JP"/>
        </w:rPr>
        <w:t>None required.</w:t>
      </w:r>
    </w:p>
    <w:p w:rsidR="00D470CB" w:rsidRDefault="00D470CB" w:rsidP="008B267C">
      <w:pPr>
        <w:pStyle w:val="Heading2"/>
      </w:pPr>
      <w:bookmarkStart w:id="346" w:name="_Toc441843547"/>
      <w:bookmarkStart w:id="347" w:name="_Toc521411100"/>
      <w:bookmarkStart w:id="348" w:name="_Toc535416880"/>
      <w:r>
        <w:lastRenderedPageBreak/>
        <w:t>Second round evaluation</w:t>
      </w:r>
      <w:bookmarkEnd w:id="346"/>
      <w:bookmarkEnd w:id="347"/>
      <w:bookmarkEnd w:id="348"/>
    </w:p>
    <w:p w:rsidR="00D470CB" w:rsidRDefault="00D470CB" w:rsidP="00D470CB">
      <w:pPr>
        <w:rPr>
          <w:lang w:eastAsia="ja-JP"/>
        </w:rPr>
      </w:pPr>
      <w:r>
        <w:rPr>
          <w:lang w:eastAsia="ja-JP"/>
        </w:rPr>
        <w:t>The sponsor submitted further documentation in June 2017. This documentation comprised, a cover letter, response to request for information, updated PI, CMI, Mock ups of the 1x and 10x carton and, Australian Specific Annex of the Risk Management Plan incorporating TGA’s recommendations.</w:t>
      </w:r>
    </w:p>
    <w:p w:rsidR="00D470CB" w:rsidRDefault="00D470CB" w:rsidP="00D470CB">
      <w:pPr>
        <w:rPr>
          <w:lang w:eastAsia="ja-JP"/>
        </w:rPr>
      </w:pPr>
      <w:r>
        <w:rPr>
          <w:lang w:eastAsia="ja-JP"/>
        </w:rPr>
        <w:t>Included in this response is a response to the specific concerns raised above</w:t>
      </w:r>
      <w:r w:rsidRPr="00846C89">
        <w:rPr>
          <w:b/>
          <w:lang w:eastAsia="ja-JP"/>
        </w:rPr>
        <w:t>.</w:t>
      </w:r>
      <w:r>
        <w:rPr>
          <w:lang w:eastAsia="ja-JP"/>
        </w:rPr>
        <w:t xml:space="preserve"> </w:t>
      </w:r>
      <w:r>
        <w:t>The evaluator acknowledges this thoughtful response to the concerns. The evaluator is especially reassured by the following:</w:t>
      </w:r>
    </w:p>
    <w:p w:rsidR="00D470CB" w:rsidRPr="008B267C" w:rsidRDefault="00D470CB" w:rsidP="008B267C">
      <w:pPr>
        <w:pStyle w:val="ListBullet"/>
      </w:pPr>
      <w:r w:rsidRPr="008B267C">
        <w:t>The sponsor has provided a comprehensive of quality assurance that includes targeted splitting of all influenza strains included in QIV with 1.5% w/v TDOC, and a control strategy to ensure optimised lipid clearance. The non-clinical reviewer will need to comment on the adequacy of this response and the plan going forward, as this is beyond the remit of the Clinical Reviewer’s expertise.</w:t>
      </w:r>
    </w:p>
    <w:p w:rsidR="00D470CB" w:rsidRDefault="00D470CB" w:rsidP="008B267C">
      <w:pPr>
        <w:pStyle w:val="ListBullet"/>
      </w:pPr>
      <w:r w:rsidRPr="008B267C">
        <w:t xml:space="preserve">The plans to not market </w:t>
      </w:r>
      <w:proofErr w:type="spellStart"/>
      <w:r w:rsidRPr="008B267C">
        <w:t>Seqirus</w:t>
      </w:r>
      <w:proofErr w:type="spellEnd"/>
      <w:r w:rsidRPr="008B267C">
        <w:t xml:space="preserve"> QIV for the indication aged 5 years and above, until the SH 2019 season</w:t>
      </w:r>
      <w:r>
        <w:t>, which will allow the review of further data arising from the following studies:</w:t>
      </w:r>
    </w:p>
    <w:p w:rsidR="00D470CB" w:rsidRPr="008B267C" w:rsidRDefault="00D470CB" w:rsidP="008B267C">
      <w:pPr>
        <w:pStyle w:val="ListBullet2"/>
      </w:pPr>
      <w:r w:rsidRPr="008B267C">
        <w:t>post marketing reports from the US 2018/2019 season;</w:t>
      </w:r>
    </w:p>
    <w:p w:rsidR="00D470CB" w:rsidRDefault="00D470CB" w:rsidP="008B267C">
      <w:pPr>
        <w:pStyle w:val="ListBullet2"/>
      </w:pPr>
      <w:r w:rsidRPr="008B267C">
        <w:t>safety</w:t>
      </w:r>
      <w:r>
        <w:t xml:space="preserve"> surveillance for </w:t>
      </w:r>
      <w:proofErr w:type="spellStart"/>
      <w:r>
        <w:t>reactogenicity</w:t>
      </w:r>
      <w:proofErr w:type="spellEnd"/>
      <w:r>
        <w:t xml:space="preserve"> in Australia;</w:t>
      </w:r>
    </w:p>
    <w:p w:rsidR="00D470CB" w:rsidRPr="0068755A" w:rsidRDefault="00D470CB" w:rsidP="008B267C">
      <w:pPr>
        <w:pStyle w:val="ListBullet"/>
      </w:pPr>
      <w:r w:rsidRPr="0068755A">
        <w:t xml:space="preserve">Study CSLCT-QIV-15-03 has completed </w:t>
      </w:r>
      <w:proofErr w:type="spellStart"/>
      <w:r w:rsidRPr="0068755A">
        <w:t>enrollment</w:t>
      </w:r>
      <w:proofErr w:type="spellEnd"/>
      <w:r w:rsidRPr="0068755A">
        <w:t xml:space="preserve"> and the active study period, during the latter </w:t>
      </w:r>
      <w:r w:rsidRPr="008B267C">
        <w:t>immunogenicity</w:t>
      </w:r>
      <w:r w:rsidRPr="0068755A">
        <w:t xml:space="preserve"> data, solicited and unsolicited data has been collected. The study is in follow-up to collect all SAE through to the 180 days post vaccination. </w:t>
      </w:r>
      <w:r>
        <w:t>The sponsor</w:t>
      </w:r>
      <w:r w:rsidRPr="0068755A">
        <w:t>, in their response, has indicated that the Data Safety Monitoring Board for this study has not indicated any concerns re safety, and this is reassuring. It is planned to present these data from the active study period to the TGA in July 2017.</w:t>
      </w:r>
    </w:p>
    <w:p w:rsidR="00182466" w:rsidRDefault="00D470CB" w:rsidP="00D470CB">
      <w:r w:rsidRPr="00880A16">
        <w:t>The evaluator has amended most of the report based on omissions/errors/oversights</w:t>
      </w:r>
      <w:r>
        <w:t>/</w:t>
      </w:r>
      <w:r w:rsidRPr="00880A16">
        <w:t>requests for clarification of wording pointed out by the sponsor</w:t>
      </w:r>
      <w:r w:rsidR="00182466">
        <w:t>.</w:t>
      </w:r>
    </w:p>
    <w:p w:rsidR="00D470CB" w:rsidRPr="00880A16" w:rsidRDefault="00D470CB" w:rsidP="00D470CB">
      <w:r w:rsidRPr="00880A16">
        <w:t xml:space="preserve">However, the evaluator has not updated the inclusion and exclusion criteria, as the evaluator has deliberately included what they consider to be ‘key’ criteria. The sponsor also requested that the evaluator update the inclusion and exclusion criteria for completeness for </w:t>
      </w:r>
      <w:r>
        <w:t>S</w:t>
      </w:r>
      <w:r w:rsidRPr="00880A16">
        <w:t xml:space="preserve">tudy CSLCT-USF-10-69; however, the evaluator has not amended these since </w:t>
      </w:r>
      <w:r>
        <w:t>the evaluator has</w:t>
      </w:r>
      <w:r w:rsidRPr="00880A16">
        <w:t xml:space="preserve"> included what they consider to be the key inclusions and exclusions for this study.</w:t>
      </w:r>
    </w:p>
    <w:p w:rsidR="00D470CB" w:rsidRPr="00880A16" w:rsidRDefault="00D470CB" w:rsidP="00D470CB">
      <w:r w:rsidRPr="00880A16">
        <w:t xml:space="preserve">The Reviewer notes the detailed explanation by </w:t>
      </w:r>
      <w:r>
        <w:t>the sponsor</w:t>
      </w:r>
      <w:r w:rsidRPr="00880A16">
        <w:t xml:space="preserve"> for the ‘febrile delirium’, and the sequence of events was consistent with the initial reporting of the serious event as ‘expected’ when in fact it was ‘unexpected.</w:t>
      </w:r>
    </w:p>
    <w:p w:rsidR="00D470CB" w:rsidRDefault="00D470CB" w:rsidP="008B267C">
      <w:pPr>
        <w:pStyle w:val="Heading2"/>
      </w:pPr>
      <w:bookmarkStart w:id="349" w:name="_Toc441843548"/>
      <w:bookmarkStart w:id="350" w:name="_Toc521411101"/>
      <w:bookmarkStart w:id="351" w:name="_Toc535416881"/>
      <w:r>
        <w:t>Second round benefit-risk assessment</w:t>
      </w:r>
      <w:bookmarkEnd w:id="349"/>
      <w:bookmarkEnd w:id="350"/>
      <w:bookmarkEnd w:id="351"/>
    </w:p>
    <w:p w:rsidR="00D470CB" w:rsidRPr="00500C5C" w:rsidRDefault="00D470CB" w:rsidP="008B267C">
      <w:pPr>
        <w:pStyle w:val="Heading3"/>
      </w:pPr>
      <w:bookmarkStart w:id="352" w:name="_Toc272414709"/>
      <w:bookmarkStart w:id="353" w:name="_Toc290888575"/>
      <w:bookmarkStart w:id="354" w:name="_Toc416353792"/>
      <w:bookmarkStart w:id="355" w:name="_Toc421005334"/>
      <w:bookmarkStart w:id="356" w:name="_Toc432079207"/>
      <w:bookmarkStart w:id="357" w:name="_Toc432080780"/>
      <w:bookmarkStart w:id="358" w:name="_Toc441843549"/>
      <w:bookmarkStart w:id="359" w:name="_Toc521411102"/>
      <w:bookmarkStart w:id="360" w:name="_Toc535416882"/>
      <w:r w:rsidRPr="00500C5C">
        <w:t>Second round assessment of benefits</w:t>
      </w:r>
      <w:bookmarkEnd w:id="352"/>
      <w:bookmarkEnd w:id="353"/>
      <w:bookmarkEnd w:id="354"/>
      <w:bookmarkEnd w:id="355"/>
      <w:bookmarkEnd w:id="356"/>
      <w:bookmarkEnd w:id="357"/>
      <w:bookmarkEnd w:id="358"/>
      <w:bookmarkEnd w:id="359"/>
      <w:bookmarkEnd w:id="360"/>
    </w:p>
    <w:p w:rsidR="00D470CB" w:rsidRPr="009C2D52" w:rsidRDefault="00D470CB" w:rsidP="00D470CB">
      <w:bookmarkStart w:id="361" w:name="_Toc272414710"/>
      <w:bookmarkStart w:id="362" w:name="_Toc290888576"/>
      <w:bookmarkStart w:id="363" w:name="_Toc416353793"/>
      <w:bookmarkStart w:id="364" w:name="_Toc421005335"/>
      <w:bookmarkStart w:id="365" w:name="_Toc432079208"/>
      <w:bookmarkStart w:id="366" w:name="_Toc432080781"/>
      <w:bookmarkStart w:id="367" w:name="_Toc441843550"/>
      <w:r w:rsidRPr="009C2D52">
        <w:t>Predicated upon further safety data as planned, including data from Study CSLCT-QIV-15-03, the benefit for the use of this QIV may be favourable in those aged 5 years and older.</w:t>
      </w:r>
    </w:p>
    <w:p w:rsidR="00D470CB" w:rsidRPr="00500C5C" w:rsidRDefault="00D470CB" w:rsidP="008B267C">
      <w:pPr>
        <w:pStyle w:val="Heading3"/>
      </w:pPr>
      <w:bookmarkStart w:id="368" w:name="_Toc521411103"/>
      <w:bookmarkStart w:id="369" w:name="_Toc535416883"/>
      <w:r w:rsidRPr="00500C5C">
        <w:t>Second round assessment of risks</w:t>
      </w:r>
      <w:bookmarkEnd w:id="361"/>
      <w:bookmarkEnd w:id="362"/>
      <w:bookmarkEnd w:id="363"/>
      <w:bookmarkEnd w:id="364"/>
      <w:bookmarkEnd w:id="365"/>
      <w:bookmarkEnd w:id="366"/>
      <w:bookmarkEnd w:id="367"/>
      <w:bookmarkEnd w:id="368"/>
      <w:bookmarkEnd w:id="369"/>
    </w:p>
    <w:p w:rsidR="00D470CB" w:rsidRPr="009C2D52" w:rsidRDefault="00D470CB" w:rsidP="00D470CB">
      <w:bookmarkStart w:id="370" w:name="_Toc272414711"/>
      <w:bookmarkStart w:id="371" w:name="_Toc290888577"/>
      <w:bookmarkStart w:id="372" w:name="_Toc416353794"/>
      <w:bookmarkStart w:id="373" w:name="_Toc421005336"/>
      <w:bookmarkStart w:id="374" w:name="_Toc432079209"/>
      <w:bookmarkStart w:id="375" w:name="_Toc432080782"/>
      <w:bookmarkStart w:id="376" w:name="_Toc441843551"/>
      <w:r w:rsidRPr="009C2D52">
        <w:t xml:space="preserve">As above, </w:t>
      </w:r>
      <w:r>
        <w:t>t</w:t>
      </w:r>
      <w:r w:rsidRPr="009C2D52">
        <w:t xml:space="preserve">he </w:t>
      </w:r>
      <w:r>
        <w:t>s</w:t>
      </w:r>
      <w:r w:rsidRPr="009C2D52">
        <w:t>ponsor has provided some reassurances in their response, including the lack of any safety concerns in</w:t>
      </w:r>
      <w:r>
        <w:t xml:space="preserve"> Study CSLCT-QIV-15-03, but </w:t>
      </w:r>
      <w:r w:rsidRPr="009C2D52">
        <w:t>TGA will still need to review these data. This is planned in July 2017.</w:t>
      </w:r>
    </w:p>
    <w:p w:rsidR="00D470CB" w:rsidRPr="00545B14" w:rsidRDefault="00D470CB" w:rsidP="008B267C">
      <w:pPr>
        <w:pStyle w:val="Heading3"/>
      </w:pPr>
      <w:bookmarkStart w:id="377" w:name="_Toc521411104"/>
      <w:bookmarkStart w:id="378" w:name="_Toc535416884"/>
      <w:r w:rsidRPr="00545B14">
        <w:lastRenderedPageBreak/>
        <w:t xml:space="preserve">Second round assessment of benefit-risk </w:t>
      </w:r>
      <w:bookmarkEnd w:id="370"/>
      <w:bookmarkEnd w:id="371"/>
      <w:bookmarkEnd w:id="372"/>
      <w:bookmarkEnd w:id="373"/>
      <w:r>
        <w:t>balance</w:t>
      </w:r>
      <w:bookmarkEnd w:id="374"/>
      <w:bookmarkEnd w:id="375"/>
      <w:bookmarkEnd w:id="376"/>
      <w:bookmarkEnd w:id="377"/>
      <w:bookmarkEnd w:id="378"/>
    </w:p>
    <w:p w:rsidR="00D470CB" w:rsidRPr="009C2D52" w:rsidRDefault="00D470CB" w:rsidP="00D470CB">
      <w:bookmarkStart w:id="379" w:name="_Toc441843552"/>
      <w:r>
        <w:t>The evaluator m</w:t>
      </w:r>
      <w:r w:rsidRPr="009C2D52">
        <w:t>ay be in favour of benefit, predicated upon further safety data including data from Study CSLCT-QIV-15-03 indicating no concerning safety signal.</w:t>
      </w:r>
    </w:p>
    <w:p w:rsidR="00D470CB" w:rsidRDefault="00D470CB" w:rsidP="008B267C">
      <w:pPr>
        <w:pStyle w:val="Heading2"/>
      </w:pPr>
      <w:bookmarkStart w:id="380" w:name="_Toc521411105"/>
      <w:bookmarkStart w:id="381" w:name="_Toc535416885"/>
      <w:r>
        <w:t>Second round recommendation regarding authorisation</w:t>
      </w:r>
      <w:bookmarkEnd w:id="379"/>
      <w:bookmarkEnd w:id="380"/>
      <w:bookmarkEnd w:id="381"/>
    </w:p>
    <w:p w:rsidR="00D470CB" w:rsidRPr="009C2D52" w:rsidRDefault="00D470CB" w:rsidP="00D470CB">
      <w:bookmarkStart w:id="382" w:name="_Toc441843553"/>
      <w:r w:rsidRPr="009C2D52">
        <w:t xml:space="preserve">No recommendation at this juncture; further safety data will be provided in the younger age group enrolled </w:t>
      </w:r>
      <w:r>
        <w:t xml:space="preserve">in Study CSLCT-QIV-15-03 to </w:t>
      </w:r>
      <w:r w:rsidRPr="009C2D52">
        <w:t>TGA in July 2017.</w:t>
      </w:r>
      <w:r>
        <w:rPr>
          <w:rStyle w:val="FootnoteReference"/>
        </w:rPr>
        <w:footnoteReference w:id="2"/>
      </w:r>
    </w:p>
    <w:p w:rsidR="00D470CB" w:rsidRDefault="00D470CB" w:rsidP="008B267C">
      <w:pPr>
        <w:pStyle w:val="Heading2"/>
      </w:pPr>
      <w:bookmarkStart w:id="383" w:name="_Toc521411106"/>
      <w:bookmarkStart w:id="384" w:name="_Toc535416886"/>
      <w:bookmarkEnd w:id="382"/>
      <w:r>
        <w:t>References</w:t>
      </w:r>
      <w:bookmarkEnd w:id="383"/>
      <w:bookmarkEnd w:id="384"/>
    </w:p>
    <w:p w:rsidR="00D470CB" w:rsidRPr="00407BA0" w:rsidRDefault="00D470CB" w:rsidP="00D470CB">
      <w:r w:rsidRPr="00407BA0">
        <w:t xml:space="preserve">Ambrose CS, Levin MJ. </w:t>
      </w:r>
      <w:proofErr w:type="gramStart"/>
      <w:r w:rsidRPr="00407BA0">
        <w:t xml:space="preserve">The rationale for </w:t>
      </w:r>
      <w:proofErr w:type="spellStart"/>
      <w:r w:rsidRPr="00407BA0">
        <w:t>quadrivalent</w:t>
      </w:r>
      <w:proofErr w:type="spellEnd"/>
      <w:r w:rsidRPr="00407BA0">
        <w:t xml:space="preserve"> influenza vaccines.</w:t>
      </w:r>
      <w:proofErr w:type="gramEnd"/>
      <w:r w:rsidRPr="00407BA0">
        <w:t xml:space="preserve"> Hum Vaccin</w:t>
      </w:r>
      <w:r>
        <w:t>e</w:t>
      </w:r>
      <w:r w:rsidRPr="00407BA0">
        <w:t xml:space="preserve"> </w:t>
      </w:r>
      <w:proofErr w:type="spellStart"/>
      <w:r w:rsidRPr="00407BA0">
        <w:t>Immunother</w:t>
      </w:r>
      <w:proofErr w:type="spellEnd"/>
      <w:r w:rsidRPr="00407BA0">
        <w:t xml:space="preserve"> 2012; 8(1):81-8.</w:t>
      </w:r>
    </w:p>
    <w:p w:rsidR="00D470CB" w:rsidRPr="00407BA0" w:rsidRDefault="00D470CB" w:rsidP="00D470CB">
      <w:r w:rsidRPr="00407BA0">
        <w:t xml:space="preserve">Barr IG, </w:t>
      </w:r>
      <w:proofErr w:type="spellStart"/>
      <w:r w:rsidRPr="00407BA0">
        <w:t>Jelley</w:t>
      </w:r>
      <w:proofErr w:type="spellEnd"/>
      <w:r w:rsidRPr="00407BA0">
        <w:t xml:space="preserve"> LL. The coming era of </w:t>
      </w:r>
      <w:proofErr w:type="spellStart"/>
      <w:r w:rsidRPr="00407BA0">
        <w:t>quadrivalent</w:t>
      </w:r>
      <w:proofErr w:type="spellEnd"/>
      <w:r w:rsidRPr="00407BA0">
        <w:t xml:space="preserve"> human influenza vaccines: who will benefit? </w:t>
      </w:r>
      <w:proofErr w:type="gramStart"/>
      <w:r w:rsidRPr="00407BA0">
        <w:t>Drugs.</w:t>
      </w:r>
      <w:proofErr w:type="gramEnd"/>
      <w:r w:rsidRPr="00407BA0">
        <w:t xml:space="preserve"> 2012 Dec 3</w:t>
      </w:r>
      <w:proofErr w:type="gramStart"/>
      <w:r w:rsidRPr="00407BA0">
        <w:t>;72</w:t>
      </w:r>
      <w:proofErr w:type="gramEnd"/>
      <w:r w:rsidRPr="00407BA0">
        <w:t>(17):2177-85. Erratum in: Drugs. 2012 Dec 3</w:t>
      </w:r>
      <w:proofErr w:type="gramStart"/>
      <w:r w:rsidRPr="00407BA0">
        <w:t>;72</w:t>
      </w:r>
      <w:proofErr w:type="gramEnd"/>
      <w:r w:rsidRPr="00407BA0">
        <w:t>(17):2186.</w:t>
      </w:r>
    </w:p>
    <w:p w:rsidR="00D470CB" w:rsidRPr="00407BA0" w:rsidRDefault="00D470CB" w:rsidP="00D470CB">
      <w:proofErr w:type="spellStart"/>
      <w:r w:rsidRPr="00407BA0">
        <w:t>Belshe</w:t>
      </w:r>
      <w:proofErr w:type="spellEnd"/>
      <w:r w:rsidRPr="00407BA0">
        <w:t xml:space="preserve">, RB. </w:t>
      </w:r>
      <w:proofErr w:type="gramStart"/>
      <w:r w:rsidRPr="00407BA0">
        <w:t xml:space="preserve">The need for </w:t>
      </w:r>
      <w:proofErr w:type="spellStart"/>
      <w:r w:rsidRPr="00407BA0">
        <w:t>quadrivalent</w:t>
      </w:r>
      <w:proofErr w:type="spellEnd"/>
      <w:r w:rsidRPr="00407BA0">
        <w:t xml:space="preserve"> vaccine against seasonal influenza.</w:t>
      </w:r>
      <w:proofErr w:type="gramEnd"/>
      <w:r w:rsidRPr="00407BA0">
        <w:t xml:space="preserve"> Vaccine 2010 Sep 7; 28 </w:t>
      </w:r>
      <w:proofErr w:type="spellStart"/>
      <w:r w:rsidRPr="00407BA0">
        <w:t>Suppl</w:t>
      </w:r>
      <w:proofErr w:type="spellEnd"/>
      <w:r w:rsidRPr="00407BA0">
        <w:t xml:space="preserve"> 4: D45-53.</w:t>
      </w:r>
    </w:p>
    <w:p w:rsidR="00D470CB" w:rsidRPr="00407BA0" w:rsidRDefault="00D470CB" w:rsidP="00D470CB">
      <w:r w:rsidRPr="00407BA0">
        <w:t xml:space="preserve">Beyer WE, de </w:t>
      </w:r>
      <w:proofErr w:type="spellStart"/>
      <w:r w:rsidRPr="00407BA0">
        <w:t>Bruijn</w:t>
      </w:r>
      <w:proofErr w:type="spellEnd"/>
      <w:r w:rsidRPr="00407BA0">
        <w:t xml:space="preserve"> IA, </w:t>
      </w:r>
      <w:proofErr w:type="spellStart"/>
      <w:r w:rsidRPr="00407BA0">
        <w:t>Palache</w:t>
      </w:r>
      <w:proofErr w:type="spellEnd"/>
      <w:r w:rsidRPr="00407BA0">
        <w:t xml:space="preserve"> AM, et al. Protection against influenza after annually repeated vaccination: a meta-analysis of serologic and field studies. Arch Intern Med. 1999</w:t>
      </w:r>
      <w:proofErr w:type="gramStart"/>
      <w:r w:rsidRPr="00407BA0">
        <w:t>;159</w:t>
      </w:r>
      <w:proofErr w:type="gramEnd"/>
      <w:r w:rsidRPr="00407BA0">
        <w:t>(2):182-8.</w:t>
      </w:r>
    </w:p>
    <w:p w:rsidR="00182466" w:rsidRDefault="00D470CB" w:rsidP="00D470CB">
      <w:r w:rsidRPr="00407BA0">
        <w:t xml:space="preserve">Blyth CC, Currie AJ, </w:t>
      </w:r>
      <w:proofErr w:type="spellStart"/>
      <w:r w:rsidRPr="00407BA0">
        <w:t>Wiertsema</w:t>
      </w:r>
      <w:proofErr w:type="spellEnd"/>
      <w:r w:rsidRPr="00407BA0">
        <w:t xml:space="preserve"> SP, </w:t>
      </w:r>
      <w:proofErr w:type="gramStart"/>
      <w:r w:rsidRPr="00407BA0">
        <w:t>et</w:t>
      </w:r>
      <w:proofErr w:type="gramEnd"/>
      <w:r w:rsidRPr="00407BA0">
        <w:t xml:space="preserve"> </w:t>
      </w:r>
      <w:proofErr w:type="spellStart"/>
      <w:r w:rsidRPr="00407BA0">
        <w:t>al.Trivalent</w:t>
      </w:r>
      <w:proofErr w:type="spellEnd"/>
      <w:r w:rsidRPr="00407BA0">
        <w:t xml:space="preserve"> influenza vaccine and febrile adverse events in Australia, 2010: clinical features and potential mechanisms. </w:t>
      </w:r>
      <w:proofErr w:type="gramStart"/>
      <w:r w:rsidRPr="00407BA0">
        <w:t>Vaccine.</w:t>
      </w:r>
      <w:proofErr w:type="gramEnd"/>
      <w:r w:rsidRPr="00407BA0">
        <w:t xml:space="preserve"> 2011 Jul 18</w:t>
      </w:r>
      <w:proofErr w:type="gramStart"/>
      <w:r w:rsidRPr="00407BA0">
        <w:t>;29</w:t>
      </w:r>
      <w:proofErr w:type="gramEnd"/>
      <w:r w:rsidRPr="00407BA0">
        <w:t>(32):5107-13</w:t>
      </w:r>
      <w:r w:rsidR="00182466">
        <w:t>.</w:t>
      </w:r>
    </w:p>
    <w:p w:rsidR="00D470CB" w:rsidRPr="00407BA0" w:rsidRDefault="00D470CB" w:rsidP="00D470CB">
      <w:r w:rsidRPr="00407BA0">
        <w:t xml:space="preserve">Brady RC, Hu W, </w:t>
      </w:r>
      <w:proofErr w:type="spellStart"/>
      <w:r w:rsidRPr="00407BA0">
        <w:t>Houchin</w:t>
      </w:r>
      <w:proofErr w:type="spellEnd"/>
      <w:r w:rsidRPr="00407BA0">
        <w:t xml:space="preserve"> VG, et al. Randomized trial to compare the safety and immunogenicity of CSL Limited's 2009 trivalent inactivated influenza vaccine to an established vaccine in United States children.</w:t>
      </w:r>
    </w:p>
    <w:p w:rsidR="00D470CB" w:rsidRPr="00407BA0" w:rsidRDefault="00D470CB" w:rsidP="00D470CB">
      <w:proofErr w:type="gramStart"/>
      <w:r w:rsidRPr="00407BA0">
        <w:t>Vaccine.</w:t>
      </w:r>
      <w:proofErr w:type="gramEnd"/>
      <w:r w:rsidRPr="00407BA0">
        <w:t xml:space="preserve"> 2014 Dec 12</w:t>
      </w:r>
      <w:proofErr w:type="gramStart"/>
      <w:r w:rsidRPr="00407BA0">
        <w:t>;32</w:t>
      </w:r>
      <w:proofErr w:type="gramEnd"/>
      <w:r w:rsidRPr="00407BA0">
        <w:t xml:space="preserve">(52):7141-7. </w:t>
      </w:r>
      <w:proofErr w:type="spellStart"/>
      <w:proofErr w:type="gramStart"/>
      <w:r w:rsidRPr="00407BA0">
        <w:t>doi</w:t>
      </w:r>
      <w:proofErr w:type="spellEnd"/>
      <w:proofErr w:type="gramEnd"/>
      <w:r w:rsidRPr="00407BA0">
        <w:t xml:space="preserve">: 10.1016/j.vaccine.2014.10.024. </w:t>
      </w:r>
      <w:proofErr w:type="spellStart"/>
      <w:r w:rsidRPr="00407BA0">
        <w:t>Epub</w:t>
      </w:r>
      <w:proofErr w:type="spellEnd"/>
      <w:r w:rsidRPr="00407BA0">
        <w:t xml:space="preserve"> 2014 Oct 29.</w:t>
      </w:r>
    </w:p>
    <w:p w:rsidR="00D470CB" w:rsidRPr="00407BA0" w:rsidRDefault="00D470CB" w:rsidP="00D470CB">
      <w:proofErr w:type="spellStart"/>
      <w:proofErr w:type="gramStart"/>
      <w:r w:rsidRPr="00407BA0">
        <w:t>Center</w:t>
      </w:r>
      <w:proofErr w:type="spellEnd"/>
      <w:r w:rsidRPr="00407BA0">
        <w:t xml:space="preserve"> for Biologics Evaluation and Research (CBER).</w:t>
      </w:r>
      <w:proofErr w:type="gramEnd"/>
      <w:r w:rsidRPr="00407BA0">
        <w:t xml:space="preserve"> Guidance for Industry: Toxicity Grading Scale for Healthy Adult and Adolescent Volunteers Enrolled in Preventive Vaccine Clinical Trials. Maryland (US): Food and Drug Administration, U.S. Department of Health and Human Services; September 2007.</w:t>
      </w:r>
    </w:p>
    <w:p w:rsidR="00D470CB" w:rsidRPr="00407BA0" w:rsidRDefault="00D470CB" w:rsidP="00D470CB">
      <w:r w:rsidRPr="00407BA0">
        <w:t xml:space="preserve">Fiore AE, Shay DK, Broder K, et al. Prevention and control of seasonal influenza with vaccines: recommendations of the Advisory Committee on Immunization Practices (ACIP), 2009. MMWR </w:t>
      </w:r>
      <w:proofErr w:type="spellStart"/>
      <w:r w:rsidRPr="00407BA0">
        <w:t>Recomm</w:t>
      </w:r>
      <w:proofErr w:type="spellEnd"/>
      <w:r w:rsidRPr="00407BA0">
        <w:t xml:space="preserve"> Rep 2009 Jul 31</w:t>
      </w:r>
      <w:proofErr w:type="gramStart"/>
      <w:r w:rsidRPr="00407BA0">
        <w:t>;58</w:t>
      </w:r>
      <w:proofErr w:type="gramEnd"/>
      <w:r w:rsidRPr="00407BA0">
        <w:t>(RR-8):1-52.</w:t>
      </w:r>
    </w:p>
    <w:p w:rsidR="00182466" w:rsidRDefault="00D470CB" w:rsidP="00D470CB">
      <w:r w:rsidRPr="00407BA0">
        <w:t xml:space="preserve">Grant KA, et al. High proportion of influenza B characterises the 2008 influenza season in Victoria. </w:t>
      </w:r>
      <w:proofErr w:type="spellStart"/>
      <w:r w:rsidRPr="00407BA0">
        <w:t>Commun</w:t>
      </w:r>
      <w:proofErr w:type="spellEnd"/>
      <w:r w:rsidRPr="00407BA0">
        <w:t xml:space="preserve"> Dis </w:t>
      </w:r>
      <w:proofErr w:type="spellStart"/>
      <w:r w:rsidRPr="00407BA0">
        <w:t>Intell</w:t>
      </w:r>
      <w:proofErr w:type="spellEnd"/>
      <w:r w:rsidRPr="00407BA0">
        <w:t xml:space="preserve"> Q Rep 2009</w:t>
      </w:r>
      <w:proofErr w:type="gramStart"/>
      <w:r w:rsidRPr="00407BA0">
        <w:t>;33</w:t>
      </w:r>
      <w:proofErr w:type="gramEnd"/>
      <w:r w:rsidRPr="00407BA0">
        <w:t>(3):328-36</w:t>
      </w:r>
      <w:r w:rsidR="00182466">
        <w:t>.</w:t>
      </w:r>
    </w:p>
    <w:p w:rsidR="00D470CB" w:rsidRPr="00407BA0" w:rsidRDefault="00D470CB" w:rsidP="00D470CB">
      <w:proofErr w:type="gramStart"/>
      <w:r w:rsidRPr="00407BA0">
        <w:t xml:space="preserve">Hay AJ, </w:t>
      </w:r>
      <w:proofErr w:type="spellStart"/>
      <w:r w:rsidRPr="00407BA0">
        <w:t>Belshe</w:t>
      </w:r>
      <w:proofErr w:type="spellEnd"/>
      <w:r w:rsidRPr="00407BA0">
        <w:t xml:space="preserve"> RB, Anderson EL, et al. Influenza viruses.</w:t>
      </w:r>
      <w:proofErr w:type="gramEnd"/>
      <w:r w:rsidRPr="00407BA0">
        <w:t xml:space="preserve"> In: </w:t>
      </w:r>
      <w:proofErr w:type="spellStart"/>
      <w:r w:rsidRPr="00407BA0">
        <w:t>Belshe</w:t>
      </w:r>
      <w:proofErr w:type="spellEnd"/>
      <w:r w:rsidRPr="00407BA0">
        <w:t xml:space="preserve"> RB, ed. Textbook of Human Virology. St. Louis, Missouri: Mosby Year Book, </w:t>
      </w:r>
      <w:proofErr w:type="spellStart"/>
      <w:r w:rsidRPr="00407BA0">
        <w:t>Inc</w:t>
      </w:r>
      <w:proofErr w:type="spellEnd"/>
      <w:r w:rsidRPr="00407BA0">
        <w:t>, 1991</w:t>
      </w:r>
      <w:proofErr w:type="gramStart"/>
      <w:r w:rsidRPr="00407BA0">
        <w:t>;307</w:t>
      </w:r>
      <w:proofErr w:type="gramEnd"/>
      <w:r w:rsidRPr="00407BA0">
        <w:t>−341.</w:t>
      </w:r>
    </w:p>
    <w:p w:rsidR="00D470CB" w:rsidRPr="00407BA0" w:rsidRDefault="00D470CB" w:rsidP="00D470CB">
      <w:r w:rsidRPr="00407BA0">
        <w:t xml:space="preserve">Monto AS. </w:t>
      </w:r>
      <w:proofErr w:type="gramStart"/>
      <w:r w:rsidRPr="00407BA0">
        <w:t>Epidemiology of influenza.</w:t>
      </w:r>
      <w:proofErr w:type="gramEnd"/>
      <w:r w:rsidRPr="00407BA0">
        <w:t xml:space="preserve"> </w:t>
      </w:r>
      <w:proofErr w:type="gramStart"/>
      <w:r w:rsidRPr="00407BA0">
        <w:t>Vaccine.</w:t>
      </w:r>
      <w:proofErr w:type="gramEnd"/>
      <w:r w:rsidRPr="00407BA0">
        <w:t xml:space="preserve"> 2008 Sep 12; 26 </w:t>
      </w:r>
      <w:proofErr w:type="spellStart"/>
      <w:r w:rsidRPr="00407BA0">
        <w:t>Suppl</w:t>
      </w:r>
      <w:proofErr w:type="spellEnd"/>
      <w:r w:rsidRPr="00407BA0">
        <w:t xml:space="preserve"> 4:D45-8.</w:t>
      </w:r>
    </w:p>
    <w:p w:rsidR="00D470CB" w:rsidRPr="00407BA0" w:rsidRDefault="00D470CB" w:rsidP="00D470CB">
      <w:r w:rsidRPr="00407BA0">
        <w:t xml:space="preserve">Olson DR, et al. </w:t>
      </w:r>
      <w:proofErr w:type="gramStart"/>
      <w:r w:rsidRPr="00407BA0">
        <w:t>Monitoring</w:t>
      </w:r>
      <w:proofErr w:type="gramEnd"/>
      <w:r w:rsidRPr="00407BA0">
        <w:t xml:space="preserve"> the impact of influenza by age: emergency department fever and respiratory complaint surveillance in New York City. </w:t>
      </w:r>
      <w:proofErr w:type="spellStart"/>
      <w:r w:rsidRPr="00407BA0">
        <w:t>PLoS</w:t>
      </w:r>
      <w:proofErr w:type="spellEnd"/>
      <w:r w:rsidRPr="00407BA0">
        <w:t xml:space="preserve"> Med 2007</w:t>
      </w:r>
      <w:proofErr w:type="gramStart"/>
      <w:r w:rsidRPr="00407BA0">
        <w:t>;4</w:t>
      </w:r>
      <w:proofErr w:type="gramEnd"/>
      <w:r w:rsidRPr="00407BA0">
        <w:t>(8):e247.</w:t>
      </w:r>
    </w:p>
    <w:p w:rsidR="00D470CB" w:rsidRPr="00407BA0" w:rsidRDefault="00D470CB" w:rsidP="00D470CB">
      <w:proofErr w:type="spellStart"/>
      <w:r w:rsidRPr="00407BA0">
        <w:lastRenderedPageBreak/>
        <w:t>Rota</w:t>
      </w:r>
      <w:proofErr w:type="spellEnd"/>
      <w:r w:rsidRPr="00407BA0">
        <w:t xml:space="preserve"> PA, Wallis TR, Harmon MW, </w:t>
      </w:r>
      <w:proofErr w:type="spellStart"/>
      <w:r w:rsidRPr="00407BA0">
        <w:t>Rota</w:t>
      </w:r>
      <w:proofErr w:type="spellEnd"/>
      <w:r w:rsidRPr="00407BA0">
        <w:t xml:space="preserve"> JS et al. </w:t>
      </w:r>
      <w:proofErr w:type="spellStart"/>
      <w:r w:rsidRPr="00407BA0">
        <w:t>Cocirculation</w:t>
      </w:r>
      <w:proofErr w:type="spellEnd"/>
      <w:r w:rsidRPr="00407BA0">
        <w:t xml:space="preserve"> of two distinct evolutionary lineages of influenza type B virus since 1983. Virology 1990 Mar; 175(1):59-68.</w:t>
      </w:r>
    </w:p>
    <w:p w:rsidR="00182466" w:rsidRDefault="00D470CB" w:rsidP="00D470CB">
      <w:r w:rsidRPr="00407BA0">
        <w:t xml:space="preserve">Reed C, Meltzer MI, </w:t>
      </w:r>
      <w:proofErr w:type="spellStart"/>
      <w:r w:rsidRPr="008035ED">
        <w:t>Finelli</w:t>
      </w:r>
      <w:proofErr w:type="spellEnd"/>
      <w:r w:rsidRPr="008035ED">
        <w:t xml:space="preserve"> L</w:t>
      </w:r>
      <w:r w:rsidRPr="00407BA0">
        <w:t xml:space="preserve">, Fiore A. Public health impact of including two lineages of influenza B in a </w:t>
      </w:r>
      <w:proofErr w:type="spellStart"/>
      <w:r w:rsidRPr="00407BA0">
        <w:t>quadrivalent</w:t>
      </w:r>
      <w:proofErr w:type="spellEnd"/>
      <w:r w:rsidRPr="00407BA0">
        <w:t xml:space="preserve"> seasonal influenza vaccine. </w:t>
      </w:r>
      <w:proofErr w:type="gramStart"/>
      <w:r w:rsidRPr="008035ED">
        <w:t>Vaccine.</w:t>
      </w:r>
      <w:proofErr w:type="gramEnd"/>
      <w:r w:rsidRPr="00407BA0">
        <w:t xml:space="preserve"> 2012 Mar 2</w:t>
      </w:r>
      <w:proofErr w:type="gramStart"/>
      <w:r w:rsidRPr="00407BA0">
        <w:t>;30</w:t>
      </w:r>
      <w:proofErr w:type="gramEnd"/>
      <w:r w:rsidRPr="00407BA0">
        <w:t>(11):1993-8</w:t>
      </w:r>
      <w:r w:rsidR="00182466">
        <w:t>.</w:t>
      </w:r>
    </w:p>
    <w:p w:rsidR="00182466" w:rsidRDefault="00D470CB" w:rsidP="00D470CB">
      <w:proofErr w:type="spellStart"/>
      <w:r>
        <w:t>Rockman</w:t>
      </w:r>
      <w:proofErr w:type="spellEnd"/>
      <w:r>
        <w:t>, 2014</w:t>
      </w:r>
      <w:r w:rsidRPr="00407BA0">
        <w:t xml:space="preserve"> </w:t>
      </w:r>
      <w:proofErr w:type="spellStart"/>
      <w:r w:rsidRPr="00407BA0">
        <w:t>Rockman</w:t>
      </w:r>
      <w:proofErr w:type="spellEnd"/>
      <w:r w:rsidRPr="00407BA0">
        <w:t xml:space="preserve"> S, Becher D, Dyson A, et al. Role of viral RNA and lipid in the adverse events associated with the 2010 Southern Hemisphere trivalent influenza vaccine. </w:t>
      </w:r>
      <w:proofErr w:type="gramStart"/>
      <w:r w:rsidRPr="00407BA0">
        <w:t>Vaccine.</w:t>
      </w:r>
      <w:proofErr w:type="gramEnd"/>
      <w:r w:rsidRPr="00407BA0">
        <w:t xml:space="preserve"> 2014 Jun 24</w:t>
      </w:r>
      <w:proofErr w:type="gramStart"/>
      <w:r w:rsidRPr="00407BA0">
        <w:t>;32</w:t>
      </w:r>
      <w:proofErr w:type="gramEnd"/>
      <w:r w:rsidRPr="00407BA0">
        <w:t>(30):3869-76</w:t>
      </w:r>
      <w:r w:rsidR="00182466">
        <w:t>.</w:t>
      </w:r>
    </w:p>
    <w:p w:rsidR="00182466" w:rsidRDefault="00D470CB" w:rsidP="00D470CB">
      <w:proofErr w:type="spellStart"/>
      <w:r w:rsidRPr="00407BA0">
        <w:t>Rockman</w:t>
      </w:r>
      <w:proofErr w:type="spellEnd"/>
      <w:r w:rsidRPr="00407BA0">
        <w:t xml:space="preserve"> S, Dyson A, </w:t>
      </w:r>
      <w:proofErr w:type="spellStart"/>
      <w:r w:rsidRPr="00407BA0">
        <w:t>Koernig</w:t>
      </w:r>
      <w:proofErr w:type="spellEnd"/>
      <w:r w:rsidRPr="00407BA0">
        <w:t xml:space="preserve"> S, et al. Evaluation of the bioactivity of influenza vaccine strains in vitro suggests that the introduction of new strains in the 2010 Southern Hemisphere trivalent influenza vaccine is associated with adverse events. </w:t>
      </w:r>
      <w:proofErr w:type="gramStart"/>
      <w:r w:rsidRPr="00407BA0">
        <w:t>Vaccine.</w:t>
      </w:r>
      <w:proofErr w:type="gramEnd"/>
      <w:r w:rsidRPr="00407BA0">
        <w:t xml:space="preserve"> 2014 Jun 24</w:t>
      </w:r>
      <w:proofErr w:type="gramStart"/>
      <w:r w:rsidRPr="00407BA0">
        <w:t>;32</w:t>
      </w:r>
      <w:proofErr w:type="gramEnd"/>
      <w:r w:rsidRPr="00407BA0">
        <w:t>(30):3861-8</w:t>
      </w:r>
      <w:r w:rsidR="00182466">
        <w:t>.</w:t>
      </w:r>
    </w:p>
    <w:p w:rsidR="00D470CB" w:rsidRPr="00407BA0" w:rsidRDefault="00D470CB" w:rsidP="00D470CB">
      <w:proofErr w:type="gramStart"/>
      <w:r w:rsidRPr="00407BA0">
        <w:t xml:space="preserve">Rothberg MB, </w:t>
      </w:r>
      <w:proofErr w:type="spellStart"/>
      <w:r w:rsidRPr="00407BA0">
        <w:t>Haessler</w:t>
      </w:r>
      <w:proofErr w:type="spellEnd"/>
      <w:r w:rsidRPr="00407BA0">
        <w:t xml:space="preserve"> SD, Brown RB.</w:t>
      </w:r>
      <w:proofErr w:type="gramEnd"/>
      <w:r w:rsidRPr="00407BA0">
        <w:t xml:space="preserve"> Complications of viral influenza. Am J Med 2008 Apr;121(4):258-64.</w:t>
      </w:r>
    </w:p>
    <w:p w:rsidR="003D1E62" w:rsidRPr="001D043B" w:rsidRDefault="00D470CB" w:rsidP="00D470CB">
      <w:pPr>
        <w:sectPr w:rsidR="003D1E62" w:rsidRPr="001D043B" w:rsidSect="008D770F">
          <w:pgSz w:w="11906" w:h="16838" w:code="9"/>
          <w:pgMar w:top="1440" w:right="1440" w:bottom="1440" w:left="1440" w:header="907" w:footer="216" w:gutter="0"/>
          <w:cols w:space="708"/>
          <w:docGrid w:linePitch="360"/>
        </w:sectPr>
      </w:pPr>
      <w:r w:rsidRPr="00407BA0">
        <w:t>Thompson WW, et al. Mortality associated with influenza and respiratory syncytial virus in the United States. JAMA 2003;8;289(2):179-86.</w:t>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8F1442">
        <w:trPr>
          <w:trHeight w:hRule="exact" w:val="564"/>
        </w:trPr>
        <w:tc>
          <w:tcPr>
            <w:tcW w:w="9175" w:type="dxa"/>
          </w:tcPr>
          <w:p w:rsidR="00B3567E" w:rsidRPr="00487162" w:rsidRDefault="00B3567E" w:rsidP="008F1442">
            <w:pPr>
              <w:pStyle w:val="TGASignoff"/>
            </w:pPr>
            <w:r w:rsidRPr="00487162">
              <w:lastRenderedPageBreak/>
              <w:t>Therapeutic Goods Administration</w:t>
            </w:r>
          </w:p>
        </w:tc>
      </w:tr>
      <w:tr w:rsidR="00B3567E" w:rsidRPr="00487162" w:rsidTr="008F1442">
        <w:trPr>
          <w:trHeight w:val="1221"/>
        </w:trPr>
        <w:tc>
          <w:tcPr>
            <w:tcW w:w="9175" w:type="dxa"/>
            <w:tcMar>
              <w:top w:w="28" w:type="dxa"/>
            </w:tcMar>
          </w:tcPr>
          <w:p w:rsidR="00B3567E" w:rsidRPr="00487162" w:rsidRDefault="00B3567E" w:rsidP="008F1442">
            <w:pPr>
              <w:pStyle w:val="Address"/>
            </w:pPr>
            <w:r w:rsidRPr="00487162">
              <w:t>PO Box 100 Woden ACT 2606 Australia</w:t>
            </w:r>
          </w:p>
          <w:p w:rsidR="00B3567E" w:rsidRPr="00487162" w:rsidRDefault="00B3567E" w:rsidP="008F1442">
            <w:pPr>
              <w:pStyle w:val="Address"/>
            </w:pPr>
            <w:r w:rsidRPr="00487162">
              <w:t xml:space="preserve">Email: </w:t>
            </w:r>
            <w:hyperlink r:id="rId57" w:history="1">
              <w:r w:rsidRPr="008D770F">
                <w:rPr>
                  <w:rStyle w:val="Hyperlink"/>
                </w:rPr>
                <w:t>info@tga.gov.au</w:t>
              </w:r>
            </w:hyperlink>
            <w:r w:rsidRPr="00487162">
              <w:t xml:space="preserve">  Phone: 1800 020 653  Fax: 02 6232 8605</w:t>
            </w:r>
          </w:p>
          <w:p w:rsidR="00B3567E" w:rsidRPr="008D770F" w:rsidRDefault="002228CD" w:rsidP="008F1442">
            <w:pPr>
              <w:pStyle w:val="Address"/>
              <w:spacing w:line="260" w:lineRule="atLeast"/>
              <w:rPr>
                <w:b/>
                <w:color w:val="0000FF"/>
                <w:u w:val="single"/>
              </w:rPr>
            </w:pPr>
            <w:hyperlink r:id="rId58" w:history="1">
              <w:r w:rsidR="00E979F4" w:rsidRPr="00FE02B1">
                <w:rPr>
                  <w:rStyle w:val="Hyperlink"/>
                  <w:b/>
                </w:rPr>
                <w:t>https://www.tga.gov.au</w:t>
              </w:r>
            </w:hyperlink>
          </w:p>
        </w:tc>
      </w:tr>
    </w:tbl>
    <w:p w:rsidR="00774E1D" w:rsidRPr="008A5E0B" w:rsidRDefault="00774E1D" w:rsidP="003D19A4"/>
    <w:sectPr w:rsidR="00774E1D" w:rsidRPr="008A5E0B" w:rsidSect="00B3567E">
      <w:headerReference w:type="even" r:id="rId59"/>
      <w:headerReference w:type="default" r:id="rId60"/>
      <w:footerReference w:type="default" r:id="rId61"/>
      <w:headerReference w:type="first" r:id="rId62"/>
      <w:footerReference w:type="first" r:id="rId63"/>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466" w:rsidRDefault="00182466" w:rsidP="00C40A36">
      <w:pPr>
        <w:spacing w:after="0"/>
      </w:pPr>
      <w:r>
        <w:separator/>
      </w:r>
    </w:p>
  </w:endnote>
  <w:endnote w:type="continuationSeparator" w:id="0">
    <w:p w:rsidR="00182466" w:rsidRDefault="0018246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00"/>
    <w:family w:val="auto"/>
    <w:notTrueType/>
    <w:pitch w:val="default"/>
    <w:sig w:usb0="00000083" w:usb1="090F0000" w:usb2="00000010" w:usb3="00000000" w:csb0="001A0009" w:csb1="00000000"/>
  </w:font>
  <w:font w:name="ArialNarrow">
    <w:panose1 w:val="00000000000000000000"/>
    <w:charset w:val="00"/>
    <w:family w:val="swiss"/>
    <w:notTrueType/>
    <w:pitch w:val="default"/>
    <w:sig w:usb0="00000003" w:usb1="00000000" w:usb2="00000000" w:usb3="00000000" w:csb0="00000001" w:csb1="00000000"/>
  </w:font>
  <w:font w:name="Calibri,Bold">
    <w:altName w:val="MS Mincho"/>
    <w:panose1 w:val="00000000000000000000"/>
    <w:charset w:val="80"/>
    <w:family w:val="auto"/>
    <w:notTrueType/>
    <w:pitch w:val="default"/>
    <w:sig w:usb0="00000003" w:usb1="08070000" w:usb2="00000010" w:usb3="00000000" w:csb0="00020001" w:csb1="00000000"/>
  </w:font>
  <w:font w:name="ArialMT">
    <w:altName w:val="MS Gothic"/>
    <w:panose1 w:val="00000000000000000000"/>
    <w:charset w:val="00"/>
    <w:family w:val="swiss"/>
    <w:notTrueType/>
    <w:pitch w:val="default"/>
    <w:sig w:usb0="00000003" w:usb1="08070000" w:usb2="00000010" w:usb3="00000000" w:csb0="00020001" w:csb1="00000000"/>
  </w:font>
  <w:font w:name="TimesNewRomanPSMT">
    <w:panose1 w:val="00000000000000000000"/>
    <w:charset w:val="00"/>
    <w:family w:val="roman"/>
    <w:notTrueType/>
    <w:pitch w:val="default"/>
    <w:sig w:usb0="00000003" w:usb1="00000000" w:usb2="00000000" w:usb3="00000000" w:csb0="00000001" w:csb1="00000000"/>
  </w:font>
  <w:font w:name="TimesNewRoman,Italic">
    <w:altName w:val="MS Mincho"/>
    <w:panose1 w:val="00000000000000000000"/>
    <w:charset w:val="00"/>
    <w:family w:val="auto"/>
    <w:notTrueType/>
    <w:pitch w:val="default"/>
    <w:sig w:usb0="00000003" w:usb1="08070000" w:usb2="00000010" w:usb3="00000000" w:csb0="00020001" w:csb1="00000000"/>
  </w:font>
  <w:font w:name="TimesNewRoman,Bold">
    <w:altName w:val="MS Mincho"/>
    <w:panose1 w:val="00000000000000000000"/>
    <w:charset w:val="00"/>
    <w:family w:val="auto"/>
    <w:notTrueType/>
    <w:pitch w:val="default"/>
    <w:sig w:usb0="00000003" w:usb1="08070000" w:usb2="00000010" w:usb3="00000000" w:csb0="00020001"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TimesNewRoman,BoldItalic">
    <w:altName w:val="MS Mincho"/>
    <w:panose1 w:val="00000000000000000000"/>
    <w:charset w:val="80"/>
    <w:family w:val="auto"/>
    <w:notTrueType/>
    <w:pitch w:val="default"/>
    <w:sig w:usb0="00000003"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182466" w:rsidRPr="00487162" w:rsidTr="00D470CB">
      <w:trPr>
        <w:trHeight w:val="269"/>
      </w:trPr>
      <w:tc>
        <w:tcPr>
          <w:tcW w:w="7513" w:type="dxa"/>
          <w:tcMar>
            <w:top w:w="142" w:type="dxa"/>
            <w:bottom w:w="0" w:type="dxa"/>
          </w:tcMar>
        </w:tcPr>
        <w:p w:rsidR="00182466" w:rsidRPr="00487162" w:rsidRDefault="00182466" w:rsidP="00D470CB">
          <w:pPr>
            <w:pStyle w:val="Footer"/>
          </w:pPr>
          <w:r>
            <w:t>Submission</w:t>
          </w:r>
          <w:r w:rsidRPr="00487162">
            <w:t xml:space="preserve"> PM-20</w:t>
          </w:r>
          <w:r>
            <w:t>16</w:t>
          </w:r>
          <w:r w:rsidRPr="00487162">
            <w:t>-</w:t>
          </w:r>
          <w:r>
            <w:t>03542-1-2 Extract from the Clinical Evaluation Report for Afluria Quad</w:t>
          </w:r>
        </w:p>
      </w:tc>
      <w:tc>
        <w:tcPr>
          <w:tcW w:w="1348" w:type="dxa"/>
          <w:tcMar>
            <w:top w:w="142" w:type="dxa"/>
            <w:bottom w:w="0" w:type="dxa"/>
          </w:tcMar>
        </w:tcPr>
        <w:p w:rsidR="00182466" w:rsidRPr="00981D66" w:rsidRDefault="00182466"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2228CD">
            <w:rPr>
              <w:noProof/>
            </w:rPr>
            <w:t>2</w:t>
          </w:r>
          <w:r w:rsidRPr="00981D66">
            <w:fldChar w:fldCharType="end"/>
          </w:r>
          <w:r w:rsidRPr="00981D66">
            <w:t xml:space="preserve"> of </w:t>
          </w:r>
          <w:r w:rsidR="002228CD">
            <w:fldChar w:fldCharType="begin"/>
          </w:r>
          <w:r w:rsidR="002228CD">
            <w:instrText xml:space="preserve"> NUMPAGES  \* Arabic  \* MERGEFORMAT </w:instrText>
          </w:r>
          <w:r w:rsidR="002228CD">
            <w:fldChar w:fldCharType="separate"/>
          </w:r>
          <w:r w:rsidR="002228CD">
            <w:rPr>
              <w:noProof/>
            </w:rPr>
            <w:t>45</w:t>
          </w:r>
          <w:r w:rsidR="002228CD">
            <w:rPr>
              <w:noProof/>
            </w:rPr>
            <w:fldChar w:fldCharType="end"/>
          </w:r>
        </w:p>
      </w:tc>
    </w:tr>
  </w:tbl>
  <w:p w:rsidR="00182466" w:rsidRDefault="00182466"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82466" w:rsidRPr="00487162" w:rsidTr="00E45619">
      <w:trPr>
        <w:trHeight w:val="269"/>
      </w:trPr>
      <w:tc>
        <w:tcPr>
          <w:tcW w:w="4519" w:type="dxa"/>
          <w:tcBorders>
            <w:top w:val="single" w:sz="4" w:space="0" w:color="auto"/>
          </w:tcBorders>
          <w:tcMar>
            <w:top w:w="142" w:type="dxa"/>
            <w:bottom w:w="0" w:type="dxa"/>
          </w:tcMar>
        </w:tcPr>
        <w:p w:rsidR="00182466" w:rsidRPr="00487162" w:rsidRDefault="00182466" w:rsidP="00FE1DEE">
          <w:pPr>
            <w:pStyle w:val="Footer"/>
          </w:pPr>
          <w:r w:rsidRPr="00487162">
            <w:t>Document title, Part #, Section # - Section title</w:t>
          </w:r>
        </w:p>
        <w:p w:rsidR="00182466" w:rsidRPr="00487162" w:rsidRDefault="00182466" w:rsidP="00FE1DEE">
          <w:pPr>
            <w:pStyle w:val="Footer"/>
          </w:pPr>
          <w:r w:rsidRPr="00487162">
            <w:t>V1.0 October 2010</w:t>
          </w:r>
        </w:p>
      </w:tc>
      <w:tc>
        <w:tcPr>
          <w:tcW w:w="4342" w:type="dxa"/>
          <w:tcBorders>
            <w:top w:val="single" w:sz="4" w:space="0" w:color="auto"/>
          </w:tcBorders>
          <w:tcMar>
            <w:top w:w="142" w:type="dxa"/>
            <w:bottom w:w="0" w:type="dxa"/>
          </w:tcMar>
        </w:tcPr>
        <w:p w:rsidR="00182466" w:rsidRPr="00487162" w:rsidRDefault="0018246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2228CD">
            <w:fldChar w:fldCharType="begin"/>
          </w:r>
          <w:r w:rsidR="002228CD">
            <w:instrText xml:space="preserve"> NUMPAGES  </w:instrText>
          </w:r>
          <w:r w:rsidR="002228CD">
            <w:fldChar w:fldCharType="separate"/>
          </w:r>
          <w:r>
            <w:rPr>
              <w:noProof/>
            </w:rPr>
            <w:t>44</w:t>
          </w:r>
          <w:r w:rsidR="002228CD">
            <w:rPr>
              <w:noProof/>
            </w:rPr>
            <w:fldChar w:fldCharType="end"/>
          </w:r>
        </w:p>
      </w:tc>
    </w:tr>
  </w:tbl>
  <w:p w:rsidR="00182466" w:rsidRDefault="001824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466" w:rsidRDefault="00182466"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82466" w:rsidTr="0010601F">
      <w:trPr>
        <w:trHeight w:val="108"/>
      </w:trPr>
      <w:tc>
        <w:tcPr>
          <w:tcW w:w="8875" w:type="dxa"/>
          <w:gridSpan w:val="2"/>
          <w:tcBorders>
            <w:bottom w:val="single" w:sz="4" w:space="0" w:color="auto"/>
          </w:tcBorders>
          <w:tcMar>
            <w:right w:w="284" w:type="dxa"/>
          </w:tcMar>
        </w:tcPr>
        <w:p w:rsidR="00182466" w:rsidRDefault="00182466" w:rsidP="006E08B3">
          <w:pPr>
            <w:pStyle w:val="Heading3"/>
          </w:pPr>
          <w:r>
            <w:t>Copyright</w:t>
          </w:r>
        </w:p>
        <w:p w:rsidR="00182466" w:rsidRDefault="00182466" w:rsidP="006E08B3">
          <w:r>
            <w:rPr>
              <w:rFonts w:cs="Arial"/>
            </w:rPr>
            <w:t>©</w:t>
          </w:r>
          <w:r>
            <w:t xml:space="preserve"> Commonwealth of Australia [add year]</w:t>
          </w:r>
        </w:p>
        <w:p w:rsidR="00182466" w:rsidRDefault="00182466" w:rsidP="006E08B3"/>
        <w:p w:rsidR="00182466" w:rsidRDefault="0018246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82466" w:rsidRDefault="00182466" w:rsidP="006E08B3"/>
        <w:p w:rsidR="00182466" w:rsidRDefault="00182466" w:rsidP="006E08B3">
          <w:pPr>
            <w:pStyle w:val="Heading3"/>
          </w:pPr>
          <w:r>
            <w:t>Confidentiality</w:t>
          </w:r>
        </w:p>
        <w:p w:rsidR="00182466" w:rsidRDefault="0018246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82466" w:rsidRDefault="00182466" w:rsidP="006E08B3"/>
        <w:p w:rsidR="00182466" w:rsidRDefault="00182466" w:rsidP="006E08B3">
          <w:r>
            <w:t>For submission made by individuals, all personal details, other than your name, will be removed from your submission before it is published on the TGA’s Internet site.</w:t>
          </w:r>
        </w:p>
        <w:p w:rsidR="00182466" w:rsidRDefault="00182466" w:rsidP="006E08B3"/>
        <w:p w:rsidR="00182466" w:rsidRDefault="00182466" w:rsidP="006E08B3">
          <w:r>
            <w:t>In addition, a list of parties making submissions will be published. If you do not wish to be identified with your submission you must specifically request this in the space provided ib the submission coversheet.</w:t>
          </w:r>
        </w:p>
      </w:tc>
    </w:tr>
    <w:tr w:rsidR="00182466" w:rsidTr="0010601F">
      <w:trPr>
        <w:trHeight w:val="417"/>
      </w:trPr>
      <w:tc>
        <w:tcPr>
          <w:tcW w:w="4519" w:type="dxa"/>
          <w:tcBorders>
            <w:top w:val="single" w:sz="4" w:space="0" w:color="auto"/>
          </w:tcBorders>
          <w:tcMar>
            <w:top w:w="142" w:type="dxa"/>
            <w:bottom w:w="0" w:type="dxa"/>
          </w:tcMar>
        </w:tcPr>
        <w:p w:rsidR="00182466" w:rsidRDefault="00182466" w:rsidP="006E08B3">
          <w:r>
            <w:t>Document title, Part #, Section # - Section title</w:t>
          </w:r>
        </w:p>
        <w:p w:rsidR="00182466" w:rsidRDefault="00182466" w:rsidP="006E08B3">
          <w:r>
            <w:t>V1.0 October 2010</w:t>
          </w:r>
        </w:p>
      </w:tc>
      <w:tc>
        <w:tcPr>
          <w:tcW w:w="4356" w:type="dxa"/>
          <w:tcBorders>
            <w:top w:val="single" w:sz="4" w:space="0" w:color="auto"/>
          </w:tcBorders>
          <w:tcMar>
            <w:top w:w="142" w:type="dxa"/>
            <w:bottom w:w="0" w:type="dxa"/>
          </w:tcMar>
        </w:tcPr>
        <w:p w:rsidR="00182466" w:rsidRDefault="0018246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2228CD">
            <w:fldChar w:fldCharType="begin"/>
          </w:r>
          <w:r w:rsidR="002228CD">
            <w:instrText xml:space="preserve"> NUMPAGES  \* Arabic </w:instrText>
          </w:r>
          <w:r w:rsidR="002228CD">
            <w:fldChar w:fldCharType="separate"/>
          </w:r>
          <w:r>
            <w:rPr>
              <w:noProof/>
            </w:rPr>
            <w:t>44</w:t>
          </w:r>
          <w:r w:rsidR="002228CD">
            <w:rPr>
              <w:noProof/>
            </w:rPr>
            <w:fldChar w:fldCharType="end"/>
          </w:r>
          <w:r>
            <w:t xml:space="preserve">  </w:t>
          </w:r>
        </w:p>
      </w:tc>
    </w:tr>
  </w:tbl>
  <w:p w:rsidR="00182466" w:rsidRDefault="0018246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466" w:rsidRDefault="00182466" w:rsidP="00C40A36">
      <w:pPr>
        <w:spacing w:after="0"/>
      </w:pPr>
      <w:r>
        <w:separator/>
      </w:r>
    </w:p>
  </w:footnote>
  <w:footnote w:type="continuationSeparator" w:id="0">
    <w:p w:rsidR="00182466" w:rsidRDefault="00182466" w:rsidP="00C40A36">
      <w:pPr>
        <w:spacing w:after="0"/>
      </w:pPr>
      <w:r>
        <w:continuationSeparator/>
      </w:r>
    </w:p>
  </w:footnote>
  <w:footnote w:id="1">
    <w:p w:rsidR="00182466" w:rsidRPr="00133331" w:rsidRDefault="00182466" w:rsidP="00D470CB">
      <w:pPr>
        <w:pStyle w:val="FootnoteText"/>
        <w:rPr>
          <w:lang w:val="en-US"/>
        </w:rPr>
      </w:pPr>
      <w:r>
        <w:rPr>
          <w:rStyle w:val="FootnoteReference"/>
        </w:rPr>
        <w:footnoteRef/>
      </w:r>
      <w:r>
        <w:t xml:space="preserve"> </w:t>
      </w:r>
      <w:r w:rsidRPr="00906F40">
        <w:t>EMEA/CHMP/VWP/164653/2005</w:t>
      </w:r>
    </w:p>
  </w:footnote>
  <w:footnote w:id="2">
    <w:p w:rsidR="00182466" w:rsidRPr="00563E96" w:rsidRDefault="00182466" w:rsidP="00D470CB">
      <w:pPr>
        <w:pStyle w:val="FootnoteText"/>
        <w:rPr>
          <w:sz w:val="18"/>
          <w:szCs w:val="18"/>
          <w:lang w:val="en-US"/>
        </w:rPr>
      </w:pPr>
      <w:r w:rsidRPr="00563E96">
        <w:rPr>
          <w:rStyle w:val="FootnoteReference"/>
          <w:sz w:val="18"/>
          <w:szCs w:val="18"/>
        </w:rPr>
        <w:footnoteRef/>
      </w:r>
      <w:r w:rsidRPr="00563E96">
        <w:rPr>
          <w:sz w:val="18"/>
          <w:szCs w:val="18"/>
        </w:rPr>
        <w:t xml:space="preserve"> The interim results from Study CSLCT-QIV-15-03 wer</w:t>
      </w:r>
      <w:r>
        <w:rPr>
          <w:sz w:val="18"/>
          <w:szCs w:val="18"/>
        </w:rPr>
        <w:t xml:space="preserve">e provided to TGA in July 2017 </w:t>
      </w:r>
      <w:r w:rsidRPr="00563E96">
        <w:rPr>
          <w:sz w:val="18"/>
          <w:szCs w:val="18"/>
        </w:rPr>
        <w:t>and are currently being evaluated as part of an application to extend the indication to children aged 6 months to 5 years of 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466" w:rsidRDefault="00182466"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466" w:rsidRDefault="00182466">
    <w:pPr>
      <w:rPr>
        <w:noProof/>
        <w:lang w:eastAsia="en-AU"/>
      </w:rPr>
    </w:pPr>
    <w:r w:rsidRPr="002D545C">
      <w:rPr>
        <w:noProof/>
        <w:lang w:eastAsia="en-AU"/>
      </w:rPr>
      <w:drawing>
        <wp:anchor distT="0" distB="0" distL="114300" distR="114300" simplePos="0" relativeHeight="251659264" behindDoc="1" locked="0" layoutInCell="1" allowOverlap="1" wp14:anchorId="750D407F" wp14:editId="18703D4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182466" w:rsidRDefault="00182466"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466" w:rsidRDefault="0018246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466" w:rsidRDefault="00182466">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466" w:rsidRDefault="00182466">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466" w:rsidRDefault="0018246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466" w:rsidRDefault="00182466"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466" w:rsidRDefault="00182466" w:rsidP="006E08B3">
    <w:r>
      <w:t>Therapeutic Goods Administration</w:t>
    </w:r>
  </w:p>
  <w:p w:rsidR="00182466" w:rsidRDefault="00182466"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
    <w:nsid w:val="0C2C2B87"/>
    <w:multiLevelType w:val="hybridMultilevel"/>
    <w:tmpl w:val="BDEEEAE4"/>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6">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68F13E9"/>
    <w:multiLevelType w:val="multilevel"/>
    <w:tmpl w:val="8FAE89EE"/>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21E874B5"/>
    <w:multiLevelType w:val="hybridMultilevel"/>
    <w:tmpl w:val="241CAA02"/>
    <w:lvl w:ilvl="0" w:tplc="A3B60A2C">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2A757584"/>
    <w:multiLevelType w:val="hybridMultilevel"/>
    <w:tmpl w:val="16A4E8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EC83519"/>
    <w:multiLevelType w:val="hybridMultilevel"/>
    <w:tmpl w:val="6862F5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437E0010"/>
    <w:multiLevelType w:val="hybridMultilevel"/>
    <w:tmpl w:val="28BE8A9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5">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8">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9">
    <w:nsid w:val="68960CD5"/>
    <w:multiLevelType w:val="hybridMultilevel"/>
    <w:tmpl w:val="D246736C"/>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0">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1">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6DF94007"/>
    <w:multiLevelType w:val="hybridMultilevel"/>
    <w:tmpl w:val="12C8F08A"/>
    <w:lvl w:ilvl="0" w:tplc="0C090001">
      <w:start w:val="1"/>
      <w:numFmt w:val="bullet"/>
      <w:lvlText w:val=""/>
      <w:lvlJc w:val="left"/>
      <w:pPr>
        <w:ind w:left="755" w:hanging="360"/>
      </w:pPr>
      <w:rPr>
        <w:rFonts w:ascii="Symbol" w:hAnsi="Symbol" w:hint="default"/>
      </w:rPr>
    </w:lvl>
    <w:lvl w:ilvl="1" w:tplc="0C090003" w:tentative="1">
      <w:start w:val="1"/>
      <w:numFmt w:val="bullet"/>
      <w:lvlText w:val="o"/>
      <w:lvlJc w:val="left"/>
      <w:pPr>
        <w:ind w:left="1475" w:hanging="360"/>
      </w:pPr>
      <w:rPr>
        <w:rFonts w:ascii="Courier New" w:hAnsi="Courier New" w:cs="Courier New" w:hint="default"/>
      </w:rPr>
    </w:lvl>
    <w:lvl w:ilvl="2" w:tplc="0C090005" w:tentative="1">
      <w:start w:val="1"/>
      <w:numFmt w:val="bullet"/>
      <w:lvlText w:val=""/>
      <w:lvlJc w:val="left"/>
      <w:pPr>
        <w:ind w:left="2195" w:hanging="360"/>
      </w:pPr>
      <w:rPr>
        <w:rFonts w:ascii="Wingdings" w:hAnsi="Wingdings" w:hint="default"/>
      </w:rPr>
    </w:lvl>
    <w:lvl w:ilvl="3" w:tplc="0C090001" w:tentative="1">
      <w:start w:val="1"/>
      <w:numFmt w:val="bullet"/>
      <w:lvlText w:val=""/>
      <w:lvlJc w:val="left"/>
      <w:pPr>
        <w:ind w:left="2915" w:hanging="360"/>
      </w:pPr>
      <w:rPr>
        <w:rFonts w:ascii="Symbol" w:hAnsi="Symbol" w:hint="default"/>
      </w:rPr>
    </w:lvl>
    <w:lvl w:ilvl="4" w:tplc="0C090003" w:tentative="1">
      <w:start w:val="1"/>
      <w:numFmt w:val="bullet"/>
      <w:lvlText w:val="o"/>
      <w:lvlJc w:val="left"/>
      <w:pPr>
        <w:ind w:left="3635" w:hanging="360"/>
      </w:pPr>
      <w:rPr>
        <w:rFonts w:ascii="Courier New" w:hAnsi="Courier New" w:cs="Courier New" w:hint="default"/>
      </w:rPr>
    </w:lvl>
    <w:lvl w:ilvl="5" w:tplc="0C090005" w:tentative="1">
      <w:start w:val="1"/>
      <w:numFmt w:val="bullet"/>
      <w:lvlText w:val=""/>
      <w:lvlJc w:val="left"/>
      <w:pPr>
        <w:ind w:left="4355" w:hanging="360"/>
      </w:pPr>
      <w:rPr>
        <w:rFonts w:ascii="Wingdings" w:hAnsi="Wingdings" w:hint="default"/>
      </w:rPr>
    </w:lvl>
    <w:lvl w:ilvl="6" w:tplc="0C090001" w:tentative="1">
      <w:start w:val="1"/>
      <w:numFmt w:val="bullet"/>
      <w:lvlText w:val=""/>
      <w:lvlJc w:val="left"/>
      <w:pPr>
        <w:ind w:left="5075" w:hanging="360"/>
      </w:pPr>
      <w:rPr>
        <w:rFonts w:ascii="Symbol" w:hAnsi="Symbol" w:hint="default"/>
      </w:rPr>
    </w:lvl>
    <w:lvl w:ilvl="7" w:tplc="0C090003" w:tentative="1">
      <w:start w:val="1"/>
      <w:numFmt w:val="bullet"/>
      <w:lvlText w:val="o"/>
      <w:lvlJc w:val="left"/>
      <w:pPr>
        <w:ind w:left="5795" w:hanging="360"/>
      </w:pPr>
      <w:rPr>
        <w:rFonts w:ascii="Courier New" w:hAnsi="Courier New" w:cs="Courier New" w:hint="default"/>
      </w:rPr>
    </w:lvl>
    <w:lvl w:ilvl="8" w:tplc="0C090005" w:tentative="1">
      <w:start w:val="1"/>
      <w:numFmt w:val="bullet"/>
      <w:lvlText w:val=""/>
      <w:lvlJc w:val="left"/>
      <w:pPr>
        <w:ind w:left="6515" w:hanging="360"/>
      </w:pPr>
      <w:rPr>
        <w:rFonts w:ascii="Wingdings" w:hAnsi="Wingdings" w:hint="default"/>
      </w:rPr>
    </w:lvl>
  </w:abstractNum>
  <w:abstractNum w:abstractNumId="23">
    <w:nsid w:val="79487FED"/>
    <w:multiLevelType w:val="hybridMultilevel"/>
    <w:tmpl w:val="1306252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6"/>
  </w:num>
  <w:num w:numId="17">
    <w:abstractNumId w:val="6"/>
  </w:num>
  <w:num w:numId="18">
    <w:abstractNumId w:val="6"/>
  </w:num>
  <w:num w:numId="19">
    <w:abstractNumId w:val="7"/>
  </w:num>
  <w:num w:numId="20">
    <w:abstractNumId w:val="7"/>
  </w:num>
  <w:num w:numId="21">
    <w:abstractNumId w:val="7"/>
  </w:num>
  <w:num w:numId="22">
    <w:abstractNumId w:val="6"/>
  </w:num>
  <w:num w:numId="23">
    <w:abstractNumId w:val="6"/>
  </w:num>
  <w:num w:numId="24">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2"/>
  </w:num>
  <w:num w:numId="26">
    <w:abstractNumId w:val="15"/>
  </w:num>
  <w:num w:numId="27">
    <w:abstractNumId w:val="16"/>
  </w:num>
  <w:num w:numId="28">
    <w:abstractNumId w:val="18"/>
  </w:num>
  <w:num w:numId="29">
    <w:abstractNumId w:val="20"/>
  </w:num>
  <w:num w:numId="30">
    <w:abstractNumId w:val="20"/>
  </w:num>
  <w:num w:numId="31">
    <w:abstractNumId w:val="20"/>
  </w:num>
  <w:num w:numId="32">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1"/>
  </w:num>
  <w:num w:numId="34">
    <w:abstractNumId w:val="21"/>
  </w:num>
  <w:num w:numId="35">
    <w:abstractNumId w:val="10"/>
  </w:num>
  <w:num w:numId="36">
    <w:abstractNumId w:val="4"/>
  </w:num>
  <w:num w:numId="37">
    <w:abstractNumId w:val="17"/>
  </w:num>
  <w:num w:numId="38">
    <w:abstractNumId w:val="9"/>
  </w:num>
  <w:num w:numId="39">
    <w:abstractNumId w:val="8"/>
  </w:num>
  <w:num w:numId="40">
    <w:abstractNumId w:val="13"/>
  </w:num>
  <w:num w:numId="41">
    <w:abstractNumId w:val="23"/>
  </w:num>
  <w:num w:numId="42">
    <w:abstractNumId w:val="14"/>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19"/>
  </w:num>
  <w:num w:numId="46">
    <w:abstractNumId w:val="5"/>
  </w:num>
  <w:num w:numId="47">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8">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9">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0CB"/>
    <w:rsid w:val="00002031"/>
    <w:rsid w:val="00004734"/>
    <w:rsid w:val="00006B22"/>
    <w:rsid w:val="0001276A"/>
    <w:rsid w:val="000246AE"/>
    <w:rsid w:val="00025C67"/>
    <w:rsid w:val="00040ACB"/>
    <w:rsid w:val="0005559E"/>
    <w:rsid w:val="00077775"/>
    <w:rsid w:val="00090471"/>
    <w:rsid w:val="00097B5E"/>
    <w:rsid w:val="000A3AED"/>
    <w:rsid w:val="000A63AF"/>
    <w:rsid w:val="000B3532"/>
    <w:rsid w:val="000B3A75"/>
    <w:rsid w:val="000C690F"/>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10A"/>
    <w:rsid w:val="0017078F"/>
    <w:rsid w:val="001708EC"/>
    <w:rsid w:val="0017693F"/>
    <w:rsid w:val="0018110E"/>
    <w:rsid w:val="00181684"/>
    <w:rsid w:val="00182466"/>
    <w:rsid w:val="001843C6"/>
    <w:rsid w:val="001850E0"/>
    <w:rsid w:val="001A2158"/>
    <w:rsid w:val="001A525F"/>
    <w:rsid w:val="001B09F9"/>
    <w:rsid w:val="001B5D98"/>
    <w:rsid w:val="001B6448"/>
    <w:rsid w:val="001C657B"/>
    <w:rsid w:val="001E07CF"/>
    <w:rsid w:val="001E59F1"/>
    <w:rsid w:val="001F497A"/>
    <w:rsid w:val="001F49EB"/>
    <w:rsid w:val="001F6CBA"/>
    <w:rsid w:val="00201D4E"/>
    <w:rsid w:val="002076C9"/>
    <w:rsid w:val="00220B8A"/>
    <w:rsid w:val="002228CD"/>
    <w:rsid w:val="002257F3"/>
    <w:rsid w:val="00233456"/>
    <w:rsid w:val="002339A5"/>
    <w:rsid w:val="00257848"/>
    <w:rsid w:val="002666AC"/>
    <w:rsid w:val="0027084A"/>
    <w:rsid w:val="00286434"/>
    <w:rsid w:val="00286C59"/>
    <w:rsid w:val="00292113"/>
    <w:rsid w:val="002942D1"/>
    <w:rsid w:val="0029501A"/>
    <w:rsid w:val="002B1638"/>
    <w:rsid w:val="002C63ED"/>
    <w:rsid w:val="002D545C"/>
    <w:rsid w:val="002D6161"/>
    <w:rsid w:val="002E4C9A"/>
    <w:rsid w:val="002F11F8"/>
    <w:rsid w:val="002F3F56"/>
    <w:rsid w:val="002F44B5"/>
    <w:rsid w:val="00311AC0"/>
    <w:rsid w:val="0032583B"/>
    <w:rsid w:val="00327883"/>
    <w:rsid w:val="00335504"/>
    <w:rsid w:val="003521E8"/>
    <w:rsid w:val="003728F3"/>
    <w:rsid w:val="0037496E"/>
    <w:rsid w:val="0037623D"/>
    <w:rsid w:val="0038364D"/>
    <w:rsid w:val="00386150"/>
    <w:rsid w:val="003874CE"/>
    <w:rsid w:val="00390900"/>
    <w:rsid w:val="00396C92"/>
    <w:rsid w:val="003A7F6C"/>
    <w:rsid w:val="003B1113"/>
    <w:rsid w:val="003B4D60"/>
    <w:rsid w:val="003B634F"/>
    <w:rsid w:val="003B7E39"/>
    <w:rsid w:val="003C58DC"/>
    <w:rsid w:val="003D0A3B"/>
    <w:rsid w:val="003D19A4"/>
    <w:rsid w:val="003D1E62"/>
    <w:rsid w:val="003E2486"/>
    <w:rsid w:val="003E3208"/>
    <w:rsid w:val="003F0B04"/>
    <w:rsid w:val="0040134E"/>
    <w:rsid w:val="00415D59"/>
    <w:rsid w:val="00426926"/>
    <w:rsid w:val="0043797D"/>
    <w:rsid w:val="00440A2D"/>
    <w:rsid w:val="004564A7"/>
    <w:rsid w:val="004617BF"/>
    <w:rsid w:val="00463658"/>
    <w:rsid w:val="004722CC"/>
    <w:rsid w:val="004936E4"/>
    <w:rsid w:val="00494E60"/>
    <w:rsid w:val="00497487"/>
    <w:rsid w:val="004A7E13"/>
    <w:rsid w:val="004B7B76"/>
    <w:rsid w:val="004C2DCA"/>
    <w:rsid w:val="004F0F38"/>
    <w:rsid w:val="004F4AF5"/>
    <w:rsid w:val="00501921"/>
    <w:rsid w:val="00530354"/>
    <w:rsid w:val="0053625B"/>
    <w:rsid w:val="005434C6"/>
    <w:rsid w:val="00543B39"/>
    <w:rsid w:val="00550096"/>
    <w:rsid w:val="00557FF9"/>
    <w:rsid w:val="00575E67"/>
    <w:rsid w:val="00576378"/>
    <w:rsid w:val="00577945"/>
    <w:rsid w:val="00577E38"/>
    <w:rsid w:val="00585322"/>
    <w:rsid w:val="005857C6"/>
    <w:rsid w:val="00586F98"/>
    <w:rsid w:val="00592F6E"/>
    <w:rsid w:val="00593AD1"/>
    <w:rsid w:val="005A68B6"/>
    <w:rsid w:val="005C5570"/>
    <w:rsid w:val="005C79A4"/>
    <w:rsid w:val="005D5442"/>
    <w:rsid w:val="00603F32"/>
    <w:rsid w:val="006170F0"/>
    <w:rsid w:val="00620406"/>
    <w:rsid w:val="00632398"/>
    <w:rsid w:val="00640FC3"/>
    <w:rsid w:val="00642020"/>
    <w:rsid w:val="00646206"/>
    <w:rsid w:val="0065337B"/>
    <w:rsid w:val="0065419D"/>
    <w:rsid w:val="006604D8"/>
    <w:rsid w:val="00664A5B"/>
    <w:rsid w:val="006763D2"/>
    <w:rsid w:val="00680C08"/>
    <w:rsid w:val="006931B1"/>
    <w:rsid w:val="006A15C0"/>
    <w:rsid w:val="006B4C50"/>
    <w:rsid w:val="006C130C"/>
    <w:rsid w:val="006C29B6"/>
    <w:rsid w:val="006C3E2A"/>
    <w:rsid w:val="006C642F"/>
    <w:rsid w:val="006D03E5"/>
    <w:rsid w:val="006D5D3E"/>
    <w:rsid w:val="006E08B3"/>
    <w:rsid w:val="006F17AC"/>
    <w:rsid w:val="006F1D37"/>
    <w:rsid w:val="006F26D0"/>
    <w:rsid w:val="006F2796"/>
    <w:rsid w:val="006F572E"/>
    <w:rsid w:val="007046D6"/>
    <w:rsid w:val="00705DB0"/>
    <w:rsid w:val="00722B57"/>
    <w:rsid w:val="0074253D"/>
    <w:rsid w:val="0074429B"/>
    <w:rsid w:val="007513B4"/>
    <w:rsid w:val="007615BC"/>
    <w:rsid w:val="00762F05"/>
    <w:rsid w:val="007652FF"/>
    <w:rsid w:val="00770EF1"/>
    <w:rsid w:val="00773EF7"/>
    <w:rsid w:val="00774E1D"/>
    <w:rsid w:val="00775030"/>
    <w:rsid w:val="0077675A"/>
    <w:rsid w:val="00780355"/>
    <w:rsid w:val="00785721"/>
    <w:rsid w:val="00793A59"/>
    <w:rsid w:val="007B6E9F"/>
    <w:rsid w:val="007C1216"/>
    <w:rsid w:val="007C1AF7"/>
    <w:rsid w:val="007E6E27"/>
    <w:rsid w:val="007F3E00"/>
    <w:rsid w:val="00805D27"/>
    <w:rsid w:val="00821776"/>
    <w:rsid w:val="008321F5"/>
    <w:rsid w:val="00832369"/>
    <w:rsid w:val="00834660"/>
    <w:rsid w:val="00836BC2"/>
    <w:rsid w:val="008414A0"/>
    <w:rsid w:val="0085641B"/>
    <w:rsid w:val="00857136"/>
    <w:rsid w:val="00886D15"/>
    <w:rsid w:val="00887DD8"/>
    <w:rsid w:val="00896018"/>
    <w:rsid w:val="008960DD"/>
    <w:rsid w:val="0089635C"/>
    <w:rsid w:val="008A2B9D"/>
    <w:rsid w:val="008A5E0B"/>
    <w:rsid w:val="008A6D59"/>
    <w:rsid w:val="008B267C"/>
    <w:rsid w:val="008B4B03"/>
    <w:rsid w:val="008B596F"/>
    <w:rsid w:val="008B5A3E"/>
    <w:rsid w:val="008C159F"/>
    <w:rsid w:val="008C1623"/>
    <w:rsid w:val="008C1850"/>
    <w:rsid w:val="008C51A9"/>
    <w:rsid w:val="008D770F"/>
    <w:rsid w:val="008E7846"/>
    <w:rsid w:val="008F1442"/>
    <w:rsid w:val="008F1CCC"/>
    <w:rsid w:val="008F2967"/>
    <w:rsid w:val="008F6943"/>
    <w:rsid w:val="008F69AF"/>
    <w:rsid w:val="00902A21"/>
    <w:rsid w:val="00906445"/>
    <w:rsid w:val="00920330"/>
    <w:rsid w:val="009219D7"/>
    <w:rsid w:val="00922D53"/>
    <w:rsid w:val="00923B70"/>
    <w:rsid w:val="00924482"/>
    <w:rsid w:val="00930237"/>
    <w:rsid w:val="009438E8"/>
    <w:rsid w:val="00943D71"/>
    <w:rsid w:val="0094614A"/>
    <w:rsid w:val="00946EA5"/>
    <w:rsid w:val="0095160F"/>
    <w:rsid w:val="00963C08"/>
    <w:rsid w:val="00981D66"/>
    <w:rsid w:val="0098585A"/>
    <w:rsid w:val="0098669D"/>
    <w:rsid w:val="00994C95"/>
    <w:rsid w:val="009A4CED"/>
    <w:rsid w:val="009A690D"/>
    <w:rsid w:val="009B1D12"/>
    <w:rsid w:val="009B416B"/>
    <w:rsid w:val="009C4BD5"/>
    <w:rsid w:val="009D7B77"/>
    <w:rsid w:val="009E0BB0"/>
    <w:rsid w:val="009E3FBB"/>
    <w:rsid w:val="00A102E4"/>
    <w:rsid w:val="00A12C42"/>
    <w:rsid w:val="00A14DF7"/>
    <w:rsid w:val="00A235D9"/>
    <w:rsid w:val="00A3246D"/>
    <w:rsid w:val="00A36FA7"/>
    <w:rsid w:val="00A37D01"/>
    <w:rsid w:val="00A475B7"/>
    <w:rsid w:val="00A47AF7"/>
    <w:rsid w:val="00A47C3E"/>
    <w:rsid w:val="00A50226"/>
    <w:rsid w:val="00A60BAD"/>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275F4"/>
    <w:rsid w:val="00B33588"/>
    <w:rsid w:val="00B33863"/>
    <w:rsid w:val="00B3567E"/>
    <w:rsid w:val="00B37D17"/>
    <w:rsid w:val="00B4175E"/>
    <w:rsid w:val="00B452CE"/>
    <w:rsid w:val="00B54C25"/>
    <w:rsid w:val="00B76B91"/>
    <w:rsid w:val="00B77EB1"/>
    <w:rsid w:val="00B811C6"/>
    <w:rsid w:val="00B85A87"/>
    <w:rsid w:val="00B92E08"/>
    <w:rsid w:val="00B96EBE"/>
    <w:rsid w:val="00BC622A"/>
    <w:rsid w:val="00BD45E3"/>
    <w:rsid w:val="00BE0A78"/>
    <w:rsid w:val="00BE32A6"/>
    <w:rsid w:val="00BE6252"/>
    <w:rsid w:val="00BE79F0"/>
    <w:rsid w:val="00BF046D"/>
    <w:rsid w:val="00BF1190"/>
    <w:rsid w:val="00BF5D04"/>
    <w:rsid w:val="00C1164D"/>
    <w:rsid w:val="00C137CE"/>
    <w:rsid w:val="00C16861"/>
    <w:rsid w:val="00C22678"/>
    <w:rsid w:val="00C404A6"/>
    <w:rsid w:val="00C40A36"/>
    <w:rsid w:val="00C44419"/>
    <w:rsid w:val="00C45E7B"/>
    <w:rsid w:val="00C4625F"/>
    <w:rsid w:val="00C471B1"/>
    <w:rsid w:val="00C618F7"/>
    <w:rsid w:val="00C6316B"/>
    <w:rsid w:val="00C634A9"/>
    <w:rsid w:val="00C64586"/>
    <w:rsid w:val="00C70D53"/>
    <w:rsid w:val="00C71F79"/>
    <w:rsid w:val="00C73D0B"/>
    <w:rsid w:val="00C772FF"/>
    <w:rsid w:val="00C801AF"/>
    <w:rsid w:val="00C80256"/>
    <w:rsid w:val="00C811C0"/>
    <w:rsid w:val="00CB6BC0"/>
    <w:rsid w:val="00CC1B7C"/>
    <w:rsid w:val="00CC727F"/>
    <w:rsid w:val="00CF15C3"/>
    <w:rsid w:val="00CF2B6F"/>
    <w:rsid w:val="00CF58B6"/>
    <w:rsid w:val="00D017ED"/>
    <w:rsid w:val="00D040D3"/>
    <w:rsid w:val="00D04C65"/>
    <w:rsid w:val="00D224FE"/>
    <w:rsid w:val="00D470CB"/>
    <w:rsid w:val="00D53A31"/>
    <w:rsid w:val="00D6493E"/>
    <w:rsid w:val="00D64BB3"/>
    <w:rsid w:val="00D7301E"/>
    <w:rsid w:val="00D83AE1"/>
    <w:rsid w:val="00D855D4"/>
    <w:rsid w:val="00D87961"/>
    <w:rsid w:val="00D93466"/>
    <w:rsid w:val="00DA1124"/>
    <w:rsid w:val="00DB75B7"/>
    <w:rsid w:val="00DC156B"/>
    <w:rsid w:val="00DC6E02"/>
    <w:rsid w:val="00DE02AE"/>
    <w:rsid w:val="00DF1D7F"/>
    <w:rsid w:val="00DF4BE4"/>
    <w:rsid w:val="00E02FB4"/>
    <w:rsid w:val="00E07F15"/>
    <w:rsid w:val="00E20571"/>
    <w:rsid w:val="00E235F7"/>
    <w:rsid w:val="00E23659"/>
    <w:rsid w:val="00E239D4"/>
    <w:rsid w:val="00E26130"/>
    <w:rsid w:val="00E26894"/>
    <w:rsid w:val="00E2741C"/>
    <w:rsid w:val="00E40B22"/>
    <w:rsid w:val="00E45619"/>
    <w:rsid w:val="00E4588F"/>
    <w:rsid w:val="00E46DA3"/>
    <w:rsid w:val="00E51BB1"/>
    <w:rsid w:val="00E624A5"/>
    <w:rsid w:val="00E7344E"/>
    <w:rsid w:val="00E77B22"/>
    <w:rsid w:val="00E936E3"/>
    <w:rsid w:val="00E979F4"/>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70DB9"/>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semiHidden="0" w:uiPriority="0" w:unhideWhenUsed="0" w:qFormat="1"/>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D470CB"/>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D470CB"/>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17010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Heading8Char">
    <w:name w:val="Heading 8 Char"/>
    <w:basedOn w:val="DefaultParagraphFont"/>
    <w:link w:val="Heading8"/>
    <w:rsid w:val="00D470CB"/>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D470CB"/>
    <w:rPr>
      <w:rFonts w:ascii="Arial" w:eastAsia="Times New Roman" w:hAnsi="Arial" w:cs="Arial"/>
      <w:kern w:val="16"/>
      <w:u w:val="single"/>
      <w:lang w:eastAsia="en-AU"/>
    </w:rPr>
  </w:style>
  <w:style w:type="paragraph" w:customStyle="1" w:styleId="Bullet2">
    <w:name w:val="Bullet 2"/>
    <w:basedOn w:val="Normal"/>
    <w:rsid w:val="00D470CB"/>
    <w:pPr>
      <w:numPr>
        <w:numId w:val="33"/>
      </w:numPr>
      <w:spacing w:after="0" w:line="240" w:lineRule="auto"/>
    </w:pPr>
    <w:rPr>
      <w:rFonts w:eastAsia="Times New Roman"/>
      <w:kern w:val="24"/>
      <w:szCs w:val="24"/>
      <w:lang w:eastAsia="en-AU"/>
    </w:rPr>
  </w:style>
  <w:style w:type="paragraph" w:customStyle="1" w:styleId="Instructions1">
    <w:name w:val="Instructions 1"/>
    <w:basedOn w:val="Normal"/>
    <w:qFormat/>
    <w:rsid w:val="00D470CB"/>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D470CB"/>
    <w:pPr>
      <w:numPr>
        <w:numId w:val="34"/>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D470C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D470CB"/>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D470CB"/>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D470CB"/>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D470CB"/>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D470CB"/>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D470CB"/>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D470CB"/>
    <w:rPr>
      <w:i/>
      <w:color w:val="007099"/>
    </w:rPr>
  </w:style>
  <w:style w:type="paragraph" w:styleId="TableofFigures">
    <w:name w:val="table of figures"/>
    <w:basedOn w:val="Normal"/>
    <w:next w:val="Normal"/>
    <w:uiPriority w:val="99"/>
    <w:unhideWhenUsed/>
    <w:rsid w:val="00D470CB"/>
    <w:pPr>
      <w:spacing w:after="0"/>
    </w:pPr>
  </w:style>
  <w:style w:type="paragraph" w:customStyle="1" w:styleId="Default">
    <w:name w:val="Default"/>
    <w:rsid w:val="00D470CB"/>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rsid w:val="00D470CB"/>
    <w:pPr>
      <w:numPr>
        <w:numId w:val="35"/>
      </w:numPr>
      <w:spacing w:after="0" w:line="240" w:lineRule="auto"/>
    </w:pPr>
    <w:rPr>
      <w:rFonts w:eastAsia="Times New Roman"/>
      <w:kern w:val="24"/>
      <w:szCs w:val="24"/>
      <w:lang w:eastAsia="en-AU"/>
    </w:rPr>
  </w:style>
  <w:style w:type="character" w:customStyle="1" w:styleId="searchurl">
    <w:name w:val="searchurl"/>
    <w:basedOn w:val="DefaultParagraphFont"/>
    <w:rsid w:val="00D470CB"/>
  </w:style>
  <w:style w:type="paragraph" w:customStyle="1" w:styleId="Heading0inTOC">
    <w:name w:val="Heading 0 (in TOC)"/>
    <w:basedOn w:val="Heading1"/>
    <w:next w:val="Normal"/>
    <w:rsid w:val="00D470CB"/>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D470CB"/>
    <w:rPr>
      <w:sz w:val="20"/>
    </w:rPr>
  </w:style>
  <w:style w:type="paragraph" w:styleId="EndnoteText">
    <w:name w:val="endnote text"/>
    <w:basedOn w:val="Normal"/>
    <w:link w:val="EndnoteTextChar"/>
    <w:semiHidden/>
    <w:rsid w:val="00D470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D470CB"/>
    <w:rPr>
      <w:rFonts w:ascii="Cambria" w:eastAsia="Times New Roman" w:hAnsi="Cambria" w:cs="Times New Roman"/>
      <w:kern w:val="16"/>
      <w:sz w:val="20"/>
      <w:szCs w:val="20"/>
      <w:lang w:eastAsia="en-AU"/>
    </w:rPr>
  </w:style>
  <w:style w:type="character" w:styleId="EndnoteReference">
    <w:name w:val="endnote reference"/>
    <w:semiHidden/>
    <w:rsid w:val="00D470CB"/>
    <w:rPr>
      <w:dstrike w:val="0"/>
      <w:vertAlign w:val="baseline"/>
    </w:rPr>
  </w:style>
  <w:style w:type="paragraph" w:styleId="FootnoteText">
    <w:name w:val="footnote text"/>
    <w:basedOn w:val="Normal"/>
    <w:link w:val="FootnoteTextChar"/>
    <w:uiPriority w:val="99"/>
    <w:semiHidden/>
    <w:rsid w:val="00D470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semiHidden/>
    <w:rsid w:val="00D470CB"/>
    <w:rPr>
      <w:rFonts w:ascii="Cambria" w:eastAsia="Times New Roman" w:hAnsi="Cambria" w:cs="Times New Roman"/>
      <w:kern w:val="16"/>
      <w:sz w:val="20"/>
      <w:szCs w:val="20"/>
      <w:lang w:eastAsia="en-AU"/>
    </w:rPr>
  </w:style>
  <w:style w:type="character" w:styleId="FootnoteReference">
    <w:name w:val="footnote reference"/>
    <w:uiPriority w:val="99"/>
    <w:semiHidden/>
    <w:rsid w:val="00D470CB"/>
    <w:rPr>
      <w:vertAlign w:val="superscript"/>
    </w:rPr>
  </w:style>
  <w:style w:type="paragraph" w:customStyle="1" w:styleId="Abbreviations">
    <w:name w:val="Abbreviations"/>
    <w:basedOn w:val="Normal"/>
    <w:rsid w:val="00D470CB"/>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Comment2">
    <w:name w:val="Comment 2"/>
    <w:basedOn w:val="Normal"/>
    <w:qFormat/>
    <w:rsid w:val="00D470C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Dot">
    <w:name w:val="Comment Dot"/>
    <w:basedOn w:val="Comment2"/>
    <w:qFormat/>
    <w:rsid w:val="00D470CB"/>
    <w:pPr>
      <w:numPr>
        <w:numId w:val="36"/>
      </w:numPr>
      <w:tabs>
        <w:tab w:val="clear" w:pos="1134"/>
      </w:tabs>
      <w:spacing w:before="120"/>
      <w:ind w:left="1418" w:hanging="284"/>
    </w:pPr>
  </w:style>
  <w:style w:type="paragraph" w:customStyle="1" w:styleId="Instructions2">
    <w:name w:val="Instructions 2"/>
    <w:basedOn w:val="Normal"/>
    <w:qFormat/>
    <w:rsid w:val="00D470CB"/>
    <w:pPr>
      <w:numPr>
        <w:numId w:val="37"/>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D470CB"/>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D470CB"/>
    <w:pPr>
      <w:spacing w:before="0" w:after="0"/>
    </w:pPr>
    <w:rPr>
      <w:b w:val="0"/>
    </w:rPr>
  </w:style>
  <w:style w:type="character" w:styleId="Strong">
    <w:name w:val="Strong"/>
    <w:basedOn w:val="DefaultParagraphFont"/>
    <w:uiPriority w:val="22"/>
    <w:qFormat/>
    <w:rsid w:val="00D470CB"/>
    <w:rPr>
      <w:b/>
      <w:bCs/>
    </w:rPr>
  </w:style>
  <w:style w:type="paragraph" w:styleId="NormalWeb">
    <w:name w:val="Normal (Web)"/>
    <w:basedOn w:val="Normal"/>
    <w:uiPriority w:val="99"/>
    <w:unhideWhenUsed/>
    <w:rsid w:val="00D470CB"/>
    <w:pPr>
      <w:spacing w:before="100" w:beforeAutospacing="1" w:after="100" w:afterAutospacing="1" w:line="240" w:lineRule="auto"/>
    </w:pPr>
    <w:rPr>
      <w:rFonts w:ascii="Times New Roman" w:eastAsia="Times New Roman" w:hAnsi="Times New Roman"/>
      <w:sz w:val="24"/>
      <w:szCs w:val="24"/>
      <w:lang w:eastAsia="en-AU"/>
    </w:rPr>
  </w:style>
  <w:style w:type="paragraph" w:styleId="ListParagraph">
    <w:name w:val="List Paragraph"/>
    <w:basedOn w:val="Normal"/>
    <w:qFormat/>
    <w:rsid w:val="00D470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ighlight">
    <w:name w:val="highlight"/>
    <w:basedOn w:val="DefaultParagraphFont"/>
    <w:rsid w:val="00D470CB"/>
  </w:style>
  <w:style w:type="character" w:customStyle="1" w:styleId="ui-ncbitoggler-master-text">
    <w:name w:val="ui-ncbitoggler-master-text"/>
    <w:basedOn w:val="DefaultParagraphFont"/>
    <w:rsid w:val="00D470CB"/>
  </w:style>
  <w:style w:type="paragraph" w:customStyle="1" w:styleId="ui-ncbi-toggler-slave">
    <w:name w:val="ui-ncbi-toggler-slave"/>
    <w:basedOn w:val="Normal"/>
    <w:rsid w:val="00D470CB"/>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itle1">
    <w:name w:val="title1"/>
    <w:basedOn w:val="Normal"/>
    <w:rsid w:val="00D470CB"/>
    <w:pPr>
      <w:spacing w:before="0" w:after="0" w:line="240" w:lineRule="auto"/>
    </w:pPr>
    <w:rPr>
      <w:rFonts w:ascii="Times New Roman" w:eastAsia="Times New Roman" w:hAnsi="Times New Roman"/>
      <w:sz w:val="27"/>
      <w:szCs w:val="27"/>
      <w:lang w:eastAsia="en-AU"/>
    </w:rPr>
  </w:style>
  <w:style w:type="paragraph" w:customStyle="1" w:styleId="desc2">
    <w:name w:val="desc2"/>
    <w:basedOn w:val="Normal"/>
    <w:rsid w:val="00D470CB"/>
    <w:pPr>
      <w:spacing w:before="0" w:after="0" w:line="240" w:lineRule="auto"/>
    </w:pPr>
    <w:rPr>
      <w:rFonts w:ascii="Times New Roman" w:eastAsia="Times New Roman" w:hAnsi="Times New Roman"/>
      <w:sz w:val="26"/>
      <w:szCs w:val="26"/>
      <w:lang w:eastAsia="en-AU"/>
    </w:rPr>
  </w:style>
  <w:style w:type="paragraph" w:customStyle="1" w:styleId="details1">
    <w:name w:val="details1"/>
    <w:basedOn w:val="Normal"/>
    <w:rsid w:val="00D470CB"/>
    <w:pPr>
      <w:spacing w:before="0" w:after="0" w:line="240" w:lineRule="auto"/>
    </w:pPr>
    <w:rPr>
      <w:rFonts w:ascii="Times New Roman" w:eastAsia="Times New Roman" w:hAnsi="Times New Roman"/>
      <w:lang w:eastAsia="en-AU"/>
    </w:rPr>
  </w:style>
  <w:style w:type="character" w:customStyle="1" w:styleId="jrnl">
    <w:name w:val="jrnl"/>
    <w:basedOn w:val="DefaultParagraphFont"/>
    <w:rsid w:val="00D470CB"/>
  </w:style>
  <w:style w:type="character" w:customStyle="1" w:styleId="highlight2">
    <w:name w:val="highlight2"/>
    <w:basedOn w:val="DefaultParagraphFont"/>
    <w:rsid w:val="00D470CB"/>
  </w:style>
  <w:style w:type="paragraph" w:customStyle="1" w:styleId="TableTitle0">
    <w:name w:val="Table Title"/>
    <w:basedOn w:val="Normal"/>
    <w:rsid w:val="00D470CB"/>
    <w:pPr>
      <w:keepNext/>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semiHidden="0" w:uiPriority="0" w:unhideWhenUsed="0" w:qFormat="1"/>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D470CB"/>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D470CB"/>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17010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Heading8Char">
    <w:name w:val="Heading 8 Char"/>
    <w:basedOn w:val="DefaultParagraphFont"/>
    <w:link w:val="Heading8"/>
    <w:rsid w:val="00D470CB"/>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D470CB"/>
    <w:rPr>
      <w:rFonts w:ascii="Arial" w:eastAsia="Times New Roman" w:hAnsi="Arial" w:cs="Arial"/>
      <w:kern w:val="16"/>
      <w:u w:val="single"/>
      <w:lang w:eastAsia="en-AU"/>
    </w:rPr>
  </w:style>
  <w:style w:type="paragraph" w:customStyle="1" w:styleId="Bullet2">
    <w:name w:val="Bullet 2"/>
    <w:basedOn w:val="Normal"/>
    <w:rsid w:val="00D470CB"/>
    <w:pPr>
      <w:numPr>
        <w:numId w:val="33"/>
      </w:numPr>
      <w:spacing w:after="0" w:line="240" w:lineRule="auto"/>
    </w:pPr>
    <w:rPr>
      <w:rFonts w:eastAsia="Times New Roman"/>
      <w:kern w:val="24"/>
      <w:szCs w:val="24"/>
      <w:lang w:eastAsia="en-AU"/>
    </w:rPr>
  </w:style>
  <w:style w:type="paragraph" w:customStyle="1" w:styleId="Instructions1">
    <w:name w:val="Instructions 1"/>
    <w:basedOn w:val="Normal"/>
    <w:qFormat/>
    <w:rsid w:val="00D470CB"/>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D470CB"/>
    <w:pPr>
      <w:numPr>
        <w:numId w:val="34"/>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D470C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D470CB"/>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D470CB"/>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D470CB"/>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D470CB"/>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D470CB"/>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D470CB"/>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D470CB"/>
    <w:rPr>
      <w:i/>
      <w:color w:val="007099"/>
    </w:rPr>
  </w:style>
  <w:style w:type="paragraph" w:styleId="TableofFigures">
    <w:name w:val="table of figures"/>
    <w:basedOn w:val="Normal"/>
    <w:next w:val="Normal"/>
    <w:uiPriority w:val="99"/>
    <w:unhideWhenUsed/>
    <w:rsid w:val="00D470CB"/>
    <w:pPr>
      <w:spacing w:after="0"/>
    </w:pPr>
  </w:style>
  <w:style w:type="paragraph" w:customStyle="1" w:styleId="Default">
    <w:name w:val="Default"/>
    <w:rsid w:val="00D470CB"/>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rsid w:val="00D470CB"/>
    <w:pPr>
      <w:numPr>
        <w:numId w:val="35"/>
      </w:numPr>
      <w:spacing w:after="0" w:line="240" w:lineRule="auto"/>
    </w:pPr>
    <w:rPr>
      <w:rFonts w:eastAsia="Times New Roman"/>
      <w:kern w:val="24"/>
      <w:szCs w:val="24"/>
      <w:lang w:eastAsia="en-AU"/>
    </w:rPr>
  </w:style>
  <w:style w:type="character" w:customStyle="1" w:styleId="searchurl">
    <w:name w:val="searchurl"/>
    <w:basedOn w:val="DefaultParagraphFont"/>
    <w:rsid w:val="00D470CB"/>
  </w:style>
  <w:style w:type="paragraph" w:customStyle="1" w:styleId="Heading0inTOC">
    <w:name w:val="Heading 0 (in TOC)"/>
    <w:basedOn w:val="Heading1"/>
    <w:next w:val="Normal"/>
    <w:rsid w:val="00D470CB"/>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D470CB"/>
    <w:rPr>
      <w:sz w:val="20"/>
    </w:rPr>
  </w:style>
  <w:style w:type="paragraph" w:styleId="EndnoteText">
    <w:name w:val="endnote text"/>
    <w:basedOn w:val="Normal"/>
    <w:link w:val="EndnoteTextChar"/>
    <w:semiHidden/>
    <w:rsid w:val="00D470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D470CB"/>
    <w:rPr>
      <w:rFonts w:ascii="Cambria" w:eastAsia="Times New Roman" w:hAnsi="Cambria" w:cs="Times New Roman"/>
      <w:kern w:val="16"/>
      <w:sz w:val="20"/>
      <w:szCs w:val="20"/>
      <w:lang w:eastAsia="en-AU"/>
    </w:rPr>
  </w:style>
  <w:style w:type="character" w:styleId="EndnoteReference">
    <w:name w:val="endnote reference"/>
    <w:semiHidden/>
    <w:rsid w:val="00D470CB"/>
    <w:rPr>
      <w:dstrike w:val="0"/>
      <w:vertAlign w:val="baseline"/>
    </w:rPr>
  </w:style>
  <w:style w:type="paragraph" w:styleId="FootnoteText">
    <w:name w:val="footnote text"/>
    <w:basedOn w:val="Normal"/>
    <w:link w:val="FootnoteTextChar"/>
    <w:uiPriority w:val="99"/>
    <w:semiHidden/>
    <w:rsid w:val="00D470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semiHidden/>
    <w:rsid w:val="00D470CB"/>
    <w:rPr>
      <w:rFonts w:ascii="Cambria" w:eastAsia="Times New Roman" w:hAnsi="Cambria" w:cs="Times New Roman"/>
      <w:kern w:val="16"/>
      <w:sz w:val="20"/>
      <w:szCs w:val="20"/>
      <w:lang w:eastAsia="en-AU"/>
    </w:rPr>
  </w:style>
  <w:style w:type="character" w:styleId="FootnoteReference">
    <w:name w:val="footnote reference"/>
    <w:uiPriority w:val="99"/>
    <w:semiHidden/>
    <w:rsid w:val="00D470CB"/>
    <w:rPr>
      <w:vertAlign w:val="superscript"/>
    </w:rPr>
  </w:style>
  <w:style w:type="paragraph" w:customStyle="1" w:styleId="Abbreviations">
    <w:name w:val="Abbreviations"/>
    <w:basedOn w:val="Normal"/>
    <w:rsid w:val="00D470CB"/>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Comment2">
    <w:name w:val="Comment 2"/>
    <w:basedOn w:val="Normal"/>
    <w:qFormat/>
    <w:rsid w:val="00D470C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Dot">
    <w:name w:val="Comment Dot"/>
    <w:basedOn w:val="Comment2"/>
    <w:qFormat/>
    <w:rsid w:val="00D470CB"/>
    <w:pPr>
      <w:numPr>
        <w:numId w:val="36"/>
      </w:numPr>
      <w:tabs>
        <w:tab w:val="clear" w:pos="1134"/>
      </w:tabs>
      <w:spacing w:before="120"/>
      <w:ind w:left="1418" w:hanging="284"/>
    </w:pPr>
  </w:style>
  <w:style w:type="paragraph" w:customStyle="1" w:styleId="Instructions2">
    <w:name w:val="Instructions 2"/>
    <w:basedOn w:val="Normal"/>
    <w:qFormat/>
    <w:rsid w:val="00D470CB"/>
    <w:pPr>
      <w:numPr>
        <w:numId w:val="37"/>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D470CB"/>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D470CB"/>
    <w:pPr>
      <w:spacing w:before="0" w:after="0"/>
    </w:pPr>
    <w:rPr>
      <w:b w:val="0"/>
    </w:rPr>
  </w:style>
  <w:style w:type="character" w:styleId="Strong">
    <w:name w:val="Strong"/>
    <w:basedOn w:val="DefaultParagraphFont"/>
    <w:uiPriority w:val="22"/>
    <w:qFormat/>
    <w:rsid w:val="00D470CB"/>
    <w:rPr>
      <w:b/>
      <w:bCs/>
    </w:rPr>
  </w:style>
  <w:style w:type="paragraph" w:styleId="NormalWeb">
    <w:name w:val="Normal (Web)"/>
    <w:basedOn w:val="Normal"/>
    <w:uiPriority w:val="99"/>
    <w:unhideWhenUsed/>
    <w:rsid w:val="00D470CB"/>
    <w:pPr>
      <w:spacing w:before="100" w:beforeAutospacing="1" w:after="100" w:afterAutospacing="1" w:line="240" w:lineRule="auto"/>
    </w:pPr>
    <w:rPr>
      <w:rFonts w:ascii="Times New Roman" w:eastAsia="Times New Roman" w:hAnsi="Times New Roman"/>
      <w:sz w:val="24"/>
      <w:szCs w:val="24"/>
      <w:lang w:eastAsia="en-AU"/>
    </w:rPr>
  </w:style>
  <w:style w:type="paragraph" w:styleId="ListParagraph">
    <w:name w:val="List Paragraph"/>
    <w:basedOn w:val="Normal"/>
    <w:qFormat/>
    <w:rsid w:val="00D470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ighlight">
    <w:name w:val="highlight"/>
    <w:basedOn w:val="DefaultParagraphFont"/>
    <w:rsid w:val="00D470CB"/>
  </w:style>
  <w:style w:type="character" w:customStyle="1" w:styleId="ui-ncbitoggler-master-text">
    <w:name w:val="ui-ncbitoggler-master-text"/>
    <w:basedOn w:val="DefaultParagraphFont"/>
    <w:rsid w:val="00D470CB"/>
  </w:style>
  <w:style w:type="paragraph" w:customStyle="1" w:styleId="ui-ncbi-toggler-slave">
    <w:name w:val="ui-ncbi-toggler-slave"/>
    <w:basedOn w:val="Normal"/>
    <w:rsid w:val="00D470CB"/>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itle1">
    <w:name w:val="title1"/>
    <w:basedOn w:val="Normal"/>
    <w:rsid w:val="00D470CB"/>
    <w:pPr>
      <w:spacing w:before="0" w:after="0" w:line="240" w:lineRule="auto"/>
    </w:pPr>
    <w:rPr>
      <w:rFonts w:ascii="Times New Roman" w:eastAsia="Times New Roman" w:hAnsi="Times New Roman"/>
      <w:sz w:val="27"/>
      <w:szCs w:val="27"/>
      <w:lang w:eastAsia="en-AU"/>
    </w:rPr>
  </w:style>
  <w:style w:type="paragraph" w:customStyle="1" w:styleId="desc2">
    <w:name w:val="desc2"/>
    <w:basedOn w:val="Normal"/>
    <w:rsid w:val="00D470CB"/>
    <w:pPr>
      <w:spacing w:before="0" w:after="0" w:line="240" w:lineRule="auto"/>
    </w:pPr>
    <w:rPr>
      <w:rFonts w:ascii="Times New Roman" w:eastAsia="Times New Roman" w:hAnsi="Times New Roman"/>
      <w:sz w:val="26"/>
      <w:szCs w:val="26"/>
      <w:lang w:eastAsia="en-AU"/>
    </w:rPr>
  </w:style>
  <w:style w:type="paragraph" w:customStyle="1" w:styleId="details1">
    <w:name w:val="details1"/>
    <w:basedOn w:val="Normal"/>
    <w:rsid w:val="00D470CB"/>
    <w:pPr>
      <w:spacing w:before="0" w:after="0" w:line="240" w:lineRule="auto"/>
    </w:pPr>
    <w:rPr>
      <w:rFonts w:ascii="Times New Roman" w:eastAsia="Times New Roman" w:hAnsi="Times New Roman"/>
      <w:lang w:eastAsia="en-AU"/>
    </w:rPr>
  </w:style>
  <w:style w:type="character" w:customStyle="1" w:styleId="jrnl">
    <w:name w:val="jrnl"/>
    <w:basedOn w:val="DefaultParagraphFont"/>
    <w:rsid w:val="00D470CB"/>
  </w:style>
  <w:style w:type="character" w:customStyle="1" w:styleId="highlight2">
    <w:name w:val="highlight2"/>
    <w:basedOn w:val="DefaultParagraphFont"/>
    <w:rsid w:val="00D470CB"/>
  </w:style>
  <w:style w:type="paragraph" w:customStyle="1" w:styleId="TableTitle0">
    <w:name w:val="Table Title"/>
    <w:basedOn w:val="Normal"/>
    <w:rsid w:val="00D470CB"/>
    <w:pPr>
      <w:keepNex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oleObject" Target="embeddings/oleObject4.bin"/><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7.emf"/><Relationship Id="rId50" Type="http://schemas.openxmlformats.org/officeDocument/2006/relationships/oleObject" Target="embeddings/oleObject16.bin"/><Relationship Id="rId55" Type="http://schemas.openxmlformats.org/officeDocument/2006/relationships/image" Target="media/image21.emf"/><Relationship Id="rId63"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oleObject" Target="embeddings/oleObject1.bin"/><Relationship Id="rId29" Type="http://schemas.openxmlformats.org/officeDocument/2006/relationships/image" Target="media/image8.emf"/><Relationship Id="rId41" Type="http://schemas.openxmlformats.org/officeDocument/2006/relationships/image" Target="media/image14.emf"/><Relationship Id="rId54" Type="http://schemas.openxmlformats.org/officeDocument/2006/relationships/oleObject" Target="embeddings/oleObject18.bin"/><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2.emf"/><Relationship Id="rId40" Type="http://schemas.openxmlformats.org/officeDocument/2006/relationships/oleObject" Target="embeddings/oleObject11.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hyperlink" Target="https://www.tga.gov.au"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emf"/><Relationship Id="rId57" Type="http://schemas.openxmlformats.org/officeDocument/2006/relationships/hyperlink" Target="mailto:info@tga.gov.au" TargetMode="External"/><Relationship Id="rId61" Type="http://schemas.openxmlformats.org/officeDocument/2006/relationships/footer" Target="footer3.xml"/><Relationship Id="rId10" Type="http://schemas.openxmlformats.org/officeDocument/2006/relationships/hyperlink" Target="https://www.tga.gov.au/product-information-pi" TargetMode="Externa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header" Target="header7.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oleObject" Target="embeddings/oleObject6.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9.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8040\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25E79-AE10-4E7C-839F-7BCCDC230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9</TotalTime>
  <Pages>45</Pages>
  <Words>16650</Words>
  <Characters>90079</Characters>
  <Application>Microsoft Office Word</Application>
  <DocSecurity>0</DocSecurity>
  <Lines>1732</Lines>
  <Paragraphs>814</Paragraphs>
  <ScaleCrop>false</ScaleCrop>
  <HeadingPairs>
    <vt:vector size="2" baseType="variant">
      <vt:variant>
        <vt:lpstr>Title</vt:lpstr>
      </vt:variant>
      <vt:variant>
        <vt:i4>1</vt:i4>
      </vt:variant>
    </vt:vector>
  </HeadingPairs>
  <TitlesOfParts>
    <vt:vector size="1" baseType="lpstr">
      <vt:lpstr>Attachment: Extract from Clinical Evaluation: Influenza virus haemagglutinin</vt:lpstr>
    </vt:vector>
  </TitlesOfParts>
  <Company>Department of Health</Company>
  <LinksUpToDate>false</LinksUpToDate>
  <CharactersWithSpaces>105915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Influenza virus haemagglutinin</dc:title>
  <dc:subject>prescription medicines</dc:subject>
  <dc:creator>Therapeutic Goods Administration</dc:creator>
  <cp:keywords>AusPARs</cp:keywords>
  <cp:lastModifiedBy>LACK, Janet</cp:lastModifiedBy>
  <cp:revision>4</cp:revision>
  <cp:lastPrinted>2015-09-22T23:53:00Z</cp:lastPrinted>
  <dcterms:created xsi:type="dcterms:W3CDTF">2019-01-16T04:37:00Z</dcterms:created>
  <dcterms:modified xsi:type="dcterms:W3CDTF">2019-01-22T02:59:00Z</dcterms:modified>
</cp:coreProperties>
</file>