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AEE82" w14:textId="381F16B8" w:rsidR="00A0554D" w:rsidRPr="005D183C" w:rsidRDefault="00DF00D9" w:rsidP="00206713">
      <w:pPr>
        <w:autoSpaceDE w:val="0"/>
        <w:autoSpaceDN w:val="0"/>
        <w:adjustRightInd w:val="0"/>
        <w:spacing w:after="0" w:line="240" w:lineRule="auto"/>
        <w:jc w:val="both"/>
        <w:rPr>
          <w:rFonts w:ascii="Arial" w:hAnsi="Arial" w:cs="Arial"/>
          <w:b/>
          <w:bCs/>
          <w:i/>
          <w:iCs/>
        </w:rPr>
      </w:pPr>
      <w:r w:rsidRPr="005D183C">
        <w:rPr>
          <w:rFonts w:ascii="Arial" w:hAnsi="Arial" w:cs="Arial"/>
          <w:b/>
          <w:bCs/>
          <w:i/>
          <w:iCs/>
        </w:rPr>
        <w:t xml:space="preserve">AUSTRALIAN </w:t>
      </w:r>
      <w:r w:rsidR="00A0554D" w:rsidRPr="005D183C">
        <w:rPr>
          <w:rFonts w:ascii="Arial" w:hAnsi="Arial" w:cs="Arial"/>
          <w:b/>
          <w:bCs/>
          <w:i/>
          <w:iCs/>
        </w:rPr>
        <w:t>PRODUCT INFORMATION</w:t>
      </w:r>
      <w:r w:rsidR="000925CF" w:rsidRPr="005D183C">
        <w:rPr>
          <w:rFonts w:ascii="Arial" w:hAnsi="Arial" w:cs="Arial"/>
          <w:b/>
          <w:bCs/>
          <w:i/>
          <w:iCs/>
        </w:rPr>
        <w:t xml:space="preserve"> - F</w:t>
      </w:r>
      <w:r w:rsidR="00F36CC2" w:rsidRPr="005D183C">
        <w:rPr>
          <w:rFonts w:ascii="Arial" w:hAnsi="Arial" w:cs="Arial"/>
          <w:b/>
          <w:bCs/>
          <w:i/>
          <w:iCs/>
        </w:rPr>
        <w:t>luad</w:t>
      </w:r>
      <w:r w:rsidR="000925CF" w:rsidRPr="005D183C">
        <w:rPr>
          <w:rFonts w:ascii="Arial" w:hAnsi="Arial" w:cs="Arial"/>
          <w:b/>
          <w:bCs/>
          <w:i/>
          <w:iCs/>
          <w:vertAlign w:val="superscript"/>
        </w:rPr>
        <w:t>®</w:t>
      </w:r>
      <w:r w:rsidR="000925CF" w:rsidRPr="005D183C">
        <w:rPr>
          <w:rFonts w:ascii="Arial" w:hAnsi="Arial" w:cs="Arial"/>
          <w:b/>
          <w:bCs/>
          <w:i/>
          <w:iCs/>
        </w:rPr>
        <w:t xml:space="preserve"> Quad (influenza virus haemagglutinin)</w:t>
      </w:r>
    </w:p>
    <w:p w14:paraId="02959103" w14:textId="77777777" w:rsidR="00140377" w:rsidRPr="00B3087D" w:rsidRDefault="00171E58" w:rsidP="00B3087D">
      <w:pPr>
        <w:pStyle w:val="Heading1"/>
      </w:pPr>
      <w:r w:rsidRPr="005D183C">
        <w:t>NAM</w:t>
      </w:r>
      <w:r w:rsidRPr="00B3087D">
        <w:t>E OF THE MEDICINE</w:t>
      </w:r>
    </w:p>
    <w:p w14:paraId="02968F8C" w14:textId="6AA26B35" w:rsidR="003A4D04" w:rsidRPr="005D183C" w:rsidRDefault="00A0554D" w:rsidP="003A7071">
      <w:pPr>
        <w:tabs>
          <w:tab w:val="left" w:pos="8456"/>
        </w:tabs>
        <w:autoSpaceDE w:val="0"/>
        <w:autoSpaceDN w:val="0"/>
        <w:adjustRightInd w:val="0"/>
        <w:spacing w:after="0" w:line="240" w:lineRule="auto"/>
        <w:jc w:val="both"/>
        <w:rPr>
          <w:rFonts w:ascii="Arial" w:hAnsi="Arial" w:cs="Arial"/>
          <w:b/>
          <w:lang w:val="en-GB"/>
        </w:rPr>
      </w:pPr>
      <w:r w:rsidRPr="005D183C">
        <w:rPr>
          <w:rFonts w:ascii="Arial" w:hAnsi="Arial" w:cs="Arial"/>
          <w:b/>
        </w:rPr>
        <w:t>F</w:t>
      </w:r>
      <w:r w:rsidR="00B640FB" w:rsidRPr="005D183C">
        <w:rPr>
          <w:rFonts w:ascii="Arial" w:hAnsi="Arial" w:cs="Arial"/>
          <w:b/>
        </w:rPr>
        <w:t>luad</w:t>
      </w:r>
      <w:r w:rsidR="007E69DC" w:rsidRPr="005D183C">
        <w:rPr>
          <w:rFonts w:ascii="Arial" w:hAnsi="Arial" w:cs="Arial"/>
          <w:b/>
          <w:vertAlign w:val="superscript"/>
          <w:lang w:val="en-GB"/>
        </w:rPr>
        <w:t>®</w:t>
      </w:r>
      <w:r w:rsidR="00642D7D" w:rsidRPr="005D183C">
        <w:rPr>
          <w:rFonts w:ascii="Arial" w:hAnsi="Arial" w:cs="Arial"/>
          <w:b/>
          <w:lang w:val="en-GB"/>
        </w:rPr>
        <w:t xml:space="preserve"> </w:t>
      </w:r>
      <w:r w:rsidR="00A91C66" w:rsidRPr="005D183C">
        <w:rPr>
          <w:rFonts w:ascii="Arial" w:hAnsi="Arial" w:cs="Arial"/>
          <w:b/>
          <w:lang w:val="en-GB"/>
        </w:rPr>
        <w:t>Quad</w:t>
      </w:r>
    </w:p>
    <w:p w14:paraId="0217157C" w14:textId="77777777" w:rsidR="00A803DC" w:rsidRDefault="00A803DC" w:rsidP="00A803DC">
      <w:pPr>
        <w:autoSpaceDE w:val="0"/>
        <w:autoSpaceDN w:val="0"/>
        <w:adjustRightInd w:val="0"/>
        <w:spacing w:after="0" w:line="240" w:lineRule="auto"/>
        <w:jc w:val="both"/>
        <w:rPr>
          <w:rFonts w:ascii="Arial" w:hAnsi="Arial" w:cs="Arial"/>
          <w:lang w:val="en-GB"/>
        </w:rPr>
      </w:pPr>
      <w:r>
        <w:rPr>
          <w:rFonts w:ascii="Arial" w:hAnsi="Arial" w:cs="Arial"/>
          <w:lang w:val="en-GB"/>
        </w:rPr>
        <w:t>Inactivated quadrivalent influenza vaccine (surface antigen), adjuvanted, suspension for injection; containing Influenza virus haemagglutinin as active ingredient.</w:t>
      </w:r>
    </w:p>
    <w:p w14:paraId="15A20C13" w14:textId="7284B9DA" w:rsidR="00A0554D" w:rsidRPr="005D183C" w:rsidRDefault="00A91C66" w:rsidP="00B3087D">
      <w:pPr>
        <w:pStyle w:val="Heading1"/>
      </w:pPr>
      <w:r w:rsidRPr="005D183C">
        <w:t>QUALITATIVE AND QUANTITATIVE COMPOSITION</w:t>
      </w:r>
    </w:p>
    <w:p w14:paraId="54722273" w14:textId="7D572C55" w:rsidR="00A0554D" w:rsidRPr="005D183C" w:rsidRDefault="00A0554D" w:rsidP="00206713">
      <w:pPr>
        <w:autoSpaceDE w:val="0"/>
        <w:autoSpaceDN w:val="0"/>
        <w:adjustRightInd w:val="0"/>
        <w:spacing w:after="0" w:line="240" w:lineRule="auto"/>
        <w:jc w:val="both"/>
        <w:rPr>
          <w:rFonts w:ascii="Arial" w:hAnsi="Arial" w:cs="Arial"/>
        </w:rPr>
      </w:pPr>
      <w:r w:rsidRPr="005D183C">
        <w:rPr>
          <w:rFonts w:ascii="Arial" w:hAnsi="Arial" w:cs="Arial"/>
        </w:rPr>
        <w:t xml:space="preserve">Each </w:t>
      </w:r>
      <w:r w:rsidR="0068054F" w:rsidRPr="005D183C">
        <w:rPr>
          <w:rFonts w:ascii="Arial" w:hAnsi="Arial" w:cs="Arial"/>
        </w:rPr>
        <w:t>0.5</w:t>
      </w:r>
      <w:r w:rsidR="007C07E3" w:rsidRPr="005D183C">
        <w:rPr>
          <w:rFonts w:ascii="Arial" w:hAnsi="Arial" w:cs="Arial"/>
        </w:rPr>
        <w:t xml:space="preserve"> </w:t>
      </w:r>
      <w:r w:rsidR="0068054F" w:rsidRPr="005D183C">
        <w:rPr>
          <w:rFonts w:ascii="Arial" w:hAnsi="Arial" w:cs="Arial"/>
        </w:rPr>
        <w:t xml:space="preserve">mL </w:t>
      </w:r>
      <w:r w:rsidRPr="005D183C">
        <w:rPr>
          <w:rFonts w:ascii="Arial" w:hAnsi="Arial" w:cs="Arial"/>
        </w:rPr>
        <w:t xml:space="preserve">dose contains </w:t>
      </w:r>
      <w:r w:rsidR="00A33B05" w:rsidRPr="005D183C">
        <w:rPr>
          <w:rFonts w:ascii="Arial" w:hAnsi="Arial" w:cs="Arial"/>
        </w:rPr>
        <w:t>influenza virus surface antigens</w:t>
      </w:r>
      <w:r w:rsidR="00B17B79" w:rsidRPr="005D183C">
        <w:rPr>
          <w:rFonts w:ascii="Arial" w:hAnsi="Arial" w:cs="Arial"/>
        </w:rPr>
        <w:t xml:space="preserve"> (haemagglutinin and neuraminidase)</w:t>
      </w:r>
      <w:r w:rsidR="00A33B05" w:rsidRPr="005D183C">
        <w:rPr>
          <w:rFonts w:ascii="Arial" w:hAnsi="Arial" w:cs="Arial"/>
        </w:rPr>
        <w:t xml:space="preserve"> </w:t>
      </w:r>
      <w:r w:rsidRPr="005D183C">
        <w:rPr>
          <w:rFonts w:ascii="Arial" w:hAnsi="Arial" w:cs="Arial"/>
        </w:rPr>
        <w:t xml:space="preserve">of each of </w:t>
      </w:r>
      <w:r w:rsidR="001D6FF9" w:rsidRPr="005D183C">
        <w:rPr>
          <w:rFonts w:ascii="Arial" w:hAnsi="Arial" w:cs="Arial"/>
        </w:rPr>
        <w:t xml:space="preserve">four </w:t>
      </w:r>
      <w:r w:rsidRPr="005D183C">
        <w:rPr>
          <w:rFonts w:ascii="Arial" w:hAnsi="Arial" w:cs="Arial"/>
        </w:rPr>
        <w:t>antigens representative of the</w:t>
      </w:r>
      <w:r w:rsidR="00A33B05" w:rsidRPr="005D183C">
        <w:rPr>
          <w:rFonts w:ascii="Arial" w:hAnsi="Arial" w:cs="Arial"/>
        </w:rPr>
        <w:t xml:space="preserve"> </w:t>
      </w:r>
      <w:r w:rsidRPr="005D183C">
        <w:rPr>
          <w:rFonts w:ascii="Arial" w:hAnsi="Arial" w:cs="Arial"/>
        </w:rPr>
        <w:t>influenza virus types expected to circulate in the Southern Hemisphere winter</w:t>
      </w:r>
      <w:r w:rsidR="00CD6B1C" w:rsidRPr="005D183C">
        <w:rPr>
          <w:rFonts w:ascii="Arial" w:hAnsi="Arial" w:cs="Arial"/>
        </w:rPr>
        <w:t xml:space="preserve"> </w:t>
      </w:r>
      <w:r w:rsidRPr="005D183C">
        <w:rPr>
          <w:rFonts w:ascii="Arial" w:hAnsi="Arial" w:cs="Arial"/>
        </w:rPr>
        <w:t xml:space="preserve">according to WHO recommendations for the </w:t>
      </w:r>
      <w:r w:rsidR="003F27E9" w:rsidRPr="005D183C">
        <w:rPr>
          <w:rFonts w:ascii="Arial" w:hAnsi="Arial" w:cs="Arial"/>
        </w:rPr>
        <w:t>[year]</w:t>
      </w:r>
      <w:r w:rsidR="003A4D04" w:rsidRPr="005D183C">
        <w:rPr>
          <w:rFonts w:ascii="Arial" w:hAnsi="Arial" w:cs="Arial"/>
        </w:rPr>
        <w:t xml:space="preserve"> </w:t>
      </w:r>
      <w:r w:rsidRPr="005D183C">
        <w:rPr>
          <w:rFonts w:ascii="Arial" w:hAnsi="Arial" w:cs="Arial"/>
        </w:rPr>
        <w:t>season:</w:t>
      </w:r>
    </w:p>
    <w:p w14:paraId="5B0C3063" w14:textId="48A45801" w:rsidR="001307A0" w:rsidRPr="005D183C" w:rsidRDefault="001307A0" w:rsidP="001307A0">
      <w:pPr>
        <w:pStyle w:val="ListParagraph"/>
        <w:numPr>
          <w:ilvl w:val="0"/>
          <w:numId w:val="1"/>
        </w:numPr>
        <w:autoSpaceDE w:val="0"/>
        <w:autoSpaceDN w:val="0"/>
        <w:adjustRightInd w:val="0"/>
        <w:spacing w:line="240" w:lineRule="auto"/>
        <w:rPr>
          <w:rFonts w:ascii="Arial" w:hAnsi="Arial" w:cs="Arial"/>
          <w:lang w:val="en-AU"/>
        </w:rPr>
      </w:pPr>
      <w:bookmarkStart w:id="0" w:name="OLE_LINK5"/>
      <w:bookmarkStart w:id="1" w:name="OLE_LINK6"/>
      <w:r w:rsidRPr="005D183C">
        <w:rPr>
          <w:rFonts w:ascii="Arial" w:hAnsi="Arial" w:cs="Arial"/>
          <w:lang w:val="en-AU"/>
        </w:rPr>
        <w:t>A/</w:t>
      </w:r>
      <w:r w:rsidR="006D6D98" w:rsidRPr="005D183C">
        <w:rPr>
          <w:rFonts w:ascii="Arial" w:hAnsi="Arial" w:cs="Arial"/>
          <w:lang w:val="en-AU"/>
        </w:rPr>
        <w:t>XXXX</w:t>
      </w:r>
      <w:r w:rsidRPr="005D183C">
        <w:rPr>
          <w:rFonts w:ascii="Arial" w:hAnsi="Arial" w:cs="Arial"/>
          <w:lang w:val="en-AU"/>
        </w:rPr>
        <w:t xml:space="preserve"> (H1N1) </w:t>
      </w:r>
      <w:r w:rsidR="00C5579E" w:rsidRPr="005D183C">
        <w:rPr>
          <w:rFonts w:ascii="Arial" w:hAnsi="Arial" w:cs="Arial"/>
          <w:lang w:val="en-AU"/>
        </w:rPr>
        <w:t>–</w:t>
      </w:r>
      <w:r w:rsidRPr="005D183C">
        <w:rPr>
          <w:rFonts w:ascii="Arial" w:hAnsi="Arial" w:cs="Arial"/>
          <w:lang w:val="en-AU"/>
        </w:rPr>
        <w:t xml:space="preserve"> like virus (</w:t>
      </w:r>
      <w:r w:rsidR="006D6D98" w:rsidRPr="005D183C">
        <w:rPr>
          <w:rFonts w:ascii="Arial" w:hAnsi="Arial" w:cs="Arial"/>
          <w:lang w:val="en-AU"/>
        </w:rPr>
        <w:t>reassortants used</w:t>
      </w:r>
      <w:r w:rsidRPr="005D183C">
        <w:rPr>
          <w:rFonts w:ascii="Arial" w:hAnsi="Arial" w:cs="Arial"/>
          <w:lang w:val="en-AU"/>
        </w:rPr>
        <w:t>):</w:t>
      </w:r>
    </w:p>
    <w:p w14:paraId="7DA93681" w14:textId="5A179271" w:rsidR="001307A0" w:rsidRPr="005D183C" w:rsidRDefault="001307A0" w:rsidP="000929C2">
      <w:pPr>
        <w:pStyle w:val="ListParagraph"/>
        <w:autoSpaceDE w:val="0"/>
        <w:autoSpaceDN w:val="0"/>
        <w:adjustRightInd w:val="0"/>
        <w:spacing w:line="240" w:lineRule="auto"/>
        <w:ind w:firstLine="720"/>
        <w:rPr>
          <w:rFonts w:ascii="Arial" w:hAnsi="Arial" w:cs="Arial"/>
          <w:lang w:val="en-AU"/>
        </w:rPr>
      </w:pPr>
      <w:r w:rsidRPr="005D183C">
        <w:rPr>
          <w:rFonts w:ascii="Arial" w:hAnsi="Arial" w:cs="Arial"/>
          <w:lang w:val="en-AU"/>
        </w:rPr>
        <w:t xml:space="preserve">15 </w:t>
      </w:r>
      <w:r w:rsidRPr="005D183C">
        <w:rPr>
          <w:rFonts w:ascii="Arial" w:hAnsi="Arial" w:cs="Arial"/>
        </w:rPr>
        <w:t>micrograms HA*</w:t>
      </w:r>
      <w:r w:rsidRPr="005D183C">
        <w:rPr>
          <w:rFonts w:ascii="Arial" w:hAnsi="Arial" w:cs="Arial"/>
          <w:lang w:val="en-AU"/>
        </w:rPr>
        <w:t xml:space="preserve"> per dose</w:t>
      </w:r>
    </w:p>
    <w:p w14:paraId="5F9CEC52" w14:textId="77777777" w:rsidR="001307A0" w:rsidRPr="005D183C" w:rsidRDefault="001307A0" w:rsidP="001307A0">
      <w:pPr>
        <w:pStyle w:val="ListParagraph"/>
        <w:numPr>
          <w:ilvl w:val="0"/>
          <w:numId w:val="1"/>
        </w:numPr>
        <w:autoSpaceDE w:val="0"/>
        <w:autoSpaceDN w:val="0"/>
        <w:adjustRightInd w:val="0"/>
        <w:spacing w:line="240" w:lineRule="auto"/>
        <w:rPr>
          <w:rFonts w:ascii="Arial" w:hAnsi="Arial" w:cs="Arial"/>
          <w:lang w:val="en-AU"/>
        </w:rPr>
      </w:pPr>
      <w:r w:rsidRPr="005D183C">
        <w:rPr>
          <w:rFonts w:ascii="Arial" w:hAnsi="Arial" w:cs="Arial"/>
          <w:lang w:val="en-AU"/>
        </w:rPr>
        <w:t>A/</w:t>
      </w:r>
      <w:r w:rsidR="006D6D98" w:rsidRPr="005D183C">
        <w:rPr>
          <w:rFonts w:ascii="Arial" w:hAnsi="Arial" w:cs="Arial"/>
          <w:lang w:val="en-AU"/>
        </w:rPr>
        <w:t>XXXX</w:t>
      </w:r>
      <w:r w:rsidRPr="005D183C">
        <w:rPr>
          <w:rFonts w:ascii="Arial" w:hAnsi="Arial" w:cs="Arial"/>
          <w:lang w:val="en-AU"/>
        </w:rPr>
        <w:t xml:space="preserve"> (H3N2) – like virus (</w:t>
      </w:r>
      <w:r w:rsidR="006D6D98" w:rsidRPr="005D183C">
        <w:rPr>
          <w:rFonts w:ascii="Arial" w:hAnsi="Arial" w:cs="Arial"/>
          <w:lang w:val="en-AU"/>
        </w:rPr>
        <w:t>reassortants used):</w:t>
      </w:r>
    </w:p>
    <w:p w14:paraId="2222F090" w14:textId="471B86C1" w:rsidR="001307A0" w:rsidRPr="005D183C" w:rsidRDefault="001307A0" w:rsidP="000929C2">
      <w:pPr>
        <w:pStyle w:val="ListParagraph"/>
        <w:autoSpaceDE w:val="0"/>
        <w:autoSpaceDN w:val="0"/>
        <w:adjustRightInd w:val="0"/>
        <w:spacing w:line="240" w:lineRule="auto"/>
        <w:ind w:firstLine="720"/>
        <w:rPr>
          <w:rFonts w:ascii="Arial" w:hAnsi="Arial" w:cs="Arial"/>
          <w:lang w:val="en-AU"/>
        </w:rPr>
      </w:pPr>
      <w:r w:rsidRPr="005D183C">
        <w:rPr>
          <w:rFonts w:ascii="Arial" w:hAnsi="Arial" w:cs="Arial"/>
          <w:lang w:val="en-AU"/>
        </w:rPr>
        <w:t xml:space="preserve">15 </w:t>
      </w:r>
      <w:r w:rsidRPr="005D183C">
        <w:rPr>
          <w:rFonts w:ascii="Arial" w:hAnsi="Arial" w:cs="Arial"/>
        </w:rPr>
        <w:t>micrograms HA*</w:t>
      </w:r>
      <w:r w:rsidRPr="005D183C">
        <w:rPr>
          <w:rFonts w:ascii="Arial" w:hAnsi="Arial" w:cs="Arial"/>
          <w:lang w:val="en-AU"/>
        </w:rPr>
        <w:t xml:space="preserve"> per dose</w:t>
      </w:r>
    </w:p>
    <w:p w14:paraId="317397EF" w14:textId="552CCF57" w:rsidR="001307A0" w:rsidRPr="005D183C" w:rsidRDefault="001307A0" w:rsidP="001307A0">
      <w:pPr>
        <w:pStyle w:val="ListParagraph"/>
        <w:numPr>
          <w:ilvl w:val="0"/>
          <w:numId w:val="1"/>
        </w:numPr>
        <w:autoSpaceDE w:val="0"/>
        <w:autoSpaceDN w:val="0"/>
        <w:adjustRightInd w:val="0"/>
        <w:spacing w:line="240" w:lineRule="auto"/>
        <w:rPr>
          <w:rFonts w:ascii="Arial" w:hAnsi="Arial" w:cs="Arial"/>
          <w:lang w:val="en-AU"/>
        </w:rPr>
      </w:pPr>
      <w:r w:rsidRPr="005D183C">
        <w:rPr>
          <w:rFonts w:ascii="Arial" w:hAnsi="Arial" w:cs="Arial"/>
          <w:lang w:val="en-AU"/>
        </w:rPr>
        <w:t>B</w:t>
      </w:r>
      <w:r w:rsidR="00C5579E" w:rsidRPr="005D183C">
        <w:rPr>
          <w:rFonts w:ascii="Arial" w:hAnsi="Arial" w:cs="Arial"/>
          <w:lang w:val="en-AU"/>
        </w:rPr>
        <w:t>/</w:t>
      </w:r>
      <w:r w:rsidR="006D6D98" w:rsidRPr="005D183C">
        <w:rPr>
          <w:rFonts w:ascii="Arial" w:hAnsi="Arial" w:cs="Arial"/>
          <w:lang w:val="en-AU"/>
        </w:rPr>
        <w:t>XXXX</w:t>
      </w:r>
      <w:r w:rsidR="00A86A5B" w:rsidRPr="005D183C">
        <w:rPr>
          <w:rFonts w:ascii="Arial" w:hAnsi="Arial" w:cs="Arial"/>
          <w:lang w:val="en-AU"/>
        </w:rPr>
        <w:t xml:space="preserve"> </w:t>
      </w:r>
      <w:r w:rsidRPr="005D183C">
        <w:rPr>
          <w:rFonts w:ascii="Arial" w:hAnsi="Arial" w:cs="Arial"/>
          <w:lang w:val="en-AU"/>
        </w:rPr>
        <w:t>– like virus (</w:t>
      </w:r>
      <w:r w:rsidR="006D6D98" w:rsidRPr="005D183C">
        <w:rPr>
          <w:rFonts w:ascii="Arial" w:hAnsi="Arial" w:cs="Arial"/>
          <w:lang w:val="en-AU"/>
        </w:rPr>
        <w:t>reassortants used</w:t>
      </w:r>
      <w:r w:rsidRPr="005D183C">
        <w:rPr>
          <w:rFonts w:ascii="Arial" w:hAnsi="Arial" w:cs="Arial"/>
          <w:lang w:val="en-AU"/>
        </w:rPr>
        <w:t>):</w:t>
      </w:r>
    </w:p>
    <w:p w14:paraId="3A987A93" w14:textId="7FC2BCE2" w:rsidR="001307A0" w:rsidRPr="005D183C" w:rsidRDefault="001307A0" w:rsidP="000929C2">
      <w:pPr>
        <w:pStyle w:val="ListParagraph"/>
        <w:autoSpaceDE w:val="0"/>
        <w:autoSpaceDN w:val="0"/>
        <w:adjustRightInd w:val="0"/>
        <w:spacing w:line="240" w:lineRule="auto"/>
        <w:ind w:firstLine="720"/>
        <w:rPr>
          <w:rFonts w:ascii="Arial" w:hAnsi="Arial" w:cs="Arial"/>
          <w:lang w:val="en-AU"/>
        </w:rPr>
      </w:pPr>
      <w:r w:rsidRPr="005D183C">
        <w:rPr>
          <w:rFonts w:ascii="Arial" w:hAnsi="Arial" w:cs="Arial"/>
          <w:lang w:val="en-AU"/>
        </w:rPr>
        <w:t xml:space="preserve">15 </w:t>
      </w:r>
      <w:r w:rsidRPr="005D183C">
        <w:rPr>
          <w:rFonts w:ascii="Arial" w:hAnsi="Arial" w:cs="Arial"/>
        </w:rPr>
        <w:t>micrograms HA*</w:t>
      </w:r>
      <w:r w:rsidRPr="005D183C">
        <w:rPr>
          <w:rFonts w:ascii="Arial" w:hAnsi="Arial" w:cs="Arial"/>
          <w:lang w:val="en-AU"/>
        </w:rPr>
        <w:t xml:space="preserve"> per dose</w:t>
      </w:r>
    </w:p>
    <w:bookmarkEnd w:id="0"/>
    <w:bookmarkEnd w:id="1"/>
    <w:p w14:paraId="06A32F93" w14:textId="77777777" w:rsidR="006D6D98" w:rsidRPr="005D183C" w:rsidRDefault="006D6D98" w:rsidP="006D6D98">
      <w:pPr>
        <w:pStyle w:val="ListParagraph"/>
        <w:numPr>
          <w:ilvl w:val="0"/>
          <w:numId w:val="1"/>
        </w:numPr>
        <w:autoSpaceDE w:val="0"/>
        <w:autoSpaceDN w:val="0"/>
        <w:adjustRightInd w:val="0"/>
        <w:spacing w:line="240" w:lineRule="auto"/>
        <w:rPr>
          <w:rFonts w:ascii="Arial" w:hAnsi="Arial" w:cs="Arial"/>
          <w:lang w:val="en-AU"/>
        </w:rPr>
      </w:pPr>
      <w:r w:rsidRPr="005D183C">
        <w:rPr>
          <w:rFonts w:ascii="Arial" w:hAnsi="Arial" w:cs="Arial"/>
          <w:lang w:val="en-AU"/>
        </w:rPr>
        <w:t>B/XXXX – like virus (reassortants used):</w:t>
      </w:r>
    </w:p>
    <w:p w14:paraId="3D64C988" w14:textId="77777777" w:rsidR="006D6D98" w:rsidRPr="005D183C" w:rsidRDefault="006D6D98" w:rsidP="006D6D98">
      <w:pPr>
        <w:pStyle w:val="ListParagraph"/>
        <w:autoSpaceDE w:val="0"/>
        <w:autoSpaceDN w:val="0"/>
        <w:adjustRightInd w:val="0"/>
        <w:spacing w:line="240" w:lineRule="auto"/>
        <w:ind w:firstLine="720"/>
        <w:rPr>
          <w:rFonts w:ascii="Arial" w:hAnsi="Arial" w:cs="Arial"/>
          <w:lang w:val="en-AU"/>
        </w:rPr>
      </w:pPr>
      <w:r w:rsidRPr="005D183C">
        <w:rPr>
          <w:rFonts w:ascii="Arial" w:hAnsi="Arial" w:cs="Arial"/>
          <w:lang w:val="en-AU"/>
        </w:rPr>
        <w:t xml:space="preserve">15 </w:t>
      </w:r>
      <w:r w:rsidRPr="005D183C">
        <w:rPr>
          <w:rFonts w:ascii="Arial" w:hAnsi="Arial" w:cs="Arial"/>
        </w:rPr>
        <w:t>micrograms HA*</w:t>
      </w:r>
      <w:r w:rsidRPr="005D183C">
        <w:rPr>
          <w:rFonts w:ascii="Arial" w:hAnsi="Arial" w:cs="Arial"/>
          <w:lang w:val="en-AU"/>
        </w:rPr>
        <w:t xml:space="preserve"> per dose</w:t>
      </w:r>
    </w:p>
    <w:p w14:paraId="5E9449E9" w14:textId="77777777" w:rsidR="00136EA8" w:rsidRPr="00407A1E" w:rsidRDefault="00407A1E" w:rsidP="00407A1E">
      <w:pPr>
        <w:pStyle w:val="ListParagraph"/>
        <w:autoSpaceDE w:val="0"/>
        <w:autoSpaceDN w:val="0"/>
        <w:adjustRightInd w:val="0"/>
        <w:spacing w:line="240" w:lineRule="auto"/>
        <w:rPr>
          <w:rFonts w:ascii="Arial" w:hAnsi="Arial" w:cs="Arial"/>
          <w:lang w:val="en-AU"/>
        </w:rPr>
      </w:pPr>
      <w:r>
        <w:rPr>
          <w:rFonts w:ascii="Arial" w:hAnsi="Arial" w:cs="Arial"/>
          <w:lang w:val="en-AU"/>
        </w:rPr>
        <w:t>*HA = haemagglutinin</w:t>
      </w:r>
    </w:p>
    <w:p w14:paraId="79E451DF" w14:textId="658873E8" w:rsidR="00BE245F" w:rsidRPr="005D183C" w:rsidRDefault="00A86A5B" w:rsidP="00BE245F">
      <w:pPr>
        <w:autoSpaceDE w:val="0"/>
        <w:autoSpaceDN w:val="0"/>
        <w:adjustRightInd w:val="0"/>
        <w:spacing w:after="0" w:line="240" w:lineRule="auto"/>
        <w:jc w:val="both"/>
        <w:rPr>
          <w:rFonts w:ascii="Arial" w:hAnsi="Arial" w:cs="Arial"/>
        </w:rPr>
      </w:pPr>
      <w:r w:rsidRPr="005D183C">
        <w:rPr>
          <w:rFonts w:ascii="Arial" w:hAnsi="Arial" w:cs="Arial"/>
        </w:rPr>
        <w:t>Fluad</w:t>
      </w:r>
      <w:r w:rsidR="00B640FB" w:rsidRPr="005D183C">
        <w:rPr>
          <w:rFonts w:ascii="Arial" w:hAnsi="Arial" w:cs="Arial"/>
          <w:vertAlign w:val="superscript"/>
        </w:rPr>
        <w:t>®</w:t>
      </w:r>
      <w:r w:rsidR="000B1153" w:rsidRPr="005D183C">
        <w:rPr>
          <w:rFonts w:ascii="Arial" w:hAnsi="Arial" w:cs="Arial"/>
        </w:rPr>
        <w:t xml:space="preserve"> Quad</w:t>
      </w:r>
      <w:r w:rsidRPr="005D183C">
        <w:rPr>
          <w:rFonts w:ascii="Arial" w:hAnsi="Arial" w:cs="Arial"/>
        </w:rPr>
        <w:t xml:space="preserve"> vaccine is prepared from virus grown in embryonated hens’ eggs and inactivated with formaldehyde before purification and combination with MF59C.1, an adjuvant known to increase the immunogenicity of vaccines. </w:t>
      </w:r>
      <w:r w:rsidR="00C974D6" w:rsidRPr="00C974D6">
        <w:rPr>
          <w:rFonts w:ascii="Arial" w:hAnsi="Arial" w:cs="Arial"/>
        </w:rPr>
        <w:t>MF59C.1 adjuvant is a squalene based oil-in-water emulsion. Squalene is a normal component in the human body and is easily metabolized and excreted</w:t>
      </w:r>
      <w:r w:rsidR="00BE245F" w:rsidRPr="005D183C">
        <w:rPr>
          <w:rFonts w:ascii="Arial" w:hAnsi="Arial" w:cs="Arial"/>
        </w:rPr>
        <w:t>.</w:t>
      </w:r>
      <w:r w:rsidR="00783555" w:rsidRPr="005D183C">
        <w:rPr>
          <w:rFonts w:ascii="Arial" w:hAnsi="Arial" w:cs="Arial"/>
        </w:rPr>
        <w:t xml:space="preserve"> </w:t>
      </w:r>
      <w:r w:rsidR="00BE245F" w:rsidRPr="005D183C">
        <w:rPr>
          <w:rFonts w:ascii="Arial" w:hAnsi="Arial" w:cs="Arial"/>
        </w:rPr>
        <w:t xml:space="preserve">For a full list of excipients, see </w:t>
      </w:r>
      <w:r w:rsidR="00F95734" w:rsidRPr="005D183C">
        <w:rPr>
          <w:rFonts w:ascii="Arial" w:hAnsi="Arial" w:cs="Arial"/>
          <w:b/>
        </w:rPr>
        <w:t xml:space="preserve">Section </w:t>
      </w:r>
      <w:r w:rsidR="00BE245F" w:rsidRPr="005D183C">
        <w:rPr>
          <w:rFonts w:ascii="Arial" w:hAnsi="Arial" w:cs="Arial"/>
          <w:b/>
        </w:rPr>
        <w:t>6.1 – List of Excipients</w:t>
      </w:r>
      <w:r w:rsidR="00BE245F" w:rsidRPr="005D183C">
        <w:rPr>
          <w:rFonts w:ascii="Arial" w:hAnsi="Arial" w:cs="Arial"/>
        </w:rPr>
        <w:t>.</w:t>
      </w:r>
    </w:p>
    <w:p w14:paraId="12A51F24" w14:textId="77777777" w:rsidR="006D6D98" w:rsidRPr="005D183C" w:rsidRDefault="006B69C6" w:rsidP="006D6D98">
      <w:pPr>
        <w:autoSpaceDE w:val="0"/>
        <w:autoSpaceDN w:val="0"/>
        <w:adjustRightInd w:val="0"/>
        <w:spacing w:after="0" w:line="240" w:lineRule="auto"/>
        <w:jc w:val="both"/>
        <w:rPr>
          <w:rFonts w:ascii="Arial" w:hAnsi="Arial" w:cs="Arial"/>
        </w:rPr>
      </w:pPr>
      <w:r w:rsidRPr="005D183C">
        <w:rPr>
          <w:rFonts w:ascii="Arial" w:hAnsi="Arial" w:cs="Arial"/>
        </w:rPr>
        <w:t>The type and amount of viral antigens in Fluad</w:t>
      </w:r>
      <w:r w:rsidRPr="005D183C">
        <w:rPr>
          <w:rFonts w:ascii="Arial" w:hAnsi="Arial" w:cs="Arial"/>
          <w:vertAlign w:val="superscript"/>
        </w:rPr>
        <w:t>®</w:t>
      </w:r>
      <w:r w:rsidRPr="005D183C">
        <w:rPr>
          <w:rFonts w:ascii="Arial" w:hAnsi="Arial" w:cs="Arial"/>
        </w:rPr>
        <w:t xml:space="preserve"> </w:t>
      </w:r>
      <w:r w:rsidR="00F81805" w:rsidRPr="005D183C">
        <w:rPr>
          <w:rFonts w:ascii="Arial" w:hAnsi="Arial" w:cs="Arial"/>
        </w:rPr>
        <w:t xml:space="preserve">Quad </w:t>
      </w:r>
      <w:r w:rsidRPr="005D183C">
        <w:rPr>
          <w:rFonts w:ascii="Arial" w:hAnsi="Arial" w:cs="Arial"/>
        </w:rPr>
        <w:t xml:space="preserve">conform to the requirements of the Australian Influenza Vaccine Committee for the </w:t>
      </w:r>
      <w:r w:rsidR="003F27E9" w:rsidRPr="005D183C">
        <w:rPr>
          <w:rFonts w:ascii="Arial" w:hAnsi="Arial" w:cs="Arial"/>
        </w:rPr>
        <w:t>[year]</w:t>
      </w:r>
      <w:r w:rsidRPr="005D183C">
        <w:rPr>
          <w:rFonts w:ascii="Arial" w:hAnsi="Arial" w:cs="Arial"/>
        </w:rPr>
        <w:t xml:space="preserve"> Southern Hemisphere Influenza season.  The strains chosen for vaccine manufacture are endorsed by the Australian Influenza Vaccine Committee as being antigenically equ</w:t>
      </w:r>
      <w:r w:rsidR="00A86A5B" w:rsidRPr="005D183C">
        <w:rPr>
          <w:rFonts w:ascii="Arial" w:hAnsi="Arial" w:cs="Arial"/>
        </w:rPr>
        <w:t>ivalent to the reference virus.</w:t>
      </w:r>
    </w:p>
    <w:p w14:paraId="7D48F2BA" w14:textId="123E48C9" w:rsidR="00A91C66" w:rsidRPr="005D183C" w:rsidRDefault="00A91C66" w:rsidP="00B3087D">
      <w:pPr>
        <w:pStyle w:val="Heading1"/>
      </w:pPr>
      <w:r w:rsidRPr="005D183C">
        <w:t>PHARMACEUTICAL FORM</w:t>
      </w:r>
    </w:p>
    <w:p w14:paraId="4DFFA5DA" w14:textId="77777777" w:rsidR="006D6D98" w:rsidRPr="005D183C" w:rsidRDefault="004124BA" w:rsidP="004124BA">
      <w:pPr>
        <w:autoSpaceDE w:val="0"/>
        <w:autoSpaceDN w:val="0"/>
        <w:adjustRightInd w:val="0"/>
        <w:spacing w:after="0" w:line="240" w:lineRule="auto"/>
        <w:jc w:val="both"/>
        <w:rPr>
          <w:rFonts w:ascii="Arial" w:hAnsi="Arial" w:cs="Arial"/>
        </w:rPr>
      </w:pPr>
      <w:r w:rsidRPr="005D183C">
        <w:rPr>
          <w:rFonts w:ascii="Arial" w:hAnsi="Arial" w:cs="Arial"/>
        </w:rPr>
        <w:t>F</w:t>
      </w:r>
      <w:r w:rsidR="00B640FB" w:rsidRPr="005D183C">
        <w:rPr>
          <w:rFonts w:ascii="Arial" w:hAnsi="Arial" w:cs="Arial"/>
        </w:rPr>
        <w:t>luad</w:t>
      </w:r>
      <w:r w:rsidRPr="005D183C">
        <w:rPr>
          <w:rFonts w:ascii="Arial" w:hAnsi="Arial" w:cs="Arial"/>
          <w:vertAlign w:val="superscript"/>
        </w:rPr>
        <w:t>®</w:t>
      </w:r>
      <w:r w:rsidRPr="005D183C">
        <w:rPr>
          <w:rFonts w:ascii="Arial" w:hAnsi="Arial" w:cs="Arial"/>
        </w:rPr>
        <w:t xml:space="preserve"> Quad is a milky-white suspension for intramuscular injection.</w:t>
      </w:r>
    </w:p>
    <w:p w14:paraId="1B699913" w14:textId="77777777" w:rsidR="00497CE6" w:rsidRPr="005D183C" w:rsidRDefault="00497CE6" w:rsidP="00B3087D">
      <w:pPr>
        <w:pStyle w:val="Heading1"/>
      </w:pPr>
      <w:r w:rsidRPr="005D183C">
        <w:lastRenderedPageBreak/>
        <w:t>CLINICAL PARTICULARS</w:t>
      </w:r>
    </w:p>
    <w:p w14:paraId="65248CD8" w14:textId="386D25AE" w:rsidR="00497CE6" w:rsidRPr="005D183C" w:rsidRDefault="00497CE6" w:rsidP="00B3087D">
      <w:pPr>
        <w:pStyle w:val="Heading1"/>
        <w:numPr>
          <w:ilvl w:val="1"/>
          <w:numId w:val="14"/>
        </w:numPr>
      </w:pPr>
      <w:r w:rsidRPr="005D183C">
        <w:t>Therapeutic Indications</w:t>
      </w:r>
    </w:p>
    <w:p w14:paraId="0B22FE05" w14:textId="7BB2746B" w:rsidR="00497CE6" w:rsidRPr="004B3C74" w:rsidRDefault="00497CE6" w:rsidP="00497CE6">
      <w:pPr>
        <w:autoSpaceDE w:val="0"/>
        <w:autoSpaceDN w:val="0"/>
        <w:adjustRightInd w:val="0"/>
        <w:spacing w:after="0" w:line="240" w:lineRule="auto"/>
        <w:jc w:val="both"/>
        <w:rPr>
          <w:rFonts w:ascii="Arial" w:hAnsi="Arial" w:cs="Arial"/>
          <w:bCs/>
        </w:rPr>
      </w:pPr>
      <w:r w:rsidRPr="005D183C">
        <w:rPr>
          <w:rFonts w:ascii="Arial" w:hAnsi="Arial" w:cs="Arial"/>
          <w:bCs/>
        </w:rPr>
        <w:t xml:space="preserve">Active immunisation against influenza in </w:t>
      </w:r>
      <w:r w:rsidR="00E36C6A">
        <w:rPr>
          <w:rFonts w:ascii="Arial" w:hAnsi="Arial" w:cs="Arial"/>
          <w:bCs/>
        </w:rPr>
        <w:t xml:space="preserve">persons </w:t>
      </w:r>
      <w:r w:rsidR="000F4D06" w:rsidRPr="005D183C">
        <w:rPr>
          <w:rFonts w:ascii="Arial" w:hAnsi="Arial" w:cs="Arial"/>
          <w:bCs/>
        </w:rPr>
        <w:t>65 years of age and older.</w:t>
      </w:r>
    </w:p>
    <w:p w14:paraId="046B1FA7" w14:textId="77777777" w:rsidR="00E73762" w:rsidRPr="005D183C" w:rsidRDefault="00E73762" w:rsidP="00B3087D">
      <w:pPr>
        <w:pStyle w:val="Heading1"/>
        <w:numPr>
          <w:ilvl w:val="1"/>
          <w:numId w:val="14"/>
        </w:numPr>
      </w:pPr>
      <w:r w:rsidRPr="005D183C">
        <w:t>Dose and Method of Administration</w:t>
      </w:r>
    </w:p>
    <w:p w14:paraId="0BD08CC3" w14:textId="07D3AEE2" w:rsidR="00C44DFC" w:rsidRPr="005D183C" w:rsidRDefault="00C44DFC" w:rsidP="00C44DFC">
      <w:pPr>
        <w:autoSpaceDE w:val="0"/>
        <w:autoSpaceDN w:val="0"/>
        <w:adjustRightInd w:val="0"/>
        <w:spacing w:after="0" w:line="240" w:lineRule="auto"/>
        <w:jc w:val="both"/>
        <w:rPr>
          <w:rFonts w:ascii="Arial" w:hAnsi="Arial" w:cs="Arial"/>
          <w:bCs/>
        </w:rPr>
      </w:pPr>
      <w:r>
        <w:rPr>
          <w:rFonts w:ascii="Arial" w:hAnsi="Arial" w:cs="Arial"/>
          <w:bCs/>
        </w:rPr>
        <w:t>Fluad</w:t>
      </w:r>
      <w:r w:rsidRPr="00C44DFC">
        <w:rPr>
          <w:rFonts w:ascii="Arial" w:hAnsi="Arial" w:cs="Arial"/>
          <w:bCs/>
          <w:vertAlign w:val="superscript"/>
        </w:rPr>
        <w:t>®</w:t>
      </w:r>
      <w:r>
        <w:rPr>
          <w:rFonts w:ascii="Arial" w:hAnsi="Arial" w:cs="Arial"/>
          <w:bCs/>
        </w:rPr>
        <w:t xml:space="preserve"> Quad is for</w:t>
      </w:r>
      <w:r w:rsidR="00DB784C">
        <w:rPr>
          <w:rFonts w:ascii="Arial" w:hAnsi="Arial" w:cs="Arial"/>
          <w:bCs/>
        </w:rPr>
        <w:t xml:space="preserve"> </w:t>
      </w:r>
      <w:r>
        <w:rPr>
          <w:rFonts w:ascii="Arial" w:hAnsi="Arial" w:cs="Arial"/>
          <w:bCs/>
        </w:rPr>
        <w:t>use in adults 65 years of age and older only. See</w:t>
      </w:r>
      <w:r w:rsidRPr="00C44DFC">
        <w:rPr>
          <w:rFonts w:ascii="Arial" w:hAnsi="Arial" w:cs="Arial"/>
          <w:b/>
        </w:rPr>
        <w:t xml:space="preserve"> </w:t>
      </w:r>
      <w:r w:rsidRPr="005D183C">
        <w:rPr>
          <w:rFonts w:ascii="Arial" w:hAnsi="Arial" w:cs="Arial"/>
          <w:b/>
        </w:rPr>
        <w:t xml:space="preserve">Section </w:t>
      </w:r>
      <w:r>
        <w:rPr>
          <w:rFonts w:ascii="Arial" w:hAnsi="Arial" w:cs="Arial"/>
          <w:b/>
        </w:rPr>
        <w:t>4</w:t>
      </w:r>
      <w:r w:rsidRPr="005D183C">
        <w:rPr>
          <w:rFonts w:ascii="Arial" w:hAnsi="Arial" w:cs="Arial"/>
          <w:b/>
        </w:rPr>
        <w:t xml:space="preserve">.1 – </w:t>
      </w:r>
      <w:r>
        <w:rPr>
          <w:rFonts w:ascii="Arial" w:hAnsi="Arial" w:cs="Arial"/>
          <w:b/>
        </w:rPr>
        <w:t>Therapeutic Indications</w:t>
      </w:r>
      <w:r>
        <w:rPr>
          <w:rFonts w:ascii="Arial" w:hAnsi="Arial" w:cs="Arial"/>
          <w:bCs/>
        </w:rPr>
        <w:t>.</w:t>
      </w:r>
    </w:p>
    <w:p w14:paraId="42EDC8C2" w14:textId="3A20CD0E" w:rsidR="00E73762" w:rsidRPr="005D183C" w:rsidRDefault="00E73762" w:rsidP="00E73762">
      <w:pPr>
        <w:autoSpaceDE w:val="0"/>
        <w:autoSpaceDN w:val="0"/>
        <w:adjustRightInd w:val="0"/>
        <w:spacing w:after="0" w:line="240" w:lineRule="auto"/>
        <w:jc w:val="both"/>
        <w:rPr>
          <w:rFonts w:ascii="Arial" w:hAnsi="Arial" w:cs="Arial"/>
          <w:bCs/>
        </w:rPr>
      </w:pPr>
      <w:r w:rsidRPr="005D183C">
        <w:rPr>
          <w:rFonts w:ascii="Arial" w:hAnsi="Arial" w:cs="Arial"/>
          <w:bCs/>
        </w:rPr>
        <w:t>A single 0.5 mL dose should be administered by intramuscular injection</w:t>
      </w:r>
      <w:r w:rsidR="002943D3">
        <w:rPr>
          <w:rFonts w:ascii="Arial" w:hAnsi="Arial" w:cs="Arial"/>
          <w:bCs/>
        </w:rPr>
        <w:t>,</w:t>
      </w:r>
      <w:r w:rsidR="00E8630D" w:rsidRPr="005D183C">
        <w:t xml:space="preserve"> </w:t>
      </w:r>
      <w:r w:rsidR="00E8630D" w:rsidRPr="005D183C">
        <w:rPr>
          <w:rFonts w:ascii="Arial" w:hAnsi="Arial" w:cs="Arial"/>
          <w:bCs/>
        </w:rPr>
        <w:t>preferably into the deltoid muscle of the upper arm</w:t>
      </w:r>
      <w:r w:rsidRPr="005D183C">
        <w:rPr>
          <w:rFonts w:ascii="Arial" w:hAnsi="Arial" w:cs="Arial"/>
          <w:bCs/>
        </w:rPr>
        <w:t>.</w:t>
      </w:r>
    </w:p>
    <w:p w14:paraId="6375D005" w14:textId="77777777" w:rsidR="00D82361" w:rsidRPr="005D183C" w:rsidRDefault="00D82361" w:rsidP="00D82361">
      <w:pPr>
        <w:autoSpaceDE w:val="0"/>
        <w:autoSpaceDN w:val="0"/>
        <w:adjustRightInd w:val="0"/>
        <w:spacing w:after="0" w:line="240" w:lineRule="auto"/>
        <w:jc w:val="both"/>
        <w:rPr>
          <w:rFonts w:ascii="Arial" w:hAnsi="Arial" w:cs="Arial"/>
          <w:bCs/>
        </w:rPr>
      </w:pPr>
      <w:r w:rsidRPr="005D183C">
        <w:rPr>
          <w:rFonts w:ascii="Arial" w:hAnsi="Arial" w:cs="Arial"/>
          <w:bCs/>
        </w:rPr>
        <w:t>G</w:t>
      </w:r>
      <w:r w:rsidR="004049A1" w:rsidRPr="005D183C">
        <w:rPr>
          <w:rFonts w:ascii="Arial" w:hAnsi="Arial" w:cs="Arial"/>
          <w:bCs/>
        </w:rPr>
        <w:t>ently shake before use.</w:t>
      </w:r>
      <w:r w:rsidR="00010524" w:rsidRPr="005D183C">
        <w:rPr>
          <w:rFonts w:ascii="Arial" w:hAnsi="Arial" w:cs="Arial"/>
          <w:bCs/>
        </w:rPr>
        <w:t xml:space="preserve"> </w:t>
      </w:r>
      <w:r w:rsidRPr="005D183C">
        <w:rPr>
          <w:rFonts w:ascii="Arial" w:hAnsi="Arial" w:cs="Arial"/>
          <w:bCs/>
        </w:rPr>
        <w:t>After shaking, the normal appearance of the vaccine is a milky-white suspension.</w:t>
      </w:r>
    </w:p>
    <w:p w14:paraId="39243DF1" w14:textId="77777777" w:rsidR="00D82361" w:rsidRPr="005D183C" w:rsidRDefault="00D82361" w:rsidP="00D82361">
      <w:pPr>
        <w:autoSpaceDE w:val="0"/>
        <w:autoSpaceDN w:val="0"/>
        <w:adjustRightInd w:val="0"/>
        <w:spacing w:after="0" w:line="240" w:lineRule="auto"/>
        <w:jc w:val="both"/>
        <w:rPr>
          <w:rFonts w:ascii="Arial" w:hAnsi="Arial" w:cs="Arial"/>
          <w:bCs/>
        </w:rPr>
      </w:pPr>
      <w:r w:rsidRPr="005D183C">
        <w:rPr>
          <w:rFonts w:ascii="Arial" w:hAnsi="Arial" w:cs="Arial"/>
          <w:bCs/>
        </w:rPr>
        <w:t>Visually inspect the contents of each pre-filled syringe for particulate matter and/or variation in</w:t>
      </w:r>
      <w:r w:rsidR="0054387F">
        <w:rPr>
          <w:rFonts w:ascii="Arial" w:hAnsi="Arial" w:cs="Arial"/>
          <w:bCs/>
        </w:rPr>
        <w:t xml:space="preserve"> </w:t>
      </w:r>
      <w:r w:rsidRPr="005D183C">
        <w:rPr>
          <w:rFonts w:ascii="Arial" w:hAnsi="Arial" w:cs="Arial"/>
          <w:bCs/>
        </w:rPr>
        <w:t>appearance prior to administration. If either condition is observed, do not administer the vaccine.</w:t>
      </w:r>
    </w:p>
    <w:p w14:paraId="5FDEC716" w14:textId="77DC607E" w:rsidR="00D065B6" w:rsidRPr="005D183C" w:rsidDel="003F5977" w:rsidRDefault="00F36CC2" w:rsidP="00D065B6">
      <w:pPr>
        <w:autoSpaceDE w:val="0"/>
        <w:autoSpaceDN w:val="0"/>
        <w:adjustRightInd w:val="0"/>
        <w:spacing w:after="0" w:line="240" w:lineRule="auto"/>
        <w:jc w:val="both"/>
        <w:rPr>
          <w:rFonts w:ascii="Arial" w:hAnsi="Arial" w:cs="Arial"/>
          <w:bCs/>
          <w:color w:val="000000" w:themeColor="text1"/>
        </w:rPr>
      </w:pPr>
      <w:r w:rsidRPr="005D183C">
        <w:rPr>
          <w:rFonts w:ascii="Arial" w:hAnsi="Arial" w:cs="Arial"/>
          <w:bCs/>
          <w:color w:val="000000" w:themeColor="text1"/>
        </w:rPr>
        <w:t>Fluad</w:t>
      </w:r>
      <w:r w:rsidR="00B640FB" w:rsidRPr="005D183C">
        <w:rPr>
          <w:rFonts w:ascii="Arial" w:hAnsi="Arial" w:cs="Arial"/>
          <w:vertAlign w:val="superscript"/>
        </w:rPr>
        <w:t>®</w:t>
      </w:r>
      <w:r w:rsidRPr="005D183C">
        <w:rPr>
          <w:rFonts w:ascii="Arial" w:hAnsi="Arial" w:cs="Arial"/>
          <w:bCs/>
          <w:color w:val="000000" w:themeColor="text1"/>
        </w:rPr>
        <w:t xml:space="preserve"> Quad</w:t>
      </w:r>
      <w:r w:rsidR="00543285" w:rsidRPr="005D183C">
        <w:rPr>
          <w:rFonts w:ascii="Arial" w:hAnsi="Arial" w:cs="Arial"/>
          <w:bCs/>
          <w:color w:val="000000" w:themeColor="text1"/>
        </w:rPr>
        <w:t xml:space="preserve"> contains no antimicrobial preservative. Use in one patient on one occasion only.</w:t>
      </w:r>
      <w:r w:rsidR="00990C42" w:rsidRPr="005D183C">
        <w:rPr>
          <w:rFonts w:ascii="Arial" w:hAnsi="Arial" w:cs="Arial"/>
          <w:bCs/>
          <w:color w:val="000000" w:themeColor="text1"/>
        </w:rPr>
        <w:t xml:space="preserve"> D</w:t>
      </w:r>
      <w:r w:rsidR="00990C42" w:rsidRPr="005D183C" w:rsidDel="003F5977">
        <w:rPr>
          <w:rFonts w:ascii="Arial" w:hAnsi="Arial" w:cs="Arial"/>
          <w:bCs/>
        </w:rPr>
        <w:t>iscard any residue.</w:t>
      </w:r>
    </w:p>
    <w:p w14:paraId="78CCC6C0" w14:textId="77777777" w:rsidR="000F5DFB" w:rsidRPr="005D183C" w:rsidRDefault="000F5DFB" w:rsidP="000F5DFB">
      <w:pPr>
        <w:autoSpaceDE w:val="0"/>
        <w:autoSpaceDN w:val="0"/>
        <w:adjustRightInd w:val="0"/>
        <w:spacing w:after="0" w:line="240" w:lineRule="auto"/>
        <w:jc w:val="both"/>
        <w:rPr>
          <w:rFonts w:ascii="Arial" w:hAnsi="Arial" w:cs="Arial"/>
          <w:bCs/>
        </w:rPr>
      </w:pPr>
      <w:r w:rsidRPr="005D183C">
        <w:rPr>
          <w:rFonts w:ascii="Arial" w:hAnsi="Arial" w:cs="Arial"/>
          <w:bCs/>
        </w:rPr>
        <w:t>Annual revaccination is recommended because immunity declines during the year after vaccination and circulating strains of influenza virus change from year to year.</w:t>
      </w:r>
    </w:p>
    <w:p w14:paraId="5CE794AD" w14:textId="25F3A449" w:rsidR="007E0114" w:rsidRDefault="007E0114" w:rsidP="007E0114">
      <w:pPr>
        <w:autoSpaceDE w:val="0"/>
        <w:autoSpaceDN w:val="0"/>
        <w:adjustRightInd w:val="0"/>
        <w:spacing w:after="0" w:line="240" w:lineRule="auto"/>
        <w:jc w:val="both"/>
        <w:rPr>
          <w:rFonts w:cs="Arial"/>
          <w:b/>
          <w:bCs/>
          <w:noProof/>
          <w:lang w:val="en-AU" w:eastAsia="en-AU"/>
        </w:rPr>
      </w:pPr>
      <w:r w:rsidRPr="005D183C">
        <w:rPr>
          <w:rFonts w:ascii="Arial" w:hAnsi="Arial" w:cs="Arial"/>
          <w:bCs/>
        </w:rPr>
        <w:t>Persons with a history of egg allergy (</w:t>
      </w:r>
      <w:r w:rsidR="00816417" w:rsidRPr="005D183C">
        <w:rPr>
          <w:rFonts w:ascii="Arial" w:hAnsi="Arial" w:cs="Arial"/>
          <w:bCs/>
        </w:rPr>
        <w:t xml:space="preserve">non-anaphylaxis) can receive a </w:t>
      </w:r>
      <w:r w:rsidRPr="005D183C">
        <w:rPr>
          <w:rFonts w:ascii="Arial" w:hAnsi="Arial" w:cs="Arial"/>
          <w:bCs/>
        </w:rPr>
        <w:t xml:space="preserve">full dose of vaccine in any immunisation setting </w:t>
      </w:r>
      <w:r w:rsidR="00280CB0" w:rsidRPr="005D183C">
        <w:rPr>
          <w:rFonts w:ascii="Arial" w:hAnsi="Arial" w:cs="Arial"/>
          <w:bCs/>
        </w:rPr>
        <w:t>(</w:t>
      </w:r>
      <w:r w:rsidRPr="005D183C">
        <w:rPr>
          <w:rFonts w:ascii="Arial" w:hAnsi="Arial" w:cs="Arial"/>
          <w:bCs/>
        </w:rPr>
        <w:t xml:space="preserve">See also </w:t>
      </w:r>
      <w:r w:rsidR="00816417" w:rsidRPr="005D183C">
        <w:rPr>
          <w:rFonts w:ascii="Arial" w:hAnsi="Arial" w:cs="Arial"/>
          <w:b/>
          <w:bCs/>
        </w:rPr>
        <w:t xml:space="preserve">Section </w:t>
      </w:r>
      <w:r w:rsidRPr="005D183C">
        <w:rPr>
          <w:rFonts w:ascii="Arial" w:hAnsi="Arial" w:cs="Arial"/>
          <w:b/>
          <w:bCs/>
        </w:rPr>
        <w:t xml:space="preserve">4.4 </w:t>
      </w:r>
      <w:r w:rsidR="00816417" w:rsidRPr="005D183C">
        <w:rPr>
          <w:rFonts w:ascii="Arial" w:hAnsi="Arial" w:cs="Arial"/>
          <w:b/>
          <w:bCs/>
        </w:rPr>
        <w:t xml:space="preserve">– </w:t>
      </w:r>
      <w:r w:rsidR="00884816">
        <w:rPr>
          <w:rFonts w:ascii="Arial" w:hAnsi="Arial" w:cs="Arial"/>
          <w:b/>
          <w:bCs/>
        </w:rPr>
        <w:t>Special W</w:t>
      </w:r>
      <w:r w:rsidRPr="005D183C">
        <w:rPr>
          <w:rFonts w:ascii="Arial" w:hAnsi="Arial" w:cs="Arial"/>
          <w:b/>
          <w:bCs/>
        </w:rPr>
        <w:t xml:space="preserve">arnings and </w:t>
      </w:r>
      <w:r w:rsidR="00884816">
        <w:rPr>
          <w:rFonts w:ascii="Arial" w:hAnsi="Arial" w:cs="Arial"/>
          <w:b/>
          <w:bCs/>
        </w:rPr>
        <w:t>P</w:t>
      </w:r>
      <w:r w:rsidRPr="005D183C">
        <w:rPr>
          <w:rFonts w:ascii="Arial" w:hAnsi="Arial" w:cs="Arial"/>
          <w:b/>
          <w:bCs/>
        </w:rPr>
        <w:t xml:space="preserve">recautions for </w:t>
      </w:r>
      <w:r w:rsidR="00884816">
        <w:rPr>
          <w:rFonts w:ascii="Arial" w:hAnsi="Arial" w:cs="Arial"/>
          <w:b/>
          <w:bCs/>
        </w:rPr>
        <w:t>U</w:t>
      </w:r>
      <w:r w:rsidRPr="005D183C">
        <w:rPr>
          <w:rFonts w:ascii="Arial" w:hAnsi="Arial" w:cs="Arial"/>
          <w:b/>
          <w:bCs/>
        </w:rPr>
        <w:t>se</w:t>
      </w:r>
      <w:r w:rsidR="00280CB0" w:rsidRPr="005D183C">
        <w:rPr>
          <w:rFonts w:ascii="Arial" w:hAnsi="Arial" w:cs="Arial"/>
          <w:bCs/>
        </w:rPr>
        <w:t>)</w:t>
      </w:r>
      <w:r w:rsidRPr="005D183C">
        <w:rPr>
          <w:rFonts w:ascii="Arial" w:hAnsi="Arial" w:cs="Arial"/>
          <w:bCs/>
        </w:rPr>
        <w:t>.</w:t>
      </w:r>
      <w:r w:rsidR="00246E57" w:rsidRPr="005D183C">
        <w:rPr>
          <w:rFonts w:cs="Arial"/>
          <w:b/>
          <w:bCs/>
          <w:noProof/>
          <w:lang w:val="en-AU" w:eastAsia="en-AU"/>
        </w:rPr>
        <w:t xml:space="preserve"> </w:t>
      </w:r>
    </w:p>
    <w:p w14:paraId="14869C43" w14:textId="77777777" w:rsidR="00F17C29" w:rsidRPr="005D183C" w:rsidRDefault="00F17C29" w:rsidP="00B3087D">
      <w:pPr>
        <w:pStyle w:val="Heading1"/>
        <w:numPr>
          <w:ilvl w:val="1"/>
          <w:numId w:val="14"/>
        </w:numPr>
      </w:pPr>
      <w:r w:rsidRPr="005D183C">
        <w:t>Contraindications</w:t>
      </w:r>
    </w:p>
    <w:p w14:paraId="39C54D8F" w14:textId="566C5EC7" w:rsidR="007B2CD4" w:rsidRDefault="00BA097F" w:rsidP="00F17C29">
      <w:pPr>
        <w:autoSpaceDE w:val="0"/>
        <w:autoSpaceDN w:val="0"/>
        <w:adjustRightInd w:val="0"/>
        <w:spacing w:after="0" w:line="240" w:lineRule="auto"/>
        <w:jc w:val="both"/>
        <w:rPr>
          <w:rFonts w:ascii="Arial" w:hAnsi="Arial" w:cs="Arial"/>
          <w:bCs/>
        </w:rPr>
      </w:pPr>
      <w:r w:rsidRPr="005D183C">
        <w:rPr>
          <w:rFonts w:ascii="Arial" w:hAnsi="Arial" w:cs="Arial"/>
          <w:bCs/>
        </w:rPr>
        <w:t>The vaccine is contraindicated in individuals with known severe allergic reactions (</w:t>
      </w:r>
      <w:r w:rsidR="000711C4" w:rsidRPr="005D183C">
        <w:rPr>
          <w:rFonts w:ascii="Arial" w:hAnsi="Arial" w:cs="Arial"/>
          <w:bCs/>
        </w:rPr>
        <w:t>e.g.</w:t>
      </w:r>
      <w:r w:rsidRPr="005D183C">
        <w:rPr>
          <w:rFonts w:ascii="Arial" w:hAnsi="Arial" w:cs="Arial"/>
          <w:bCs/>
        </w:rPr>
        <w:t xml:space="preserve"> anaphylaxis) to </w:t>
      </w:r>
    </w:p>
    <w:p w14:paraId="79CAB500" w14:textId="6D82564D" w:rsidR="007B2CD4" w:rsidRDefault="00BA097F" w:rsidP="007B2CD4">
      <w:pPr>
        <w:pStyle w:val="ListParagraph"/>
        <w:numPr>
          <w:ilvl w:val="0"/>
          <w:numId w:val="18"/>
        </w:numPr>
        <w:autoSpaceDE w:val="0"/>
        <w:autoSpaceDN w:val="0"/>
        <w:adjustRightInd w:val="0"/>
        <w:spacing w:after="0" w:line="240" w:lineRule="auto"/>
        <w:jc w:val="both"/>
        <w:rPr>
          <w:rFonts w:ascii="Arial" w:hAnsi="Arial" w:cs="Arial"/>
          <w:bCs/>
        </w:rPr>
      </w:pPr>
      <w:r w:rsidRPr="007B2CD4">
        <w:rPr>
          <w:rFonts w:ascii="Arial" w:hAnsi="Arial" w:cs="Arial"/>
          <w:bCs/>
        </w:rPr>
        <w:t xml:space="preserve">any component of the vaccine (refer to </w:t>
      </w:r>
      <w:r w:rsidRPr="007B2CD4">
        <w:rPr>
          <w:rFonts w:ascii="Arial" w:hAnsi="Arial" w:cs="Arial"/>
          <w:b/>
          <w:bCs/>
        </w:rPr>
        <w:t xml:space="preserve">Section 6.1 </w:t>
      </w:r>
      <w:r w:rsidR="00F729B1" w:rsidRPr="007B2CD4">
        <w:rPr>
          <w:rFonts w:ascii="Arial" w:hAnsi="Arial" w:cs="Arial"/>
          <w:b/>
          <w:bCs/>
        </w:rPr>
        <w:t xml:space="preserve">– </w:t>
      </w:r>
      <w:r w:rsidRPr="007B2CD4">
        <w:rPr>
          <w:rFonts w:ascii="Arial" w:hAnsi="Arial" w:cs="Arial"/>
          <w:b/>
          <w:bCs/>
        </w:rPr>
        <w:t>List of Excipients</w:t>
      </w:r>
      <w:r w:rsidRPr="007B2CD4">
        <w:rPr>
          <w:rFonts w:ascii="Arial" w:hAnsi="Arial" w:cs="Arial"/>
          <w:bCs/>
        </w:rPr>
        <w:t>)</w:t>
      </w:r>
      <w:r w:rsidR="00F57F74" w:rsidRPr="007B2CD4">
        <w:rPr>
          <w:rFonts w:ascii="Arial" w:hAnsi="Arial" w:cs="Arial"/>
          <w:bCs/>
        </w:rPr>
        <w:t xml:space="preserve">, except egg proteins (See also </w:t>
      </w:r>
      <w:r w:rsidR="00F57F74" w:rsidRPr="007B2CD4">
        <w:rPr>
          <w:rFonts w:ascii="Arial" w:hAnsi="Arial" w:cs="Arial"/>
          <w:b/>
          <w:bCs/>
        </w:rPr>
        <w:t>Section 4.4 – Special warnings and precautions for use</w:t>
      </w:r>
      <w:r w:rsidR="00F57F74" w:rsidRPr="007B2CD4">
        <w:rPr>
          <w:rFonts w:ascii="Arial" w:hAnsi="Arial" w:cs="Arial"/>
          <w:bCs/>
        </w:rPr>
        <w:t>)</w:t>
      </w:r>
      <w:r w:rsidR="00F57F74" w:rsidRPr="007B2CD4">
        <w:rPr>
          <w:rFonts w:cs="Arial"/>
          <w:b/>
          <w:bCs/>
          <w:noProof/>
          <w:lang w:val="en-AU" w:eastAsia="en-AU"/>
        </w:rPr>
        <w:t xml:space="preserve"> </w:t>
      </w:r>
      <w:r w:rsidR="009D787B" w:rsidRPr="007B2CD4">
        <w:rPr>
          <w:rFonts w:ascii="Arial" w:hAnsi="Arial" w:cs="Arial"/>
          <w:bCs/>
        </w:rPr>
        <w:t>or</w:t>
      </w:r>
      <w:r w:rsidR="00910777" w:rsidRPr="007B2CD4">
        <w:rPr>
          <w:rFonts w:ascii="Arial" w:hAnsi="Arial" w:cs="Arial"/>
          <w:bCs/>
        </w:rPr>
        <w:t xml:space="preserve"> </w:t>
      </w:r>
    </w:p>
    <w:p w14:paraId="356A87D3" w14:textId="37355FC8" w:rsidR="00F17C29" w:rsidRPr="007B2CD4" w:rsidRDefault="00BA097F" w:rsidP="007B2CD4">
      <w:pPr>
        <w:pStyle w:val="ListParagraph"/>
        <w:numPr>
          <w:ilvl w:val="0"/>
          <w:numId w:val="18"/>
        </w:numPr>
        <w:autoSpaceDE w:val="0"/>
        <w:autoSpaceDN w:val="0"/>
        <w:adjustRightInd w:val="0"/>
        <w:spacing w:after="0" w:line="240" w:lineRule="auto"/>
        <w:jc w:val="both"/>
        <w:rPr>
          <w:rFonts w:ascii="Arial" w:hAnsi="Arial" w:cs="Arial"/>
          <w:bCs/>
        </w:rPr>
      </w:pPr>
      <w:r w:rsidRPr="007B2CD4">
        <w:rPr>
          <w:rFonts w:ascii="Arial" w:hAnsi="Arial" w:cs="Arial"/>
          <w:bCs/>
        </w:rPr>
        <w:t xml:space="preserve">a </w:t>
      </w:r>
      <w:r w:rsidR="00F17C29" w:rsidRPr="007B2CD4">
        <w:rPr>
          <w:rFonts w:ascii="Arial" w:hAnsi="Arial" w:cs="Arial"/>
          <w:bCs/>
        </w:rPr>
        <w:t xml:space="preserve">previous </w:t>
      </w:r>
      <w:r w:rsidRPr="007B2CD4">
        <w:rPr>
          <w:rFonts w:ascii="Arial" w:hAnsi="Arial" w:cs="Arial"/>
          <w:bCs/>
        </w:rPr>
        <w:t xml:space="preserve">dose of any </w:t>
      </w:r>
      <w:r w:rsidR="00F17C29" w:rsidRPr="007B2CD4">
        <w:rPr>
          <w:rFonts w:ascii="Arial" w:hAnsi="Arial" w:cs="Arial"/>
          <w:bCs/>
        </w:rPr>
        <w:t>influenza vaccin</w:t>
      </w:r>
      <w:r w:rsidRPr="007B2CD4">
        <w:rPr>
          <w:rFonts w:ascii="Arial" w:hAnsi="Arial" w:cs="Arial"/>
          <w:bCs/>
        </w:rPr>
        <w:t>e</w:t>
      </w:r>
      <w:r w:rsidR="00F17C29" w:rsidRPr="007B2CD4">
        <w:rPr>
          <w:rFonts w:ascii="Arial" w:hAnsi="Arial" w:cs="Arial"/>
          <w:bCs/>
        </w:rPr>
        <w:t>.</w:t>
      </w:r>
    </w:p>
    <w:p w14:paraId="29D7D58B" w14:textId="10117CA5" w:rsidR="00A47A4A" w:rsidRPr="005D183C" w:rsidRDefault="00377A7C" w:rsidP="00B3087D">
      <w:pPr>
        <w:pStyle w:val="Heading1"/>
        <w:numPr>
          <w:ilvl w:val="1"/>
          <w:numId w:val="14"/>
        </w:numPr>
      </w:pPr>
      <w:r w:rsidRPr="005D183C">
        <w:t>Special Warnings and Precautions for Use</w:t>
      </w:r>
    </w:p>
    <w:p w14:paraId="1085AE96" w14:textId="7B21554D" w:rsidR="00A346AF" w:rsidRDefault="00A346AF" w:rsidP="00A346AF">
      <w:pPr>
        <w:autoSpaceDE w:val="0"/>
        <w:autoSpaceDN w:val="0"/>
        <w:adjustRightInd w:val="0"/>
        <w:spacing w:after="0" w:line="240" w:lineRule="auto"/>
        <w:jc w:val="both"/>
        <w:rPr>
          <w:rFonts w:ascii="Arial" w:hAnsi="Arial" w:cs="Arial"/>
          <w:bCs/>
        </w:rPr>
      </w:pPr>
      <w:r w:rsidRPr="005D183C">
        <w:rPr>
          <w:rFonts w:ascii="Arial" w:hAnsi="Arial" w:cs="Arial"/>
          <w:bCs/>
        </w:rPr>
        <w:t>As with all injectable vaccines, appropriate medical treatment and supervision should always be readily available in case a</w:t>
      </w:r>
      <w:r w:rsidR="00733467" w:rsidRPr="005D183C">
        <w:rPr>
          <w:rFonts w:ascii="Arial" w:hAnsi="Arial" w:cs="Arial"/>
          <w:bCs/>
        </w:rPr>
        <w:t>n</w:t>
      </w:r>
      <w:r w:rsidRPr="005D183C">
        <w:rPr>
          <w:rFonts w:ascii="Arial" w:hAnsi="Arial" w:cs="Arial"/>
          <w:bCs/>
        </w:rPr>
        <w:t xml:space="preserve"> anaphylactic event occurs following the administration of the vaccine.</w:t>
      </w:r>
    </w:p>
    <w:p w14:paraId="73876816" w14:textId="30F1327A" w:rsidR="009D787B" w:rsidRPr="005D183C" w:rsidRDefault="009D787B" w:rsidP="009D787B">
      <w:pPr>
        <w:autoSpaceDE w:val="0"/>
        <w:autoSpaceDN w:val="0"/>
        <w:adjustRightInd w:val="0"/>
        <w:spacing w:after="0" w:line="240" w:lineRule="auto"/>
        <w:jc w:val="both"/>
        <w:rPr>
          <w:rFonts w:ascii="Arial" w:hAnsi="Arial" w:cs="Arial"/>
          <w:bCs/>
        </w:rPr>
      </w:pPr>
      <w:r w:rsidRPr="005D183C">
        <w:rPr>
          <w:rFonts w:ascii="Arial" w:hAnsi="Arial" w:cs="Arial"/>
          <w:bCs/>
        </w:rPr>
        <w:lastRenderedPageBreak/>
        <w:t>Persons with a history of anaphylaxis to egg should be vaccinated only in medical facilities with staff experienced in recognising and treating anaphylaxis. For full details regarding recommendations for influenza vaccination in individuals with egg allergy, please refer to the relevant national immunisation guidelines.</w:t>
      </w:r>
    </w:p>
    <w:p w14:paraId="1F18E2A8" w14:textId="7963AD4C" w:rsidR="00A346AF" w:rsidRPr="005D183C" w:rsidDel="009D0864" w:rsidRDefault="00A346AF" w:rsidP="00A346AF">
      <w:pPr>
        <w:autoSpaceDE w:val="0"/>
        <w:autoSpaceDN w:val="0"/>
        <w:adjustRightInd w:val="0"/>
        <w:spacing w:after="0" w:line="240" w:lineRule="auto"/>
        <w:jc w:val="both"/>
        <w:rPr>
          <w:rFonts w:ascii="Arial" w:hAnsi="Arial" w:cs="Arial"/>
          <w:b/>
          <w:color w:val="000000" w:themeColor="text1"/>
          <w:u w:val="single"/>
        </w:rPr>
      </w:pPr>
      <w:r w:rsidRPr="005D183C" w:rsidDel="009D0864">
        <w:rPr>
          <w:rFonts w:ascii="Arial" w:hAnsi="Arial" w:cs="Arial"/>
          <w:color w:val="000000" w:themeColor="text1"/>
        </w:rPr>
        <w:t>Immunisation should be postponed in patients with acute febrile illness</w:t>
      </w:r>
      <w:r w:rsidRPr="005D183C">
        <w:rPr>
          <w:rFonts w:ascii="Arial" w:hAnsi="Arial" w:cs="Arial"/>
          <w:color w:val="000000" w:themeColor="text1"/>
        </w:rPr>
        <w:t xml:space="preserve"> until the fever is resolved</w:t>
      </w:r>
      <w:r w:rsidRPr="005D183C" w:rsidDel="009D0864">
        <w:rPr>
          <w:rFonts w:ascii="Arial" w:hAnsi="Arial" w:cs="Arial"/>
          <w:color w:val="000000" w:themeColor="text1"/>
        </w:rPr>
        <w:t>.</w:t>
      </w:r>
    </w:p>
    <w:p w14:paraId="00EA635B" w14:textId="77777777" w:rsidR="00A346AF" w:rsidRPr="005D183C" w:rsidRDefault="00A346AF" w:rsidP="00A346AF">
      <w:pPr>
        <w:autoSpaceDE w:val="0"/>
        <w:autoSpaceDN w:val="0"/>
        <w:adjustRightInd w:val="0"/>
        <w:spacing w:after="0" w:line="240" w:lineRule="auto"/>
        <w:jc w:val="both"/>
        <w:rPr>
          <w:rFonts w:ascii="Arial" w:hAnsi="Arial" w:cs="Arial"/>
          <w:bCs/>
        </w:rPr>
      </w:pPr>
      <w:r w:rsidRPr="005D183C">
        <w:rPr>
          <w:rFonts w:ascii="Arial" w:hAnsi="Arial" w:cs="Arial"/>
          <w:bCs/>
        </w:rPr>
        <w:t>Antibody response in patients with endogenous or iatrogenic immunosuppression may be insufficient.</w:t>
      </w:r>
    </w:p>
    <w:p w14:paraId="7D336B54" w14:textId="736FD717" w:rsidR="00EF4A24" w:rsidRPr="005D183C" w:rsidRDefault="00EF4A24" w:rsidP="00EF4A24">
      <w:pPr>
        <w:autoSpaceDE w:val="0"/>
        <w:autoSpaceDN w:val="0"/>
        <w:adjustRightInd w:val="0"/>
        <w:spacing w:after="0" w:line="240" w:lineRule="auto"/>
        <w:jc w:val="both"/>
        <w:rPr>
          <w:rFonts w:ascii="Arial" w:hAnsi="Arial" w:cs="Arial"/>
          <w:bCs/>
        </w:rPr>
      </w:pPr>
      <w:r w:rsidRPr="005D183C">
        <w:rPr>
          <w:rFonts w:ascii="Arial" w:hAnsi="Arial" w:cs="Arial"/>
          <w:bCs/>
        </w:rPr>
        <w:t>A protective response may not be elicited in all vaccine recipients.</w:t>
      </w:r>
    </w:p>
    <w:p w14:paraId="5483CEB7" w14:textId="4C73D119" w:rsidR="00A346AF" w:rsidRPr="005D183C" w:rsidRDefault="00A346AF" w:rsidP="00A346AF">
      <w:pPr>
        <w:autoSpaceDE w:val="0"/>
        <w:autoSpaceDN w:val="0"/>
        <w:adjustRightInd w:val="0"/>
        <w:spacing w:after="0" w:line="240" w:lineRule="auto"/>
        <w:jc w:val="both"/>
        <w:rPr>
          <w:rFonts w:ascii="Arial" w:hAnsi="Arial" w:cs="Arial"/>
          <w:bCs/>
        </w:rPr>
      </w:pPr>
      <w:r w:rsidRPr="005D183C">
        <w:rPr>
          <w:rFonts w:ascii="Arial" w:hAnsi="Arial" w:cs="Arial"/>
          <w:bCs/>
        </w:rPr>
        <w:t xml:space="preserve">If Guillain-Barré syndrome has occurred within 6 weeks of previous influenza vaccination, the decision to give </w:t>
      </w:r>
      <w:r w:rsidR="00F36CC2" w:rsidRPr="005D183C">
        <w:rPr>
          <w:rFonts w:ascii="Arial" w:hAnsi="Arial" w:cs="Arial"/>
          <w:bCs/>
        </w:rPr>
        <w:t>Fluad</w:t>
      </w:r>
      <w:r w:rsidR="00F36CC2" w:rsidRPr="00B7266B">
        <w:rPr>
          <w:rFonts w:ascii="Arial" w:hAnsi="Arial" w:cs="Arial"/>
          <w:bCs/>
          <w:vertAlign w:val="superscript"/>
        </w:rPr>
        <w:t>®</w:t>
      </w:r>
      <w:r w:rsidR="00F36CC2" w:rsidRPr="005D183C">
        <w:rPr>
          <w:rFonts w:ascii="Arial" w:hAnsi="Arial" w:cs="Arial"/>
          <w:bCs/>
        </w:rPr>
        <w:t xml:space="preserve"> Quad</w:t>
      </w:r>
      <w:r w:rsidRPr="005D183C">
        <w:rPr>
          <w:rFonts w:ascii="Arial" w:hAnsi="Arial" w:cs="Arial"/>
          <w:bCs/>
        </w:rPr>
        <w:t xml:space="preserve"> should be based on careful consideration of th</w:t>
      </w:r>
      <w:r w:rsidR="00B3087D">
        <w:rPr>
          <w:rFonts w:ascii="Arial" w:hAnsi="Arial" w:cs="Arial"/>
          <w:bCs/>
        </w:rPr>
        <w:t>e potential benefits and risks.</w:t>
      </w:r>
    </w:p>
    <w:p w14:paraId="64EA1234" w14:textId="78B29497" w:rsidR="007E5F3E" w:rsidRPr="005D183C" w:rsidRDefault="007E5F3E" w:rsidP="004E6C0F">
      <w:pPr>
        <w:autoSpaceDE w:val="0"/>
        <w:autoSpaceDN w:val="0"/>
        <w:adjustRightInd w:val="0"/>
        <w:spacing w:after="0" w:line="240" w:lineRule="auto"/>
        <w:jc w:val="both"/>
        <w:rPr>
          <w:rFonts w:ascii="Arial" w:hAnsi="Arial" w:cs="Arial"/>
          <w:bCs/>
        </w:rPr>
      </w:pPr>
      <w:r>
        <w:rPr>
          <w:rFonts w:ascii="Arial" w:hAnsi="Arial" w:cs="Arial"/>
        </w:rPr>
        <w:t xml:space="preserve">The syringe and all associated syringe components for </w:t>
      </w:r>
      <w:r w:rsidRPr="00C0669E">
        <w:rPr>
          <w:rFonts w:ascii="Arial" w:hAnsi="Arial" w:cs="Arial"/>
        </w:rPr>
        <w:t>Fluad</w:t>
      </w:r>
      <w:r w:rsidRPr="007E5F3E">
        <w:rPr>
          <w:rFonts w:ascii="Arial" w:hAnsi="Arial" w:cs="Arial"/>
          <w:vertAlign w:val="superscript"/>
        </w:rPr>
        <w:t>®</w:t>
      </w:r>
      <w:r>
        <w:rPr>
          <w:rFonts w:ascii="Arial" w:hAnsi="Arial" w:cs="Arial"/>
        </w:rPr>
        <w:t xml:space="preserve"> Quad</w:t>
      </w:r>
      <w:r w:rsidRPr="00C0669E">
        <w:rPr>
          <w:rFonts w:ascii="Arial" w:hAnsi="Arial" w:cs="Arial"/>
        </w:rPr>
        <w:t xml:space="preserve"> AUST R </w:t>
      </w:r>
      <w:r w:rsidR="00C72C89" w:rsidRPr="00C72C89">
        <w:rPr>
          <w:rFonts w:ascii="Arial" w:hAnsi="Arial" w:cs="Arial"/>
        </w:rPr>
        <w:t>313724</w:t>
      </w:r>
      <w:r w:rsidR="00646264">
        <w:rPr>
          <w:rFonts w:ascii="Arial" w:hAnsi="Arial" w:cs="Arial"/>
        </w:rPr>
        <w:t xml:space="preserve"> </w:t>
      </w:r>
      <w:r>
        <w:rPr>
          <w:rFonts w:ascii="Arial" w:hAnsi="Arial" w:cs="Arial"/>
        </w:rPr>
        <w:t>pre</w:t>
      </w:r>
      <w:r w:rsidR="00646264">
        <w:rPr>
          <w:rFonts w:ascii="Arial" w:hAnsi="Arial" w:cs="Arial"/>
        </w:rPr>
        <w:t>-</w:t>
      </w:r>
      <w:r>
        <w:rPr>
          <w:rFonts w:ascii="Arial" w:hAnsi="Arial" w:cs="Arial"/>
        </w:rPr>
        <w:t>filled syringe needle-free do</w:t>
      </w:r>
      <w:r w:rsidRPr="00BF0E77">
        <w:rPr>
          <w:rFonts w:ascii="Arial" w:hAnsi="Arial" w:cs="Arial"/>
        </w:rPr>
        <w:t xml:space="preserve"> not contain</w:t>
      </w:r>
      <w:r>
        <w:rPr>
          <w:rFonts w:ascii="Arial" w:hAnsi="Arial" w:cs="Arial"/>
        </w:rPr>
        <w:t xml:space="preserve"> natural rubber latex.  </w:t>
      </w:r>
      <w:r w:rsidRPr="006A7A9C">
        <w:rPr>
          <w:rFonts w:ascii="Arial" w:hAnsi="Arial" w:cs="Arial"/>
        </w:rPr>
        <w:t>Fluad</w:t>
      </w:r>
      <w:r w:rsidRPr="006A7A9C">
        <w:rPr>
          <w:rFonts w:ascii="Arial" w:hAnsi="Arial" w:cs="Arial"/>
          <w:vertAlign w:val="superscript"/>
        </w:rPr>
        <w:t>®</w:t>
      </w:r>
      <w:r w:rsidRPr="006A7A9C">
        <w:rPr>
          <w:rFonts w:ascii="Arial" w:hAnsi="Arial" w:cs="Arial"/>
        </w:rPr>
        <w:t xml:space="preserve"> </w:t>
      </w:r>
      <w:r>
        <w:rPr>
          <w:rFonts w:ascii="Arial" w:hAnsi="Arial" w:cs="Arial"/>
        </w:rPr>
        <w:t xml:space="preserve">Quad AUST R </w:t>
      </w:r>
      <w:r w:rsidR="00C72C89" w:rsidRPr="00C72C89">
        <w:rPr>
          <w:rFonts w:ascii="Arial" w:hAnsi="Arial" w:cs="Arial"/>
        </w:rPr>
        <w:t>316323</w:t>
      </w:r>
      <w:r>
        <w:rPr>
          <w:rFonts w:ascii="Arial" w:hAnsi="Arial" w:cs="Arial"/>
        </w:rPr>
        <w:t xml:space="preserve"> </w:t>
      </w:r>
      <w:r w:rsidRPr="006A7A9C">
        <w:rPr>
          <w:rFonts w:ascii="Arial" w:hAnsi="Arial" w:cs="Arial"/>
        </w:rPr>
        <w:t>pre-filled syringe with attached needle cannot be considered to be latex-free as the sheath covering the needle contains natural rubber latex.</w:t>
      </w:r>
      <w:r>
        <w:rPr>
          <w:rFonts w:ascii="Arial" w:hAnsi="Arial" w:cs="Arial"/>
        </w:rPr>
        <w:t xml:space="preserve">  </w:t>
      </w:r>
      <w:r w:rsidRPr="008D443C">
        <w:rPr>
          <w:rFonts w:ascii="Arial" w:hAnsi="Arial" w:cs="Arial"/>
        </w:rPr>
        <w:t xml:space="preserve">See </w:t>
      </w:r>
      <w:r w:rsidR="00720563">
        <w:rPr>
          <w:rFonts w:ascii="Arial" w:hAnsi="Arial" w:cs="Arial"/>
          <w:b/>
        </w:rPr>
        <w:t>S</w:t>
      </w:r>
      <w:r w:rsidRPr="00720563">
        <w:rPr>
          <w:rFonts w:ascii="Arial" w:hAnsi="Arial" w:cs="Arial"/>
          <w:b/>
        </w:rPr>
        <w:t xml:space="preserve">ection 6.5 </w:t>
      </w:r>
      <w:r w:rsidR="00720563">
        <w:rPr>
          <w:rFonts w:ascii="Arial" w:hAnsi="Arial" w:cs="Arial"/>
          <w:b/>
        </w:rPr>
        <w:t xml:space="preserve">– </w:t>
      </w:r>
      <w:r w:rsidR="00720563" w:rsidRPr="00720563">
        <w:rPr>
          <w:rFonts w:ascii="Arial" w:hAnsi="Arial" w:cs="Arial"/>
          <w:b/>
        </w:rPr>
        <w:t xml:space="preserve">Nature </w:t>
      </w:r>
      <w:r w:rsidR="00720563">
        <w:rPr>
          <w:rFonts w:ascii="Arial" w:hAnsi="Arial" w:cs="Arial"/>
          <w:b/>
        </w:rPr>
        <w:t>a</w:t>
      </w:r>
      <w:r w:rsidR="00720563" w:rsidRPr="00720563">
        <w:rPr>
          <w:rFonts w:ascii="Arial" w:hAnsi="Arial" w:cs="Arial"/>
          <w:b/>
        </w:rPr>
        <w:t xml:space="preserve">nd Contents </w:t>
      </w:r>
      <w:r w:rsidR="00720563">
        <w:rPr>
          <w:rFonts w:ascii="Arial" w:hAnsi="Arial" w:cs="Arial"/>
          <w:b/>
        </w:rPr>
        <w:t>o</w:t>
      </w:r>
      <w:r w:rsidR="00720563" w:rsidRPr="00720563">
        <w:rPr>
          <w:rFonts w:ascii="Arial" w:hAnsi="Arial" w:cs="Arial"/>
          <w:b/>
        </w:rPr>
        <w:t xml:space="preserve">f Container </w:t>
      </w:r>
      <w:r w:rsidRPr="008D443C">
        <w:rPr>
          <w:rFonts w:ascii="Arial" w:hAnsi="Arial" w:cs="Arial"/>
        </w:rPr>
        <w:t>for further information</w:t>
      </w:r>
      <w:r>
        <w:rPr>
          <w:rFonts w:ascii="Arial" w:hAnsi="Arial" w:cs="Arial"/>
        </w:rPr>
        <w:t>.</w:t>
      </w:r>
    </w:p>
    <w:p w14:paraId="2B8B3AC8" w14:textId="737778A8" w:rsidR="00A346AF" w:rsidRPr="005D183C" w:rsidRDefault="00A346AF" w:rsidP="00B62647">
      <w:pPr>
        <w:autoSpaceDE w:val="0"/>
        <w:autoSpaceDN w:val="0"/>
        <w:adjustRightInd w:val="0"/>
        <w:spacing w:after="0" w:line="240" w:lineRule="auto"/>
        <w:jc w:val="both"/>
        <w:rPr>
          <w:rFonts w:ascii="Arial" w:hAnsi="Arial" w:cs="Arial"/>
          <w:b/>
          <w:bCs/>
        </w:rPr>
      </w:pPr>
      <w:r w:rsidRPr="005D183C">
        <w:rPr>
          <w:rFonts w:ascii="Arial" w:hAnsi="Arial" w:cs="Arial"/>
          <w:b/>
          <w:bCs/>
        </w:rPr>
        <w:t>Use in the elderly</w:t>
      </w:r>
    </w:p>
    <w:p w14:paraId="113C9902" w14:textId="7A843EA1" w:rsidR="00B62647" w:rsidRPr="005D183C" w:rsidRDefault="007B0A40" w:rsidP="00A346AF">
      <w:pPr>
        <w:autoSpaceDE w:val="0"/>
        <w:autoSpaceDN w:val="0"/>
        <w:adjustRightInd w:val="0"/>
        <w:spacing w:after="0" w:line="240" w:lineRule="auto"/>
        <w:jc w:val="both"/>
        <w:rPr>
          <w:rFonts w:ascii="Arial" w:hAnsi="Arial" w:cs="Arial"/>
          <w:bCs/>
        </w:rPr>
      </w:pPr>
      <w:r w:rsidRPr="005D183C">
        <w:rPr>
          <w:rFonts w:ascii="Arial" w:hAnsi="Arial" w:cs="Arial"/>
          <w:bCs/>
        </w:rPr>
        <w:t>Fluad</w:t>
      </w:r>
      <w:r w:rsidRPr="005D183C">
        <w:rPr>
          <w:rFonts w:ascii="Arial" w:hAnsi="Arial" w:cs="Arial"/>
          <w:bCs/>
          <w:vertAlign w:val="superscript"/>
        </w:rPr>
        <w:t>®</w:t>
      </w:r>
      <w:r w:rsidRPr="005D183C">
        <w:rPr>
          <w:rFonts w:ascii="Arial" w:hAnsi="Arial" w:cs="Arial"/>
          <w:bCs/>
        </w:rPr>
        <w:t xml:space="preserve"> Quad </w:t>
      </w:r>
      <w:r w:rsidR="004327F5" w:rsidRPr="005D183C">
        <w:rPr>
          <w:rFonts w:ascii="Arial" w:hAnsi="Arial" w:cs="Arial"/>
          <w:bCs/>
        </w:rPr>
        <w:t xml:space="preserve">is approved for active </w:t>
      </w:r>
      <w:r w:rsidR="002810D2" w:rsidRPr="005D183C">
        <w:rPr>
          <w:rFonts w:ascii="Arial" w:hAnsi="Arial" w:cs="Arial"/>
          <w:bCs/>
        </w:rPr>
        <w:t>immuni</w:t>
      </w:r>
      <w:r w:rsidR="002810D2">
        <w:rPr>
          <w:rFonts w:ascii="Arial" w:hAnsi="Arial" w:cs="Arial"/>
          <w:bCs/>
        </w:rPr>
        <w:t>s</w:t>
      </w:r>
      <w:r w:rsidR="002810D2" w:rsidRPr="005D183C">
        <w:rPr>
          <w:rFonts w:ascii="Arial" w:hAnsi="Arial" w:cs="Arial"/>
          <w:bCs/>
        </w:rPr>
        <w:t xml:space="preserve">ation </w:t>
      </w:r>
      <w:r w:rsidR="004327F5" w:rsidRPr="005D183C">
        <w:rPr>
          <w:rFonts w:ascii="Arial" w:hAnsi="Arial" w:cs="Arial"/>
          <w:bCs/>
        </w:rPr>
        <w:t xml:space="preserve">against influenza in </w:t>
      </w:r>
      <w:r w:rsidR="00642E6A">
        <w:rPr>
          <w:rFonts w:ascii="Arial" w:hAnsi="Arial" w:cs="Arial"/>
          <w:bCs/>
        </w:rPr>
        <w:t>persons</w:t>
      </w:r>
      <w:r w:rsidR="00EB43ED">
        <w:rPr>
          <w:rFonts w:ascii="Arial" w:hAnsi="Arial" w:cs="Arial"/>
          <w:bCs/>
        </w:rPr>
        <w:t xml:space="preserve"> 65 </w:t>
      </w:r>
      <w:r w:rsidR="00642E6A">
        <w:rPr>
          <w:rFonts w:ascii="Arial" w:hAnsi="Arial" w:cs="Arial"/>
          <w:bCs/>
        </w:rPr>
        <w:t xml:space="preserve">years </w:t>
      </w:r>
      <w:r w:rsidR="00EB43ED">
        <w:rPr>
          <w:rFonts w:ascii="Arial" w:hAnsi="Arial" w:cs="Arial"/>
          <w:bCs/>
        </w:rPr>
        <w:t>of age and o</w:t>
      </w:r>
      <w:r w:rsidR="00D174A2">
        <w:rPr>
          <w:rFonts w:ascii="Arial" w:hAnsi="Arial" w:cs="Arial"/>
          <w:bCs/>
        </w:rPr>
        <w:t>ld</w:t>
      </w:r>
      <w:r w:rsidR="00EB43ED">
        <w:rPr>
          <w:rFonts w:ascii="Arial" w:hAnsi="Arial" w:cs="Arial"/>
          <w:bCs/>
        </w:rPr>
        <w:t>er</w:t>
      </w:r>
      <w:r w:rsidR="0070061C">
        <w:rPr>
          <w:rFonts w:ascii="Arial" w:hAnsi="Arial" w:cs="Arial"/>
          <w:bCs/>
        </w:rPr>
        <w:t>.</w:t>
      </w:r>
      <w:r w:rsidR="00EB43ED">
        <w:rPr>
          <w:rFonts w:ascii="Arial" w:hAnsi="Arial" w:cs="Arial"/>
          <w:bCs/>
        </w:rPr>
        <w:t xml:space="preserve"> </w:t>
      </w:r>
      <w:r w:rsidR="0070061C">
        <w:rPr>
          <w:rFonts w:ascii="Arial" w:hAnsi="Arial" w:cs="Arial"/>
          <w:bCs/>
        </w:rPr>
        <w:t>S</w:t>
      </w:r>
      <w:r w:rsidR="004327F5" w:rsidRPr="005D183C">
        <w:rPr>
          <w:rFonts w:ascii="Arial" w:hAnsi="Arial" w:cs="Arial"/>
          <w:bCs/>
        </w:rPr>
        <w:t xml:space="preserve">ee </w:t>
      </w:r>
      <w:r w:rsidR="004327F5" w:rsidRPr="005D183C">
        <w:rPr>
          <w:rFonts w:ascii="Arial" w:hAnsi="Arial" w:cs="Arial"/>
          <w:b/>
          <w:bCs/>
        </w:rPr>
        <w:t xml:space="preserve">Section 4.1 – </w:t>
      </w:r>
      <w:r w:rsidR="00382F02" w:rsidRPr="005D183C">
        <w:rPr>
          <w:rFonts w:ascii="Arial" w:hAnsi="Arial" w:cs="Arial"/>
          <w:b/>
          <w:bCs/>
        </w:rPr>
        <w:t>T</w:t>
      </w:r>
      <w:r w:rsidR="004327F5" w:rsidRPr="005D183C">
        <w:rPr>
          <w:rFonts w:ascii="Arial" w:hAnsi="Arial" w:cs="Arial"/>
          <w:b/>
          <w:bCs/>
        </w:rPr>
        <w:t xml:space="preserve">herapeutic </w:t>
      </w:r>
      <w:r w:rsidR="00382F02" w:rsidRPr="005D183C">
        <w:rPr>
          <w:rFonts w:ascii="Arial" w:hAnsi="Arial" w:cs="Arial"/>
          <w:b/>
          <w:bCs/>
        </w:rPr>
        <w:t>I</w:t>
      </w:r>
      <w:r w:rsidR="004327F5" w:rsidRPr="005D183C">
        <w:rPr>
          <w:rFonts w:ascii="Arial" w:hAnsi="Arial" w:cs="Arial"/>
          <w:b/>
          <w:bCs/>
        </w:rPr>
        <w:t>ndications</w:t>
      </w:r>
      <w:r w:rsidR="0070061C">
        <w:rPr>
          <w:rFonts w:ascii="Arial" w:hAnsi="Arial" w:cs="Arial"/>
          <w:b/>
          <w:bCs/>
        </w:rPr>
        <w:t xml:space="preserve"> </w:t>
      </w:r>
      <w:r w:rsidR="0070061C" w:rsidRPr="00B7266B">
        <w:rPr>
          <w:rFonts w:ascii="Arial" w:hAnsi="Arial" w:cs="Arial"/>
          <w:bCs/>
        </w:rPr>
        <w:t xml:space="preserve">and also </w:t>
      </w:r>
      <w:r w:rsidR="004327F5" w:rsidRPr="005D183C">
        <w:rPr>
          <w:rFonts w:ascii="Arial" w:hAnsi="Arial" w:cs="Arial"/>
          <w:b/>
          <w:bCs/>
        </w:rPr>
        <w:t xml:space="preserve">Section 5 – </w:t>
      </w:r>
      <w:r w:rsidR="00382F02" w:rsidRPr="005D183C">
        <w:rPr>
          <w:rFonts w:ascii="Arial" w:hAnsi="Arial" w:cs="Arial"/>
          <w:b/>
          <w:bCs/>
        </w:rPr>
        <w:t>P</w:t>
      </w:r>
      <w:r w:rsidR="004327F5" w:rsidRPr="005D183C">
        <w:rPr>
          <w:rFonts w:ascii="Arial" w:hAnsi="Arial" w:cs="Arial"/>
          <w:b/>
          <w:bCs/>
        </w:rPr>
        <w:t>harmacological Properties</w:t>
      </w:r>
      <w:r w:rsidR="004327F5" w:rsidRPr="005D183C">
        <w:rPr>
          <w:rFonts w:ascii="Arial" w:hAnsi="Arial" w:cs="Arial"/>
          <w:bCs/>
        </w:rPr>
        <w:t>.</w:t>
      </w:r>
    </w:p>
    <w:p w14:paraId="4893465B" w14:textId="0DA38D0F" w:rsidR="00A346AF" w:rsidRPr="005D183C" w:rsidRDefault="00A346AF" w:rsidP="00A346AF">
      <w:pPr>
        <w:autoSpaceDE w:val="0"/>
        <w:autoSpaceDN w:val="0"/>
        <w:adjustRightInd w:val="0"/>
        <w:spacing w:after="0" w:line="240" w:lineRule="auto"/>
        <w:jc w:val="both"/>
        <w:rPr>
          <w:rFonts w:ascii="Arial" w:hAnsi="Arial" w:cs="Arial"/>
          <w:b/>
          <w:bCs/>
        </w:rPr>
      </w:pPr>
      <w:r w:rsidRPr="005D183C">
        <w:rPr>
          <w:rFonts w:ascii="Arial" w:hAnsi="Arial" w:cs="Arial"/>
          <w:b/>
          <w:bCs/>
        </w:rPr>
        <w:t>Paediatric use</w:t>
      </w:r>
    </w:p>
    <w:p w14:paraId="543577D4" w14:textId="2C079287" w:rsidR="00A346AF" w:rsidRPr="005D183C" w:rsidRDefault="00A026A8" w:rsidP="00A346AF">
      <w:pPr>
        <w:autoSpaceDE w:val="0"/>
        <w:autoSpaceDN w:val="0"/>
        <w:adjustRightInd w:val="0"/>
        <w:spacing w:after="0" w:line="240" w:lineRule="auto"/>
        <w:jc w:val="both"/>
        <w:rPr>
          <w:rFonts w:ascii="Arial" w:hAnsi="Arial" w:cs="Arial"/>
          <w:bCs/>
        </w:rPr>
      </w:pPr>
      <w:r>
        <w:rPr>
          <w:rFonts w:ascii="Arial" w:hAnsi="Arial" w:cs="Arial"/>
          <w:bCs/>
        </w:rPr>
        <w:t>Paediatric data have not been evaluated.</w:t>
      </w:r>
    </w:p>
    <w:p w14:paraId="78F48081" w14:textId="2F410E2E" w:rsidR="00A346AF" w:rsidRPr="005D183C" w:rsidRDefault="00A346AF" w:rsidP="00A346AF">
      <w:pPr>
        <w:autoSpaceDE w:val="0"/>
        <w:autoSpaceDN w:val="0"/>
        <w:adjustRightInd w:val="0"/>
        <w:spacing w:after="0" w:line="240" w:lineRule="auto"/>
        <w:jc w:val="both"/>
        <w:rPr>
          <w:rFonts w:ascii="Arial" w:hAnsi="Arial" w:cs="Arial"/>
          <w:b/>
          <w:bCs/>
        </w:rPr>
      </w:pPr>
      <w:r w:rsidRPr="005D183C">
        <w:rPr>
          <w:rFonts w:ascii="Arial" w:hAnsi="Arial" w:cs="Arial"/>
          <w:b/>
          <w:bCs/>
        </w:rPr>
        <w:t>Effects on laboratory tests</w:t>
      </w:r>
    </w:p>
    <w:p w14:paraId="3C1B87FA" w14:textId="77777777" w:rsidR="00861851" w:rsidRPr="005D183C" w:rsidRDefault="00C772A6" w:rsidP="00861851">
      <w:pPr>
        <w:autoSpaceDE w:val="0"/>
        <w:autoSpaceDN w:val="0"/>
        <w:adjustRightInd w:val="0"/>
        <w:spacing w:after="0" w:line="240" w:lineRule="auto"/>
        <w:jc w:val="both"/>
        <w:rPr>
          <w:rFonts w:ascii="Arial" w:hAnsi="Arial" w:cs="Arial"/>
          <w:bCs/>
          <w:color w:val="000000" w:themeColor="text1"/>
        </w:rPr>
      </w:pPr>
      <w:r w:rsidRPr="005D183C">
        <w:rPr>
          <w:rFonts w:ascii="Arial" w:hAnsi="Arial" w:cs="Arial"/>
          <w:bCs/>
          <w:color w:val="000000" w:themeColor="text1"/>
        </w:rPr>
        <w:t>No data available</w:t>
      </w:r>
      <w:r w:rsidR="00861851" w:rsidRPr="005D183C">
        <w:rPr>
          <w:rFonts w:ascii="Arial" w:hAnsi="Arial" w:cs="Arial"/>
          <w:bCs/>
          <w:color w:val="000000" w:themeColor="text1"/>
        </w:rPr>
        <w:t>.</w:t>
      </w:r>
    </w:p>
    <w:p w14:paraId="2FCC28A1" w14:textId="77777777" w:rsidR="0088118C" w:rsidRPr="005D183C" w:rsidRDefault="00F90D9F" w:rsidP="00B3087D">
      <w:pPr>
        <w:pStyle w:val="Heading1"/>
        <w:numPr>
          <w:ilvl w:val="1"/>
          <w:numId w:val="14"/>
        </w:numPr>
      </w:pPr>
      <w:r w:rsidRPr="005D183C">
        <w:t>Interactions</w:t>
      </w:r>
      <w:r w:rsidR="00912E4E" w:rsidRPr="005D183C">
        <w:t xml:space="preserve"> with Other Medicines and other Forms of Interactions</w:t>
      </w:r>
    </w:p>
    <w:p w14:paraId="0DDC3DAA" w14:textId="23880BB0" w:rsidR="00595920" w:rsidRPr="005D183C" w:rsidRDefault="00CF6D36" w:rsidP="0088118C">
      <w:pPr>
        <w:autoSpaceDE w:val="0"/>
        <w:autoSpaceDN w:val="0"/>
        <w:adjustRightInd w:val="0"/>
        <w:spacing w:after="0" w:line="240" w:lineRule="auto"/>
        <w:jc w:val="both"/>
        <w:rPr>
          <w:rFonts w:ascii="Arial" w:hAnsi="Arial" w:cs="Arial"/>
          <w:bCs/>
        </w:rPr>
      </w:pPr>
      <w:r w:rsidRPr="005D183C">
        <w:rPr>
          <w:rFonts w:ascii="Arial" w:hAnsi="Arial" w:cs="Arial"/>
          <w:bCs/>
        </w:rPr>
        <w:t xml:space="preserve">No clinical data on concomitant administration </w:t>
      </w:r>
      <w:r w:rsidR="005E7B66">
        <w:rPr>
          <w:rFonts w:ascii="Arial" w:hAnsi="Arial" w:cs="Arial"/>
          <w:bCs/>
        </w:rPr>
        <w:t>of Fluad</w:t>
      </w:r>
      <w:r w:rsidR="005E7B66" w:rsidRPr="005E7B66">
        <w:rPr>
          <w:rFonts w:ascii="Arial" w:hAnsi="Arial" w:cs="Arial"/>
          <w:bCs/>
          <w:vertAlign w:val="superscript"/>
        </w:rPr>
        <w:t>®</w:t>
      </w:r>
      <w:r w:rsidR="005E7B66">
        <w:rPr>
          <w:rFonts w:ascii="Arial" w:hAnsi="Arial" w:cs="Arial"/>
          <w:bCs/>
        </w:rPr>
        <w:t xml:space="preserve"> Quad </w:t>
      </w:r>
      <w:r w:rsidRPr="005D183C">
        <w:rPr>
          <w:rFonts w:ascii="Arial" w:hAnsi="Arial" w:cs="Arial"/>
          <w:bCs/>
        </w:rPr>
        <w:t>with other vaccines are available.</w:t>
      </w:r>
    </w:p>
    <w:p w14:paraId="58983600" w14:textId="5579A8DB" w:rsidR="005E7B66" w:rsidRDefault="005E7B66" w:rsidP="00595920">
      <w:pPr>
        <w:autoSpaceDE w:val="0"/>
        <w:autoSpaceDN w:val="0"/>
        <w:adjustRightInd w:val="0"/>
        <w:spacing w:after="0" w:line="240" w:lineRule="auto"/>
        <w:jc w:val="both"/>
        <w:rPr>
          <w:rFonts w:ascii="Arial" w:hAnsi="Arial" w:cs="Arial"/>
          <w:bCs/>
        </w:rPr>
      </w:pPr>
      <w:r w:rsidRPr="005E7B66">
        <w:rPr>
          <w:rFonts w:ascii="Arial" w:hAnsi="Arial" w:cs="Arial"/>
          <w:bCs/>
        </w:rPr>
        <w:t>Data from two studies on the concomitant administration of Fluad</w:t>
      </w:r>
      <w:r w:rsidRPr="005E7B66">
        <w:rPr>
          <w:rFonts w:ascii="Arial" w:hAnsi="Arial" w:cs="Arial"/>
          <w:bCs/>
          <w:vertAlign w:val="superscript"/>
        </w:rPr>
        <w:t>®</w:t>
      </w:r>
      <w:r w:rsidRPr="005E7B66">
        <w:rPr>
          <w:rFonts w:ascii="Arial" w:hAnsi="Arial" w:cs="Arial"/>
          <w:bCs/>
        </w:rPr>
        <w:t xml:space="preserve"> </w:t>
      </w:r>
      <w:r w:rsidR="0070061C">
        <w:rPr>
          <w:rFonts w:ascii="Arial" w:hAnsi="Arial" w:cs="Arial"/>
          <w:bCs/>
        </w:rPr>
        <w:t>(i</w:t>
      </w:r>
      <w:r w:rsidR="0070061C" w:rsidRPr="0070061C">
        <w:rPr>
          <w:rFonts w:ascii="Arial" w:hAnsi="Arial" w:cs="Arial"/>
          <w:bCs/>
        </w:rPr>
        <w:t xml:space="preserve">nactivated, </w:t>
      </w:r>
      <w:r w:rsidR="0070061C">
        <w:rPr>
          <w:rFonts w:ascii="Arial" w:hAnsi="Arial" w:cs="Arial"/>
          <w:bCs/>
        </w:rPr>
        <w:t>trivalent</w:t>
      </w:r>
      <w:r w:rsidR="0070061C" w:rsidRPr="0070061C">
        <w:rPr>
          <w:rFonts w:ascii="Arial" w:hAnsi="Arial" w:cs="Arial"/>
          <w:bCs/>
        </w:rPr>
        <w:t xml:space="preserve"> influenza vaccine (surface antigen), adjuvanted, suspension for injection</w:t>
      </w:r>
      <w:r w:rsidR="0070061C">
        <w:rPr>
          <w:rFonts w:ascii="Arial" w:hAnsi="Arial" w:cs="Arial"/>
          <w:bCs/>
        </w:rPr>
        <w:t>)</w:t>
      </w:r>
      <w:r w:rsidR="0070061C" w:rsidRPr="0070061C">
        <w:rPr>
          <w:rFonts w:ascii="Arial" w:hAnsi="Arial" w:cs="Arial"/>
          <w:bCs/>
        </w:rPr>
        <w:t xml:space="preserve"> </w:t>
      </w:r>
      <w:r w:rsidRPr="005E7B66">
        <w:rPr>
          <w:rFonts w:ascii="Arial" w:hAnsi="Arial" w:cs="Arial"/>
          <w:bCs/>
        </w:rPr>
        <w:t xml:space="preserve">with an approved 13-valent pneumococcal conjugate vaccine (PCV13) and an approved 23-valent pneumococcal </w:t>
      </w:r>
      <w:r w:rsidR="008D4518" w:rsidRPr="00045210">
        <w:rPr>
          <w:rFonts w:ascii="Arial" w:hAnsi="Arial" w:cs="Arial"/>
          <w:bCs/>
        </w:rPr>
        <w:t>polysaccharide vaccine</w:t>
      </w:r>
      <w:r w:rsidRPr="005E7B66">
        <w:rPr>
          <w:rFonts w:ascii="Arial" w:hAnsi="Arial" w:cs="Arial"/>
          <w:bCs/>
        </w:rPr>
        <w:t xml:space="preserve"> (PPSV23)</w:t>
      </w:r>
      <w:r w:rsidR="003D0C87">
        <w:rPr>
          <w:rFonts w:ascii="Arial" w:hAnsi="Arial" w:cs="Arial"/>
          <w:bCs/>
        </w:rPr>
        <w:t xml:space="preserve"> in an elderly population </w:t>
      </w:r>
      <w:r w:rsidR="005E5C76">
        <w:rPr>
          <w:rFonts w:ascii="Arial" w:hAnsi="Arial" w:cs="Arial"/>
          <w:bCs/>
        </w:rPr>
        <w:t>are</w:t>
      </w:r>
      <w:r w:rsidR="003D0C87">
        <w:rPr>
          <w:rFonts w:ascii="Arial" w:hAnsi="Arial" w:cs="Arial"/>
          <w:bCs/>
        </w:rPr>
        <w:t xml:space="preserve"> available. These studies</w:t>
      </w:r>
      <w:r w:rsidRPr="005E7B66">
        <w:rPr>
          <w:rFonts w:ascii="Arial" w:hAnsi="Arial" w:cs="Arial"/>
          <w:bCs/>
        </w:rPr>
        <w:t xml:space="preserve"> indicated that </w:t>
      </w:r>
      <w:r w:rsidR="003D0C87">
        <w:rPr>
          <w:rFonts w:ascii="Arial" w:hAnsi="Arial" w:cs="Arial"/>
          <w:bCs/>
        </w:rPr>
        <w:t>coadministration of</w:t>
      </w:r>
      <w:r w:rsidRPr="005E7B66">
        <w:rPr>
          <w:rFonts w:ascii="Arial" w:hAnsi="Arial" w:cs="Arial"/>
          <w:bCs/>
        </w:rPr>
        <w:t xml:space="preserve"> </w:t>
      </w:r>
      <w:r>
        <w:rPr>
          <w:rFonts w:ascii="Arial" w:hAnsi="Arial" w:cs="Arial"/>
          <w:bCs/>
        </w:rPr>
        <w:t>Fluad</w:t>
      </w:r>
      <w:r w:rsidRPr="005E7B66">
        <w:rPr>
          <w:rFonts w:ascii="Arial" w:hAnsi="Arial" w:cs="Arial"/>
          <w:bCs/>
          <w:vertAlign w:val="superscript"/>
        </w:rPr>
        <w:t>®</w:t>
      </w:r>
      <w:r>
        <w:rPr>
          <w:rFonts w:ascii="Arial" w:hAnsi="Arial" w:cs="Arial"/>
          <w:bCs/>
        </w:rPr>
        <w:t xml:space="preserve"> </w:t>
      </w:r>
      <w:r w:rsidRPr="005E7B66">
        <w:rPr>
          <w:rFonts w:ascii="Arial" w:hAnsi="Arial" w:cs="Arial"/>
          <w:bCs/>
        </w:rPr>
        <w:t xml:space="preserve">with either PCV-13 or PPSV23 did not show significant </w:t>
      </w:r>
      <w:r w:rsidRPr="005E7B66">
        <w:rPr>
          <w:rFonts w:ascii="Arial" w:hAnsi="Arial" w:cs="Arial"/>
          <w:bCs/>
        </w:rPr>
        <w:lastRenderedPageBreak/>
        <w:t>interference in antibody response. Although concomitant vaccination induced more frequent local pain, most of the local adverse reactions were mild. Systemic adverse reactions were generally mild, and no serious vaccine-related adverse events occurred</w:t>
      </w:r>
      <w:r w:rsidR="0070061C">
        <w:rPr>
          <w:rFonts w:ascii="Arial" w:hAnsi="Arial" w:cs="Arial"/>
          <w:bCs/>
        </w:rPr>
        <w:t>.</w:t>
      </w:r>
    </w:p>
    <w:p w14:paraId="21E75E57" w14:textId="357AD7D2" w:rsidR="003C2C3B" w:rsidRPr="005D183C" w:rsidRDefault="003C2C3B" w:rsidP="00595920">
      <w:pPr>
        <w:autoSpaceDE w:val="0"/>
        <w:autoSpaceDN w:val="0"/>
        <w:adjustRightInd w:val="0"/>
        <w:spacing w:after="0" w:line="240" w:lineRule="auto"/>
        <w:jc w:val="both"/>
        <w:rPr>
          <w:rFonts w:ascii="Arial" w:hAnsi="Arial" w:cs="Arial"/>
          <w:bCs/>
        </w:rPr>
      </w:pPr>
      <w:r w:rsidRPr="005D183C">
        <w:rPr>
          <w:rFonts w:ascii="Arial" w:hAnsi="Arial" w:cs="Arial"/>
          <w:bCs/>
        </w:rPr>
        <w:t xml:space="preserve">If </w:t>
      </w:r>
      <w:r w:rsidR="00F36CC2" w:rsidRPr="005D183C">
        <w:rPr>
          <w:rFonts w:ascii="Arial" w:hAnsi="Arial" w:cs="Arial"/>
          <w:bCs/>
        </w:rPr>
        <w:t>Fluad</w:t>
      </w:r>
      <w:r w:rsidR="00B640FB" w:rsidRPr="005D183C">
        <w:rPr>
          <w:rFonts w:ascii="Arial" w:hAnsi="Arial" w:cs="Arial"/>
          <w:vertAlign w:val="superscript"/>
        </w:rPr>
        <w:t>®</w:t>
      </w:r>
      <w:r w:rsidR="00F36CC2" w:rsidRPr="005D183C">
        <w:rPr>
          <w:rFonts w:ascii="Arial" w:hAnsi="Arial" w:cs="Arial"/>
          <w:bCs/>
        </w:rPr>
        <w:t xml:space="preserve"> Quad</w:t>
      </w:r>
      <w:r w:rsidRPr="005D183C">
        <w:rPr>
          <w:rFonts w:ascii="Arial" w:hAnsi="Arial" w:cs="Arial"/>
          <w:bCs/>
        </w:rPr>
        <w:t xml:space="preserve"> needs to be used at the same time as another vaccine, immunisation should be given at separate injection sites, preferably on different limbs. It should be noted that the adverse reactions may be intensified.</w:t>
      </w:r>
    </w:p>
    <w:p w14:paraId="58F0727F" w14:textId="0F8EB718" w:rsidR="004177B8" w:rsidRPr="005D183C" w:rsidRDefault="004177B8" w:rsidP="00B3087D">
      <w:pPr>
        <w:pStyle w:val="Heading1"/>
        <w:numPr>
          <w:ilvl w:val="1"/>
          <w:numId w:val="14"/>
        </w:numPr>
      </w:pPr>
      <w:r w:rsidRPr="005D183C">
        <w:t>Fertility, Pregnancy and Lactation</w:t>
      </w:r>
    </w:p>
    <w:p w14:paraId="17826E9C" w14:textId="49CEDC6E" w:rsidR="0000166C" w:rsidRPr="005D183C" w:rsidRDefault="0000166C" w:rsidP="0088118C">
      <w:pPr>
        <w:autoSpaceDE w:val="0"/>
        <w:autoSpaceDN w:val="0"/>
        <w:adjustRightInd w:val="0"/>
        <w:spacing w:after="0" w:line="240" w:lineRule="auto"/>
        <w:jc w:val="both"/>
        <w:rPr>
          <w:rFonts w:ascii="Arial" w:hAnsi="Arial" w:cs="Arial"/>
          <w:b/>
          <w:bCs/>
        </w:rPr>
      </w:pPr>
      <w:r w:rsidRPr="005D183C">
        <w:rPr>
          <w:rFonts w:ascii="Arial" w:hAnsi="Arial" w:cs="Arial"/>
          <w:b/>
          <w:bCs/>
        </w:rPr>
        <w:t>Effects on fertility</w:t>
      </w:r>
    </w:p>
    <w:p w14:paraId="242BCC55" w14:textId="77777777" w:rsidR="0000166C" w:rsidRPr="005D183C" w:rsidRDefault="0000166C" w:rsidP="0088118C">
      <w:pPr>
        <w:autoSpaceDE w:val="0"/>
        <w:autoSpaceDN w:val="0"/>
        <w:adjustRightInd w:val="0"/>
        <w:spacing w:after="0" w:line="240" w:lineRule="auto"/>
        <w:jc w:val="both"/>
        <w:rPr>
          <w:rFonts w:ascii="Arial" w:hAnsi="Arial" w:cs="Arial"/>
          <w:bCs/>
        </w:rPr>
      </w:pPr>
      <w:r w:rsidRPr="005D183C">
        <w:rPr>
          <w:rFonts w:ascii="Arial" w:hAnsi="Arial" w:cs="Arial"/>
          <w:bCs/>
        </w:rPr>
        <w:t>No data available.</w:t>
      </w:r>
    </w:p>
    <w:p w14:paraId="17B9B980" w14:textId="77777777" w:rsidR="00B25013" w:rsidRDefault="0000166C" w:rsidP="0088118C">
      <w:pPr>
        <w:autoSpaceDE w:val="0"/>
        <w:autoSpaceDN w:val="0"/>
        <w:adjustRightInd w:val="0"/>
        <w:spacing w:after="0" w:line="240" w:lineRule="auto"/>
        <w:jc w:val="both"/>
        <w:rPr>
          <w:rFonts w:ascii="Arial" w:hAnsi="Arial" w:cs="Arial"/>
          <w:b/>
          <w:bCs/>
        </w:rPr>
      </w:pPr>
      <w:r w:rsidRPr="005D183C">
        <w:rPr>
          <w:rFonts w:ascii="Arial" w:hAnsi="Arial" w:cs="Arial"/>
          <w:b/>
          <w:bCs/>
        </w:rPr>
        <w:t>Use in pregnancy</w:t>
      </w:r>
    </w:p>
    <w:p w14:paraId="2DE29A9A" w14:textId="6CC048DA" w:rsidR="0000166C" w:rsidRPr="00B25013" w:rsidRDefault="00B25013" w:rsidP="0088118C">
      <w:pPr>
        <w:autoSpaceDE w:val="0"/>
        <w:autoSpaceDN w:val="0"/>
        <w:adjustRightInd w:val="0"/>
        <w:spacing w:after="0" w:line="240" w:lineRule="auto"/>
        <w:jc w:val="both"/>
        <w:rPr>
          <w:rFonts w:ascii="Arial" w:hAnsi="Arial" w:cs="Arial"/>
          <w:bCs/>
        </w:rPr>
      </w:pPr>
      <w:r w:rsidRPr="00B25013">
        <w:rPr>
          <w:rFonts w:ascii="Arial" w:hAnsi="Arial" w:cs="Arial"/>
          <w:bCs/>
        </w:rPr>
        <w:t xml:space="preserve">Category </w:t>
      </w:r>
      <w:r w:rsidR="005D183C" w:rsidRPr="00B25013">
        <w:rPr>
          <w:rFonts w:ascii="Arial" w:hAnsi="Arial" w:cs="Arial"/>
          <w:bCs/>
        </w:rPr>
        <w:t>B2</w:t>
      </w:r>
      <w:r w:rsidRPr="00B25013">
        <w:rPr>
          <w:rFonts w:ascii="Arial" w:hAnsi="Arial" w:cs="Arial"/>
          <w:bCs/>
        </w:rPr>
        <w:t>.</w:t>
      </w:r>
    </w:p>
    <w:p w14:paraId="307AF076" w14:textId="77777777" w:rsidR="000A1067" w:rsidRDefault="00794245" w:rsidP="0088118C">
      <w:pPr>
        <w:autoSpaceDE w:val="0"/>
        <w:autoSpaceDN w:val="0"/>
        <w:adjustRightInd w:val="0"/>
        <w:spacing w:after="0" w:line="240" w:lineRule="auto"/>
        <w:jc w:val="both"/>
        <w:rPr>
          <w:rFonts w:ascii="Arial" w:hAnsi="Arial" w:cs="Arial"/>
          <w:bCs/>
        </w:rPr>
      </w:pPr>
      <w:r w:rsidRPr="006F2236">
        <w:rPr>
          <w:rFonts w:ascii="Arial" w:hAnsi="Arial" w:cs="Arial"/>
          <w:bCs/>
        </w:rPr>
        <w:t>Animal reproduction studies have not been conducted with Fluad</w:t>
      </w:r>
      <w:r w:rsidR="005A370C" w:rsidRPr="005A370C">
        <w:rPr>
          <w:rFonts w:ascii="Arial" w:hAnsi="Arial" w:cs="Arial"/>
          <w:bCs/>
          <w:vertAlign w:val="superscript"/>
        </w:rPr>
        <w:t>®</w:t>
      </w:r>
      <w:r>
        <w:rPr>
          <w:rFonts w:ascii="Arial" w:hAnsi="Arial" w:cs="Arial"/>
          <w:bCs/>
        </w:rPr>
        <w:t xml:space="preserve"> Quad.</w:t>
      </w:r>
      <w:r w:rsidRPr="006F2236">
        <w:rPr>
          <w:rFonts w:ascii="Arial" w:hAnsi="Arial" w:cs="Arial"/>
          <w:bCs/>
        </w:rPr>
        <w:t xml:space="preserve"> </w:t>
      </w:r>
      <w:r w:rsidR="000A1067" w:rsidRPr="000A1067">
        <w:rPr>
          <w:rFonts w:ascii="Arial" w:hAnsi="Arial" w:cs="Arial"/>
          <w:bCs/>
        </w:rPr>
        <w:t>In a reproductive and developmental study in rabbits dosed with the trivalent vaccine Fluad® (AUST R 90339 and AUST R 306718) twice pre-mating (21 and 7 days before mating) and during gestation (gestation day 7 and 20), there were no significant effects on the does, their fetuses or pups. The HA dose in rabbits was approximately 11-times the recommended clinical dose of a HA dose per body weight basis. Circulating anti-H1N1 antibodies were detected in the does, fetuses and pups.</w:t>
      </w:r>
    </w:p>
    <w:p w14:paraId="00C46495" w14:textId="3F9ACB6D" w:rsidR="0000166C" w:rsidRDefault="00794245" w:rsidP="0088118C">
      <w:pPr>
        <w:autoSpaceDE w:val="0"/>
        <w:autoSpaceDN w:val="0"/>
        <w:adjustRightInd w:val="0"/>
        <w:spacing w:after="0" w:line="240" w:lineRule="auto"/>
        <w:jc w:val="both"/>
        <w:rPr>
          <w:rFonts w:ascii="Arial" w:hAnsi="Arial" w:cs="Arial"/>
          <w:bCs/>
        </w:rPr>
      </w:pPr>
      <w:r w:rsidRPr="000A1067">
        <w:rPr>
          <w:rFonts w:ascii="Arial" w:hAnsi="Arial" w:cs="Arial"/>
          <w:bCs/>
        </w:rPr>
        <w:t>T</w:t>
      </w:r>
      <w:r w:rsidRPr="006F2236">
        <w:rPr>
          <w:rFonts w:ascii="Arial" w:hAnsi="Arial" w:cs="Arial"/>
          <w:bCs/>
        </w:rPr>
        <w:t>here are no adequate and well-controlled studies in</w:t>
      </w:r>
      <w:r w:rsidR="005A370C">
        <w:rPr>
          <w:rFonts w:ascii="Arial" w:hAnsi="Arial" w:cs="Arial"/>
          <w:bCs/>
        </w:rPr>
        <w:t xml:space="preserve"> pregnant women. Fluad</w:t>
      </w:r>
      <w:r w:rsidR="005A370C" w:rsidRPr="005A370C">
        <w:rPr>
          <w:rFonts w:ascii="Arial" w:hAnsi="Arial" w:cs="Arial"/>
          <w:bCs/>
          <w:vertAlign w:val="superscript"/>
        </w:rPr>
        <w:t>®</w:t>
      </w:r>
      <w:r w:rsidRPr="006F2236">
        <w:rPr>
          <w:rFonts w:ascii="Arial" w:hAnsi="Arial" w:cs="Arial"/>
          <w:bCs/>
        </w:rPr>
        <w:t xml:space="preserve"> </w:t>
      </w:r>
      <w:r>
        <w:rPr>
          <w:rFonts w:ascii="Arial" w:hAnsi="Arial" w:cs="Arial"/>
          <w:bCs/>
        </w:rPr>
        <w:t xml:space="preserve">Quad </w:t>
      </w:r>
      <w:r w:rsidRPr="006F2236">
        <w:rPr>
          <w:rFonts w:ascii="Arial" w:hAnsi="Arial" w:cs="Arial"/>
          <w:bCs/>
        </w:rPr>
        <w:t>is indicated for persons 65 years and over.</w:t>
      </w:r>
    </w:p>
    <w:p w14:paraId="5B9835E1" w14:textId="77777777" w:rsidR="0000166C" w:rsidRPr="005D183C" w:rsidRDefault="0000166C" w:rsidP="0088118C">
      <w:pPr>
        <w:autoSpaceDE w:val="0"/>
        <w:autoSpaceDN w:val="0"/>
        <w:adjustRightInd w:val="0"/>
        <w:spacing w:after="0" w:line="240" w:lineRule="auto"/>
        <w:jc w:val="both"/>
        <w:rPr>
          <w:rFonts w:ascii="Arial" w:hAnsi="Arial" w:cs="Arial"/>
          <w:b/>
          <w:bCs/>
        </w:rPr>
      </w:pPr>
      <w:r w:rsidRPr="005D183C">
        <w:rPr>
          <w:rFonts w:ascii="Arial" w:hAnsi="Arial" w:cs="Arial"/>
          <w:b/>
          <w:bCs/>
        </w:rPr>
        <w:t>Use in lactation</w:t>
      </w:r>
    </w:p>
    <w:p w14:paraId="3CD82FA3" w14:textId="77777777" w:rsidR="0000166C" w:rsidRPr="005D183C" w:rsidRDefault="0000166C" w:rsidP="0088118C">
      <w:pPr>
        <w:autoSpaceDE w:val="0"/>
        <w:autoSpaceDN w:val="0"/>
        <w:adjustRightInd w:val="0"/>
        <w:spacing w:after="0" w:line="240" w:lineRule="auto"/>
        <w:jc w:val="both"/>
        <w:rPr>
          <w:rFonts w:ascii="Arial" w:hAnsi="Arial" w:cs="Arial"/>
          <w:bCs/>
        </w:rPr>
      </w:pPr>
      <w:r w:rsidRPr="005D183C">
        <w:rPr>
          <w:rFonts w:ascii="Arial" w:hAnsi="Arial" w:cs="Arial"/>
          <w:bCs/>
        </w:rPr>
        <w:t>No data available.</w:t>
      </w:r>
    </w:p>
    <w:p w14:paraId="73768707" w14:textId="367451D7" w:rsidR="0000166C" w:rsidRPr="005D183C" w:rsidRDefault="0000166C" w:rsidP="00B3087D">
      <w:pPr>
        <w:pStyle w:val="Heading1"/>
        <w:numPr>
          <w:ilvl w:val="1"/>
          <w:numId w:val="14"/>
        </w:numPr>
      </w:pPr>
      <w:r w:rsidRPr="005D183C">
        <w:t>Effects on Ability to Drive and Use Machines</w:t>
      </w:r>
    </w:p>
    <w:p w14:paraId="67709003" w14:textId="77777777" w:rsidR="0000166C" w:rsidRPr="005D183C" w:rsidRDefault="00073A7E" w:rsidP="0000166C">
      <w:pPr>
        <w:autoSpaceDE w:val="0"/>
        <w:autoSpaceDN w:val="0"/>
        <w:adjustRightInd w:val="0"/>
        <w:spacing w:after="0" w:line="240" w:lineRule="auto"/>
        <w:jc w:val="both"/>
        <w:rPr>
          <w:rFonts w:ascii="Arial" w:hAnsi="Arial" w:cs="Arial"/>
          <w:bCs/>
        </w:rPr>
      </w:pPr>
      <w:r w:rsidRPr="005D183C">
        <w:rPr>
          <w:rFonts w:ascii="Arial" w:hAnsi="Arial" w:cs="Arial"/>
          <w:bCs/>
        </w:rPr>
        <w:t>The effects of this medicine on a person’s ability to drive and use machines were not assessed as part of its registration.</w:t>
      </w:r>
    </w:p>
    <w:p w14:paraId="2C3FEE24" w14:textId="77777777" w:rsidR="00CB4DD6" w:rsidRPr="005D183C" w:rsidRDefault="00CB4DD6" w:rsidP="00B3087D">
      <w:pPr>
        <w:pStyle w:val="Heading1"/>
        <w:numPr>
          <w:ilvl w:val="1"/>
          <w:numId w:val="14"/>
        </w:numPr>
      </w:pPr>
      <w:r w:rsidRPr="005D183C">
        <w:t>Adverse Effects (</w:t>
      </w:r>
      <w:r w:rsidR="000E71DA" w:rsidRPr="005D183C">
        <w:t xml:space="preserve">Undesirable </w:t>
      </w:r>
      <w:r w:rsidRPr="005D183C">
        <w:t>Effects)</w:t>
      </w:r>
    </w:p>
    <w:p w14:paraId="25743502" w14:textId="264C5BEA" w:rsidR="00B90C3F" w:rsidRPr="005D183C" w:rsidRDefault="00CB4DD6" w:rsidP="00CB4DD6">
      <w:pPr>
        <w:autoSpaceDE w:val="0"/>
        <w:autoSpaceDN w:val="0"/>
        <w:adjustRightInd w:val="0"/>
        <w:spacing w:after="0" w:line="240" w:lineRule="auto"/>
        <w:jc w:val="both"/>
        <w:rPr>
          <w:rFonts w:ascii="Arial" w:hAnsi="Arial" w:cs="Arial"/>
          <w:bCs/>
        </w:rPr>
      </w:pPr>
      <w:r w:rsidRPr="005D183C">
        <w:rPr>
          <w:rFonts w:ascii="Arial" w:hAnsi="Arial" w:cs="Arial"/>
          <w:bCs/>
        </w:rPr>
        <w:t xml:space="preserve">The overall safety profile of </w:t>
      </w:r>
      <w:r w:rsidR="00F36CC2" w:rsidRPr="005D183C">
        <w:rPr>
          <w:rFonts w:ascii="Arial" w:hAnsi="Arial" w:cs="Arial"/>
          <w:bCs/>
        </w:rPr>
        <w:t>Fluad</w:t>
      </w:r>
      <w:r w:rsidR="00B640FB" w:rsidRPr="005D183C">
        <w:rPr>
          <w:rFonts w:ascii="Arial" w:hAnsi="Arial" w:cs="Arial"/>
          <w:vertAlign w:val="superscript"/>
        </w:rPr>
        <w:t>®</w:t>
      </w:r>
      <w:r w:rsidR="00F36CC2" w:rsidRPr="005D183C">
        <w:rPr>
          <w:rFonts w:ascii="Arial" w:hAnsi="Arial" w:cs="Arial"/>
          <w:bCs/>
        </w:rPr>
        <w:t xml:space="preserve"> Quad</w:t>
      </w:r>
      <w:r w:rsidRPr="005D183C">
        <w:rPr>
          <w:rFonts w:ascii="Arial" w:hAnsi="Arial" w:cs="Arial"/>
          <w:bCs/>
        </w:rPr>
        <w:t xml:space="preserve"> is similar to the ad</w:t>
      </w:r>
      <w:r w:rsidR="000B18A7" w:rsidRPr="005D183C">
        <w:rPr>
          <w:rFonts w:ascii="Arial" w:hAnsi="Arial" w:cs="Arial"/>
          <w:bCs/>
        </w:rPr>
        <w:t>j</w:t>
      </w:r>
      <w:r w:rsidRPr="005D183C">
        <w:rPr>
          <w:rFonts w:ascii="Arial" w:hAnsi="Arial" w:cs="Arial"/>
          <w:bCs/>
        </w:rPr>
        <w:t>uvanted trivalent influenza vaccine, Fluad</w:t>
      </w:r>
      <w:r w:rsidRPr="005D183C">
        <w:rPr>
          <w:rFonts w:ascii="Arial" w:hAnsi="Arial" w:cs="Arial"/>
          <w:bCs/>
          <w:vertAlign w:val="superscript"/>
        </w:rPr>
        <w:t>®</w:t>
      </w:r>
      <w:r w:rsidRPr="005D183C">
        <w:rPr>
          <w:rFonts w:ascii="Arial" w:hAnsi="Arial" w:cs="Arial"/>
          <w:bCs/>
        </w:rPr>
        <w:t>.</w:t>
      </w:r>
    </w:p>
    <w:p w14:paraId="1C378D8A" w14:textId="738D876E" w:rsidR="00B90C3F" w:rsidRDefault="003457E0" w:rsidP="00B3087D">
      <w:pPr>
        <w:keepNext/>
        <w:autoSpaceDE w:val="0"/>
        <w:autoSpaceDN w:val="0"/>
        <w:adjustRightInd w:val="0"/>
        <w:spacing w:after="0" w:line="240" w:lineRule="auto"/>
        <w:jc w:val="both"/>
        <w:rPr>
          <w:rFonts w:ascii="Arial" w:hAnsi="Arial" w:cs="Arial"/>
          <w:b/>
          <w:bCs/>
        </w:rPr>
      </w:pPr>
      <w:r w:rsidRPr="005D183C">
        <w:rPr>
          <w:rFonts w:ascii="Arial" w:hAnsi="Arial" w:cs="Arial"/>
          <w:b/>
          <w:bCs/>
        </w:rPr>
        <w:lastRenderedPageBreak/>
        <w:t>Clinical trials</w:t>
      </w:r>
    </w:p>
    <w:p w14:paraId="1A3D9A9C" w14:textId="30C88511" w:rsidR="00D37B36" w:rsidRPr="00D37B36" w:rsidRDefault="00D37B36" w:rsidP="000B18A7">
      <w:pPr>
        <w:autoSpaceDE w:val="0"/>
        <w:autoSpaceDN w:val="0"/>
        <w:adjustRightInd w:val="0"/>
        <w:spacing w:after="0" w:line="240" w:lineRule="auto"/>
        <w:jc w:val="both"/>
        <w:rPr>
          <w:rFonts w:ascii="Arial" w:hAnsi="Arial" w:cs="Arial"/>
          <w:bCs/>
        </w:rPr>
      </w:pPr>
      <w:r w:rsidRPr="00D37B36">
        <w:rPr>
          <w:rFonts w:ascii="Arial" w:hAnsi="Arial" w:cs="Arial"/>
          <w:bCs/>
        </w:rPr>
        <w:t>Because clinical trials are conducted under widely varying conditions, adverse event rates observed in the clinical trial(s) of a vaccine cannot be directly compared to rates in the clinical trial(s) of another vaccine and may not reflect the rates observed in practice.</w:t>
      </w:r>
    </w:p>
    <w:p w14:paraId="51BC1D5C" w14:textId="79353C5E" w:rsidR="00792EA4" w:rsidRDefault="000925CF" w:rsidP="000925CF">
      <w:pPr>
        <w:autoSpaceDE w:val="0"/>
        <w:autoSpaceDN w:val="0"/>
        <w:adjustRightInd w:val="0"/>
        <w:spacing w:after="0" w:line="240" w:lineRule="auto"/>
        <w:jc w:val="both"/>
        <w:rPr>
          <w:rFonts w:ascii="Arial" w:hAnsi="Arial" w:cs="Arial"/>
          <w:b/>
          <w:bCs/>
        </w:rPr>
      </w:pPr>
      <w:r w:rsidRPr="005D183C">
        <w:rPr>
          <w:rFonts w:ascii="Arial" w:hAnsi="Arial" w:cs="Arial"/>
          <w:bCs/>
        </w:rPr>
        <w:t xml:space="preserve">The safety of </w:t>
      </w:r>
      <w:r w:rsidR="00237D76">
        <w:rPr>
          <w:rFonts w:ascii="Arial" w:hAnsi="Arial" w:cs="Arial"/>
          <w:bCs/>
        </w:rPr>
        <w:t xml:space="preserve">a single dose of </w:t>
      </w:r>
      <w:r w:rsidR="00F36CC2" w:rsidRPr="005D183C">
        <w:rPr>
          <w:rFonts w:ascii="Arial" w:hAnsi="Arial" w:cs="Arial"/>
          <w:bCs/>
        </w:rPr>
        <w:t>Fluad</w:t>
      </w:r>
      <w:r w:rsidR="00B640FB" w:rsidRPr="005D183C">
        <w:rPr>
          <w:rFonts w:ascii="Arial" w:hAnsi="Arial" w:cs="Arial"/>
          <w:vertAlign w:val="superscript"/>
        </w:rPr>
        <w:t>®</w:t>
      </w:r>
      <w:r w:rsidR="00F36CC2" w:rsidRPr="005D183C">
        <w:rPr>
          <w:rFonts w:ascii="Arial" w:hAnsi="Arial" w:cs="Arial"/>
          <w:bCs/>
        </w:rPr>
        <w:t xml:space="preserve"> Quad</w:t>
      </w:r>
      <w:r w:rsidRPr="005D183C">
        <w:rPr>
          <w:rFonts w:ascii="Arial" w:hAnsi="Arial" w:cs="Arial"/>
          <w:bCs/>
        </w:rPr>
        <w:t xml:space="preserve"> in subjects 65 years of age and older was evaluated in clinical study V118_20</w:t>
      </w:r>
      <w:r w:rsidR="008E666E">
        <w:rPr>
          <w:rFonts w:ascii="Arial" w:hAnsi="Arial" w:cs="Arial"/>
          <w:bCs/>
        </w:rPr>
        <w:t xml:space="preserve">. </w:t>
      </w:r>
      <w:r w:rsidR="00BF0E0B" w:rsidRPr="005D183C">
        <w:rPr>
          <w:rFonts w:ascii="Arial" w:hAnsi="Arial" w:cs="Arial"/>
          <w:bCs/>
        </w:rPr>
        <w:t xml:space="preserve">Refer to </w:t>
      </w:r>
      <w:r w:rsidR="00BF0E0B" w:rsidRPr="00A27937">
        <w:rPr>
          <w:rFonts w:ascii="Arial" w:hAnsi="Arial" w:cs="Arial"/>
          <w:b/>
          <w:bCs/>
        </w:rPr>
        <w:t xml:space="preserve">Section 5.1 </w:t>
      </w:r>
      <w:r w:rsidR="00A27937">
        <w:rPr>
          <w:rFonts w:ascii="Arial" w:hAnsi="Arial" w:cs="Arial"/>
          <w:b/>
          <w:bCs/>
        </w:rPr>
        <w:t>– P</w:t>
      </w:r>
      <w:r w:rsidR="00A27937" w:rsidRPr="00A27937">
        <w:rPr>
          <w:rFonts w:ascii="Arial" w:hAnsi="Arial" w:cs="Arial"/>
          <w:b/>
          <w:bCs/>
        </w:rPr>
        <w:t xml:space="preserve">harmacodynamic </w:t>
      </w:r>
      <w:r w:rsidR="00A27937">
        <w:rPr>
          <w:rFonts w:ascii="Arial" w:hAnsi="Arial" w:cs="Arial"/>
          <w:b/>
          <w:bCs/>
        </w:rPr>
        <w:t>P</w:t>
      </w:r>
      <w:r w:rsidR="00A27937" w:rsidRPr="00A27937">
        <w:rPr>
          <w:rFonts w:ascii="Arial" w:hAnsi="Arial" w:cs="Arial"/>
          <w:b/>
          <w:bCs/>
        </w:rPr>
        <w:t>roperties</w:t>
      </w:r>
      <w:r w:rsidR="00BF0E0B" w:rsidRPr="005D183C">
        <w:rPr>
          <w:rFonts w:ascii="Arial" w:hAnsi="Arial" w:cs="Arial"/>
          <w:bCs/>
        </w:rPr>
        <w:t xml:space="preserve"> for further detail</w:t>
      </w:r>
      <w:r w:rsidR="004B3C74">
        <w:rPr>
          <w:rFonts w:ascii="Arial" w:hAnsi="Arial" w:cs="Arial"/>
          <w:b/>
          <w:bCs/>
        </w:rPr>
        <w:t>.</w:t>
      </w:r>
    </w:p>
    <w:p w14:paraId="17544C0F" w14:textId="3CD86798" w:rsidR="00642B29" w:rsidRDefault="008E666E" w:rsidP="004850DE">
      <w:pPr>
        <w:autoSpaceDE w:val="0"/>
        <w:autoSpaceDN w:val="0"/>
        <w:adjustRightInd w:val="0"/>
        <w:spacing w:after="0" w:line="240" w:lineRule="auto"/>
        <w:jc w:val="both"/>
        <w:rPr>
          <w:rFonts w:ascii="Arial" w:hAnsi="Arial" w:cs="Arial"/>
          <w:bCs/>
        </w:rPr>
      </w:pPr>
      <w:r>
        <w:rPr>
          <w:rFonts w:ascii="Arial" w:hAnsi="Arial" w:cs="Arial"/>
          <w:bCs/>
        </w:rPr>
        <w:t>In study V118_20, a</w:t>
      </w:r>
      <w:r w:rsidR="00203D58" w:rsidRPr="00203D58">
        <w:rPr>
          <w:rFonts w:ascii="Arial" w:hAnsi="Arial" w:cs="Arial"/>
          <w:bCs/>
        </w:rPr>
        <w:t>dverse events were collected as either solicited or unsolicited AEs</w:t>
      </w:r>
      <w:r w:rsidR="00203D58">
        <w:rPr>
          <w:rFonts w:ascii="Arial" w:hAnsi="Arial" w:cs="Arial"/>
          <w:bCs/>
        </w:rPr>
        <w:t>.</w:t>
      </w:r>
      <w:r w:rsidR="00203D58" w:rsidRPr="00203D58">
        <w:rPr>
          <w:rFonts w:ascii="Arial" w:hAnsi="Arial" w:cs="Arial"/>
          <w:bCs/>
        </w:rPr>
        <w:t xml:space="preserve"> </w:t>
      </w:r>
      <w:r w:rsidR="00642B29" w:rsidRPr="000925CF">
        <w:rPr>
          <w:rFonts w:ascii="Arial" w:hAnsi="Arial" w:cs="Arial"/>
          <w:bCs/>
        </w:rPr>
        <w:t xml:space="preserve">Solicited local and systemic </w:t>
      </w:r>
      <w:r w:rsidR="00642B29">
        <w:rPr>
          <w:rFonts w:ascii="Arial" w:hAnsi="Arial" w:cs="Arial"/>
          <w:bCs/>
        </w:rPr>
        <w:t>events</w:t>
      </w:r>
      <w:r w:rsidR="00642B29" w:rsidRPr="000925CF">
        <w:rPr>
          <w:rFonts w:ascii="Arial" w:hAnsi="Arial" w:cs="Arial"/>
          <w:bCs/>
        </w:rPr>
        <w:t xml:space="preserve"> were collected for 7 days after vaccination</w:t>
      </w:r>
      <w:r w:rsidR="00642B29">
        <w:rPr>
          <w:rFonts w:ascii="Arial" w:hAnsi="Arial" w:cs="Arial"/>
          <w:bCs/>
        </w:rPr>
        <w:t xml:space="preserve"> (</w:t>
      </w:r>
      <w:r w:rsidR="00642B29" w:rsidRPr="00642B29">
        <w:rPr>
          <w:rFonts w:ascii="Arial" w:hAnsi="Arial" w:cs="Arial"/>
          <w:b/>
          <w:bCs/>
        </w:rPr>
        <w:t>Table 1</w:t>
      </w:r>
      <w:r w:rsidR="00642B29">
        <w:rPr>
          <w:rFonts w:ascii="Arial" w:hAnsi="Arial" w:cs="Arial"/>
          <w:bCs/>
        </w:rPr>
        <w:t>)</w:t>
      </w:r>
      <w:r w:rsidR="00642B29" w:rsidRPr="000925CF">
        <w:rPr>
          <w:rFonts w:ascii="Arial" w:hAnsi="Arial" w:cs="Arial"/>
          <w:bCs/>
        </w:rPr>
        <w:t>.</w:t>
      </w:r>
      <w:r w:rsidR="00642B29">
        <w:rPr>
          <w:rFonts w:ascii="Arial" w:hAnsi="Arial" w:cs="Arial"/>
          <w:bCs/>
        </w:rPr>
        <w:t xml:space="preserve"> </w:t>
      </w:r>
      <w:r w:rsidR="00203D58">
        <w:rPr>
          <w:rFonts w:ascii="Arial" w:hAnsi="Arial" w:cs="Arial"/>
          <w:bCs/>
        </w:rPr>
        <w:t>U</w:t>
      </w:r>
      <w:r w:rsidR="00642B29" w:rsidRPr="00642B29">
        <w:rPr>
          <w:rFonts w:ascii="Arial" w:hAnsi="Arial" w:cs="Arial"/>
          <w:bCs/>
        </w:rPr>
        <w:t xml:space="preserve">nsolicited AEs </w:t>
      </w:r>
      <w:r w:rsidR="00203D58" w:rsidRPr="00642B29">
        <w:rPr>
          <w:rFonts w:ascii="Arial" w:hAnsi="Arial" w:cs="Arial"/>
          <w:bCs/>
        </w:rPr>
        <w:t>w</w:t>
      </w:r>
      <w:r w:rsidR="00203D58">
        <w:rPr>
          <w:rFonts w:ascii="Arial" w:hAnsi="Arial" w:cs="Arial"/>
          <w:bCs/>
        </w:rPr>
        <w:t>ere</w:t>
      </w:r>
      <w:r w:rsidR="00203D58" w:rsidRPr="00642B29">
        <w:rPr>
          <w:rFonts w:ascii="Arial" w:hAnsi="Arial" w:cs="Arial"/>
          <w:bCs/>
        </w:rPr>
        <w:t xml:space="preserve"> collected </w:t>
      </w:r>
      <w:r w:rsidR="00642B29" w:rsidRPr="00642B29">
        <w:rPr>
          <w:rFonts w:ascii="Arial" w:hAnsi="Arial" w:cs="Arial"/>
          <w:bCs/>
        </w:rPr>
        <w:t>for 21 days following vaccination, and for the full duration of study participation for serious AEs (SAEs), AEs leading to withdrawal from the study, new onset of chronic diseases (NOCDs), AEs of special interest (AESIs).</w:t>
      </w:r>
    </w:p>
    <w:p w14:paraId="6C81E17A" w14:textId="5535B3DC" w:rsidR="00642B29" w:rsidRDefault="00283ACE" w:rsidP="004850DE">
      <w:pPr>
        <w:autoSpaceDE w:val="0"/>
        <w:autoSpaceDN w:val="0"/>
        <w:adjustRightInd w:val="0"/>
        <w:spacing w:after="0" w:line="240" w:lineRule="auto"/>
        <w:jc w:val="both"/>
        <w:rPr>
          <w:rFonts w:ascii="Arial" w:hAnsi="Arial" w:cs="Arial"/>
          <w:bCs/>
        </w:rPr>
      </w:pPr>
      <w:r>
        <w:rPr>
          <w:rFonts w:ascii="Arial" w:hAnsi="Arial" w:cs="Arial"/>
          <w:bCs/>
        </w:rPr>
        <w:t xml:space="preserve">In the study, </w:t>
      </w:r>
      <w:r w:rsidRPr="004850DE">
        <w:rPr>
          <w:rFonts w:ascii="Arial" w:hAnsi="Arial" w:cs="Arial"/>
          <w:bCs/>
        </w:rPr>
        <w:t xml:space="preserve">51.8% of subjects </w:t>
      </w:r>
      <w:r w:rsidR="00E9560A" w:rsidRPr="004850DE">
        <w:rPr>
          <w:rFonts w:ascii="Arial" w:hAnsi="Arial" w:cs="Arial"/>
          <w:bCs/>
        </w:rPr>
        <w:t xml:space="preserve">reported any </w:t>
      </w:r>
      <w:r w:rsidR="009F2290">
        <w:rPr>
          <w:rFonts w:ascii="Arial" w:hAnsi="Arial" w:cs="Arial"/>
          <w:bCs/>
        </w:rPr>
        <w:t xml:space="preserve">solicited </w:t>
      </w:r>
      <w:r w:rsidR="00E9560A" w:rsidRPr="004850DE">
        <w:rPr>
          <w:rFonts w:ascii="Arial" w:hAnsi="Arial" w:cs="Arial"/>
          <w:bCs/>
        </w:rPr>
        <w:t>AE</w:t>
      </w:r>
      <w:r w:rsidR="00E9560A">
        <w:rPr>
          <w:rFonts w:ascii="Arial" w:hAnsi="Arial" w:cs="Arial"/>
          <w:bCs/>
        </w:rPr>
        <w:t xml:space="preserve"> </w:t>
      </w:r>
      <w:r>
        <w:rPr>
          <w:rFonts w:ascii="Arial" w:hAnsi="Arial" w:cs="Arial"/>
          <w:bCs/>
        </w:rPr>
        <w:t xml:space="preserve">after </w:t>
      </w:r>
      <w:r w:rsidRPr="004850DE">
        <w:rPr>
          <w:rFonts w:ascii="Arial" w:hAnsi="Arial" w:cs="Arial"/>
          <w:bCs/>
        </w:rPr>
        <w:t>Fluad</w:t>
      </w:r>
      <w:r w:rsidRPr="004850DE">
        <w:rPr>
          <w:rFonts w:ascii="Arial" w:hAnsi="Arial" w:cs="Arial"/>
          <w:bCs/>
          <w:vertAlign w:val="superscript"/>
        </w:rPr>
        <w:t>®</w:t>
      </w:r>
      <w:r w:rsidRPr="004850DE">
        <w:rPr>
          <w:rFonts w:ascii="Arial" w:hAnsi="Arial" w:cs="Arial"/>
          <w:bCs/>
        </w:rPr>
        <w:t xml:space="preserve"> Quad vaccination, </w:t>
      </w:r>
      <w:r w:rsidR="008E666E">
        <w:rPr>
          <w:rFonts w:ascii="Arial" w:hAnsi="Arial" w:cs="Arial"/>
          <w:bCs/>
        </w:rPr>
        <w:t xml:space="preserve">compared with </w:t>
      </w:r>
      <w:r w:rsidRPr="004850DE">
        <w:rPr>
          <w:rFonts w:ascii="Arial" w:hAnsi="Arial" w:cs="Arial"/>
          <w:bCs/>
        </w:rPr>
        <w:t xml:space="preserve">48.7%, and 48.2 % in the </w:t>
      </w:r>
      <w:r w:rsidR="003C436F">
        <w:rPr>
          <w:rFonts w:ascii="Arial" w:hAnsi="Arial" w:cs="Arial"/>
          <w:bCs/>
        </w:rPr>
        <w:t>Fluad</w:t>
      </w:r>
      <w:r w:rsidR="003C436F" w:rsidRPr="003C436F">
        <w:rPr>
          <w:rFonts w:ascii="Arial" w:hAnsi="Arial" w:cs="Arial"/>
          <w:bCs/>
          <w:vertAlign w:val="superscript"/>
        </w:rPr>
        <w:t>®</w:t>
      </w:r>
      <w:r w:rsidRPr="004850DE">
        <w:rPr>
          <w:rFonts w:ascii="Arial" w:hAnsi="Arial" w:cs="Arial"/>
          <w:bCs/>
        </w:rPr>
        <w:t xml:space="preserve"> and aTIV-2 groups respectively.</w:t>
      </w:r>
      <w:r w:rsidR="00F13E22" w:rsidRPr="00F13E22">
        <w:rPr>
          <w:rFonts w:ascii="Arial" w:hAnsi="Arial" w:cs="Arial"/>
          <w:bCs/>
        </w:rPr>
        <w:t xml:space="preserve"> </w:t>
      </w:r>
      <w:r w:rsidR="003C436F">
        <w:rPr>
          <w:rFonts w:ascii="Arial" w:hAnsi="Arial" w:cs="Arial"/>
          <w:bCs/>
        </w:rPr>
        <w:t>The most commo</w:t>
      </w:r>
      <w:r w:rsidR="00F13E22">
        <w:rPr>
          <w:rFonts w:ascii="Arial" w:hAnsi="Arial" w:cs="Arial"/>
          <w:bCs/>
        </w:rPr>
        <w:t>n</w:t>
      </w:r>
      <w:r w:rsidR="003C436F">
        <w:rPr>
          <w:rFonts w:ascii="Arial" w:hAnsi="Arial" w:cs="Arial"/>
          <w:bCs/>
        </w:rPr>
        <w:t>ly</w:t>
      </w:r>
      <w:r w:rsidR="003D0C87">
        <w:rPr>
          <w:rFonts w:ascii="Arial" w:hAnsi="Arial" w:cs="Arial"/>
          <w:bCs/>
        </w:rPr>
        <w:t xml:space="preserve"> reported</w:t>
      </w:r>
      <w:r w:rsidR="00E30BA7">
        <w:rPr>
          <w:rFonts w:ascii="Arial" w:hAnsi="Arial" w:cs="Arial"/>
          <w:bCs/>
        </w:rPr>
        <w:t xml:space="preserve"> </w:t>
      </w:r>
      <w:r w:rsidR="00E30BA7" w:rsidRPr="00EA44BD">
        <w:rPr>
          <w:rFonts w:ascii="Arial" w:hAnsi="Arial" w:cs="Arial"/>
          <w:bCs/>
        </w:rPr>
        <w:t>(≥10%)</w:t>
      </w:r>
      <w:r w:rsidR="003C436F">
        <w:rPr>
          <w:rFonts w:ascii="Arial" w:hAnsi="Arial" w:cs="Arial"/>
          <w:bCs/>
        </w:rPr>
        <w:t xml:space="preserve"> </w:t>
      </w:r>
      <w:r w:rsidR="00A0018F">
        <w:rPr>
          <w:rFonts w:ascii="Arial" w:hAnsi="Arial" w:cs="Arial"/>
          <w:bCs/>
        </w:rPr>
        <w:t xml:space="preserve">solicited </w:t>
      </w:r>
      <w:r>
        <w:rPr>
          <w:rFonts w:ascii="Arial" w:hAnsi="Arial" w:cs="Arial"/>
          <w:bCs/>
        </w:rPr>
        <w:t xml:space="preserve">AE’s </w:t>
      </w:r>
      <w:r w:rsidR="00F13E22">
        <w:rPr>
          <w:rFonts w:ascii="Arial" w:hAnsi="Arial" w:cs="Arial"/>
          <w:bCs/>
        </w:rPr>
        <w:t>w</w:t>
      </w:r>
      <w:r w:rsidR="008A0B23">
        <w:rPr>
          <w:rFonts w:ascii="Arial" w:hAnsi="Arial" w:cs="Arial"/>
          <w:bCs/>
        </w:rPr>
        <w:t>ere</w:t>
      </w:r>
      <w:r w:rsidR="003C436F">
        <w:rPr>
          <w:rFonts w:ascii="Arial" w:hAnsi="Arial" w:cs="Arial"/>
          <w:bCs/>
        </w:rPr>
        <w:t xml:space="preserve"> injection site pain</w:t>
      </w:r>
      <w:r w:rsidR="00237D76">
        <w:rPr>
          <w:rFonts w:ascii="Arial" w:hAnsi="Arial" w:cs="Arial"/>
          <w:bCs/>
        </w:rPr>
        <w:t xml:space="preserve"> (</w:t>
      </w:r>
      <w:r w:rsidR="00E30BA7">
        <w:rPr>
          <w:rFonts w:ascii="Arial" w:hAnsi="Arial" w:cs="Arial"/>
          <w:bCs/>
        </w:rPr>
        <w:t>31.9</w:t>
      </w:r>
      <w:r w:rsidR="00237D76">
        <w:rPr>
          <w:rFonts w:ascii="Arial" w:hAnsi="Arial" w:cs="Arial"/>
          <w:bCs/>
        </w:rPr>
        <w:t>%)</w:t>
      </w:r>
      <w:r w:rsidR="008A0B23">
        <w:rPr>
          <w:rFonts w:ascii="Arial" w:hAnsi="Arial" w:cs="Arial"/>
          <w:bCs/>
        </w:rPr>
        <w:t xml:space="preserve">, </w:t>
      </w:r>
      <w:r w:rsidR="00F13E22">
        <w:rPr>
          <w:rFonts w:ascii="Arial" w:hAnsi="Arial" w:cs="Arial"/>
          <w:bCs/>
        </w:rPr>
        <w:t>fatigue</w:t>
      </w:r>
      <w:r w:rsidR="00237D76">
        <w:rPr>
          <w:rFonts w:ascii="Arial" w:hAnsi="Arial" w:cs="Arial"/>
          <w:bCs/>
        </w:rPr>
        <w:t xml:space="preserve"> (16%)</w:t>
      </w:r>
      <w:r w:rsidR="00E30BA7">
        <w:rPr>
          <w:rFonts w:ascii="Arial" w:hAnsi="Arial" w:cs="Arial"/>
          <w:bCs/>
        </w:rPr>
        <w:t xml:space="preserve"> </w:t>
      </w:r>
      <w:r w:rsidR="00E30BA7" w:rsidRPr="00EA44BD">
        <w:rPr>
          <w:rFonts w:ascii="Arial" w:hAnsi="Arial" w:cs="Arial"/>
          <w:bCs/>
        </w:rPr>
        <w:t>and</w:t>
      </w:r>
      <w:r w:rsidR="003C436F">
        <w:rPr>
          <w:rFonts w:ascii="Arial" w:hAnsi="Arial" w:cs="Arial"/>
          <w:bCs/>
        </w:rPr>
        <w:t xml:space="preserve"> headache</w:t>
      </w:r>
      <w:r w:rsidR="00237D76">
        <w:rPr>
          <w:rFonts w:ascii="Arial" w:hAnsi="Arial" w:cs="Arial"/>
          <w:bCs/>
        </w:rPr>
        <w:t xml:space="preserve"> (12.0</w:t>
      </w:r>
      <w:r w:rsidR="00237D76" w:rsidRPr="002E0620">
        <w:rPr>
          <w:rFonts w:ascii="Arial" w:hAnsi="Arial" w:cs="Arial"/>
          <w:bCs/>
        </w:rPr>
        <w:t>%)</w:t>
      </w:r>
      <w:r w:rsidR="003C436F" w:rsidRPr="002E0620">
        <w:rPr>
          <w:rFonts w:ascii="Arial" w:hAnsi="Arial" w:cs="Arial"/>
          <w:bCs/>
        </w:rPr>
        <w:t xml:space="preserve"> </w:t>
      </w:r>
      <w:r w:rsidR="008664EE">
        <w:rPr>
          <w:rFonts w:ascii="Arial" w:hAnsi="Arial" w:cs="Arial"/>
          <w:bCs/>
        </w:rPr>
        <w:t>(see Table 1)</w:t>
      </w:r>
      <w:r w:rsidR="003C436F">
        <w:rPr>
          <w:rFonts w:ascii="Arial" w:hAnsi="Arial" w:cs="Arial"/>
          <w:bCs/>
        </w:rPr>
        <w:t>.</w:t>
      </w:r>
      <w:r w:rsidR="00F13E22" w:rsidRPr="00F13E22">
        <w:rPr>
          <w:rFonts w:ascii="Arial" w:hAnsi="Arial" w:cs="Arial"/>
          <w:bCs/>
        </w:rPr>
        <w:t xml:space="preserve"> </w:t>
      </w:r>
      <w:r w:rsidR="008E666E">
        <w:rPr>
          <w:rFonts w:ascii="Arial" w:hAnsi="Arial" w:cs="Arial"/>
          <w:bCs/>
        </w:rPr>
        <w:t>The m</w:t>
      </w:r>
      <w:r w:rsidR="008A0B23">
        <w:rPr>
          <w:rFonts w:ascii="Arial" w:hAnsi="Arial" w:cs="Arial"/>
          <w:bCs/>
        </w:rPr>
        <w:t>ajority of the adverse events reported were mild or moderate in intensity</w:t>
      </w:r>
      <w:r w:rsidR="00D3565E" w:rsidRPr="00D3565E">
        <w:t xml:space="preserve"> </w:t>
      </w:r>
      <w:r w:rsidR="00D3565E" w:rsidRPr="00D3565E">
        <w:rPr>
          <w:rFonts w:ascii="Arial" w:hAnsi="Arial" w:cs="Arial"/>
          <w:bCs/>
        </w:rPr>
        <w:t xml:space="preserve">and </w:t>
      </w:r>
      <w:r w:rsidR="003B6D20">
        <w:rPr>
          <w:rFonts w:ascii="Arial" w:hAnsi="Arial" w:cs="Arial"/>
          <w:bCs/>
        </w:rPr>
        <w:t>resolved within 3 days</w:t>
      </w:r>
      <w:r w:rsidR="008A0B23" w:rsidRPr="00D3565E">
        <w:rPr>
          <w:rFonts w:ascii="Arial" w:hAnsi="Arial" w:cs="Arial"/>
          <w:bCs/>
        </w:rPr>
        <w:t>.</w:t>
      </w:r>
      <w:r w:rsidR="008A0B23">
        <w:rPr>
          <w:rFonts w:ascii="Arial" w:hAnsi="Arial" w:cs="Arial"/>
          <w:bCs/>
        </w:rPr>
        <w:t xml:space="preserve"> </w:t>
      </w:r>
      <w:r w:rsidR="007C5EBA" w:rsidRPr="007C5EBA">
        <w:rPr>
          <w:rFonts w:ascii="Arial" w:hAnsi="Arial" w:cs="Arial"/>
          <w:bCs/>
        </w:rPr>
        <w:t>Solicited AEs with severe intensity were uncommon in all study groups.</w:t>
      </w:r>
    </w:p>
    <w:p w14:paraId="67B372D8" w14:textId="782B85D2" w:rsidR="003457E0" w:rsidRPr="004B3C74" w:rsidRDefault="003F0D9C" w:rsidP="004B3C74">
      <w:pPr>
        <w:autoSpaceDE w:val="0"/>
        <w:autoSpaceDN w:val="0"/>
        <w:adjustRightInd w:val="0"/>
        <w:jc w:val="both"/>
        <w:rPr>
          <w:rFonts w:ascii="Arial" w:hAnsi="Arial" w:cs="Arial"/>
          <w:bCs/>
          <w:lang w:val="en-AU"/>
        </w:rPr>
      </w:pPr>
      <w:r w:rsidRPr="003F0D9C">
        <w:rPr>
          <w:rFonts w:ascii="Arial" w:hAnsi="Arial" w:cs="Arial"/>
          <w:bCs/>
          <w:lang w:val="en-AU"/>
        </w:rPr>
        <w:t>Overall, the solicited AEs show that the safety profile of Fluad Quad in subjects 65 years of age and older was generally similar compared to the aTIV comparators.</w:t>
      </w:r>
    </w:p>
    <w:p w14:paraId="6A49C8D2" w14:textId="606D60B0" w:rsidR="00050D47" w:rsidRDefault="00E47890" w:rsidP="003D311F">
      <w:pPr>
        <w:autoSpaceDE w:val="0"/>
        <w:autoSpaceDN w:val="0"/>
        <w:adjustRightInd w:val="0"/>
        <w:spacing w:after="0" w:line="240" w:lineRule="auto"/>
        <w:jc w:val="both"/>
        <w:rPr>
          <w:rFonts w:ascii="Arial" w:hAnsi="Arial" w:cs="Arial"/>
          <w:b/>
          <w:bCs/>
        </w:rPr>
      </w:pPr>
      <w:r w:rsidRPr="005D183C">
        <w:rPr>
          <w:rFonts w:ascii="Arial" w:hAnsi="Arial" w:cs="Arial"/>
          <w:b/>
          <w:bCs/>
        </w:rPr>
        <w:t>Table 1:</w:t>
      </w:r>
      <w:r w:rsidR="00050D47" w:rsidRPr="005D183C">
        <w:rPr>
          <w:rFonts w:ascii="Arial" w:hAnsi="Arial" w:cs="Arial"/>
          <w:b/>
          <w:bCs/>
        </w:rPr>
        <w:t xml:space="preserve"> </w:t>
      </w:r>
      <w:r w:rsidR="00AD0B99" w:rsidRPr="003D311F">
        <w:rPr>
          <w:rFonts w:ascii="Arial" w:hAnsi="Arial" w:cs="Arial"/>
          <w:b/>
          <w:bCs/>
        </w:rPr>
        <w:t xml:space="preserve">Incidence of Solicited Local and Systemic </w:t>
      </w:r>
      <w:r w:rsidR="00AD0B99" w:rsidRPr="00AD0B99">
        <w:rPr>
          <w:rFonts w:ascii="Arial" w:hAnsi="Arial" w:cs="Arial"/>
          <w:b/>
          <w:bCs/>
        </w:rPr>
        <w:t xml:space="preserve">Adverse </w:t>
      </w:r>
      <w:r w:rsidR="00AD0B99" w:rsidRPr="00AD0B99">
        <w:rPr>
          <w:rFonts w:ascii="Arial" w:hAnsi="Arial" w:cs="Arial"/>
          <w:b/>
          <w:bCs/>
          <w:color w:val="000000" w:themeColor="text1"/>
        </w:rPr>
        <w:t>Events</w:t>
      </w:r>
      <w:r w:rsidR="00AD0B99" w:rsidRPr="00AD0B99">
        <w:rPr>
          <w:rFonts w:ascii="Arial" w:hAnsi="Arial" w:cs="Arial"/>
          <w:b/>
          <w:bCs/>
          <w:color w:val="000000" w:themeColor="text1"/>
          <w:vertAlign w:val="superscript"/>
        </w:rPr>
        <w:t>a</w:t>
      </w:r>
      <w:r w:rsidR="00AD0B99" w:rsidRPr="00AD0B99">
        <w:rPr>
          <w:color w:val="000000" w:themeColor="text1"/>
        </w:rPr>
        <w:t xml:space="preserve"> </w:t>
      </w:r>
      <w:r w:rsidR="00AD0B99" w:rsidRPr="00AD0B99">
        <w:rPr>
          <w:rFonts w:ascii="Arial" w:hAnsi="Arial" w:cs="Arial"/>
          <w:b/>
          <w:bCs/>
        </w:rPr>
        <w:t>in the</w:t>
      </w:r>
      <w:r w:rsidR="00AD0B99" w:rsidRPr="003D311F">
        <w:rPr>
          <w:rFonts w:ascii="Arial" w:hAnsi="Arial" w:cs="Arial"/>
          <w:b/>
          <w:bCs/>
        </w:rPr>
        <w:t xml:space="preserve"> </w:t>
      </w:r>
      <w:r w:rsidR="002E0620">
        <w:rPr>
          <w:rFonts w:ascii="Arial" w:hAnsi="Arial" w:cs="Arial"/>
          <w:b/>
          <w:bCs/>
        </w:rPr>
        <w:t xml:space="preserve">Solicited </w:t>
      </w:r>
      <w:r w:rsidR="00AD0B99" w:rsidRPr="003D311F">
        <w:rPr>
          <w:rFonts w:ascii="Arial" w:hAnsi="Arial" w:cs="Arial"/>
          <w:b/>
          <w:bCs/>
        </w:rPr>
        <w:t>Safety Population</w:t>
      </w:r>
      <w:r w:rsidR="00AD0B99" w:rsidRPr="00F058DD">
        <w:rPr>
          <w:rFonts w:ascii="Arial" w:hAnsi="Arial" w:cs="Arial"/>
          <w:b/>
          <w:bCs/>
          <w:vertAlign w:val="superscript"/>
        </w:rPr>
        <w:t>b</w:t>
      </w:r>
      <w:r w:rsidR="00AD0B99" w:rsidRPr="003D311F">
        <w:rPr>
          <w:rFonts w:ascii="Arial" w:hAnsi="Arial" w:cs="Arial"/>
          <w:b/>
          <w:bCs/>
        </w:rPr>
        <w:t xml:space="preserve"> Reported within 7 Days After Dosing (Study V118_</w:t>
      </w:r>
      <w:r w:rsidR="00DB6550">
        <w:rPr>
          <w:rFonts w:ascii="Arial" w:hAnsi="Arial" w:cs="Arial"/>
          <w:b/>
          <w:bCs/>
        </w:rPr>
        <w:t>20)</w:t>
      </w:r>
    </w:p>
    <w:tbl>
      <w:tblPr>
        <w:tblStyle w:val="TableGrid"/>
        <w:tblW w:w="8589" w:type="dxa"/>
        <w:tblLook w:val="04A0" w:firstRow="1" w:lastRow="0" w:firstColumn="1" w:lastColumn="0" w:noHBand="0" w:noVBand="1"/>
      </w:tblPr>
      <w:tblGrid>
        <w:gridCol w:w="1688"/>
        <w:gridCol w:w="1042"/>
        <w:gridCol w:w="1042"/>
        <w:gridCol w:w="1172"/>
        <w:gridCol w:w="1172"/>
        <w:gridCol w:w="1171"/>
        <w:gridCol w:w="1302"/>
      </w:tblGrid>
      <w:tr w:rsidR="00AD0B99" w:rsidRPr="000C3B7D" w14:paraId="14BD920E" w14:textId="77777777" w:rsidTr="002D202A">
        <w:trPr>
          <w:cantSplit/>
          <w:trHeight w:val="232"/>
        </w:trPr>
        <w:tc>
          <w:tcPr>
            <w:tcW w:w="1688" w:type="dxa"/>
            <w:vMerge w:val="restart"/>
          </w:tcPr>
          <w:p w14:paraId="33CAEBB4" w14:textId="77777777" w:rsidR="00AD0B99" w:rsidRPr="000C3B7D" w:rsidRDefault="00AD0B99" w:rsidP="00872ECC">
            <w:pPr>
              <w:jc w:val="both"/>
              <w:rPr>
                <w:rFonts w:ascii="Arial" w:eastAsia="Times New Roman" w:hAnsi="Arial" w:cs="Arial"/>
                <w:b/>
                <w:sz w:val="18"/>
                <w:szCs w:val="18"/>
              </w:rPr>
            </w:pPr>
          </w:p>
          <w:p w14:paraId="0AC1275E" w14:textId="77777777" w:rsidR="00DB6550" w:rsidRPr="000C3B7D" w:rsidRDefault="00DB6550" w:rsidP="00872ECC">
            <w:pPr>
              <w:jc w:val="both"/>
              <w:rPr>
                <w:rFonts w:ascii="Arial" w:eastAsia="Times New Roman" w:hAnsi="Arial" w:cs="Arial"/>
                <w:b/>
                <w:sz w:val="18"/>
                <w:szCs w:val="18"/>
              </w:rPr>
            </w:pPr>
          </w:p>
        </w:tc>
        <w:tc>
          <w:tcPr>
            <w:tcW w:w="6901" w:type="dxa"/>
            <w:gridSpan w:val="6"/>
          </w:tcPr>
          <w:p w14:paraId="2F1005DC" w14:textId="2833E612" w:rsidR="00AD0B99" w:rsidRPr="000C3B7D" w:rsidRDefault="00AD0B99" w:rsidP="00AD0B99">
            <w:pPr>
              <w:jc w:val="center"/>
              <w:rPr>
                <w:rFonts w:ascii="Arial" w:eastAsia="Times New Roman" w:hAnsi="Arial" w:cs="Arial"/>
                <w:b/>
                <w:sz w:val="18"/>
                <w:szCs w:val="18"/>
              </w:rPr>
            </w:pPr>
            <w:r w:rsidRPr="000C3B7D">
              <w:rPr>
                <w:rFonts w:ascii="Arial" w:hAnsi="Arial" w:cs="Arial"/>
                <w:b/>
                <w:sz w:val="18"/>
                <w:szCs w:val="18"/>
              </w:rPr>
              <w:t>Percentage (%) of Subjects Reporting a Solicited Event</w:t>
            </w:r>
          </w:p>
        </w:tc>
      </w:tr>
      <w:tr w:rsidR="00AD0B99" w:rsidRPr="000C3B7D" w14:paraId="74817C25" w14:textId="77777777" w:rsidTr="002D202A">
        <w:trPr>
          <w:cantSplit/>
          <w:trHeight w:val="145"/>
        </w:trPr>
        <w:tc>
          <w:tcPr>
            <w:tcW w:w="1688" w:type="dxa"/>
            <w:vMerge/>
          </w:tcPr>
          <w:p w14:paraId="4798E15A" w14:textId="77777777" w:rsidR="00AD0B99" w:rsidRPr="000C3B7D" w:rsidRDefault="00AD0B99" w:rsidP="00872ECC">
            <w:pPr>
              <w:jc w:val="both"/>
              <w:rPr>
                <w:rFonts w:ascii="Arial" w:eastAsia="Times New Roman" w:hAnsi="Arial" w:cs="Arial"/>
                <w:b/>
                <w:sz w:val="18"/>
                <w:szCs w:val="18"/>
              </w:rPr>
            </w:pPr>
          </w:p>
        </w:tc>
        <w:tc>
          <w:tcPr>
            <w:tcW w:w="2084" w:type="dxa"/>
            <w:gridSpan w:val="2"/>
          </w:tcPr>
          <w:p w14:paraId="4F0A115C" w14:textId="77777777" w:rsidR="00AD0B99" w:rsidRPr="000C3B7D" w:rsidRDefault="00AD0B99" w:rsidP="00872ECC">
            <w:pPr>
              <w:jc w:val="center"/>
              <w:rPr>
                <w:rFonts w:ascii="Arial" w:eastAsia="Times New Roman" w:hAnsi="Arial" w:cs="Arial"/>
                <w:b/>
                <w:sz w:val="18"/>
                <w:szCs w:val="18"/>
              </w:rPr>
            </w:pPr>
            <w:r w:rsidRPr="000C3B7D">
              <w:rPr>
                <w:rFonts w:ascii="Arial" w:eastAsia="Times New Roman" w:hAnsi="Arial" w:cs="Arial"/>
                <w:b/>
                <w:sz w:val="18"/>
                <w:szCs w:val="18"/>
              </w:rPr>
              <w:t>Fluad</w:t>
            </w:r>
            <w:r w:rsidRPr="000C3B7D">
              <w:rPr>
                <w:rFonts w:ascii="Arial" w:eastAsia="Times New Roman" w:hAnsi="Arial" w:cs="Arial"/>
                <w:b/>
                <w:sz w:val="18"/>
                <w:szCs w:val="18"/>
                <w:vertAlign w:val="superscript"/>
              </w:rPr>
              <w:t>®</w:t>
            </w:r>
            <w:r w:rsidRPr="000C3B7D">
              <w:rPr>
                <w:rFonts w:ascii="Arial" w:eastAsia="Times New Roman" w:hAnsi="Arial" w:cs="Arial"/>
                <w:b/>
                <w:sz w:val="18"/>
                <w:szCs w:val="18"/>
              </w:rPr>
              <w:t xml:space="preserve"> Quad</w:t>
            </w:r>
          </w:p>
          <w:p w14:paraId="5048E431" w14:textId="77777777" w:rsidR="00AD0B99" w:rsidRPr="000C3B7D" w:rsidRDefault="00AD0B99" w:rsidP="00113B15">
            <w:pPr>
              <w:jc w:val="center"/>
              <w:rPr>
                <w:rFonts w:ascii="Arial" w:eastAsia="Times New Roman" w:hAnsi="Arial" w:cs="Arial"/>
                <w:b/>
                <w:sz w:val="18"/>
                <w:szCs w:val="18"/>
              </w:rPr>
            </w:pPr>
            <w:r w:rsidRPr="000C3B7D">
              <w:rPr>
                <w:rFonts w:ascii="Arial" w:eastAsia="Times New Roman" w:hAnsi="Arial" w:cs="Arial"/>
                <w:b/>
                <w:sz w:val="18"/>
                <w:szCs w:val="18"/>
              </w:rPr>
              <w:t>N=</w:t>
            </w:r>
            <w:r w:rsidR="00113B15" w:rsidRPr="000C3B7D">
              <w:rPr>
                <w:rFonts w:ascii="Arial" w:eastAsia="Times New Roman" w:hAnsi="Arial" w:cs="Arial"/>
                <w:b/>
                <w:sz w:val="18"/>
                <w:szCs w:val="18"/>
              </w:rPr>
              <w:t>883</w:t>
            </w:r>
          </w:p>
        </w:tc>
        <w:tc>
          <w:tcPr>
            <w:tcW w:w="2344" w:type="dxa"/>
            <w:gridSpan w:val="2"/>
          </w:tcPr>
          <w:p w14:paraId="1767099D" w14:textId="77777777" w:rsidR="00AD0B99" w:rsidRPr="000C3B7D" w:rsidRDefault="00D718F6" w:rsidP="00872ECC">
            <w:pPr>
              <w:jc w:val="center"/>
              <w:rPr>
                <w:rFonts w:ascii="Arial" w:eastAsia="Times New Roman" w:hAnsi="Arial" w:cs="Arial"/>
                <w:b/>
                <w:sz w:val="18"/>
                <w:szCs w:val="18"/>
              </w:rPr>
            </w:pPr>
            <w:r w:rsidRPr="000C3B7D">
              <w:rPr>
                <w:rFonts w:ascii="Arial" w:eastAsia="Times New Roman" w:hAnsi="Arial" w:cs="Arial"/>
                <w:b/>
                <w:sz w:val="18"/>
                <w:szCs w:val="18"/>
              </w:rPr>
              <w:t>Fluad</w:t>
            </w:r>
            <w:r w:rsidRPr="000C3B7D">
              <w:rPr>
                <w:rFonts w:ascii="Arial" w:eastAsia="Times New Roman" w:hAnsi="Arial" w:cs="Arial"/>
                <w:b/>
                <w:sz w:val="18"/>
                <w:szCs w:val="18"/>
                <w:vertAlign w:val="superscript"/>
              </w:rPr>
              <w:t>®</w:t>
            </w:r>
          </w:p>
          <w:p w14:paraId="66E88F65" w14:textId="77777777" w:rsidR="00AD0B99" w:rsidRPr="000C3B7D" w:rsidRDefault="00AD0B99" w:rsidP="00113B15">
            <w:pPr>
              <w:jc w:val="center"/>
              <w:rPr>
                <w:rFonts w:ascii="Arial" w:eastAsia="Times New Roman" w:hAnsi="Arial" w:cs="Arial"/>
                <w:b/>
                <w:sz w:val="18"/>
                <w:szCs w:val="18"/>
              </w:rPr>
            </w:pPr>
            <w:r w:rsidRPr="000C3B7D">
              <w:rPr>
                <w:rFonts w:ascii="Arial" w:eastAsia="Times New Roman" w:hAnsi="Arial" w:cs="Arial"/>
                <w:b/>
                <w:sz w:val="18"/>
                <w:szCs w:val="18"/>
              </w:rPr>
              <w:t>N=</w:t>
            </w:r>
            <w:r w:rsidR="00113B15" w:rsidRPr="000C3B7D">
              <w:rPr>
                <w:rFonts w:ascii="Arial" w:eastAsia="Times New Roman" w:hAnsi="Arial" w:cs="Arial"/>
                <w:b/>
                <w:sz w:val="18"/>
                <w:szCs w:val="18"/>
              </w:rPr>
              <w:t>439</w:t>
            </w:r>
            <w:r w:rsidRPr="000C3B7D">
              <w:rPr>
                <w:rFonts w:ascii="Arial" w:eastAsia="Times New Roman" w:hAnsi="Arial" w:cs="Arial"/>
                <w:b/>
                <w:sz w:val="18"/>
                <w:szCs w:val="18"/>
                <w:vertAlign w:val="superscript"/>
              </w:rPr>
              <w:t xml:space="preserve"> </w:t>
            </w:r>
          </w:p>
        </w:tc>
        <w:tc>
          <w:tcPr>
            <w:tcW w:w="2473" w:type="dxa"/>
            <w:gridSpan w:val="2"/>
          </w:tcPr>
          <w:p w14:paraId="02D1FAD9" w14:textId="662AB07F" w:rsidR="00AD0B99" w:rsidRPr="000C3B7D" w:rsidRDefault="00AD0B99" w:rsidP="00872ECC">
            <w:pPr>
              <w:jc w:val="center"/>
              <w:rPr>
                <w:rFonts w:ascii="Arial" w:eastAsia="Times New Roman" w:hAnsi="Arial" w:cs="Arial"/>
                <w:b/>
                <w:sz w:val="18"/>
                <w:szCs w:val="18"/>
              </w:rPr>
            </w:pPr>
            <w:r w:rsidRPr="000C3B7D">
              <w:rPr>
                <w:rFonts w:ascii="Arial" w:eastAsia="Times New Roman" w:hAnsi="Arial" w:cs="Arial"/>
                <w:b/>
                <w:sz w:val="18"/>
                <w:szCs w:val="18"/>
              </w:rPr>
              <w:t>aTIV-2</w:t>
            </w:r>
          </w:p>
          <w:p w14:paraId="4C91128D" w14:textId="77777777" w:rsidR="00AD0B99" w:rsidRPr="000C3B7D" w:rsidRDefault="00113B15" w:rsidP="00872ECC">
            <w:pPr>
              <w:jc w:val="center"/>
              <w:rPr>
                <w:rFonts w:ascii="Arial" w:eastAsia="Times New Roman" w:hAnsi="Arial" w:cs="Arial"/>
                <w:b/>
                <w:sz w:val="18"/>
                <w:szCs w:val="18"/>
              </w:rPr>
            </w:pPr>
            <w:r w:rsidRPr="000C3B7D">
              <w:rPr>
                <w:rFonts w:ascii="Arial" w:eastAsia="Times New Roman" w:hAnsi="Arial" w:cs="Arial"/>
                <w:b/>
                <w:sz w:val="18"/>
                <w:szCs w:val="18"/>
              </w:rPr>
              <w:t>N=</w:t>
            </w:r>
            <w:r w:rsidR="00AD0B99" w:rsidRPr="000C3B7D">
              <w:rPr>
                <w:rFonts w:ascii="Arial" w:eastAsia="Times New Roman" w:hAnsi="Arial" w:cs="Arial"/>
                <w:b/>
                <w:sz w:val="18"/>
                <w:szCs w:val="18"/>
              </w:rPr>
              <w:t>438</w:t>
            </w:r>
          </w:p>
        </w:tc>
      </w:tr>
      <w:tr w:rsidR="00AD0B99" w:rsidRPr="000C3B7D" w14:paraId="466A15E5" w14:textId="77777777" w:rsidTr="00AD0B99">
        <w:trPr>
          <w:cantSplit/>
          <w:trHeight w:val="232"/>
        </w:trPr>
        <w:tc>
          <w:tcPr>
            <w:tcW w:w="8589" w:type="dxa"/>
            <w:gridSpan w:val="7"/>
          </w:tcPr>
          <w:p w14:paraId="26848EE1" w14:textId="77777777" w:rsidR="00AD0B99" w:rsidRPr="000C3B7D" w:rsidRDefault="00AD0B99" w:rsidP="00872ECC">
            <w:pPr>
              <w:jc w:val="both"/>
              <w:rPr>
                <w:rFonts w:ascii="Arial" w:eastAsia="Times New Roman" w:hAnsi="Arial" w:cs="Arial"/>
                <w:b/>
                <w:sz w:val="18"/>
                <w:szCs w:val="18"/>
              </w:rPr>
            </w:pPr>
            <w:r w:rsidRPr="000C3B7D">
              <w:rPr>
                <w:rFonts w:ascii="Arial" w:hAnsi="Arial" w:cs="Arial"/>
                <w:b/>
                <w:sz w:val="18"/>
                <w:szCs w:val="18"/>
              </w:rPr>
              <w:t>Local (Injection site) Reactions</w:t>
            </w:r>
          </w:p>
        </w:tc>
      </w:tr>
      <w:tr w:rsidR="00AD0B99" w:rsidRPr="000C3B7D" w14:paraId="4968F31F" w14:textId="77777777" w:rsidTr="00AD0B99">
        <w:trPr>
          <w:cantSplit/>
          <w:trHeight w:val="232"/>
        </w:trPr>
        <w:tc>
          <w:tcPr>
            <w:tcW w:w="1688" w:type="dxa"/>
          </w:tcPr>
          <w:p w14:paraId="6ED6C8F5" w14:textId="77777777" w:rsidR="00AD0B99" w:rsidRPr="000C3B7D" w:rsidRDefault="00AD0B99" w:rsidP="00872ECC">
            <w:pPr>
              <w:jc w:val="both"/>
              <w:rPr>
                <w:rFonts w:ascii="Arial" w:eastAsia="Times New Roman" w:hAnsi="Arial" w:cs="Arial"/>
                <w:b/>
                <w:sz w:val="18"/>
                <w:szCs w:val="18"/>
              </w:rPr>
            </w:pPr>
          </w:p>
        </w:tc>
        <w:tc>
          <w:tcPr>
            <w:tcW w:w="1042" w:type="dxa"/>
            <w:vAlign w:val="center"/>
          </w:tcPr>
          <w:p w14:paraId="40E845E1" w14:textId="77777777" w:rsidR="00AD0B99" w:rsidRPr="000C3B7D" w:rsidRDefault="00AD0B99" w:rsidP="00872ECC">
            <w:pPr>
              <w:jc w:val="center"/>
              <w:rPr>
                <w:rFonts w:ascii="Arial" w:eastAsia="Times New Roman" w:hAnsi="Arial" w:cs="Arial"/>
                <w:b/>
                <w:sz w:val="18"/>
                <w:szCs w:val="18"/>
              </w:rPr>
            </w:pPr>
            <w:r w:rsidRPr="000C3B7D">
              <w:rPr>
                <w:rFonts w:ascii="Arial" w:hAnsi="Arial" w:cs="Arial"/>
                <w:b/>
                <w:sz w:val="18"/>
                <w:szCs w:val="18"/>
              </w:rPr>
              <w:t>Any</w:t>
            </w:r>
            <w:r w:rsidRPr="000C3B7D">
              <w:rPr>
                <w:rFonts w:ascii="Arial" w:hAnsi="Arial" w:cs="Arial"/>
                <w:b/>
                <w:sz w:val="18"/>
                <w:szCs w:val="18"/>
                <w:vertAlign w:val="superscript"/>
              </w:rPr>
              <w:t>c</w:t>
            </w:r>
          </w:p>
        </w:tc>
        <w:tc>
          <w:tcPr>
            <w:tcW w:w="1042" w:type="dxa"/>
            <w:vAlign w:val="center"/>
          </w:tcPr>
          <w:p w14:paraId="29CDB1B7" w14:textId="77777777" w:rsidR="00AD0B99" w:rsidRPr="000C3B7D" w:rsidRDefault="00AD0B99" w:rsidP="00872ECC">
            <w:pPr>
              <w:jc w:val="center"/>
              <w:rPr>
                <w:rFonts w:ascii="Arial" w:eastAsia="Times New Roman" w:hAnsi="Arial" w:cs="Arial"/>
                <w:b/>
                <w:sz w:val="18"/>
                <w:szCs w:val="18"/>
              </w:rPr>
            </w:pPr>
            <w:r w:rsidRPr="000C3B7D">
              <w:rPr>
                <w:rFonts w:ascii="Arial" w:hAnsi="Arial" w:cs="Arial"/>
                <w:b/>
                <w:sz w:val="18"/>
                <w:szCs w:val="18"/>
              </w:rPr>
              <w:t>Severe</w:t>
            </w:r>
            <w:r w:rsidRPr="000C3B7D">
              <w:rPr>
                <w:rFonts w:ascii="Arial" w:hAnsi="Arial" w:cs="Arial"/>
                <w:b/>
                <w:sz w:val="18"/>
                <w:szCs w:val="18"/>
                <w:vertAlign w:val="superscript"/>
              </w:rPr>
              <w:t>d</w:t>
            </w:r>
          </w:p>
        </w:tc>
        <w:tc>
          <w:tcPr>
            <w:tcW w:w="1172" w:type="dxa"/>
            <w:vAlign w:val="center"/>
          </w:tcPr>
          <w:p w14:paraId="53277F50" w14:textId="77777777" w:rsidR="00AD0B99" w:rsidRPr="000C3B7D" w:rsidRDefault="00AD0B99" w:rsidP="00872ECC">
            <w:pPr>
              <w:jc w:val="center"/>
              <w:rPr>
                <w:rFonts w:ascii="Arial" w:eastAsia="Times New Roman" w:hAnsi="Arial" w:cs="Arial"/>
                <w:b/>
                <w:sz w:val="18"/>
                <w:szCs w:val="18"/>
              </w:rPr>
            </w:pPr>
            <w:r w:rsidRPr="000C3B7D">
              <w:rPr>
                <w:rFonts w:ascii="Arial" w:hAnsi="Arial" w:cs="Arial"/>
                <w:b/>
                <w:sz w:val="18"/>
                <w:szCs w:val="18"/>
              </w:rPr>
              <w:t>Any</w:t>
            </w:r>
            <w:r w:rsidRPr="000C3B7D">
              <w:rPr>
                <w:rFonts w:ascii="Arial" w:hAnsi="Arial" w:cs="Arial"/>
                <w:b/>
                <w:sz w:val="18"/>
                <w:szCs w:val="18"/>
                <w:vertAlign w:val="superscript"/>
              </w:rPr>
              <w:t>c</w:t>
            </w:r>
          </w:p>
        </w:tc>
        <w:tc>
          <w:tcPr>
            <w:tcW w:w="1172" w:type="dxa"/>
            <w:vAlign w:val="center"/>
          </w:tcPr>
          <w:p w14:paraId="2D4C04FE" w14:textId="77777777" w:rsidR="00AD0B99" w:rsidRPr="000C3B7D" w:rsidRDefault="00AD0B99" w:rsidP="00872ECC">
            <w:pPr>
              <w:jc w:val="center"/>
              <w:rPr>
                <w:rFonts w:ascii="Arial" w:eastAsia="Times New Roman" w:hAnsi="Arial" w:cs="Arial"/>
                <w:b/>
                <w:sz w:val="18"/>
                <w:szCs w:val="18"/>
              </w:rPr>
            </w:pPr>
            <w:r w:rsidRPr="000C3B7D">
              <w:rPr>
                <w:rFonts w:ascii="Arial" w:hAnsi="Arial" w:cs="Arial"/>
                <w:b/>
                <w:sz w:val="18"/>
                <w:szCs w:val="18"/>
              </w:rPr>
              <w:t>Severe</w:t>
            </w:r>
            <w:r w:rsidRPr="000C3B7D">
              <w:rPr>
                <w:rFonts w:ascii="Arial" w:hAnsi="Arial" w:cs="Arial"/>
                <w:b/>
                <w:sz w:val="18"/>
                <w:szCs w:val="18"/>
                <w:vertAlign w:val="superscript"/>
              </w:rPr>
              <w:t>d</w:t>
            </w:r>
          </w:p>
        </w:tc>
        <w:tc>
          <w:tcPr>
            <w:tcW w:w="1171" w:type="dxa"/>
            <w:vAlign w:val="center"/>
          </w:tcPr>
          <w:p w14:paraId="58685173" w14:textId="77777777" w:rsidR="00AD0B99" w:rsidRPr="000C3B7D" w:rsidRDefault="00AD0B99" w:rsidP="00872ECC">
            <w:pPr>
              <w:jc w:val="center"/>
              <w:rPr>
                <w:rFonts w:ascii="Arial" w:eastAsia="Times New Roman" w:hAnsi="Arial" w:cs="Arial"/>
                <w:b/>
                <w:sz w:val="18"/>
                <w:szCs w:val="18"/>
              </w:rPr>
            </w:pPr>
            <w:r w:rsidRPr="000C3B7D">
              <w:rPr>
                <w:rFonts w:ascii="Arial" w:hAnsi="Arial" w:cs="Arial"/>
                <w:b/>
                <w:sz w:val="18"/>
                <w:szCs w:val="18"/>
              </w:rPr>
              <w:t>Any</w:t>
            </w:r>
            <w:r w:rsidRPr="000C3B7D">
              <w:rPr>
                <w:rFonts w:ascii="Arial" w:hAnsi="Arial" w:cs="Arial"/>
                <w:b/>
                <w:sz w:val="18"/>
                <w:szCs w:val="18"/>
                <w:vertAlign w:val="superscript"/>
              </w:rPr>
              <w:t>c</w:t>
            </w:r>
          </w:p>
        </w:tc>
        <w:tc>
          <w:tcPr>
            <w:tcW w:w="1302" w:type="dxa"/>
            <w:vAlign w:val="center"/>
          </w:tcPr>
          <w:p w14:paraId="35098610" w14:textId="77777777" w:rsidR="00AD0B99" w:rsidRPr="000C3B7D" w:rsidRDefault="00AD0B99" w:rsidP="00872ECC">
            <w:pPr>
              <w:jc w:val="center"/>
              <w:rPr>
                <w:rFonts w:ascii="Arial" w:eastAsia="Times New Roman" w:hAnsi="Arial" w:cs="Arial"/>
                <w:b/>
                <w:sz w:val="18"/>
                <w:szCs w:val="18"/>
              </w:rPr>
            </w:pPr>
            <w:r w:rsidRPr="000C3B7D">
              <w:rPr>
                <w:rFonts w:ascii="Arial" w:hAnsi="Arial" w:cs="Arial"/>
                <w:b/>
                <w:sz w:val="18"/>
                <w:szCs w:val="18"/>
              </w:rPr>
              <w:t>Severe</w:t>
            </w:r>
            <w:r w:rsidRPr="000C3B7D">
              <w:rPr>
                <w:rFonts w:ascii="Arial" w:hAnsi="Arial" w:cs="Arial"/>
                <w:b/>
                <w:sz w:val="18"/>
                <w:szCs w:val="18"/>
                <w:vertAlign w:val="superscript"/>
              </w:rPr>
              <w:t>d</w:t>
            </w:r>
          </w:p>
        </w:tc>
      </w:tr>
      <w:tr w:rsidR="002D202A" w:rsidRPr="000C3B7D" w14:paraId="72BD60EE" w14:textId="77777777" w:rsidTr="00AD0B99">
        <w:trPr>
          <w:cantSplit/>
          <w:trHeight w:val="232"/>
        </w:trPr>
        <w:tc>
          <w:tcPr>
            <w:tcW w:w="1688" w:type="dxa"/>
          </w:tcPr>
          <w:p w14:paraId="5A43C7E6" w14:textId="77777777" w:rsidR="002D202A" w:rsidRPr="000C3B7D" w:rsidRDefault="002D202A" w:rsidP="00872ECC">
            <w:pPr>
              <w:rPr>
                <w:rFonts w:ascii="Arial" w:eastAsia="Times New Roman" w:hAnsi="Arial" w:cs="Arial"/>
                <w:sz w:val="18"/>
                <w:szCs w:val="18"/>
              </w:rPr>
            </w:pPr>
            <w:r w:rsidRPr="000C3B7D">
              <w:rPr>
                <w:rFonts w:ascii="Arial" w:hAnsi="Arial" w:cs="Arial"/>
                <w:sz w:val="18"/>
                <w:szCs w:val="18"/>
              </w:rPr>
              <w:t>Injection site pain</w:t>
            </w:r>
          </w:p>
        </w:tc>
        <w:tc>
          <w:tcPr>
            <w:tcW w:w="1042" w:type="dxa"/>
          </w:tcPr>
          <w:p w14:paraId="7558A203"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31.9</w:t>
            </w:r>
          </w:p>
        </w:tc>
        <w:tc>
          <w:tcPr>
            <w:tcW w:w="1042" w:type="dxa"/>
          </w:tcPr>
          <w:p w14:paraId="644C36A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2" w:type="dxa"/>
          </w:tcPr>
          <w:p w14:paraId="5AD9EF0C"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29.1</w:t>
            </w:r>
          </w:p>
        </w:tc>
        <w:tc>
          <w:tcPr>
            <w:tcW w:w="1172" w:type="dxa"/>
          </w:tcPr>
          <w:p w14:paraId="75B490A6"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0.9</w:t>
            </w:r>
          </w:p>
        </w:tc>
        <w:tc>
          <w:tcPr>
            <w:tcW w:w="1171" w:type="dxa"/>
          </w:tcPr>
          <w:p w14:paraId="2B1E22B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25.7</w:t>
            </w:r>
          </w:p>
        </w:tc>
        <w:tc>
          <w:tcPr>
            <w:tcW w:w="1302" w:type="dxa"/>
          </w:tcPr>
          <w:p w14:paraId="3E26D4C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0.2</w:t>
            </w:r>
          </w:p>
        </w:tc>
      </w:tr>
      <w:tr w:rsidR="002D202A" w:rsidRPr="000C3B7D" w14:paraId="52DBE3E6" w14:textId="77777777" w:rsidTr="00AD0B99">
        <w:trPr>
          <w:cantSplit/>
          <w:trHeight w:val="232"/>
        </w:trPr>
        <w:tc>
          <w:tcPr>
            <w:tcW w:w="1688" w:type="dxa"/>
          </w:tcPr>
          <w:p w14:paraId="663C82B8" w14:textId="77777777" w:rsidR="002D202A" w:rsidRPr="000C3B7D" w:rsidRDefault="002D202A" w:rsidP="00872ECC">
            <w:pPr>
              <w:jc w:val="both"/>
              <w:rPr>
                <w:rFonts w:ascii="Arial" w:eastAsia="Times New Roman" w:hAnsi="Arial" w:cs="Arial"/>
                <w:sz w:val="18"/>
                <w:szCs w:val="18"/>
              </w:rPr>
            </w:pPr>
            <w:r w:rsidRPr="000C3B7D">
              <w:rPr>
                <w:rFonts w:ascii="Arial" w:hAnsi="Arial" w:cs="Arial"/>
                <w:sz w:val="18"/>
                <w:szCs w:val="18"/>
              </w:rPr>
              <w:t>Erythema</w:t>
            </w:r>
          </w:p>
        </w:tc>
        <w:tc>
          <w:tcPr>
            <w:tcW w:w="1042" w:type="dxa"/>
          </w:tcPr>
          <w:p w14:paraId="3A6FBB37"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7.6</w:t>
            </w:r>
          </w:p>
        </w:tc>
        <w:tc>
          <w:tcPr>
            <w:tcW w:w="1042" w:type="dxa"/>
          </w:tcPr>
          <w:p w14:paraId="6B6DF5CF"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2" w:type="dxa"/>
          </w:tcPr>
          <w:p w14:paraId="747BF55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7.4</w:t>
            </w:r>
          </w:p>
        </w:tc>
        <w:tc>
          <w:tcPr>
            <w:tcW w:w="1172" w:type="dxa"/>
          </w:tcPr>
          <w:p w14:paraId="527F0CA6"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0.3</w:t>
            </w:r>
          </w:p>
        </w:tc>
        <w:tc>
          <w:tcPr>
            <w:tcW w:w="1171" w:type="dxa"/>
          </w:tcPr>
          <w:p w14:paraId="6F152F9E"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8.6</w:t>
            </w:r>
          </w:p>
        </w:tc>
        <w:tc>
          <w:tcPr>
            <w:tcW w:w="1302" w:type="dxa"/>
          </w:tcPr>
          <w:p w14:paraId="1AD0AF2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r>
      <w:tr w:rsidR="002D202A" w:rsidRPr="000C3B7D" w14:paraId="4A3280B2" w14:textId="77777777" w:rsidTr="00AD0B99">
        <w:trPr>
          <w:cantSplit/>
          <w:trHeight w:val="221"/>
        </w:trPr>
        <w:tc>
          <w:tcPr>
            <w:tcW w:w="1688" w:type="dxa"/>
          </w:tcPr>
          <w:p w14:paraId="58C2D701" w14:textId="77777777" w:rsidR="002D202A" w:rsidRPr="000C3B7D" w:rsidRDefault="002D202A" w:rsidP="00872ECC">
            <w:pPr>
              <w:jc w:val="both"/>
              <w:rPr>
                <w:rFonts w:ascii="Arial" w:eastAsia="Times New Roman" w:hAnsi="Arial" w:cs="Arial"/>
                <w:sz w:val="18"/>
                <w:szCs w:val="18"/>
              </w:rPr>
            </w:pPr>
            <w:r w:rsidRPr="000C3B7D">
              <w:rPr>
                <w:rFonts w:ascii="Arial" w:hAnsi="Arial" w:cs="Arial"/>
                <w:sz w:val="18"/>
                <w:szCs w:val="18"/>
              </w:rPr>
              <w:lastRenderedPageBreak/>
              <w:t>Induration</w:t>
            </w:r>
          </w:p>
        </w:tc>
        <w:tc>
          <w:tcPr>
            <w:tcW w:w="1042" w:type="dxa"/>
          </w:tcPr>
          <w:p w14:paraId="45BF232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7.0</w:t>
            </w:r>
          </w:p>
        </w:tc>
        <w:tc>
          <w:tcPr>
            <w:tcW w:w="1042" w:type="dxa"/>
          </w:tcPr>
          <w:p w14:paraId="50B41DDA"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2" w:type="dxa"/>
          </w:tcPr>
          <w:p w14:paraId="28EA251D"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5.4</w:t>
            </w:r>
          </w:p>
        </w:tc>
        <w:tc>
          <w:tcPr>
            <w:tcW w:w="1172" w:type="dxa"/>
          </w:tcPr>
          <w:p w14:paraId="399E991C"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1" w:type="dxa"/>
          </w:tcPr>
          <w:p w14:paraId="14649D44"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5.3</w:t>
            </w:r>
          </w:p>
        </w:tc>
        <w:tc>
          <w:tcPr>
            <w:tcW w:w="1302" w:type="dxa"/>
          </w:tcPr>
          <w:p w14:paraId="72F2083A"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r>
      <w:tr w:rsidR="002D202A" w:rsidRPr="000C3B7D" w14:paraId="0ED8C273" w14:textId="77777777" w:rsidTr="00AD0B99">
        <w:trPr>
          <w:cantSplit/>
          <w:trHeight w:val="232"/>
        </w:trPr>
        <w:tc>
          <w:tcPr>
            <w:tcW w:w="1688" w:type="dxa"/>
          </w:tcPr>
          <w:p w14:paraId="0E800E99" w14:textId="77777777" w:rsidR="002D202A" w:rsidRPr="000C3B7D" w:rsidRDefault="002D202A" w:rsidP="00872ECC">
            <w:pPr>
              <w:jc w:val="both"/>
              <w:rPr>
                <w:rFonts w:ascii="Arial" w:hAnsi="Arial" w:cs="Arial"/>
                <w:sz w:val="18"/>
                <w:szCs w:val="18"/>
              </w:rPr>
            </w:pPr>
            <w:r w:rsidRPr="000C3B7D">
              <w:rPr>
                <w:rFonts w:ascii="Arial" w:hAnsi="Arial" w:cs="Arial"/>
                <w:sz w:val="18"/>
                <w:szCs w:val="18"/>
              </w:rPr>
              <w:t>Ecchymosis</w:t>
            </w:r>
          </w:p>
        </w:tc>
        <w:tc>
          <w:tcPr>
            <w:tcW w:w="1042" w:type="dxa"/>
          </w:tcPr>
          <w:p w14:paraId="61BCC69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2.5</w:t>
            </w:r>
          </w:p>
        </w:tc>
        <w:tc>
          <w:tcPr>
            <w:tcW w:w="1042" w:type="dxa"/>
          </w:tcPr>
          <w:p w14:paraId="221A915A"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0.1</w:t>
            </w:r>
          </w:p>
        </w:tc>
        <w:tc>
          <w:tcPr>
            <w:tcW w:w="1172" w:type="dxa"/>
          </w:tcPr>
          <w:p w14:paraId="7046FA04"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1.5</w:t>
            </w:r>
          </w:p>
        </w:tc>
        <w:tc>
          <w:tcPr>
            <w:tcW w:w="1172" w:type="dxa"/>
          </w:tcPr>
          <w:p w14:paraId="6DF260DD"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1" w:type="dxa"/>
          </w:tcPr>
          <w:p w14:paraId="067AF068"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1.5</w:t>
            </w:r>
          </w:p>
        </w:tc>
        <w:tc>
          <w:tcPr>
            <w:tcW w:w="1302" w:type="dxa"/>
          </w:tcPr>
          <w:p w14:paraId="35656B7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r>
      <w:tr w:rsidR="00AD0B99" w:rsidRPr="000C3B7D" w14:paraId="52708494" w14:textId="77777777" w:rsidTr="00AD0B99">
        <w:trPr>
          <w:cantSplit/>
          <w:trHeight w:val="232"/>
        </w:trPr>
        <w:tc>
          <w:tcPr>
            <w:tcW w:w="8589" w:type="dxa"/>
            <w:gridSpan w:val="7"/>
          </w:tcPr>
          <w:p w14:paraId="2CA85FD0" w14:textId="77777777" w:rsidR="00AD0B99" w:rsidRPr="000C3B7D" w:rsidRDefault="00AD0B99" w:rsidP="00872ECC">
            <w:pPr>
              <w:rPr>
                <w:rFonts w:ascii="Arial" w:eastAsia="Times New Roman" w:hAnsi="Arial" w:cs="Arial"/>
                <w:b/>
                <w:sz w:val="18"/>
                <w:szCs w:val="18"/>
              </w:rPr>
            </w:pPr>
            <w:r w:rsidRPr="000C3B7D">
              <w:rPr>
                <w:rFonts w:ascii="Arial" w:hAnsi="Arial" w:cs="Arial"/>
                <w:b/>
                <w:sz w:val="18"/>
                <w:szCs w:val="18"/>
              </w:rPr>
              <w:t>Systemic Reactions</w:t>
            </w:r>
          </w:p>
        </w:tc>
      </w:tr>
      <w:tr w:rsidR="002D202A" w:rsidRPr="000C3B7D" w14:paraId="4E21D516" w14:textId="77777777" w:rsidTr="00AD0B99">
        <w:trPr>
          <w:cantSplit/>
          <w:trHeight w:val="232"/>
        </w:trPr>
        <w:tc>
          <w:tcPr>
            <w:tcW w:w="1688" w:type="dxa"/>
            <w:vAlign w:val="center"/>
          </w:tcPr>
          <w:p w14:paraId="419B0FB0" w14:textId="77777777" w:rsidR="002D202A" w:rsidRPr="000C3B7D" w:rsidRDefault="002D202A" w:rsidP="00872ECC">
            <w:pPr>
              <w:rPr>
                <w:rFonts w:ascii="Arial" w:hAnsi="Arial" w:cs="Arial"/>
                <w:sz w:val="18"/>
                <w:szCs w:val="18"/>
              </w:rPr>
            </w:pPr>
            <w:r w:rsidRPr="000C3B7D">
              <w:rPr>
                <w:rFonts w:ascii="Arial" w:eastAsia="Times New Roman" w:hAnsi="Arial" w:cs="Arial"/>
                <w:sz w:val="18"/>
                <w:szCs w:val="18"/>
              </w:rPr>
              <w:t>Fatigue</w:t>
            </w:r>
          </w:p>
        </w:tc>
        <w:tc>
          <w:tcPr>
            <w:tcW w:w="1042" w:type="dxa"/>
          </w:tcPr>
          <w:p w14:paraId="74B5985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16.0</w:t>
            </w:r>
          </w:p>
        </w:tc>
        <w:tc>
          <w:tcPr>
            <w:tcW w:w="1042" w:type="dxa"/>
          </w:tcPr>
          <w:p w14:paraId="75A1634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0.7</w:t>
            </w:r>
          </w:p>
        </w:tc>
        <w:tc>
          <w:tcPr>
            <w:tcW w:w="1172" w:type="dxa"/>
          </w:tcPr>
          <w:p w14:paraId="4B6A340B"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15.4</w:t>
            </w:r>
          </w:p>
        </w:tc>
        <w:tc>
          <w:tcPr>
            <w:tcW w:w="1172" w:type="dxa"/>
          </w:tcPr>
          <w:p w14:paraId="445B6C14"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0.7</w:t>
            </w:r>
          </w:p>
        </w:tc>
        <w:tc>
          <w:tcPr>
            <w:tcW w:w="1171" w:type="dxa"/>
          </w:tcPr>
          <w:p w14:paraId="024E0C3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11.5</w:t>
            </w:r>
          </w:p>
        </w:tc>
        <w:tc>
          <w:tcPr>
            <w:tcW w:w="1302" w:type="dxa"/>
          </w:tcPr>
          <w:p w14:paraId="07366DE0"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1.4</w:t>
            </w:r>
          </w:p>
        </w:tc>
      </w:tr>
      <w:tr w:rsidR="002D202A" w:rsidRPr="000C3B7D" w14:paraId="18011C2F" w14:textId="77777777" w:rsidTr="00AD0B99">
        <w:trPr>
          <w:cantSplit/>
          <w:trHeight w:val="232"/>
        </w:trPr>
        <w:tc>
          <w:tcPr>
            <w:tcW w:w="1688" w:type="dxa"/>
            <w:vAlign w:val="center"/>
          </w:tcPr>
          <w:p w14:paraId="02F88BFF" w14:textId="77777777" w:rsidR="002D202A" w:rsidRPr="000C3B7D" w:rsidRDefault="002D202A" w:rsidP="00872ECC">
            <w:pPr>
              <w:rPr>
                <w:rFonts w:ascii="Arial" w:eastAsia="Times New Roman" w:hAnsi="Arial" w:cs="Arial"/>
                <w:sz w:val="18"/>
                <w:szCs w:val="18"/>
              </w:rPr>
            </w:pPr>
            <w:r w:rsidRPr="000C3B7D">
              <w:rPr>
                <w:rFonts w:ascii="Arial" w:eastAsia="Times New Roman" w:hAnsi="Arial" w:cs="Arial"/>
                <w:sz w:val="18"/>
                <w:szCs w:val="18"/>
              </w:rPr>
              <w:t>Headache</w:t>
            </w:r>
          </w:p>
        </w:tc>
        <w:tc>
          <w:tcPr>
            <w:tcW w:w="1042" w:type="dxa"/>
          </w:tcPr>
          <w:p w14:paraId="141F661E"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12.0</w:t>
            </w:r>
          </w:p>
        </w:tc>
        <w:tc>
          <w:tcPr>
            <w:tcW w:w="1042" w:type="dxa"/>
          </w:tcPr>
          <w:p w14:paraId="139D5463"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0.5</w:t>
            </w:r>
          </w:p>
        </w:tc>
        <w:tc>
          <w:tcPr>
            <w:tcW w:w="1172" w:type="dxa"/>
          </w:tcPr>
          <w:p w14:paraId="15BB0906"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10.6</w:t>
            </w:r>
          </w:p>
        </w:tc>
        <w:tc>
          <w:tcPr>
            <w:tcW w:w="1172" w:type="dxa"/>
          </w:tcPr>
          <w:p w14:paraId="4355E15A"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0.7</w:t>
            </w:r>
          </w:p>
        </w:tc>
        <w:tc>
          <w:tcPr>
            <w:tcW w:w="1171" w:type="dxa"/>
          </w:tcPr>
          <w:p w14:paraId="50B3200C"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11.3</w:t>
            </w:r>
          </w:p>
        </w:tc>
        <w:tc>
          <w:tcPr>
            <w:tcW w:w="1302" w:type="dxa"/>
          </w:tcPr>
          <w:p w14:paraId="02E14AD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0.7</w:t>
            </w:r>
          </w:p>
        </w:tc>
      </w:tr>
      <w:tr w:rsidR="002D202A" w:rsidRPr="000C3B7D" w14:paraId="7561F2E5" w14:textId="77777777" w:rsidTr="00AD0B99">
        <w:trPr>
          <w:cantSplit/>
          <w:trHeight w:val="232"/>
        </w:trPr>
        <w:tc>
          <w:tcPr>
            <w:tcW w:w="1688" w:type="dxa"/>
            <w:vAlign w:val="center"/>
          </w:tcPr>
          <w:p w14:paraId="7DA2F723" w14:textId="77777777" w:rsidR="002D202A" w:rsidRPr="000C3B7D" w:rsidRDefault="002D202A" w:rsidP="00872ECC">
            <w:pPr>
              <w:rPr>
                <w:rFonts w:ascii="Arial" w:eastAsia="Times New Roman" w:hAnsi="Arial" w:cs="Arial"/>
                <w:sz w:val="18"/>
                <w:szCs w:val="18"/>
              </w:rPr>
            </w:pPr>
            <w:r w:rsidRPr="000C3B7D">
              <w:rPr>
                <w:rFonts w:ascii="Arial" w:eastAsia="Times New Roman" w:hAnsi="Arial" w:cs="Arial"/>
                <w:sz w:val="18"/>
                <w:szCs w:val="18"/>
              </w:rPr>
              <w:t xml:space="preserve">Arthralgia </w:t>
            </w:r>
          </w:p>
        </w:tc>
        <w:tc>
          <w:tcPr>
            <w:tcW w:w="1042" w:type="dxa"/>
          </w:tcPr>
          <w:p w14:paraId="6FEFF62B"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9.1</w:t>
            </w:r>
          </w:p>
        </w:tc>
        <w:tc>
          <w:tcPr>
            <w:tcW w:w="1042" w:type="dxa"/>
          </w:tcPr>
          <w:p w14:paraId="63C3C49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0.3</w:t>
            </w:r>
          </w:p>
        </w:tc>
        <w:tc>
          <w:tcPr>
            <w:tcW w:w="1172" w:type="dxa"/>
          </w:tcPr>
          <w:p w14:paraId="685976CC"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8.5</w:t>
            </w:r>
          </w:p>
        </w:tc>
        <w:tc>
          <w:tcPr>
            <w:tcW w:w="1172" w:type="dxa"/>
          </w:tcPr>
          <w:p w14:paraId="4B2F54D0"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1" w:type="dxa"/>
          </w:tcPr>
          <w:p w14:paraId="71D58E32"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7.1</w:t>
            </w:r>
          </w:p>
        </w:tc>
        <w:tc>
          <w:tcPr>
            <w:tcW w:w="1302" w:type="dxa"/>
          </w:tcPr>
          <w:p w14:paraId="28BCFDD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1.2</w:t>
            </w:r>
          </w:p>
        </w:tc>
      </w:tr>
      <w:tr w:rsidR="002D202A" w:rsidRPr="000C3B7D" w14:paraId="6886F761" w14:textId="77777777" w:rsidTr="00AD0B99">
        <w:trPr>
          <w:cantSplit/>
          <w:trHeight w:val="221"/>
        </w:trPr>
        <w:tc>
          <w:tcPr>
            <w:tcW w:w="1688" w:type="dxa"/>
            <w:vAlign w:val="center"/>
          </w:tcPr>
          <w:p w14:paraId="49B02F54" w14:textId="77777777" w:rsidR="002D202A" w:rsidRPr="000C3B7D" w:rsidRDefault="002D202A" w:rsidP="00872ECC">
            <w:pPr>
              <w:rPr>
                <w:rFonts w:ascii="Arial" w:hAnsi="Arial" w:cs="Arial"/>
                <w:sz w:val="18"/>
                <w:szCs w:val="18"/>
              </w:rPr>
            </w:pPr>
            <w:r w:rsidRPr="000C3B7D">
              <w:rPr>
                <w:rFonts w:ascii="Arial" w:eastAsia="Times New Roman" w:hAnsi="Arial" w:cs="Arial"/>
                <w:sz w:val="18"/>
                <w:szCs w:val="18"/>
              </w:rPr>
              <w:t>Myalgia</w:t>
            </w:r>
          </w:p>
        </w:tc>
        <w:tc>
          <w:tcPr>
            <w:tcW w:w="1042" w:type="dxa"/>
          </w:tcPr>
          <w:p w14:paraId="07149857"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8.1</w:t>
            </w:r>
          </w:p>
        </w:tc>
        <w:tc>
          <w:tcPr>
            <w:tcW w:w="1042" w:type="dxa"/>
          </w:tcPr>
          <w:p w14:paraId="3C24E78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0.5</w:t>
            </w:r>
          </w:p>
        </w:tc>
        <w:tc>
          <w:tcPr>
            <w:tcW w:w="1172" w:type="dxa"/>
          </w:tcPr>
          <w:p w14:paraId="6ED2AFB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7.8</w:t>
            </w:r>
          </w:p>
        </w:tc>
        <w:tc>
          <w:tcPr>
            <w:tcW w:w="1172" w:type="dxa"/>
          </w:tcPr>
          <w:p w14:paraId="23AB9D27"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1" w:type="dxa"/>
          </w:tcPr>
          <w:p w14:paraId="09B8B850"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6.9</w:t>
            </w:r>
          </w:p>
        </w:tc>
        <w:tc>
          <w:tcPr>
            <w:tcW w:w="1302" w:type="dxa"/>
          </w:tcPr>
          <w:p w14:paraId="0E83920F"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0.9</w:t>
            </w:r>
          </w:p>
        </w:tc>
      </w:tr>
      <w:tr w:rsidR="002D202A" w:rsidRPr="000C3B7D" w14:paraId="2A2EB0A4" w14:textId="77777777" w:rsidTr="00AD0B99">
        <w:trPr>
          <w:cantSplit/>
          <w:trHeight w:val="232"/>
        </w:trPr>
        <w:tc>
          <w:tcPr>
            <w:tcW w:w="1688" w:type="dxa"/>
            <w:shd w:val="clear" w:color="auto" w:fill="auto"/>
            <w:vAlign w:val="center"/>
          </w:tcPr>
          <w:p w14:paraId="1CCD2B58" w14:textId="77777777" w:rsidR="002D202A" w:rsidRPr="000C3B7D" w:rsidRDefault="002D202A" w:rsidP="00872ECC">
            <w:pPr>
              <w:rPr>
                <w:rFonts w:ascii="Arial" w:hAnsi="Arial" w:cs="Arial"/>
                <w:sz w:val="18"/>
                <w:szCs w:val="18"/>
              </w:rPr>
            </w:pPr>
            <w:r w:rsidRPr="000C3B7D">
              <w:rPr>
                <w:rFonts w:ascii="Arial" w:eastAsia="Times New Roman" w:hAnsi="Arial" w:cs="Arial"/>
                <w:sz w:val="18"/>
                <w:szCs w:val="18"/>
              </w:rPr>
              <w:t>Diarrhoea</w:t>
            </w:r>
          </w:p>
        </w:tc>
        <w:tc>
          <w:tcPr>
            <w:tcW w:w="1042" w:type="dxa"/>
            <w:shd w:val="clear" w:color="auto" w:fill="auto"/>
          </w:tcPr>
          <w:p w14:paraId="0604800D"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5.5</w:t>
            </w:r>
          </w:p>
        </w:tc>
        <w:tc>
          <w:tcPr>
            <w:tcW w:w="1042" w:type="dxa"/>
            <w:shd w:val="clear" w:color="auto" w:fill="auto"/>
          </w:tcPr>
          <w:p w14:paraId="75B1253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0.6</w:t>
            </w:r>
          </w:p>
        </w:tc>
        <w:tc>
          <w:tcPr>
            <w:tcW w:w="1172" w:type="dxa"/>
            <w:shd w:val="clear" w:color="auto" w:fill="auto"/>
          </w:tcPr>
          <w:p w14:paraId="27EDE5E2"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5.5</w:t>
            </w:r>
          </w:p>
        </w:tc>
        <w:tc>
          <w:tcPr>
            <w:tcW w:w="1172" w:type="dxa"/>
            <w:shd w:val="clear" w:color="auto" w:fill="auto"/>
          </w:tcPr>
          <w:p w14:paraId="6C98D16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0.5</w:t>
            </w:r>
          </w:p>
        </w:tc>
        <w:tc>
          <w:tcPr>
            <w:tcW w:w="1171" w:type="dxa"/>
            <w:shd w:val="clear" w:color="auto" w:fill="auto"/>
          </w:tcPr>
          <w:p w14:paraId="3DA69FD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6.9</w:t>
            </w:r>
          </w:p>
        </w:tc>
        <w:tc>
          <w:tcPr>
            <w:tcW w:w="1302" w:type="dxa"/>
            <w:shd w:val="clear" w:color="auto" w:fill="auto"/>
          </w:tcPr>
          <w:p w14:paraId="3C4E7D6E"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0.7</w:t>
            </w:r>
          </w:p>
        </w:tc>
      </w:tr>
      <w:tr w:rsidR="002D202A" w:rsidRPr="000C3B7D" w14:paraId="00637D75" w14:textId="77777777" w:rsidTr="00AD0B99">
        <w:trPr>
          <w:cantSplit/>
          <w:trHeight w:val="232"/>
        </w:trPr>
        <w:tc>
          <w:tcPr>
            <w:tcW w:w="1688" w:type="dxa"/>
            <w:shd w:val="clear" w:color="auto" w:fill="auto"/>
            <w:vAlign w:val="center"/>
          </w:tcPr>
          <w:p w14:paraId="5C3B4896" w14:textId="77777777" w:rsidR="002D202A" w:rsidRPr="000C3B7D" w:rsidRDefault="002D202A" w:rsidP="00872ECC">
            <w:pPr>
              <w:jc w:val="both"/>
              <w:rPr>
                <w:rFonts w:ascii="Arial" w:hAnsi="Arial" w:cs="Arial"/>
                <w:sz w:val="18"/>
                <w:szCs w:val="18"/>
              </w:rPr>
            </w:pPr>
            <w:r w:rsidRPr="000C3B7D">
              <w:rPr>
                <w:rFonts w:ascii="Arial" w:eastAsia="Times New Roman" w:hAnsi="Arial" w:cs="Arial"/>
                <w:sz w:val="18"/>
                <w:szCs w:val="18"/>
              </w:rPr>
              <w:t>Chills</w:t>
            </w:r>
          </w:p>
        </w:tc>
        <w:tc>
          <w:tcPr>
            <w:tcW w:w="1042" w:type="dxa"/>
            <w:shd w:val="clear" w:color="auto" w:fill="auto"/>
          </w:tcPr>
          <w:p w14:paraId="695C877E"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4.7</w:t>
            </w:r>
          </w:p>
        </w:tc>
        <w:tc>
          <w:tcPr>
            <w:tcW w:w="1042" w:type="dxa"/>
            <w:shd w:val="clear" w:color="auto" w:fill="auto"/>
          </w:tcPr>
          <w:p w14:paraId="1DC6E74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0.2</w:t>
            </w:r>
          </w:p>
        </w:tc>
        <w:tc>
          <w:tcPr>
            <w:tcW w:w="1172" w:type="dxa"/>
            <w:shd w:val="clear" w:color="auto" w:fill="auto"/>
          </w:tcPr>
          <w:p w14:paraId="72A38E5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3.4</w:t>
            </w:r>
          </w:p>
        </w:tc>
        <w:tc>
          <w:tcPr>
            <w:tcW w:w="1172" w:type="dxa"/>
            <w:shd w:val="clear" w:color="auto" w:fill="auto"/>
          </w:tcPr>
          <w:p w14:paraId="0797BF7A"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0.5</w:t>
            </w:r>
          </w:p>
        </w:tc>
        <w:tc>
          <w:tcPr>
            <w:tcW w:w="1171" w:type="dxa"/>
            <w:shd w:val="clear" w:color="auto" w:fill="auto"/>
          </w:tcPr>
          <w:p w14:paraId="63995D2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4.4</w:t>
            </w:r>
          </w:p>
        </w:tc>
        <w:tc>
          <w:tcPr>
            <w:tcW w:w="1302" w:type="dxa"/>
            <w:shd w:val="clear" w:color="auto" w:fill="auto"/>
          </w:tcPr>
          <w:p w14:paraId="0D974CA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0.7</w:t>
            </w:r>
          </w:p>
        </w:tc>
      </w:tr>
      <w:tr w:rsidR="002D202A" w:rsidRPr="000C3B7D" w14:paraId="32E36176" w14:textId="77777777" w:rsidTr="00AD0B99">
        <w:trPr>
          <w:cantSplit/>
          <w:trHeight w:val="232"/>
        </w:trPr>
        <w:tc>
          <w:tcPr>
            <w:tcW w:w="1688" w:type="dxa"/>
            <w:shd w:val="clear" w:color="auto" w:fill="auto"/>
            <w:vAlign w:val="center"/>
          </w:tcPr>
          <w:p w14:paraId="03D09121" w14:textId="77777777" w:rsidR="002D202A" w:rsidRPr="000C3B7D" w:rsidRDefault="002D202A" w:rsidP="00872ECC">
            <w:pPr>
              <w:jc w:val="both"/>
              <w:rPr>
                <w:rFonts w:ascii="Arial" w:hAnsi="Arial" w:cs="Arial"/>
                <w:sz w:val="18"/>
                <w:szCs w:val="18"/>
              </w:rPr>
            </w:pPr>
            <w:r w:rsidRPr="000C3B7D">
              <w:rPr>
                <w:rFonts w:ascii="Arial" w:eastAsia="Times New Roman" w:hAnsi="Arial" w:cs="Arial"/>
                <w:sz w:val="18"/>
                <w:szCs w:val="18"/>
              </w:rPr>
              <w:t>Nausea</w:t>
            </w:r>
          </w:p>
        </w:tc>
        <w:tc>
          <w:tcPr>
            <w:tcW w:w="1042" w:type="dxa"/>
            <w:shd w:val="clear" w:color="auto" w:fill="auto"/>
          </w:tcPr>
          <w:p w14:paraId="735C4520"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4.0</w:t>
            </w:r>
          </w:p>
        </w:tc>
        <w:tc>
          <w:tcPr>
            <w:tcW w:w="1042" w:type="dxa"/>
            <w:shd w:val="clear" w:color="auto" w:fill="auto"/>
          </w:tcPr>
          <w:p w14:paraId="35D4D64C"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0.2</w:t>
            </w:r>
          </w:p>
        </w:tc>
        <w:tc>
          <w:tcPr>
            <w:tcW w:w="1172" w:type="dxa"/>
            <w:shd w:val="clear" w:color="auto" w:fill="auto"/>
          </w:tcPr>
          <w:p w14:paraId="412DE412"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4.1</w:t>
            </w:r>
          </w:p>
        </w:tc>
        <w:tc>
          <w:tcPr>
            <w:tcW w:w="1172" w:type="dxa"/>
            <w:shd w:val="clear" w:color="auto" w:fill="auto"/>
          </w:tcPr>
          <w:p w14:paraId="189364CD"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1" w:type="dxa"/>
            <w:shd w:val="clear" w:color="auto" w:fill="auto"/>
          </w:tcPr>
          <w:p w14:paraId="698ED347"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4.6</w:t>
            </w:r>
          </w:p>
        </w:tc>
        <w:tc>
          <w:tcPr>
            <w:tcW w:w="1302" w:type="dxa"/>
            <w:shd w:val="clear" w:color="auto" w:fill="auto"/>
          </w:tcPr>
          <w:p w14:paraId="274C3D96"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0.9</w:t>
            </w:r>
          </w:p>
        </w:tc>
      </w:tr>
      <w:tr w:rsidR="002D202A" w:rsidRPr="000C3B7D" w14:paraId="576B6217" w14:textId="77777777" w:rsidTr="00AD0B99">
        <w:trPr>
          <w:cantSplit/>
          <w:trHeight w:val="232"/>
        </w:trPr>
        <w:tc>
          <w:tcPr>
            <w:tcW w:w="1688" w:type="dxa"/>
            <w:shd w:val="clear" w:color="auto" w:fill="auto"/>
            <w:vAlign w:val="center"/>
          </w:tcPr>
          <w:p w14:paraId="581EA7A9" w14:textId="77777777" w:rsidR="002D202A" w:rsidRPr="000C3B7D" w:rsidRDefault="002D202A" w:rsidP="00872ECC">
            <w:pPr>
              <w:jc w:val="both"/>
              <w:rPr>
                <w:rFonts w:ascii="Arial" w:hAnsi="Arial" w:cs="Arial"/>
                <w:sz w:val="18"/>
                <w:szCs w:val="18"/>
              </w:rPr>
            </w:pPr>
            <w:r w:rsidRPr="000C3B7D">
              <w:rPr>
                <w:rFonts w:ascii="Arial" w:eastAsia="Times New Roman" w:hAnsi="Arial" w:cs="Arial"/>
                <w:sz w:val="18"/>
                <w:szCs w:val="18"/>
              </w:rPr>
              <w:t>Loss of appetite</w:t>
            </w:r>
          </w:p>
        </w:tc>
        <w:tc>
          <w:tcPr>
            <w:tcW w:w="1042" w:type="dxa"/>
            <w:shd w:val="clear" w:color="auto" w:fill="auto"/>
          </w:tcPr>
          <w:p w14:paraId="2B12D64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3.2</w:t>
            </w:r>
          </w:p>
        </w:tc>
        <w:tc>
          <w:tcPr>
            <w:tcW w:w="1042" w:type="dxa"/>
            <w:shd w:val="clear" w:color="auto" w:fill="auto"/>
          </w:tcPr>
          <w:p w14:paraId="0CB38AD6"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0.2</w:t>
            </w:r>
          </w:p>
        </w:tc>
        <w:tc>
          <w:tcPr>
            <w:tcW w:w="1172" w:type="dxa"/>
            <w:shd w:val="clear" w:color="auto" w:fill="auto"/>
          </w:tcPr>
          <w:p w14:paraId="5EE1DED3"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4.8</w:t>
            </w:r>
          </w:p>
        </w:tc>
        <w:tc>
          <w:tcPr>
            <w:tcW w:w="1172" w:type="dxa"/>
            <w:shd w:val="clear" w:color="auto" w:fill="auto"/>
          </w:tcPr>
          <w:p w14:paraId="1A2E2F8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1" w:type="dxa"/>
            <w:shd w:val="clear" w:color="auto" w:fill="auto"/>
          </w:tcPr>
          <w:p w14:paraId="78E11C16"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3.7</w:t>
            </w:r>
          </w:p>
        </w:tc>
        <w:tc>
          <w:tcPr>
            <w:tcW w:w="1302" w:type="dxa"/>
            <w:shd w:val="clear" w:color="auto" w:fill="auto"/>
          </w:tcPr>
          <w:p w14:paraId="6EFF68FB"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0.5</w:t>
            </w:r>
          </w:p>
        </w:tc>
      </w:tr>
      <w:tr w:rsidR="002D202A" w:rsidRPr="000C3B7D" w14:paraId="5DA43D81" w14:textId="77777777" w:rsidTr="00AD0B99">
        <w:trPr>
          <w:cantSplit/>
          <w:trHeight w:val="232"/>
        </w:trPr>
        <w:tc>
          <w:tcPr>
            <w:tcW w:w="1688" w:type="dxa"/>
            <w:vAlign w:val="center"/>
          </w:tcPr>
          <w:p w14:paraId="4D9EDE67" w14:textId="77777777" w:rsidR="002D202A" w:rsidRPr="000C3B7D" w:rsidRDefault="002D202A" w:rsidP="00872ECC">
            <w:pPr>
              <w:jc w:val="both"/>
              <w:rPr>
                <w:rFonts w:ascii="Arial" w:eastAsia="Times New Roman" w:hAnsi="Arial" w:cs="Arial"/>
                <w:sz w:val="18"/>
                <w:szCs w:val="18"/>
              </w:rPr>
            </w:pPr>
            <w:r w:rsidRPr="000C3B7D">
              <w:rPr>
                <w:rFonts w:ascii="Arial" w:eastAsia="Times New Roman" w:hAnsi="Arial" w:cs="Arial"/>
                <w:sz w:val="18"/>
                <w:szCs w:val="18"/>
              </w:rPr>
              <w:t>Vomiting</w:t>
            </w:r>
          </w:p>
        </w:tc>
        <w:tc>
          <w:tcPr>
            <w:tcW w:w="1042" w:type="dxa"/>
          </w:tcPr>
          <w:p w14:paraId="62C6EB49"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0.8</w:t>
            </w:r>
          </w:p>
        </w:tc>
        <w:tc>
          <w:tcPr>
            <w:tcW w:w="1042" w:type="dxa"/>
          </w:tcPr>
          <w:p w14:paraId="043D2F82"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0.1</w:t>
            </w:r>
          </w:p>
        </w:tc>
        <w:tc>
          <w:tcPr>
            <w:tcW w:w="1172" w:type="dxa"/>
          </w:tcPr>
          <w:p w14:paraId="3A54357D"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0.5</w:t>
            </w:r>
          </w:p>
        </w:tc>
        <w:tc>
          <w:tcPr>
            <w:tcW w:w="1172" w:type="dxa"/>
          </w:tcPr>
          <w:p w14:paraId="4B94DD24"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1" w:type="dxa"/>
          </w:tcPr>
          <w:p w14:paraId="28F49B07"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2.1</w:t>
            </w:r>
          </w:p>
        </w:tc>
        <w:tc>
          <w:tcPr>
            <w:tcW w:w="1302" w:type="dxa"/>
          </w:tcPr>
          <w:p w14:paraId="4AEC1311"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0.7</w:t>
            </w:r>
          </w:p>
        </w:tc>
      </w:tr>
      <w:tr w:rsidR="002D202A" w:rsidRPr="000C3B7D" w14:paraId="33351BE0" w14:textId="77777777" w:rsidTr="00AD0B99">
        <w:trPr>
          <w:cantSplit/>
          <w:trHeight w:val="255"/>
        </w:trPr>
        <w:tc>
          <w:tcPr>
            <w:tcW w:w="1688" w:type="dxa"/>
            <w:vAlign w:val="center"/>
          </w:tcPr>
          <w:p w14:paraId="00D85EE6" w14:textId="70BE7F92" w:rsidR="002D202A" w:rsidRPr="000C3B7D" w:rsidRDefault="002D202A" w:rsidP="00872ECC">
            <w:pPr>
              <w:jc w:val="both"/>
              <w:rPr>
                <w:rFonts w:ascii="Arial" w:eastAsia="Times New Roman" w:hAnsi="Arial" w:cs="Arial"/>
                <w:sz w:val="18"/>
                <w:szCs w:val="18"/>
              </w:rPr>
            </w:pPr>
            <w:r w:rsidRPr="000C3B7D">
              <w:rPr>
                <w:rFonts w:ascii="Arial" w:eastAsia="Times New Roman" w:hAnsi="Arial" w:cs="Arial"/>
                <w:sz w:val="18"/>
                <w:szCs w:val="18"/>
              </w:rPr>
              <w:t>Fever</w:t>
            </w:r>
          </w:p>
        </w:tc>
        <w:tc>
          <w:tcPr>
            <w:tcW w:w="1042" w:type="dxa"/>
          </w:tcPr>
          <w:p w14:paraId="07BD59A7"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0.5</w:t>
            </w:r>
          </w:p>
        </w:tc>
        <w:tc>
          <w:tcPr>
            <w:tcW w:w="1042" w:type="dxa"/>
          </w:tcPr>
          <w:p w14:paraId="062502B6"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0.1</w:t>
            </w:r>
          </w:p>
        </w:tc>
        <w:tc>
          <w:tcPr>
            <w:tcW w:w="1172" w:type="dxa"/>
          </w:tcPr>
          <w:p w14:paraId="54E5B115"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0.2</w:t>
            </w:r>
          </w:p>
        </w:tc>
        <w:tc>
          <w:tcPr>
            <w:tcW w:w="1172" w:type="dxa"/>
          </w:tcPr>
          <w:p w14:paraId="0AC7543A"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c>
          <w:tcPr>
            <w:tcW w:w="1171" w:type="dxa"/>
          </w:tcPr>
          <w:p w14:paraId="1BF6EBEC" w14:textId="77777777" w:rsidR="002D202A" w:rsidRPr="000C3B7D" w:rsidRDefault="002D202A" w:rsidP="002D202A">
            <w:pPr>
              <w:jc w:val="center"/>
              <w:rPr>
                <w:rFonts w:ascii="Arial" w:hAnsi="Arial" w:cs="Arial"/>
                <w:sz w:val="18"/>
                <w:szCs w:val="18"/>
              </w:rPr>
            </w:pPr>
            <w:r w:rsidRPr="000C3B7D">
              <w:rPr>
                <w:rFonts w:ascii="Arial" w:hAnsi="Arial" w:cs="Arial"/>
                <w:sz w:val="18"/>
                <w:szCs w:val="18"/>
              </w:rPr>
              <w:t>0.5</w:t>
            </w:r>
          </w:p>
        </w:tc>
        <w:tc>
          <w:tcPr>
            <w:tcW w:w="1302" w:type="dxa"/>
          </w:tcPr>
          <w:p w14:paraId="6AC56EB6" w14:textId="7622B411" w:rsidR="002D202A" w:rsidRPr="000C3B7D" w:rsidRDefault="002D202A" w:rsidP="002D202A">
            <w:pPr>
              <w:jc w:val="center"/>
              <w:rPr>
                <w:rFonts w:ascii="Arial" w:hAnsi="Arial" w:cs="Arial"/>
                <w:sz w:val="18"/>
                <w:szCs w:val="18"/>
              </w:rPr>
            </w:pPr>
            <w:r w:rsidRPr="000C3B7D">
              <w:rPr>
                <w:rFonts w:ascii="Arial" w:hAnsi="Arial" w:cs="Arial"/>
                <w:sz w:val="18"/>
                <w:szCs w:val="18"/>
              </w:rPr>
              <w:t>0.0</w:t>
            </w:r>
          </w:p>
        </w:tc>
      </w:tr>
    </w:tbl>
    <w:p w14:paraId="177B3F9D" w14:textId="77777777" w:rsidR="003D311F" w:rsidRPr="005D183C" w:rsidRDefault="003D311F" w:rsidP="003D311F">
      <w:pPr>
        <w:autoSpaceDE w:val="0"/>
        <w:autoSpaceDN w:val="0"/>
        <w:adjustRightInd w:val="0"/>
        <w:spacing w:after="0" w:line="240" w:lineRule="auto"/>
        <w:jc w:val="both"/>
        <w:rPr>
          <w:rFonts w:ascii="Arial" w:hAnsi="Arial" w:cs="Arial"/>
          <w:bCs/>
          <w:sz w:val="20"/>
        </w:rPr>
      </w:pPr>
      <w:r w:rsidRPr="005D183C">
        <w:rPr>
          <w:rFonts w:ascii="Arial" w:hAnsi="Arial" w:cs="Arial"/>
          <w:bCs/>
          <w:sz w:val="20"/>
        </w:rPr>
        <w:t xml:space="preserve">Abbreviation: N=number of subjects with solicited safety data; </w:t>
      </w:r>
    </w:p>
    <w:p w14:paraId="6E441857" w14:textId="77777777" w:rsidR="00F058DD" w:rsidRPr="005D183C" w:rsidRDefault="00F058DD" w:rsidP="00F058DD">
      <w:pPr>
        <w:autoSpaceDE w:val="0"/>
        <w:autoSpaceDN w:val="0"/>
        <w:adjustRightInd w:val="0"/>
        <w:spacing w:after="0" w:line="240" w:lineRule="auto"/>
        <w:jc w:val="both"/>
        <w:rPr>
          <w:rFonts w:ascii="Arial" w:hAnsi="Arial" w:cs="Arial"/>
          <w:bCs/>
          <w:sz w:val="20"/>
        </w:rPr>
      </w:pPr>
      <w:r w:rsidRPr="005D183C">
        <w:rPr>
          <w:rFonts w:ascii="Arial" w:hAnsi="Arial" w:cs="Arial"/>
          <w:bCs/>
          <w:sz w:val="20"/>
          <w:vertAlign w:val="superscript"/>
        </w:rPr>
        <w:t xml:space="preserve">a </w:t>
      </w:r>
      <w:r w:rsidRPr="005D183C">
        <w:rPr>
          <w:rFonts w:ascii="Arial" w:hAnsi="Arial" w:cs="Arial"/>
          <w:bCs/>
          <w:sz w:val="20"/>
        </w:rPr>
        <w:t>All solicited local and systemic adverse events reported within 7 days of vaccination are included</w:t>
      </w:r>
    </w:p>
    <w:p w14:paraId="4566A52F" w14:textId="77777777" w:rsidR="00F058DD" w:rsidRPr="005D183C" w:rsidRDefault="00F058DD" w:rsidP="00F058DD">
      <w:pPr>
        <w:pStyle w:val="FootnoteText"/>
        <w:rPr>
          <w:lang w:val="en-AU"/>
        </w:rPr>
      </w:pPr>
      <w:r w:rsidRPr="005D183C">
        <w:rPr>
          <w:rFonts w:ascii="Arial" w:hAnsi="Arial" w:cs="Arial"/>
          <w:bCs/>
          <w:vertAlign w:val="superscript"/>
        </w:rPr>
        <w:t>b</w:t>
      </w:r>
      <w:r w:rsidRPr="005D183C">
        <w:rPr>
          <w:rFonts w:ascii="Arial" w:hAnsi="Arial" w:cs="Arial"/>
          <w:bCs/>
        </w:rPr>
        <w:t xml:space="preserve"> Solicited Safety Population: all subjects in the exposed population who provided post-vaccination solicited safety data</w:t>
      </w:r>
    </w:p>
    <w:p w14:paraId="0DDBE55A" w14:textId="194EA938" w:rsidR="00F058DD" w:rsidRPr="005D183C" w:rsidRDefault="00F058DD" w:rsidP="00366EFB">
      <w:pPr>
        <w:pStyle w:val="FootnoteText"/>
        <w:rPr>
          <w:lang w:val="en-AU"/>
        </w:rPr>
      </w:pPr>
      <w:r w:rsidRPr="005D183C">
        <w:rPr>
          <w:rFonts w:ascii="Arial" w:hAnsi="Arial" w:cs="Arial"/>
          <w:bCs/>
          <w:vertAlign w:val="superscript"/>
        </w:rPr>
        <w:t>c</w:t>
      </w:r>
      <w:r w:rsidRPr="005D183C">
        <w:rPr>
          <w:rFonts w:ascii="Arial" w:hAnsi="Arial" w:cs="Arial"/>
          <w:bCs/>
        </w:rPr>
        <w:t xml:space="preserve"> </w:t>
      </w:r>
      <w:r w:rsidR="00CA521F">
        <w:rPr>
          <w:rFonts w:ascii="Arial" w:hAnsi="Arial" w:cs="Arial"/>
          <w:bCs/>
        </w:rPr>
        <w:t xml:space="preserve">“Any” definitions: </w:t>
      </w:r>
      <w:r w:rsidRPr="005D183C">
        <w:rPr>
          <w:rFonts w:ascii="Arial" w:hAnsi="Arial" w:cs="Arial"/>
          <w:bCs/>
        </w:rPr>
        <w:t>Erythema, Induration and Ecchymosis</w:t>
      </w:r>
      <w:r w:rsidR="00CA521F">
        <w:rPr>
          <w:rFonts w:ascii="Arial" w:hAnsi="Arial" w:cs="Arial"/>
          <w:bCs/>
        </w:rPr>
        <w:t xml:space="preserve"> =</w:t>
      </w:r>
      <w:r w:rsidRPr="005D183C">
        <w:rPr>
          <w:rFonts w:ascii="Arial" w:hAnsi="Arial" w:cs="Arial"/>
          <w:bCs/>
        </w:rPr>
        <w:t xml:space="preserve"> </w:t>
      </w:r>
      <w:r w:rsidR="00CA521F">
        <w:rPr>
          <w:rFonts w:ascii="Arial" w:hAnsi="Arial" w:cs="Arial"/>
          <w:bCs/>
        </w:rPr>
        <w:t xml:space="preserve">≥ </w:t>
      </w:r>
      <w:r w:rsidR="00366EFB">
        <w:rPr>
          <w:rFonts w:ascii="Arial" w:hAnsi="Arial" w:cs="Arial"/>
          <w:bCs/>
        </w:rPr>
        <w:t>25</w:t>
      </w:r>
      <w:r w:rsidRPr="005D183C">
        <w:rPr>
          <w:rFonts w:ascii="Arial" w:hAnsi="Arial" w:cs="Arial"/>
          <w:bCs/>
        </w:rPr>
        <w:t xml:space="preserve"> mm</w:t>
      </w:r>
      <w:r w:rsidR="003D0C87">
        <w:rPr>
          <w:rFonts w:ascii="Arial" w:hAnsi="Arial" w:cs="Arial"/>
          <w:bCs/>
        </w:rPr>
        <w:t xml:space="preserve"> diameter</w:t>
      </w:r>
      <w:r w:rsidR="00366EFB">
        <w:rPr>
          <w:rFonts w:ascii="Arial" w:hAnsi="Arial" w:cs="Arial"/>
          <w:bCs/>
        </w:rPr>
        <w:t>, fever</w:t>
      </w:r>
      <w:r w:rsidR="00CA521F">
        <w:rPr>
          <w:rFonts w:ascii="Arial" w:hAnsi="Arial" w:cs="Arial"/>
          <w:bCs/>
        </w:rPr>
        <w:t xml:space="preserve"> =</w:t>
      </w:r>
      <w:r w:rsidR="00366EFB" w:rsidRPr="005D183C">
        <w:rPr>
          <w:rFonts w:ascii="Arial" w:hAnsi="Arial" w:cs="Arial"/>
          <w:bCs/>
        </w:rPr>
        <w:t xml:space="preserve"> ≥ 38°C;</w:t>
      </w:r>
    </w:p>
    <w:p w14:paraId="6C9C7913" w14:textId="12D4E66B" w:rsidR="00F058DD" w:rsidRPr="005D183C" w:rsidRDefault="00F058DD" w:rsidP="00F058DD">
      <w:pPr>
        <w:pStyle w:val="FootnoteText"/>
        <w:rPr>
          <w:lang w:val="en-AU"/>
        </w:rPr>
      </w:pPr>
      <w:r w:rsidRPr="005D183C">
        <w:rPr>
          <w:rFonts w:ascii="Arial" w:hAnsi="Arial" w:cs="Arial"/>
          <w:bCs/>
          <w:vertAlign w:val="superscript"/>
        </w:rPr>
        <w:t>d</w:t>
      </w:r>
      <w:r w:rsidRPr="005D183C">
        <w:rPr>
          <w:rFonts w:ascii="Arial" w:hAnsi="Arial" w:cs="Arial"/>
          <w:bCs/>
        </w:rPr>
        <w:t xml:space="preserve"> </w:t>
      </w:r>
      <w:r w:rsidR="00CA521F">
        <w:rPr>
          <w:rFonts w:ascii="Arial" w:hAnsi="Arial" w:cs="Arial"/>
          <w:bCs/>
        </w:rPr>
        <w:t>“</w:t>
      </w:r>
      <w:r w:rsidRPr="005D183C">
        <w:rPr>
          <w:rFonts w:ascii="Arial" w:hAnsi="Arial" w:cs="Arial"/>
          <w:bCs/>
        </w:rPr>
        <w:t>Severe</w:t>
      </w:r>
      <w:r w:rsidR="00CA521F">
        <w:rPr>
          <w:rFonts w:ascii="Arial" w:hAnsi="Arial" w:cs="Arial"/>
          <w:bCs/>
        </w:rPr>
        <w:t>”</w:t>
      </w:r>
      <w:r w:rsidRPr="005D183C">
        <w:rPr>
          <w:rFonts w:ascii="Arial" w:hAnsi="Arial" w:cs="Arial"/>
          <w:bCs/>
        </w:rPr>
        <w:t xml:space="preserve"> definitions: Erythema, Induration and Ecchymosis</w:t>
      </w:r>
      <w:r w:rsidR="00CA521F">
        <w:rPr>
          <w:rFonts w:ascii="Arial" w:hAnsi="Arial" w:cs="Arial"/>
          <w:bCs/>
        </w:rPr>
        <w:t xml:space="preserve"> </w:t>
      </w:r>
      <w:r w:rsidR="00863372">
        <w:rPr>
          <w:rFonts w:ascii="Arial" w:hAnsi="Arial" w:cs="Arial"/>
          <w:bCs/>
        </w:rPr>
        <w:t>&gt;</w:t>
      </w:r>
      <w:r w:rsidRPr="005D183C">
        <w:rPr>
          <w:rFonts w:ascii="Arial" w:hAnsi="Arial" w:cs="Arial"/>
          <w:bCs/>
        </w:rPr>
        <w:t>100 mm</w:t>
      </w:r>
      <w:r w:rsidR="003D0C87">
        <w:rPr>
          <w:rFonts w:ascii="Arial" w:hAnsi="Arial" w:cs="Arial"/>
          <w:bCs/>
        </w:rPr>
        <w:t xml:space="preserve"> diameter</w:t>
      </w:r>
      <w:r w:rsidRPr="005D183C">
        <w:rPr>
          <w:rFonts w:ascii="Arial" w:hAnsi="Arial" w:cs="Arial"/>
          <w:bCs/>
        </w:rPr>
        <w:t>; injection site pain, nausea, fatigue, myalgia, arthralgia, headache, and chills = prevents daily activity; loss of appetite = not eating at all; vomiting = 6 or more times in 24 hours or requires intravenous hydration; diarrhoea = 6 or more loose stools in 24 hours or requires intravenous hydration</w:t>
      </w:r>
      <w:r w:rsidR="00366EFB">
        <w:rPr>
          <w:rFonts w:ascii="Arial" w:hAnsi="Arial" w:cs="Arial"/>
          <w:bCs/>
        </w:rPr>
        <w:t xml:space="preserve">; </w:t>
      </w:r>
      <w:r w:rsidRPr="005D183C">
        <w:rPr>
          <w:rFonts w:ascii="Arial" w:hAnsi="Arial" w:cs="Arial"/>
          <w:bCs/>
        </w:rPr>
        <w:t>Fever</w:t>
      </w:r>
      <w:r w:rsidR="00CA521F">
        <w:rPr>
          <w:rFonts w:ascii="Arial" w:hAnsi="Arial" w:cs="Arial"/>
          <w:bCs/>
        </w:rPr>
        <w:t xml:space="preserve"> =</w:t>
      </w:r>
      <w:r w:rsidRPr="005D183C">
        <w:rPr>
          <w:rFonts w:ascii="Arial" w:hAnsi="Arial" w:cs="Arial"/>
          <w:bCs/>
        </w:rPr>
        <w:t xml:space="preserve"> </w:t>
      </w:r>
      <w:r w:rsidR="00EB4783" w:rsidRPr="005D183C">
        <w:rPr>
          <w:rFonts w:ascii="Arial" w:hAnsi="Arial" w:cs="Arial"/>
          <w:bCs/>
        </w:rPr>
        <w:t xml:space="preserve">≥ </w:t>
      </w:r>
      <w:r w:rsidRPr="005D183C">
        <w:rPr>
          <w:rFonts w:ascii="Arial" w:hAnsi="Arial" w:cs="Arial"/>
          <w:bCs/>
        </w:rPr>
        <w:t>39°C.</w:t>
      </w:r>
    </w:p>
    <w:p w14:paraId="5B8C66E6" w14:textId="7176F66C" w:rsidR="0000070A" w:rsidRPr="005D183C" w:rsidRDefault="0000070A" w:rsidP="00CA3ABA">
      <w:pPr>
        <w:spacing w:after="0"/>
        <w:rPr>
          <w:rFonts w:ascii="Arial" w:hAnsi="Arial" w:cs="Arial"/>
          <w:bCs/>
        </w:rPr>
      </w:pPr>
      <w:r w:rsidRPr="005D183C">
        <w:rPr>
          <w:rFonts w:ascii="Arial" w:hAnsi="Arial" w:cs="Arial"/>
          <w:bCs/>
        </w:rPr>
        <w:lastRenderedPageBreak/>
        <w:t xml:space="preserve">Unsolicited Adverse Events (AEs) were collected for 21 days after vaccination. </w:t>
      </w:r>
      <w:r w:rsidR="00CA3ABA" w:rsidRPr="005D183C">
        <w:rPr>
          <w:rFonts w:ascii="Arial" w:hAnsi="Arial" w:cs="Arial"/>
          <w:bCs/>
        </w:rPr>
        <w:t xml:space="preserve">The frequency of unsolicited AEs was </w:t>
      </w:r>
      <w:r w:rsidR="00DC0B8B">
        <w:rPr>
          <w:rFonts w:ascii="Arial" w:hAnsi="Arial" w:cs="Arial"/>
          <w:bCs/>
        </w:rPr>
        <w:t>similar</w:t>
      </w:r>
      <w:r w:rsidR="00DC0B8B" w:rsidRPr="005D183C">
        <w:rPr>
          <w:rFonts w:ascii="Arial" w:hAnsi="Arial" w:cs="Arial"/>
          <w:bCs/>
        </w:rPr>
        <w:t xml:space="preserve"> </w:t>
      </w:r>
      <w:r w:rsidR="00CA3ABA" w:rsidRPr="005D183C">
        <w:rPr>
          <w:rFonts w:ascii="Arial" w:hAnsi="Arial" w:cs="Arial"/>
          <w:bCs/>
        </w:rPr>
        <w:t>between the different vaccination groups, Fluad</w:t>
      </w:r>
      <w:r w:rsidR="00CA3ABA" w:rsidRPr="005D183C">
        <w:rPr>
          <w:rFonts w:ascii="Arial" w:hAnsi="Arial" w:cs="Arial"/>
          <w:vertAlign w:val="superscript"/>
        </w:rPr>
        <w:t>®</w:t>
      </w:r>
      <w:r w:rsidR="00CA3ABA" w:rsidRPr="005D183C">
        <w:rPr>
          <w:rFonts w:ascii="Arial" w:hAnsi="Arial" w:cs="Arial"/>
          <w:bCs/>
        </w:rPr>
        <w:t xml:space="preserve"> Quad (</w:t>
      </w:r>
      <w:r w:rsidR="001041F9">
        <w:rPr>
          <w:rFonts w:ascii="Arial" w:hAnsi="Arial" w:cs="Arial"/>
          <w:bCs/>
        </w:rPr>
        <w:t>15.3</w:t>
      </w:r>
      <w:r w:rsidR="00CA3ABA" w:rsidRPr="005D183C">
        <w:rPr>
          <w:rFonts w:ascii="Arial" w:hAnsi="Arial" w:cs="Arial"/>
          <w:bCs/>
        </w:rPr>
        <w:t>%), Fluad</w:t>
      </w:r>
      <w:r w:rsidR="00CA3ABA" w:rsidRPr="005D183C">
        <w:rPr>
          <w:rFonts w:ascii="Arial" w:hAnsi="Arial" w:cs="Arial"/>
          <w:bCs/>
          <w:vertAlign w:val="superscript"/>
        </w:rPr>
        <w:t>®</w:t>
      </w:r>
      <w:r w:rsidR="00CA3ABA" w:rsidRPr="005D183C">
        <w:rPr>
          <w:rFonts w:ascii="Arial" w:hAnsi="Arial" w:cs="Arial"/>
          <w:bCs/>
        </w:rPr>
        <w:t xml:space="preserve"> (</w:t>
      </w:r>
      <w:r w:rsidR="001041F9">
        <w:rPr>
          <w:rFonts w:ascii="Arial" w:hAnsi="Arial" w:cs="Arial"/>
          <w:bCs/>
        </w:rPr>
        <w:t>11.3</w:t>
      </w:r>
      <w:r w:rsidR="0074633A">
        <w:rPr>
          <w:rFonts w:ascii="Arial" w:hAnsi="Arial" w:cs="Arial"/>
          <w:bCs/>
        </w:rPr>
        <w:t>%) and aTIV-2 (</w:t>
      </w:r>
      <w:r w:rsidR="001041F9">
        <w:rPr>
          <w:rFonts w:ascii="Arial" w:hAnsi="Arial" w:cs="Arial"/>
          <w:bCs/>
        </w:rPr>
        <w:t>15.3</w:t>
      </w:r>
      <w:r w:rsidR="00CA3ABA" w:rsidRPr="005D183C">
        <w:rPr>
          <w:rFonts w:ascii="Arial" w:hAnsi="Arial" w:cs="Arial"/>
          <w:bCs/>
        </w:rPr>
        <w:t>%).</w:t>
      </w:r>
      <w:r w:rsidR="00CA3ABA" w:rsidRPr="00FA344D">
        <w:rPr>
          <w:rFonts w:ascii="Arial" w:hAnsi="Arial" w:cs="Arial"/>
          <w:bCs/>
        </w:rPr>
        <w:t xml:space="preserve"> </w:t>
      </w:r>
      <w:r w:rsidR="00CA3ABA" w:rsidRPr="00CA3ABA">
        <w:rPr>
          <w:rFonts w:ascii="Arial" w:hAnsi="Arial" w:cs="Arial"/>
          <w:bCs/>
        </w:rPr>
        <w:t>Influenza-like-illness (2.0%), injection site bruising (1.1%) and cough (1.0%) were reported in ≥1% of subjects who received Fluad</w:t>
      </w:r>
      <w:r w:rsidR="00CA3ABA" w:rsidRPr="00CA3ABA">
        <w:rPr>
          <w:rFonts w:ascii="Arial" w:hAnsi="Arial" w:cs="Arial"/>
          <w:bCs/>
          <w:vertAlign w:val="superscript"/>
        </w:rPr>
        <w:t>®</w:t>
      </w:r>
      <w:r w:rsidR="00B3087D">
        <w:rPr>
          <w:rFonts w:ascii="Arial" w:hAnsi="Arial" w:cs="Arial"/>
          <w:bCs/>
        </w:rPr>
        <w:t xml:space="preserve"> Quad.</w:t>
      </w:r>
    </w:p>
    <w:p w14:paraId="25EA7FB3" w14:textId="6781334C" w:rsidR="0000070A" w:rsidRPr="005D183C" w:rsidRDefault="00113801" w:rsidP="0000070A">
      <w:pPr>
        <w:autoSpaceDE w:val="0"/>
        <w:autoSpaceDN w:val="0"/>
        <w:adjustRightInd w:val="0"/>
        <w:spacing w:after="0" w:line="240" w:lineRule="auto"/>
        <w:jc w:val="both"/>
        <w:rPr>
          <w:rFonts w:ascii="Arial" w:hAnsi="Arial" w:cs="Arial"/>
          <w:bCs/>
        </w:rPr>
      </w:pPr>
      <w:r w:rsidRPr="00940425">
        <w:rPr>
          <w:rFonts w:ascii="Arial" w:hAnsi="Arial" w:cs="Arial"/>
          <w:bCs/>
        </w:rPr>
        <w:t>No treatment-</w:t>
      </w:r>
      <w:r w:rsidR="00940425" w:rsidRPr="00940425">
        <w:rPr>
          <w:rFonts w:ascii="Arial" w:hAnsi="Arial" w:cs="Arial"/>
          <w:bCs/>
        </w:rPr>
        <w:t xml:space="preserve">related </w:t>
      </w:r>
      <w:r w:rsidRPr="00940425">
        <w:rPr>
          <w:rFonts w:ascii="Arial" w:hAnsi="Arial" w:cs="Arial"/>
          <w:bCs/>
        </w:rPr>
        <w:t xml:space="preserve">SAE </w:t>
      </w:r>
      <w:r w:rsidR="00940425" w:rsidRPr="00940425">
        <w:rPr>
          <w:rFonts w:ascii="Arial" w:hAnsi="Arial" w:cs="Arial"/>
          <w:bCs/>
        </w:rPr>
        <w:t>or death w</w:t>
      </w:r>
      <w:r w:rsidR="005B041D">
        <w:rPr>
          <w:rFonts w:ascii="Arial" w:hAnsi="Arial" w:cs="Arial"/>
          <w:bCs/>
        </w:rPr>
        <w:t>ere</w:t>
      </w:r>
      <w:r w:rsidR="00940425" w:rsidRPr="00940425">
        <w:rPr>
          <w:rFonts w:ascii="Arial" w:hAnsi="Arial" w:cs="Arial"/>
          <w:bCs/>
        </w:rPr>
        <w:t xml:space="preserve"> </w:t>
      </w:r>
      <w:r w:rsidRPr="00940425">
        <w:rPr>
          <w:rFonts w:ascii="Arial" w:hAnsi="Arial" w:cs="Arial"/>
          <w:bCs/>
        </w:rPr>
        <w:t>reported in the study.</w:t>
      </w:r>
    </w:p>
    <w:p w14:paraId="7E2655AD" w14:textId="78F0836F" w:rsidR="0000070A" w:rsidRPr="005D183C" w:rsidRDefault="0000070A" w:rsidP="0000070A">
      <w:pPr>
        <w:autoSpaceDE w:val="0"/>
        <w:autoSpaceDN w:val="0"/>
        <w:adjustRightInd w:val="0"/>
        <w:spacing w:after="0" w:line="240" w:lineRule="auto"/>
        <w:jc w:val="both"/>
        <w:rPr>
          <w:rFonts w:ascii="Arial" w:hAnsi="Arial" w:cs="Arial"/>
          <w:bCs/>
        </w:rPr>
      </w:pPr>
      <w:r w:rsidRPr="005D183C">
        <w:rPr>
          <w:rFonts w:ascii="Arial" w:hAnsi="Arial" w:cs="Arial"/>
          <w:bCs/>
        </w:rPr>
        <w:t xml:space="preserve">Two AESIs were reported during the study: one in the </w:t>
      </w:r>
      <w:r w:rsidR="00CA3ABA">
        <w:rPr>
          <w:rFonts w:ascii="Arial" w:hAnsi="Arial" w:cs="Arial"/>
          <w:bCs/>
        </w:rPr>
        <w:t>Fluad</w:t>
      </w:r>
      <w:r w:rsidR="00CA3ABA" w:rsidRPr="00CA3ABA">
        <w:rPr>
          <w:rFonts w:ascii="Arial" w:hAnsi="Arial" w:cs="Arial"/>
          <w:bCs/>
          <w:vertAlign w:val="superscript"/>
        </w:rPr>
        <w:t>®</w:t>
      </w:r>
      <w:r w:rsidRPr="005D183C">
        <w:rPr>
          <w:rFonts w:ascii="Arial" w:hAnsi="Arial" w:cs="Arial"/>
          <w:bCs/>
        </w:rPr>
        <w:t xml:space="preserve"> group, and one in the </w:t>
      </w:r>
      <w:r w:rsidR="00F36CC2" w:rsidRPr="005D183C">
        <w:rPr>
          <w:rFonts w:ascii="Arial" w:hAnsi="Arial" w:cs="Arial"/>
          <w:bCs/>
        </w:rPr>
        <w:t>Fluad</w:t>
      </w:r>
      <w:r w:rsidR="00F36CC2" w:rsidRPr="00CA3ABA">
        <w:rPr>
          <w:rFonts w:ascii="Arial" w:hAnsi="Arial" w:cs="Arial"/>
          <w:bCs/>
          <w:vertAlign w:val="superscript"/>
        </w:rPr>
        <w:t>®</w:t>
      </w:r>
      <w:r w:rsidR="00F36CC2" w:rsidRPr="005D183C">
        <w:rPr>
          <w:rFonts w:ascii="Arial" w:hAnsi="Arial" w:cs="Arial"/>
          <w:bCs/>
        </w:rPr>
        <w:t xml:space="preserve"> Quad</w:t>
      </w:r>
      <w:r w:rsidRPr="005D183C">
        <w:rPr>
          <w:rFonts w:ascii="Arial" w:hAnsi="Arial" w:cs="Arial"/>
          <w:bCs/>
        </w:rPr>
        <w:t xml:space="preserve"> group. Neither of the AESIs was considered to be related to study vaccine.</w:t>
      </w:r>
    </w:p>
    <w:p w14:paraId="0246458B" w14:textId="4F0D505C" w:rsidR="0000070A" w:rsidRPr="005D183C" w:rsidRDefault="0000070A" w:rsidP="0000070A">
      <w:pPr>
        <w:autoSpaceDE w:val="0"/>
        <w:autoSpaceDN w:val="0"/>
        <w:adjustRightInd w:val="0"/>
        <w:spacing w:after="0" w:line="240" w:lineRule="auto"/>
        <w:jc w:val="both"/>
        <w:rPr>
          <w:rFonts w:ascii="Arial" w:hAnsi="Arial" w:cs="Arial"/>
          <w:bCs/>
        </w:rPr>
      </w:pPr>
      <w:r w:rsidRPr="005D183C">
        <w:rPr>
          <w:rFonts w:ascii="Arial" w:hAnsi="Arial" w:cs="Arial"/>
          <w:bCs/>
        </w:rPr>
        <w:t>The frequency of unsolicited events leading to NOCD w</w:t>
      </w:r>
      <w:r w:rsidR="004B24DA" w:rsidRPr="005D183C">
        <w:rPr>
          <w:rFonts w:ascii="Arial" w:hAnsi="Arial" w:cs="Arial"/>
          <w:bCs/>
        </w:rPr>
        <w:t>as</w:t>
      </w:r>
      <w:r w:rsidRPr="005D183C">
        <w:rPr>
          <w:rFonts w:ascii="Arial" w:hAnsi="Arial" w:cs="Arial"/>
          <w:bCs/>
        </w:rPr>
        <w:t xml:space="preserve"> similar across study groups: </w:t>
      </w:r>
      <w:r w:rsidR="00F36CC2" w:rsidRPr="001F2E58">
        <w:rPr>
          <w:rFonts w:ascii="Arial" w:hAnsi="Arial" w:cs="Arial"/>
          <w:bCs/>
        </w:rPr>
        <w:t>Fluad</w:t>
      </w:r>
      <w:r w:rsidR="00B640FB" w:rsidRPr="001F2E58">
        <w:rPr>
          <w:rFonts w:ascii="Arial" w:hAnsi="Arial" w:cs="Arial"/>
          <w:vertAlign w:val="superscript"/>
        </w:rPr>
        <w:t>®</w:t>
      </w:r>
      <w:r w:rsidR="00F36CC2" w:rsidRPr="001F2E58">
        <w:rPr>
          <w:rFonts w:ascii="Arial" w:hAnsi="Arial" w:cs="Arial"/>
          <w:bCs/>
        </w:rPr>
        <w:t xml:space="preserve"> Quad</w:t>
      </w:r>
      <w:r w:rsidRPr="001F2E58">
        <w:rPr>
          <w:rFonts w:ascii="Arial" w:hAnsi="Arial" w:cs="Arial"/>
          <w:bCs/>
        </w:rPr>
        <w:t xml:space="preserve"> (2.6%); </w:t>
      </w:r>
      <w:r w:rsidR="001F2E58">
        <w:rPr>
          <w:rFonts w:ascii="Arial" w:hAnsi="Arial" w:cs="Arial"/>
          <w:bCs/>
        </w:rPr>
        <w:t>Fluad</w:t>
      </w:r>
      <w:r w:rsidR="001F2E58" w:rsidRPr="001F2E58">
        <w:rPr>
          <w:rFonts w:ascii="Arial" w:hAnsi="Arial" w:cs="Arial"/>
          <w:bCs/>
          <w:vertAlign w:val="superscript"/>
        </w:rPr>
        <w:t>®</w:t>
      </w:r>
      <w:r w:rsidRPr="001F2E58">
        <w:rPr>
          <w:rFonts w:ascii="Arial" w:hAnsi="Arial" w:cs="Arial"/>
          <w:bCs/>
        </w:rPr>
        <w:t xml:space="preserve"> (3.6%) and aTIV-2 (3.2%).</w:t>
      </w:r>
      <w:r w:rsidRPr="005D183C">
        <w:rPr>
          <w:rFonts w:ascii="Arial" w:hAnsi="Arial" w:cs="Arial"/>
          <w:bCs/>
        </w:rPr>
        <w:t xml:space="preserve"> NOCDs were heterogeneous in nature and consistent with the clinical conditions spontaneously occurring in </w:t>
      </w:r>
      <w:r w:rsidR="0063606B">
        <w:rPr>
          <w:rFonts w:ascii="Arial" w:hAnsi="Arial" w:cs="Arial"/>
          <w:bCs/>
        </w:rPr>
        <w:t>subjects 65 years of age and older</w:t>
      </w:r>
      <w:r w:rsidRPr="005D183C">
        <w:rPr>
          <w:rFonts w:ascii="Arial" w:hAnsi="Arial" w:cs="Arial"/>
          <w:bCs/>
        </w:rPr>
        <w:t>. No reported NOCDs were consi</w:t>
      </w:r>
      <w:r w:rsidR="00B3087D">
        <w:rPr>
          <w:rFonts w:ascii="Arial" w:hAnsi="Arial" w:cs="Arial"/>
          <w:bCs/>
        </w:rPr>
        <w:t>dered related to study vaccine.</w:t>
      </w:r>
    </w:p>
    <w:p w14:paraId="28DF3307" w14:textId="6AC218E2" w:rsidR="00E47890" w:rsidRPr="005D183C" w:rsidRDefault="0000070A" w:rsidP="00940425">
      <w:pPr>
        <w:autoSpaceDE w:val="0"/>
        <w:autoSpaceDN w:val="0"/>
        <w:adjustRightInd w:val="0"/>
        <w:spacing w:after="0" w:line="240" w:lineRule="auto"/>
        <w:jc w:val="both"/>
        <w:rPr>
          <w:rFonts w:ascii="Arial" w:hAnsi="Arial" w:cs="Arial"/>
          <w:bCs/>
        </w:rPr>
      </w:pPr>
      <w:r w:rsidRPr="005D183C">
        <w:rPr>
          <w:rFonts w:ascii="Arial" w:hAnsi="Arial" w:cs="Arial"/>
          <w:bCs/>
        </w:rPr>
        <w:t>No unsolicited AEs led to withdrawal from the study.</w:t>
      </w:r>
    </w:p>
    <w:p w14:paraId="6C155B90" w14:textId="77777777" w:rsidR="00EB7DE8" w:rsidRPr="005D183C" w:rsidRDefault="002C50B5" w:rsidP="00EB7DE8">
      <w:pPr>
        <w:autoSpaceDE w:val="0"/>
        <w:autoSpaceDN w:val="0"/>
        <w:adjustRightInd w:val="0"/>
        <w:spacing w:after="0" w:line="240" w:lineRule="auto"/>
        <w:jc w:val="both"/>
        <w:rPr>
          <w:rFonts w:ascii="Arial" w:hAnsi="Arial" w:cs="Arial"/>
          <w:b/>
          <w:bCs/>
        </w:rPr>
      </w:pPr>
      <w:r w:rsidRPr="005D183C">
        <w:rPr>
          <w:rFonts w:ascii="Arial" w:hAnsi="Arial" w:cs="Arial"/>
          <w:b/>
          <w:bCs/>
        </w:rPr>
        <w:t>P</w:t>
      </w:r>
      <w:r w:rsidR="00EB7DE8" w:rsidRPr="005D183C">
        <w:rPr>
          <w:rFonts w:ascii="Arial" w:hAnsi="Arial" w:cs="Arial"/>
          <w:b/>
          <w:bCs/>
        </w:rPr>
        <w:t>ost-marketing surveillance</w:t>
      </w:r>
    </w:p>
    <w:p w14:paraId="1EF7CC90" w14:textId="32420E0E" w:rsidR="00EB7DE8" w:rsidRDefault="00EB7DE8" w:rsidP="00EB7DE8">
      <w:pPr>
        <w:autoSpaceDE w:val="0"/>
        <w:autoSpaceDN w:val="0"/>
        <w:adjustRightInd w:val="0"/>
        <w:spacing w:after="0" w:line="240" w:lineRule="auto"/>
        <w:jc w:val="both"/>
        <w:rPr>
          <w:rFonts w:ascii="Arial" w:hAnsi="Arial" w:cs="Arial"/>
          <w:bCs/>
        </w:rPr>
      </w:pPr>
      <w:r w:rsidRPr="005D183C">
        <w:rPr>
          <w:rFonts w:ascii="Arial" w:hAnsi="Arial" w:cs="Arial"/>
          <w:bCs/>
        </w:rPr>
        <w:t>There are currently no post-marketing data available for Fluad</w:t>
      </w:r>
      <w:r w:rsidR="00B640FB" w:rsidRPr="005D183C">
        <w:rPr>
          <w:rFonts w:ascii="Arial" w:hAnsi="Arial" w:cs="Arial"/>
          <w:vertAlign w:val="superscript"/>
        </w:rPr>
        <w:t>®</w:t>
      </w:r>
      <w:r w:rsidRPr="005D183C">
        <w:rPr>
          <w:rFonts w:ascii="Arial" w:hAnsi="Arial" w:cs="Arial"/>
          <w:bCs/>
        </w:rPr>
        <w:t xml:space="preserve"> Quad.</w:t>
      </w:r>
    </w:p>
    <w:p w14:paraId="763C200D" w14:textId="3F39BF5A" w:rsidR="005B363A" w:rsidRDefault="00D24D2D" w:rsidP="008E666E">
      <w:pPr>
        <w:autoSpaceDE w:val="0"/>
        <w:autoSpaceDN w:val="0"/>
        <w:adjustRightInd w:val="0"/>
        <w:spacing w:after="0" w:line="240" w:lineRule="auto"/>
        <w:jc w:val="both"/>
        <w:rPr>
          <w:rFonts w:ascii="Arial" w:hAnsi="Arial" w:cs="Arial"/>
          <w:bCs/>
        </w:rPr>
      </w:pPr>
      <w:r w:rsidRPr="00D24D2D">
        <w:rPr>
          <w:rFonts w:ascii="Arial" w:hAnsi="Arial" w:cs="Arial"/>
          <w:bCs/>
        </w:rPr>
        <w:t xml:space="preserve">However, the post-marketing experience with </w:t>
      </w:r>
      <w:r w:rsidR="001748B9">
        <w:rPr>
          <w:rFonts w:ascii="Arial" w:hAnsi="Arial" w:cs="Arial"/>
          <w:bCs/>
        </w:rPr>
        <w:t>Fluad</w:t>
      </w:r>
      <w:r w:rsidR="001748B9" w:rsidRPr="001748B9">
        <w:rPr>
          <w:rFonts w:ascii="Arial" w:hAnsi="Arial" w:cs="Arial"/>
          <w:bCs/>
          <w:vertAlign w:val="superscript"/>
        </w:rPr>
        <w:t>®</w:t>
      </w:r>
      <w:r w:rsidRPr="00D24D2D">
        <w:rPr>
          <w:rFonts w:ascii="Arial" w:hAnsi="Arial" w:cs="Arial"/>
          <w:bCs/>
        </w:rPr>
        <w:t xml:space="preserve"> </w:t>
      </w:r>
      <w:r w:rsidR="001748B9">
        <w:rPr>
          <w:rFonts w:ascii="Arial" w:hAnsi="Arial" w:cs="Arial"/>
          <w:bCs/>
        </w:rPr>
        <w:t>may be</w:t>
      </w:r>
      <w:r w:rsidRPr="00D24D2D">
        <w:rPr>
          <w:rFonts w:ascii="Arial" w:hAnsi="Arial" w:cs="Arial"/>
          <w:bCs/>
        </w:rPr>
        <w:t xml:space="preserve"> relevant to </w:t>
      </w:r>
      <w:r w:rsidR="001748B9">
        <w:rPr>
          <w:rFonts w:ascii="Arial" w:hAnsi="Arial" w:cs="Arial"/>
          <w:bCs/>
        </w:rPr>
        <w:t>Fluad</w:t>
      </w:r>
      <w:r w:rsidR="001748B9" w:rsidRPr="001748B9">
        <w:rPr>
          <w:rFonts w:ascii="Arial" w:hAnsi="Arial" w:cs="Arial"/>
          <w:bCs/>
          <w:vertAlign w:val="superscript"/>
        </w:rPr>
        <w:t>®</w:t>
      </w:r>
      <w:r w:rsidR="001748B9">
        <w:rPr>
          <w:rFonts w:ascii="Arial" w:hAnsi="Arial" w:cs="Arial"/>
          <w:bCs/>
        </w:rPr>
        <w:t xml:space="preserve"> Quad</w:t>
      </w:r>
      <w:r w:rsidRPr="00D24D2D">
        <w:rPr>
          <w:rFonts w:ascii="Arial" w:hAnsi="Arial" w:cs="Arial"/>
          <w:bCs/>
        </w:rPr>
        <w:t xml:space="preserve"> because both vaccines are manufactured using the same process and have overlapping compositions</w:t>
      </w:r>
      <w:r w:rsidR="001748B9">
        <w:rPr>
          <w:rFonts w:ascii="Arial" w:hAnsi="Arial" w:cs="Arial"/>
          <w:bCs/>
        </w:rPr>
        <w:t>.</w:t>
      </w:r>
      <w:r w:rsidR="004661D1">
        <w:rPr>
          <w:rFonts w:ascii="Arial" w:hAnsi="Arial" w:cs="Arial"/>
          <w:bCs/>
        </w:rPr>
        <w:t xml:space="preserve"> </w:t>
      </w:r>
      <w:r w:rsidR="008E666E">
        <w:rPr>
          <w:rFonts w:ascii="Arial" w:hAnsi="Arial" w:cs="Arial"/>
          <w:bCs/>
        </w:rPr>
        <w:t>T</w:t>
      </w:r>
      <w:r w:rsidR="008E666E" w:rsidRPr="009E3DAE">
        <w:rPr>
          <w:rFonts w:ascii="Arial" w:eastAsia="MS Mincho" w:hAnsi="Arial" w:cs="Arial"/>
        </w:rPr>
        <w:t>he following adverse reactions were reported from post marketing surveillance in subjects 65 years of age</w:t>
      </w:r>
      <w:r w:rsidR="008E666E">
        <w:rPr>
          <w:rFonts w:ascii="Arial" w:eastAsia="MS Mincho" w:hAnsi="Arial" w:cs="Arial"/>
        </w:rPr>
        <w:t xml:space="preserve"> or older administered Fluad</w:t>
      </w:r>
      <w:r w:rsidR="008E666E" w:rsidRPr="00C733AD">
        <w:rPr>
          <w:rFonts w:ascii="Arial" w:eastAsia="MS Mincho" w:hAnsi="Arial" w:cs="Arial"/>
          <w:vertAlign w:val="superscript"/>
        </w:rPr>
        <w:t>®</w:t>
      </w:r>
      <w:r w:rsidR="008E666E">
        <w:rPr>
          <w:rFonts w:ascii="Arial" w:eastAsia="MS Mincho" w:hAnsi="Arial" w:cs="Arial"/>
        </w:rPr>
        <w:t>.</w:t>
      </w:r>
    </w:p>
    <w:p w14:paraId="6D8C43B8" w14:textId="77777777" w:rsidR="00115A3F" w:rsidRPr="009E3DAE" w:rsidRDefault="00115A3F" w:rsidP="00115A3F">
      <w:pPr>
        <w:spacing w:before="120" w:after="0" w:line="240" w:lineRule="auto"/>
        <w:jc w:val="both"/>
        <w:rPr>
          <w:rFonts w:ascii="Arial" w:eastAsia="MS Mincho" w:hAnsi="Arial" w:cs="Arial"/>
          <w:lang w:val="en-GB"/>
        </w:rPr>
      </w:pPr>
      <w:r>
        <w:rPr>
          <w:rFonts w:ascii="Arial" w:eastAsia="MS Mincho" w:hAnsi="Arial" w:cs="Arial"/>
        </w:rPr>
        <w:t>As</w:t>
      </w:r>
      <w:r w:rsidRPr="009E3DAE">
        <w:rPr>
          <w:rFonts w:ascii="Arial" w:eastAsia="MS Mincho" w:hAnsi="Arial" w:cs="Arial"/>
        </w:rPr>
        <w:t xml:space="preserve"> these events were reported voluntarily from a population of uncertain size, it is not possible to reliably estimate their frequency or to establish, for all events, a causal relationship to vaccine exposure</w:t>
      </w:r>
      <w:r>
        <w:rPr>
          <w:rFonts w:ascii="Arial" w:eastAsia="MS Mincho" w:hAnsi="Arial" w:cs="Arial"/>
        </w:rPr>
        <w:t>.</w:t>
      </w:r>
    </w:p>
    <w:p w14:paraId="390ED597" w14:textId="20A0336C" w:rsidR="00115A3F" w:rsidRPr="009E3DAE" w:rsidRDefault="00115A3F" w:rsidP="00115A3F">
      <w:pPr>
        <w:spacing w:before="120" w:after="0" w:line="240" w:lineRule="auto"/>
        <w:jc w:val="both"/>
        <w:rPr>
          <w:rFonts w:ascii="Arial" w:eastAsia="MS Mincho" w:hAnsi="Arial" w:cs="Arial"/>
        </w:rPr>
      </w:pPr>
    </w:p>
    <w:tbl>
      <w:tblPr>
        <w:tblW w:w="0" w:type="auto"/>
        <w:tblLook w:val="04A0" w:firstRow="1" w:lastRow="0" w:firstColumn="1" w:lastColumn="0" w:noHBand="0" w:noVBand="1"/>
      </w:tblPr>
      <w:tblGrid>
        <w:gridCol w:w="9464"/>
      </w:tblGrid>
      <w:tr w:rsidR="00115A3F" w:rsidRPr="009E3DAE" w14:paraId="6737FFE2" w14:textId="77777777" w:rsidTr="00E13435">
        <w:tc>
          <w:tcPr>
            <w:tcW w:w="9464" w:type="dxa"/>
          </w:tcPr>
          <w:p w14:paraId="0924E37E"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u w:val="single"/>
              </w:rPr>
              <w:t>Blood and lymphatic system disorders</w:t>
            </w:r>
          </w:p>
        </w:tc>
      </w:tr>
      <w:tr w:rsidR="00115A3F" w:rsidRPr="009E3DAE" w14:paraId="123F2B2B" w14:textId="77777777" w:rsidTr="00E13435">
        <w:tc>
          <w:tcPr>
            <w:tcW w:w="9464" w:type="dxa"/>
          </w:tcPr>
          <w:p w14:paraId="6A607A42" w14:textId="74D446D6" w:rsidR="00115A3F" w:rsidRPr="009E3DAE" w:rsidRDefault="00115A3F" w:rsidP="00083B1B">
            <w:pPr>
              <w:spacing w:before="120" w:after="0" w:line="240" w:lineRule="auto"/>
              <w:jc w:val="both"/>
              <w:rPr>
                <w:rFonts w:ascii="Arial" w:eastAsia="MS Mincho" w:hAnsi="Arial" w:cs="Arial"/>
              </w:rPr>
            </w:pPr>
            <w:r w:rsidRPr="009E3DAE">
              <w:rPr>
                <w:rFonts w:ascii="Arial" w:eastAsia="MS Mincho" w:hAnsi="Arial" w:cs="Arial"/>
              </w:rPr>
              <w:t>Thrombocytopenia (some very rare cases were severe with platelet counts less than 5,000 per mm</w:t>
            </w:r>
            <w:r w:rsidRPr="009E3DAE">
              <w:rPr>
                <w:rFonts w:ascii="Arial" w:eastAsia="MS Mincho" w:hAnsi="Arial" w:cs="Arial"/>
                <w:vertAlign w:val="superscript"/>
              </w:rPr>
              <w:t>3</w:t>
            </w:r>
            <w:r w:rsidRPr="009E3DAE">
              <w:rPr>
                <w:rFonts w:ascii="Arial" w:eastAsia="MS Mincho" w:hAnsi="Arial" w:cs="Arial"/>
              </w:rPr>
              <w:t>), lymphadenopathy.</w:t>
            </w:r>
          </w:p>
        </w:tc>
      </w:tr>
      <w:tr w:rsidR="00115A3F" w:rsidRPr="009E3DAE" w14:paraId="54593F10" w14:textId="77777777" w:rsidTr="00E13435">
        <w:tc>
          <w:tcPr>
            <w:tcW w:w="9464" w:type="dxa"/>
          </w:tcPr>
          <w:p w14:paraId="1C67C765"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u w:val="single"/>
              </w:rPr>
              <w:t>General</w:t>
            </w:r>
            <w:r w:rsidRPr="009E3DAE">
              <w:rPr>
                <w:rFonts w:ascii="Arial" w:eastAsia="MS Mincho" w:hAnsi="Arial" w:cs="Arial"/>
                <w:iCs/>
                <w:color w:val="000000"/>
                <w:u w:val="single"/>
              </w:rPr>
              <w:t xml:space="preserve"> disorders and administration site conditions</w:t>
            </w:r>
          </w:p>
        </w:tc>
      </w:tr>
      <w:tr w:rsidR="00115A3F" w:rsidRPr="009E3DAE" w14:paraId="53206102" w14:textId="77777777" w:rsidTr="00E13435">
        <w:tc>
          <w:tcPr>
            <w:tcW w:w="9464" w:type="dxa"/>
          </w:tcPr>
          <w:p w14:paraId="7ED52CB0"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iCs/>
              </w:rPr>
              <w:t>Extensive swelling of injected limb lasting more than one week, Injection-site cellulitis-like reaction (some cases of swelling, pain, and redness extending more than 10 cm and lasting more than 1 week).</w:t>
            </w:r>
          </w:p>
        </w:tc>
      </w:tr>
      <w:tr w:rsidR="00115A3F" w:rsidRPr="009E3DAE" w14:paraId="71005C08" w14:textId="77777777" w:rsidTr="00E13435">
        <w:tc>
          <w:tcPr>
            <w:tcW w:w="9464" w:type="dxa"/>
          </w:tcPr>
          <w:p w14:paraId="1C367A59"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u w:val="single"/>
              </w:rPr>
              <w:t>Immune system disorders</w:t>
            </w:r>
          </w:p>
        </w:tc>
      </w:tr>
      <w:tr w:rsidR="00115A3F" w:rsidRPr="009E3DAE" w14:paraId="2828B326" w14:textId="77777777" w:rsidTr="00E13435">
        <w:tc>
          <w:tcPr>
            <w:tcW w:w="9464" w:type="dxa"/>
          </w:tcPr>
          <w:p w14:paraId="35D7857C" w14:textId="77777777" w:rsidR="00115A3F" w:rsidRPr="009E3DAE" w:rsidRDefault="00115A3F" w:rsidP="00E13435">
            <w:pPr>
              <w:spacing w:before="120" w:after="0" w:line="240" w:lineRule="auto"/>
              <w:jc w:val="both"/>
              <w:rPr>
                <w:rFonts w:ascii="Arial" w:eastAsia="MS Mincho" w:hAnsi="Arial" w:cs="Arial"/>
              </w:rPr>
            </w:pPr>
            <w:r w:rsidRPr="009E3DAE">
              <w:rPr>
                <w:rFonts w:ascii="Arial" w:eastAsia="MS Mincho" w:hAnsi="Arial" w:cs="Arial"/>
              </w:rPr>
              <w:t xml:space="preserve">Allergic </w:t>
            </w:r>
            <w:r>
              <w:rPr>
                <w:rFonts w:ascii="Arial" w:eastAsia="MS Mincho" w:hAnsi="Arial" w:cs="Arial"/>
              </w:rPr>
              <w:t xml:space="preserve">or immediate hypersensitivity reactions, </w:t>
            </w:r>
            <w:r w:rsidRPr="009E3DAE">
              <w:rPr>
                <w:rFonts w:ascii="Arial" w:eastAsia="MS Mincho" w:hAnsi="Arial" w:cs="Arial"/>
              </w:rPr>
              <w:t xml:space="preserve">including anaphylactic shock </w:t>
            </w:r>
          </w:p>
        </w:tc>
      </w:tr>
      <w:tr w:rsidR="00115A3F" w:rsidRPr="009E3DAE" w14:paraId="52187BB1" w14:textId="77777777" w:rsidTr="00E13435">
        <w:tc>
          <w:tcPr>
            <w:tcW w:w="9464" w:type="dxa"/>
          </w:tcPr>
          <w:p w14:paraId="3C6D8F1F"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u w:val="single"/>
              </w:rPr>
              <w:t>Musculoskeletal and connective tissue disorders</w:t>
            </w:r>
          </w:p>
        </w:tc>
      </w:tr>
      <w:tr w:rsidR="00115A3F" w:rsidRPr="009E3DAE" w14:paraId="1DDE474C" w14:textId="77777777" w:rsidTr="00E13435">
        <w:tc>
          <w:tcPr>
            <w:tcW w:w="9464" w:type="dxa"/>
          </w:tcPr>
          <w:p w14:paraId="104E1091"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rPr>
              <w:lastRenderedPageBreak/>
              <w:t>Muscular weakness</w:t>
            </w:r>
          </w:p>
        </w:tc>
      </w:tr>
      <w:tr w:rsidR="00115A3F" w:rsidRPr="009E3DAE" w14:paraId="0CDD9B29" w14:textId="77777777" w:rsidTr="00E13435">
        <w:tc>
          <w:tcPr>
            <w:tcW w:w="9464" w:type="dxa"/>
          </w:tcPr>
          <w:p w14:paraId="7361E00F"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u w:val="single"/>
              </w:rPr>
              <w:t>Nervous system disorders</w:t>
            </w:r>
          </w:p>
        </w:tc>
      </w:tr>
      <w:tr w:rsidR="00115A3F" w:rsidRPr="009E3DAE" w14:paraId="16D0406E" w14:textId="77777777" w:rsidTr="00E13435">
        <w:tc>
          <w:tcPr>
            <w:tcW w:w="9464" w:type="dxa"/>
          </w:tcPr>
          <w:p w14:paraId="2C96232D" w14:textId="77777777" w:rsidR="00115A3F" w:rsidRPr="009E3DAE" w:rsidRDefault="00115A3F" w:rsidP="00E13435">
            <w:pPr>
              <w:spacing w:before="120" w:after="0" w:line="240" w:lineRule="auto"/>
              <w:jc w:val="both"/>
              <w:rPr>
                <w:rFonts w:ascii="Arial" w:eastAsia="MS Mincho" w:hAnsi="Arial" w:cs="Arial"/>
                <w:lang w:val="fr-FR"/>
              </w:rPr>
            </w:pPr>
            <w:r w:rsidRPr="009E3DAE">
              <w:rPr>
                <w:rFonts w:ascii="Arial" w:eastAsia="MS Mincho" w:hAnsi="Arial" w:cs="Arial"/>
                <w:lang w:val="fr-FR"/>
              </w:rPr>
              <w:t xml:space="preserve">Encephalomyelitis, Guillain-Barré Syndrome, convulsions, neuritis, neuralgia, paraesthesia, </w:t>
            </w:r>
          </w:p>
        </w:tc>
      </w:tr>
      <w:tr w:rsidR="00115A3F" w:rsidRPr="009E3DAE" w14:paraId="3279AD1A" w14:textId="77777777" w:rsidTr="00E13435">
        <w:tc>
          <w:tcPr>
            <w:tcW w:w="9464" w:type="dxa"/>
          </w:tcPr>
          <w:p w14:paraId="4E446F96"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u w:val="single"/>
              </w:rPr>
              <w:t>Skin and subcutaneous tissue disorders</w:t>
            </w:r>
          </w:p>
        </w:tc>
      </w:tr>
      <w:tr w:rsidR="00115A3F" w:rsidRPr="009E3DAE" w14:paraId="747B8931" w14:textId="77777777" w:rsidTr="00E13435">
        <w:tc>
          <w:tcPr>
            <w:tcW w:w="9464" w:type="dxa"/>
          </w:tcPr>
          <w:p w14:paraId="00F28F99" w14:textId="5A094EF6" w:rsidR="00115A3F" w:rsidRPr="009E3DAE" w:rsidRDefault="00115A3F" w:rsidP="00E13435">
            <w:pPr>
              <w:spacing w:before="120" w:after="0" w:line="240" w:lineRule="auto"/>
              <w:jc w:val="both"/>
              <w:rPr>
                <w:rFonts w:ascii="Arial" w:eastAsia="MS Mincho" w:hAnsi="Arial" w:cs="Arial"/>
              </w:rPr>
            </w:pPr>
            <w:r w:rsidRPr="009E3DAE">
              <w:rPr>
                <w:rFonts w:ascii="Arial" w:eastAsia="MS Mincho" w:hAnsi="Arial" w:cs="Arial"/>
              </w:rPr>
              <w:t>Generalised skin reactions including erythema multiforme, urticaria, prurit</w:t>
            </w:r>
            <w:r w:rsidR="0022317C">
              <w:rPr>
                <w:rFonts w:ascii="Arial" w:eastAsia="MS Mincho" w:hAnsi="Arial" w:cs="Arial"/>
              </w:rPr>
              <w:t>u</w:t>
            </w:r>
            <w:r w:rsidRPr="009E3DAE">
              <w:rPr>
                <w:rFonts w:ascii="Arial" w:eastAsia="MS Mincho" w:hAnsi="Arial" w:cs="Arial"/>
              </w:rPr>
              <w:t>s or non-specific rash.</w:t>
            </w:r>
          </w:p>
        </w:tc>
      </w:tr>
      <w:tr w:rsidR="00115A3F" w:rsidRPr="009E3DAE" w14:paraId="5379F11E" w14:textId="77777777" w:rsidTr="00E13435">
        <w:tc>
          <w:tcPr>
            <w:tcW w:w="9464" w:type="dxa"/>
          </w:tcPr>
          <w:p w14:paraId="424B07E0" w14:textId="77777777" w:rsidR="00115A3F" w:rsidRPr="009E3DAE" w:rsidRDefault="00115A3F" w:rsidP="00E13435">
            <w:pPr>
              <w:spacing w:before="120" w:after="0" w:line="240" w:lineRule="auto"/>
              <w:jc w:val="both"/>
              <w:rPr>
                <w:rFonts w:ascii="Arial" w:eastAsia="MS Mincho" w:hAnsi="Arial" w:cs="Arial"/>
                <w:u w:val="single"/>
              </w:rPr>
            </w:pPr>
            <w:r w:rsidRPr="009E3DAE">
              <w:rPr>
                <w:rFonts w:ascii="Arial" w:eastAsia="MS Mincho" w:hAnsi="Arial" w:cs="Arial"/>
                <w:u w:val="single"/>
              </w:rPr>
              <w:t>Vascular disorders</w:t>
            </w:r>
          </w:p>
        </w:tc>
      </w:tr>
      <w:tr w:rsidR="00115A3F" w:rsidRPr="009E3DAE" w14:paraId="66B2587E" w14:textId="77777777" w:rsidTr="00E13435">
        <w:tc>
          <w:tcPr>
            <w:tcW w:w="9464" w:type="dxa"/>
          </w:tcPr>
          <w:p w14:paraId="0823F673" w14:textId="2F39D928" w:rsidR="00115A3F" w:rsidRPr="009E3DAE" w:rsidRDefault="00115A3F" w:rsidP="00E13435">
            <w:pPr>
              <w:spacing w:before="120" w:after="0" w:line="240" w:lineRule="auto"/>
              <w:jc w:val="both"/>
              <w:rPr>
                <w:rFonts w:ascii="Arial" w:eastAsia="MS Mincho" w:hAnsi="Arial" w:cs="Arial"/>
              </w:rPr>
            </w:pPr>
            <w:r w:rsidRPr="009E3DAE">
              <w:rPr>
                <w:rFonts w:ascii="Arial" w:eastAsia="MS Mincho" w:hAnsi="Arial" w:cs="Arial"/>
              </w:rPr>
              <w:t xml:space="preserve">Vasculitis </w:t>
            </w:r>
            <w:r w:rsidR="00083B1B">
              <w:rPr>
                <w:rFonts w:ascii="Arial" w:eastAsia="MS Mincho" w:hAnsi="Arial" w:cs="Arial"/>
              </w:rPr>
              <w:t xml:space="preserve">which may be associated </w:t>
            </w:r>
            <w:r w:rsidRPr="009E3DAE">
              <w:rPr>
                <w:rFonts w:ascii="Arial" w:eastAsia="MS Mincho" w:hAnsi="Arial" w:cs="Arial"/>
              </w:rPr>
              <w:t>with transient renal involvement.</w:t>
            </w:r>
          </w:p>
        </w:tc>
      </w:tr>
    </w:tbl>
    <w:p w14:paraId="0789FD90" w14:textId="6A8465E1" w:rsidR="00B95EAA" w:rsidRPr="005D183C" w:rsidRDefault="00B95EAA" w:rsidP="00EB7DE8">
      <w:pPr>
        <w:autoSpaceDE w:val="0"/>
        <w:autoSpaceDN w:val="0"/>
        <w:adjustRightInd w:val="0"/>
        <w:spacing w:after="0" w:line="240" w:lineRule="auto"/>
        <w:jc w:val="both"/>
        <w:rPr>
          <w:rFonts w:ascii="Arial" w:hAnsi="Arial" w:cs="Arial"/>
          <w:b/>
          <w:bCs/>
        </w:rPr>
      </w:pPr>
      <w:r w:rsidRPr="005D183C">
        <w:rPr>
          <w:rFonts w:ascii="Arial" w:hAnsi="Arial" w:cs="Arial"/>
          <w:b/>
          <w:bCs/>
        </w:rPr>
        <w:t>Reporting of suspected adverse effects</w:t>
      </w:r>
    </w:p>
    <w:p w14:paraId="53D12579" w14:textId="1DBF82E3" w:rsidR="00381CD9" w:rsidRPr="005D183C" w:rsidRDefault="00B95EAA" w:rsidP="00B95EAA">
      <w:pPr>
        <w:autoSpaceDE w:val="0"/>
        <w:autoSpaceDN w:val="0"/>
        <w:adjustRightInd w:val="0"/>
        <w:spacing w:after="0" w:line="240" w:lineRule="auto"/>
        <w:jc w:val="both"/>
        <w:rPr>
          <w:rFonts w:ascii="Arial" w:hAnsi="Arial" w:cs="Arial"/>
          <w:bCs/>
        </w:rPr>
      </w:pPr>
      <w:r w:rsidRPr="005D183C">
        <w:rPr>
          <w:rFonts w:ascii="Arial" w:hAnsi="Arial" w:cs="Arial"/>
          <w:bCs/>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via at </w:t>
      </w:r>
      <w:r w:rsidRPr="001023F5">
        <w:rPr>
          <w:rFonts w:ascii="Arial" w:hAnsi="Arial" w:cs="Arial"/>
          <w:bCs/>
        </w:rPr>
        <w:t>http://www.tga.gov.au/reporting-probems</w:t>
      </w:r>
    </w:p>
    <w:p w14:paraId="634687FC" w14:textId="2E33BADD" w:rsidR="00381CD9" w:rsidRPr="005D183C" w:rsidRDefault="00381CD9" w:rsidP="00B3087D">
      <w:pPr>
        <w:pStyle w:val="Heading1"/>
        <w:numPr>
          <w:ilvl w:val="1"/>
          <w:numId w:val="14"/>
        </w:numPr>
      </w:pPr>
      <w:r w:rsidRPr="005D183C">
        <w:t>verdose</w:t>
      </w:r>
    </w:p>
    <w:p w14:paraId="3E1F60E5" w14:textId="485F363A" w:rsidR="002E7A3D" w:rsidRPr="005D183C" w:rsidRDefault="00381CD9" w:rsidP="00381CD9">
      <w:pPr>
        <w:autoSpaceDE w:val="0"/>
        <w:autoSpaceDN w:val="0"/>
        <w:adjustRightInd w:val="0"/>
        <w:spacing w:after="0" w:line="240" w:lineRule="auto"/>
        <w:jc w:val="both"/>
        <w:rPr>
          <w:rFonts w:ascii="Arial" w:hAnsi="Arial" w:cs="Arial"/>
          <w:bCs/>
        </w:rPr>
      </w:pPr>
      <w:r w:rsidRPr="005D183C">
        <w:rPr>
          <w:rFonts w:ascii="Arial" w:hAnsi="Arial" w:cs="Arial"/>
          <w:bCs/>
        </w:rPr>
        <w:t xml:space="preserve">There are no data on overdose with </w:t>
      </w:r>
      <w:r w:rsidR="00F36CC2" w:rsidRPr="005D183C">
        <w:rPr>
          <w:rFonts w:ascii="Arial" w:hAnsi="Arial" w:cs="Arial"/>
          <w:bCs/>
        </w:rPr>
        <w:t>Fluad</w:t>
      </w:r>
      <w:r w:rsidR="00B640FB" w:rsidRPr="005D183C">
        <w:rPr>
          <w:rFonts w:ascii="Arial" w:hAnsi="Arial" w:cs="Arial"/>
          <w:vertAlign w:val="superscript"/>
        </w:rPr>
        <w:t>®</w:t>
      </w:r>
      <w:r w:rsidR="00F36CC2" w:rsidRPr="005D183C">
        <w:rPr>
          <w:rFonts w:ascii="Arial" w:hAnsi="Arial" w:cs="Arial"/>
          <w:bCs/>
        </w:rPr>
        <w:t xml:space="preserve"> Quad</w:t>
      </w:r>
      <w:r w:rsidRPr="005D183C">
        <w:rPr>
          <w:rFonts w:ascii="Arial" w:hAnsi="Arial" w:cs="Arial"/>
          <w:bCs/>
        </w:rPr>
        <w:t>.</w:t>
      </w:r>
    </w:p>
    <w:p w14:paraId="0A9994A7" w14:textId="1AC7ECF2" w:rsidR="00B76974" w:rsidRPr="005D183C" w:rsidRDefault="00B76974" w:rsidP="00381CD9">
      <w:pPr>
        <w:autoSpaceDE w:val="0"/>
        <w:autoSpaceDN w:val="0"/>
        <w:adjustRightInd w:val="0"/>
        <w:spacing w:after="0" w:line="240" w:lineRule="auto"/>
        <w:jc w:val="both"/>
        <w:rPr>
          <w:rFonts w:ascii="Arial" w:hAnsi="Arial" w:cs="Arial"/>
          <w:bCs/>
        </w:rPr>
      </w:pPr>
      <w:r w:rsidRPr="005D183C">
        <w:rPr>
          <w:rFonts w:ascii="Arial" w:hAnsi="Arial" w:cs="Arial"/>
          <w:bCs/>
        </w:rPr>
        <w:t>For information on the management of overdose, contact the Poison Information Centre on 131126 (Australia)</w:t>
      </w:r>
      <w:r w:rsidR="007856B7" w:rsidRPr="005D183C">
        <w:rPr>
          <w:rFonts w:ascii="Arial" w:hAnsi="Arial" w:cs="Arial"/>
          <w:bCs/>
        </w:rPr>
        <w:t xml:space="preserve"> and </w:t>
      </w:r>
      <w:r w:rsidR="00C44529">
        <w:rPr>
          <w:rFonts w:ascii="Arial" w:hAnsi="Arial" w:cs="Arial"/>
        </w:rPr>
        <w:t>the New Zealand Poisons Centre on 0800 POISON or 0800 764766 (New Zealand.</w:t>
      </w:r>
    </w:p>
    <w:p w14:paraId="53C37B85" w14:textId="7A7158BA" w:rsidR="0035710B" w:rsidRPr="005D183C" w:rsidRDefault="0035710B" w:rsidP="00B3087D">
      <w:pPr>
        <w:pStyle w:val="Heading1"/>
      </w:pPr>
      <w:r w:rsidRPr="005D183C">
        <w:t>PHARMACOLOGICAL PROP</w:t>
      </w:r>
      <w:r w:rsidR="009B6BE4" w:rsidRPr="005D183C">
        <w:t>E</w:t>
      </w:r>
      <w:r w:rsidRPr="005D183C">
        <w:t>RTIES</w:t>
      </w:r>
    </w:p>
    <w:p w14:paraId="320C87A4" w14:textId="77777777" w:rsidR="00582B86" w:rsidRPr="005D183C" w:rsidRDefault="00582B86" w:rsidP="00B3087D">
      <w:pPr>
        <w:pStyle w:val="Heading1"/>
        <w:numPr>
          <w:ilvl w:val="1"/>
          <w:numId w:val="14"/>
        </w:numPr>
      </w:pPr>
      <w:r w:rsidRPr="005D183C">
        <w:t>Pharmacodynamic Properties</w:t>
      </w:r>
    </w:p>
    <w:p w14:paraId="4736F724" w14:textId="77777777" w:rsidR="00582B86" w:rsidRPr="005D183C" w:rsidRDefault="00582B86" w:rsidP="0035710B">
      <w:pPr>
        <w:autoSpaceDE w:val="0"/>
        <w:autoSpaceDN w:val="0"/>
        <w:adjustRightInd w:val="0"/>
        <w:spacing w:after="0" w:line="240" w:lineRule="auto"/>
        <w:jc w:val="both"/>
        <w:rPr>
          <w:rFonts w:ascii="Arial" w:hAnsi="Arial" w:cs="Arial"/>
          <w:b/>
          <w:bCs/>
        </w:rPr>
      </w:pPr>
      <w:r w:rsidRPr="005D183C">
        <w:rPr>
          <w:rFonts w:ascii="Arial" w:hAnsi="Arial" w:cs="Arial"/>
          <w:b/>
          <w:bCs/>
        </w:rPr>
        <w:t>Mechanism of action</w:t>
      </w:r>
    </w:p>
    <w:p w14:paraId="6FC3844E" w14:textId="6727FD13" w:rsidR="004853B1" w:rsidRDefault="004853B1" w:rsidP="00F45E6C">
      <w:pPr>
        <w:autoSpaceDE w:val="0"/>
        <w:autoSpaceDN w:val="0"/>
        <w:adjustRightInd w:val="0"/>
        <w:spacing w:after="0" w:line="240" w:lineRule="auto"/>
        <w:jc w:val="both"/>
        <w:rPr>
          <w:rFonts w:ascii="Arial" w:hAnsi="Arial" w:cs="Arial"/>
          <w:bCs/>
          <w:lang w:val="en-AU"/>
        </w:rPr>
      </w:pPr>
      <w:r>
        <w:rPr>
          <w:rFonts w:ascii="Arial" w:hAnsi="Arial" w:cs="Arial"/>
          <w:bCs/>
          <w:lang w:val="en-AU"/>
        </w:rPr>
        <w:t>Fluad</w:t>
      </w:r>
      <w:r w:rsidRPr="004853B1">
        <w:rPr>
          <w:rFonts w:ascii="Arial" w:hAnsi="Arial" w:cs="Arial"/>
          <w:bCs/>
          <w:vertAlign w:val="superscript"/>
          <w:lang w:val="en-AU"/>
        </w:rPr>
        <w:t>®</w:t>
      </w:r>
      <w:r>
        <w:rPr>
          <w:rFonts w:ascii="Arial" w:hAnsi="Arial" w:cs="Arial"/>
          <w:bCs/>
          <w:lang w:val="en-AU"/>
        </w:rPr>
        <w:t xml:space="preserve"> Quad </w:t>
      </w:r>
      <w:r w:rsidRPr="005D183C">
        <w:rPr>
          <w:rFonts w:ascii="Arial" w:hAnsi="Arial" w:cs="Arial"/>
          <w:bCs/>
          <w:lang w:val="en-AU"/>
        </w:rPr>
        <w:t xml:space="preserve">provides active immunisation against four influenza virus strains (two A subtypes and two B types) contained in the vaccine. </w:t>
      </w:r>
    </w:p>
    <w:p w14:paraId="2FF40D8B" w14:textId="12867121" w:rsidR="003B00F3" w:rsidRDefault="003B00F3" w:rsidP="003B00F3">
      <w:pPr>
        <w:autoSpaceDE w:val="0"/>
        <w:autoSpaceDN w:val="0"/>
        <w:adjustRightInd w:val="0"/>
        <w:spacing w:after="0" w:line="240" w:lineRule="auto"/>
        <w:jc w:val="both"/>
        <w:rPr>
          <w:rFonts w:ascii="Arial" w:hAnsi="Arial" w:cs="Arial"/>
          <w:bCs/>
          <w:lang w:val="en-AU"/>
        </w:rPr>
      </w:pPr>
      <w:r w:rsidRPr="005D183C">
        <w:rPr>
          <w:rFonts w:ascii="Arial" w:hAnsi="Arial" w:cs="Arial"/>
          <w:bCs/>
          <w:lang w:val="en-AU"/>
        </w:rPr>
        <w:t>Fluad</w:t>
      </w:r>
      <w:r w:rsidRPr="005D183C">
        <w:rPr>
          <w:rFonts w:ascii="Arial" w:hAnsi="Arial" w:cs="Arial"/>
          <w:vertAlign w:val="superscript"/>
        </w:rPr>
        <w:t>®</w:t>
      </w:r>
      <w:r w:rsidRPr="005D183C">
        <w:rPr>
          <w:rFonts w:ascii="Arial" w:hAnsi="Arial" w:cs="Arial"/>
          <w:bCs/>
          <w:lang w:val="en-AU"/>
        </w:rPr>
        <w:t xml:space="preserve"> Quad </w:t>
      </w:r>
      <w:r w:rsidRPr="007D26FF">
        <w:rPr>
          <w:rFonts w:ascii="Arial" w:hAnsi="Arial" w:cs="Arial"/>
          <w:bCs/>
          <w:lang w:val="en-AU"/>
        </w:rPr>
        <w:t>has been shown to evoke antibody responses to the viral surface glycoproteins, haemagglutinin and neuraminidase. These antibodies provide protection against clinical illness in a high proportion of vaccine</w:t>
      </w:r>
      <w:r w:rsidR="00B01C86">
        <w:rPr>
          <w:rFonts w:ascii="Arial" w:hAnsi="Arial" w:cs="Arial"/>
          <w:bCs/>
          <w:lang w:val="en-AU"/>
        </w:rPr>
        <w:t xml:space="preserve"> recipients</w:t>
      </w:r>
      <w:r w:rsidRPr="007D26FF">
        <w:rPr>
          <w:rFonts w:ascii="Arial" w:hAnsi="Arial" w:cs="Arial"/>
          <w:bCs/>
          <w:lang w:val="en-AU"/>
        </w:rPr>
        <w:t>.</w:t>
      </w:r>
      <w:r>
        <w:rPr>
          <w:rFonts w:ascii="Arial" w:hAnsi="Arial" w:cs="Arial"/>
          <w:bCs/>
          <w:lang w:val="en-AU"/>
        </w:rPr>
        <w:t xml:space="preserve"> </w:t>
      </w:r>
    </w:p>
    <w:p w14:paraId="1DCFD0FA" w14:textId="74082C14" w:rsidR="001710DF" w:rsidRPr="00471978" w:rsidRDefault="007704ED" w:rsidP="005569D9">
      <w:pPr>
        <w:autoSpaceDE w:val="0"/>
        <w:autoSpaceDN w:val="0"/>
        <w:adjustRightInd w:val="0"/>
        <w:spacing w:after="0" w:line="240" w:lineRule="auto"/>
        <w:jc w:val="both"/>
        <w:rPr>
          <w:rFonts w:ascii="Arial" w:hAnsi="Arial" w:cs="Arial"/>
          <w:bCs/>
        </w:rPr>
      </w:pPr>
      <w:r w:rsidRPr="005569D9">
        <w:rPr>
          <w:rFonts w:ascii="Arial" w:hAnsi="Arial" w:cs="Arial"/>
          <w:bCs/>
        </w:rPr>
        <w:t>The antibody response to Fluad</w:t>
      </w:r>
      <w:r w:rsidRPr="005569D9">
        <w:rPr>
          <w:rFonts w:ascii="Calibri" w:hAnsi="Calibri" w:cs="Calibri"/>
          <w:bCs/>
        </w:rPr>
        <w:t>®</w:t>
      </w:r>
      <w:r w:rsidRPr="005569D9">
        <w:rPr>
          <w:rFonts w:ascii="Arial" w:hAnsi="Arial" w:cs="Arial"/>
          <w:bCs/>
        </w:rPr>
        <w:t xml:space="preserve"> Quad </w:t>
      </w:r>
      <w:r w:rsidR="00F57148" w:rsidRPr="005569D9">
        <w:rPr>
          <w:rFonts w:ascii="Arial" w:hAnsi="Arial" w:cs="Arial"/>
          <w:bCs/>
        </w:rPr>
        <w:t>is similar to Fluad</w:t>
      </w:r>
      <w:r w:rsidR="00F57148" w:rsidRPr="005569D9">
        <w:rPr>
          <w:rFonts w:ascii="Arial" w:hAnsi="Arial" w:cs="Arial"/>
          <w:bCs/>
          <w:vertAlign w:val="superscript"/>
        </w:rPr>
        <w:t>®</w:t>
      </w:r>
      <w:r w:rsidR="00F57148" w:rsidRPr="005569D9">
        <w:rPr>
          <w:rFonts w:ascii="Arial" w:hAnsi="Arial" w:cs="Arial"/>
          <w:bCs/>
        </w:rPr>
        <w:t xml:space="preserve"> </w:t>
      </w:r>
      <w:r w:rsidR="005569D9" w:rsidRPr="005569D9">
        <w:rPr>
          <w:rFonts w:ascii="Arial" w:hAnsi="Arial" w:cs="Arial"/>
          <w:bCs/>
        </w:rPr>
        <w:t xml:space="preserve">which </w:t>
      </w:r>
      <w:r w:rsidRPr="005569D9">
        <w:rPr>
          <w:rFonts w:ascii="Arial" w:hAnsi="Arial" w:cs="Arial"/>
          <w:bCs/>
        </w:rPr>
        <w:t>is increased when compared to the response to vaccines without adjuvant,</w:t>
      </w:r>
      <w:r w:rsidRPr="00471978">
        <w:rPr>
          <w:rFonts w:ascii="Arial" w:hAnsi="Arial" w:cs="Arial"/>
          <w:bCs/>
        </w:rPr>
        <w:t xml:space="preserve"> and is most pronounced for A/H3N2 influenza</w:t>
      </w:r>
      <w:r>
        <w:rPr>
          <w:rFonts w:ascii="Arial" w:hAnsi="Arial" w:cs="Arial"/>
          <w:bCs/>
        </w:rPr>
        <w:t xml:space="preserve"> </w:t>
      </w:r>
      <w:r w:rsidRPr="00471978">
        <w:rPr>
          <w:rFonts w:ascii="Arial" w:hAnsi="Arial" w:cs="Arial"/>
          <w:bCs/>
        </w:rPr>
        <w:t xml:space="preserve">antigens. This increased response is even more pronounced in </w:t>
      </w:r>
      <w:r w:rsidR="0063606B">
        <w:rPr>
          <w:rFonts w:ascii="Arial" w:hAnsi="Arial" w:cs="Arial"/>
          <w:bCs/>
        </w:rPr>
        <w:t xml:space="preserve">subjects </w:t>
      </w:r>
      <w:r>
        <w:rPr>
          <w:rFonts w:ascii="Arial" w:hAnsi="Arial" w:cs="Arial"/>
          <w:bCs/>
        </w:rPr>
        <w:t>65 years of age and older.</w:t>
      </w:r>
      <w:r w:rsidR="005569D9">
        <w:rPr>
          <w:rFonts w:ascii="Arial" w:hAnsi="Arial" w:cs="Arial"/>
          <w:bCs/>
        </w:rPr>
        <w:t xml:space="preserve"> </w:t>
      </w:r>
      <w:r w:rsidR="002D60EC" w:rsidRPr="002D60EC">
        <w:rPr>
          <w:rFonts w:ascii="Arial" w:hAnsi="Arial" w:cs="Arial"/>
          <w:bCs/>
        </w:rPr>
        <w:t>The inclusion of the second B strain in Fluad</w:t>
      </w:r>
      <w:r w:rsidR="002D60EC" w:rsidRPr="002D60EC">
        <w:rPr>
          <w:rFonts w:ascii="Arial" w:hAnsi="Arial" w:cs="Arial"/>
          <w:bCs/>
          <w:vertAlign w:val="superscript"/>
        </w:rPr>
        <w:t>®</w:t>
      </w:r>
      <w:r w:rsidR="002D60EC" w:rsidRPr="002D60EC">
        <w:rPr>
          <w:rFonts w:ascii="Arial" w:hAnsi="Arial" w:cs="Arial"/>
          <w:bCs/>
        </w:rPr>
        <w:t xml:space="preserve"> Quad also provides additional benefit compared to Fluad</w:t>
      </w:r>
      <w:r w:rsidR="00E436A7" w:rsidRPr="00E436A7">
        <w:rPr>
          <w:rFonts w:ascii="Arial" w:hAnsi="Arial" w:cs="Arial"/>
          <w:bCs/>
          <w:vertAlign w:val="superscript"/>
        </w:rPr>
        <w:t>®</w:t>
      </w:r>
      <w:r w:rsidR="005569D9" w:rsidRPr="001710DF">
        <w:rPr>
          <w:rFonts w:ascii="Arial" w:hAnsi="Arial" w:cs="Arial"/>
          <w:bCs/>
        </w:rPr>
        <w:t>.</w:t>
      </w:r>
    </w:p>
    <w:p w14:paraId="21294A0F" w14:textId="68EDF1C5" w:rsidR="008C0F14" w:rsidRDefault="00CC32FE" w:rsidP="00F45E6C">
      <w:pPr>
        <w:autoSpaceDE w:val="0"/>
        <w:autoSpaceDN w:val="0"/>
        <w:adjustRightInd w:val="0"/>
        <w:spacing w:after="0" w:line="240" w:lineRule="auto"/>
        <w:jc w:val="both"/>
        <w:rPr>
          <w:rFonts w:ascii="Arial" w:hAnsi="Arial" w:cs="Arial"/>
          <w:bCs/>
          <w:lang w:val="en-AU"/>
        </w:rPr>
      </w:pPr>
      <w:r w:rsidRPr="00045210">
        <w:rPr>
          <w:rFonts w:ascii="Arial" w:hAnsi="Arial" w:cs="Arial"/>
          <w:bCs/>
          <w:lang w:val="en-AU"/>
        </w:rPr>
        <w:lastRenderedPageBreak/>
        <w:t xml:space="preserve">The adjuvant </w:t>
      </w:r>
      <w:r w:rsidR="008C0F14" w:rsidRPr="00045210">
        <w:rPr>
          <w:rFonts w:ascii="Arial" w:hAnsi="Arial" w:cs="Arial"/>
          <w:bCs/>
          <w:lang w:val="en-AU"/>
        </w:rPr>
        <w:t>MF59 broadens the overall immune response allowing the vaccine to offer greater protection against heterologous strains of the virus. This may be important when there is a mismatch between the virus strains included in the vaccine and the strains circulating in the community. The antibody response is increased when compared to the response to non-adjuvanted Inactivated Influenza Vaccine. This increased response is seen particularly in elderly subjects with low pre-immunisation titres and/or with underlying diseases (diabetes, cardiovascular and respiratory diseases) who are at increased risk of complications of influenza infection.</w:t>
      </w:r>
    </w:p>
    <w:p w14:paraId="370DA974" w14:textId="373F1A6B" w:rsidR="007704ED" w:rsidRDefault="004151CD" w:rsidP="009A19A7">
      <w:pPr>
        <w:autoSpaceDE w:val="0"/>
        <w:autoSpaceDN w:val="0"/>
        <w:adjustRightInd w:val="0"/>
        <w:spacing w:after="0" w:line="240" w:lineRule="auto"/>
        <w:jc w:val="both"/>
        <w:rPr>
          <w:rFonts w:ascii="Arial" w:hAnsi="Arial" w:cs="Arial"/>
          <w:bCs/>
          <w:lang w:val="en-AU"/>
        </w:rPr>
      </w:pPr>
      <w:r w:rsidRPr="004151CD">
        <w:rPr>
          <w:rFonts w:ascii="Arial" w:hAnsi="Arial" w:cs="Arial"/>
          <w:bCs/>
          <w:lang w:val="en-AU"/>
        </w:rPr>
        <w:t>Specific levels of haemagglutination inhibition (HI) antibody titres post-vaccination with inactivated influenza vaccine have not been correlated with protection from influenza virus. In some human studies in adults, antibody titres of 1:40 or greater have been associated with protection from influenza illness in up to 50% of subjects</w:t>
      </w:r>
      <w:r w:rsidR="00B3087D">
        <w:rPr>
          <w:rFonts w:ascii="Arial" w:hAnsi="Arial" w:cs="Arial"/>
          <w:bCs/>
          <w:lang w:val="en-AU"/>
        </w:rPr>
        <w:t>.</w:t>
      </w:r>
    </w:p>
    <w:p w14:paraId="56AB4329" w14:textId="27CD9E96" w:rsidR="009A19A7" w:rsidRDefault="009A19A7" w:rsidP="009A19A7">
      <w:pPr>
        <w:autoSpaceDE w:val="0"/>
        <w:autoSpaceDN w:val="0"/>
        <w:adjustRightInd w:val="0"/>
        <w:spacing w:after="0" w:line="240" w:lineRule="auto"/>
        <w:jc w:val="both"/>
        <w:rPr>
          <w:rFonts w:ascii="Arial" w:hAnsi="Arial" w:cs="Arial"/>
          <w:bCs/>
          <w:lang w:val="en-AU"/>
        </w:rPr>
      </w:pPr>
      <w:r w:rsidRPr="005D183C">
        <w:rPr>
          <w:rFonts w:ascii="Arial" w:hAnsi="Arial" w:cs="Arial"/>
          <w:bCs/>
          <w:lang w:val="en-AU"/>
        </w:rPr>
        <w:t>Antibody against a specific influenza virus type or subtype confers limited or no protection against another.  Furthermore, antibody to a specific antigenic variant of influenza virus might not protect against a new antigenic varian</w:t>
      </w:r>
      <w:r w:rsidR="00B3087D">
        <w:rPr>
          <w:rFonts w:ascii="Arial" w:hAnsi="Arial" w:cs="Arial"/>
          <w:bCs/>
          <w:lang w:val="en-AU"/>
        </w:rPr>
        <w:t>t of the same type or subtype.</w:t>
      </w:r>
    </w:p>
    <w:p w14:paraId="613E607A" w14:textId="22C0F2A7" w:rsidR="00A35CD9" w:rsidRPr="005D183C" w:rsidRDefault="00A35CD9" w:rsidP="009A19A7">
      <w:pPr>
        <w:autoSpaceDE w:val="0"/>
        <w:autoSpaceDN w:val="0"/>
        <w:adjustRightInd w:val="0"/>
        <w:spacing w:after="0" w:line="240" w:lineRule="auto"/>
        <w:jc w:val="both"/>
        <w:rPr>
          <w:rFonts w:ascii="Arial" w:hAnsi="Arial" w:cs="Arial"/>
          <w:bCs/>
          <w:lang w:val="en-AU"/>
        </w:rPr>
      </w:pPr>
      <w:r w:rsidRPr="00A35CD9">
        <w:rPr>
          <w:rFonts w:ascii="Arial" w:hAnsi="Arial" w:cs="Arial"/>
          <w:bCs/>
          <w:lang w:val="en-AU"/>
        </w:rPr>
        <w:t>The addition of the squalene-based MF59 oil-in-water emulsion adjuvant in Fluad</w:t>
      </w:r>
      <w:r w:rsidRPr="00A35CD9">
        <w:rPr>
          <w:rFonts w:ascii="Arial" w:hAnsi="Arial" w:cs="Arial"/>
          <w:bCs/>
          <w:vertAlign w:val="superscript"/>
          <w:lang w:val="en-AU"/>
        </w:rPr>
        <w:t>®</w:t>
      </w:r>
      <w:r w:rsidRPr="00A35CD9">
        <w:rPr>
          <w:rFonts w:ascii="Arial" w:hAnsi="Arial" w:cs="Arial"/>
          <w:bCs/>
          <w:lang w:val="en-AU"/>
        </w:rPr>
        <w:t xml:space="preserve"> Quad leads to enhanced antigen uptake by recruiting immune cells at the injection site and differentiating into antigen presenting cells. This results in an increased magnitude, breadth and persistence of the immune response through the duration of the influenza season compared with non-adjuvanted influenza vaccines.</w:t>
      </w:r>
    </w:p>
    <w:p w14:paraId="063E81B0" w14:textId="77777777" w:rsidR="001B575A" w:rsidRPr="005D183C" w:rsidRDefault="001B575A" w:rsidP="001B575A">
      <w:pPr>
        <w:autoSpaceDE w:val="0"/>
        <w:autoSpaceDN w:val="0"/>
        <w:adjustRightInd w:val="0"/>
        <w:spacing w:after="0" w:line="240" w:lineRule="auto"/>
        <w:jc w:val="both"/>
        <w:rPr>
          <w:rFonts w:ascii="Arial" w:hAnsi="Arial" w:cs="Arial"/>
          <w:bCs/>
        </w:rPr>
      </w:pPr>
      <w:r w:rsidRPr="005D183C">
        <w:rPr>
          <w:rFonts w:ascii="Arial" w:hAnsi="Arial" w:cs="Arial"/>
          <w:bCs/>
        </w:rPr>
        <w:t>Annual revaccination is recommended because immunity declines during the year after vaccination and circulating strains of influenza virus change from year to year.</w:t>
      </w:r>
    </w:p>
    <w:p w14:paraId="0BEE6012" w14:textId="77777777" w:rsidR="00582B86" w:rsidRPr="005D183C" w:rsidRDefault="00582B86" w:rsidP="0035710B">
      <w:pPr>
        <w:autoSpaceDE w:val="0"/>
        <w:autoSpaceDN w:val="0"/>
        <w:adjustRightInd w:val="0"/>
        <w:spacing w:after="0" w:line="240" w:lineRule="auto"/>
        <w:jc w:val="both"/>
        <w:rPr>
          <w:rFonts w:ascii="Arial" w:hAnsi="Arial" w:cs="Arial"/>
          <w:b/>
          <w:bCs/>
        </w:rPr>
      </w:pPr>
      <w:r w:rsidRPr="005D183C">
        <w:rPr>
          <w:rFonts w:ascii="Arial" w:hAnsi="Arial" w:cs="Arial"/>
          <w:b/>
          <w:bCs/>
        </w:rPr>
        <w:t>Clinical trials</w:t>
      </w:r>
    </w:p>
    <w:p w14:paraId="3570C681" w14:textId="77777777" w:rsidR="00C91C9D" w:rsidRPr="005D183C" w:rsidRDefault="00C91C9D" w:rsidP="00C91C9D">
      <w:pPr>
        <w:autoSpaceDE w:val="0"/>
        <w:autoSpaceDN w:val="0"/>
        <w:adjustRightInd w:val="0"/>
        <w:spacing w:after="0" w:line="240" w:lineRule="auto"/>
        <w:jc w:val="both"/>
        <w:rPr>
          <w:rFonts w:ascii="Arial" w:hAnsi="Arial" w:cs="Arial"/>
          <w:bCs/>
          <w:u w:val="single"/>
        </w:rPr>
      </w:pPr>
      <w:r w:rsidRPr="005D183C">
        <w:rPr>
          <w:rFonts w:ascii="Arial" w:hAnsi="Arial" w:cs="Arial"/>
          <w:bCs/>
          <w:u w:val="single"/>
        </w:rPr>
        <w:t>Immunogenicity</w:t>
      </w:r>
    </w:p>
    <w:p w14:paraId="2BA2D6E1" w14:textId="06DCE85C" w:rsidR="004577EB" w:rsidRPr="005D183C" w:rsidRDefault="009450B4" w:rsidP="004577EB">
      <w:pPr>
        <w:autoSpaceDE w:val="0"/>
        <w:autoSpaceDN w:val="0"/>
        <w:adjustRightInd w:val="0"/>
        <w:spacing w:after="0" w:line="240" w:lineRule="auto"/>
        <w:jc w:val="both"/>
        <w:rPr>
          <w:rFonts w:ascii="Arial" w:hAnsi="Arial" w:cs="Arial"/>
          <w:bCs/>
        </w:rPr>
      </w:pPr>
      <w:r w:rsidRPr="005D183C">
        <w:rPr>
          <w:rFonts w:ascii="Arial" w:hAnsi="Arial" w:cs="Arial"/>
          <w:bCs/>
        </w:rPr>
        <w:t>The i</w:t>
      </w:r>
      <w:r w:rsidR="004577EB" w:rsidRPr="005D183C">
        <w:rPr>
          <w:rFonts w:ascii="Arial" w:hAnsi="Arial" w:cs="Arial"/>
          <w:bCs/>
        </w:rPr>
        <w:t xml:space="preserve">mmunogenicity of </w:t>
      </w:r>
      <w:r w:rsidR="00F36CC2" w:rsidRPr="005D183C">
        <w:rPr>
          <w:rFonts w:ascii="Arial" w:hAnsi="Arial" w:cs="Arial"/>
          <w:bCs/>
        </w:rPr>
        <w:t>Fluad</w:t>
      </w:r>
      <w:r w:rsidR="00B640FB" w:rsidRPr="005D183C">
        <w:rPr>
          <w:rFonts w:ascii="Arial" w:hAnsi="Arial" w:cs="Arial"/>
          <w:vertAlign w:val="superscript"/>
        </w:rPr>
        <w:t>®</w:t>
      </w:r>
      <w:r w:rsidR="00F36CC2" w:rsidRPr="005D183C">
        <w:rPr>
          <w:rFonts w:ascii="Arial" w:hAnsi="Arial" w:cs="Arial"/>
          <w:bCs/>
        </w:rPr>
        <w:t xml:space="preserve"> Quad</w:t>
      </w:r>
      <w:r w:rsidR="004577EB" w:rsidRPr="005D183C">
        <w:rPr>
          <w:rFonts w:ascii="Arial" w:hAnsi="Arial" w:cs="Arial"/>
          <w:bCs/>
        </w:rPr>
        <w:t xml:space="preserve"> was evaluated in clinical study V118_20, a multi-cent</w:t>
      </w:r>
      <w:r w:rsidR="00CA521F">
        <w:rPr>
          <w:rFonts w:ascii="Arial" w:hAnsi="Arial" w:cs="Arial"/>
          <w:bCs/>
        </w:rPr>
        <w:t>r</w:t>
      </w:r>
      <w:r w:rsidR="004577EB" w:rsidRPr="005D183C">
        <w:rPr>
          <w:rFonts w:ascii="Arial" w:hAnsi="Arial" w:cs="Arial"/>
          <w:bCs/>
        </w:rPr>
        <w:t xml:space="preserve">e, randomised, double-blind, </w:t>
      </w:r>
      <w:r w:rsidRPr="005D183C">
        <w:rPr>
          <w:rFonts w:ascii="Arial" w:hAnsi="Arial" w:cs="Arial"/>
          <w:bCs/>
        </w:rPr>
        <w:t xml:space="preserve">non-inferiority, </w:t>
      </w:r>
      <w:r w:rsidR="004577EB" w:rsidRPr="005D183C">
        <w:rPr>
          <w:rFonts w:ascii="Arial" w:hAnsi="Arial" w:cs="Arial"/>
          <w:bCs/>
        </w:rPr>
        <w:t xml:space="preserve">comparator controlled study conducted in </w:t>
      </w:r>
      <w:r w:rsidR="00162602" w:rsidRPr="00C8432A">
        <w:rPr>
          <w:rFonts w:ascii="Arial" w:hAnsi="Arial" w:cs="Arial"/>
          <w:bCs/>
        </w:rPr>
        <w:t>subjects 65 years of age and older in</w:t>
      </w:r>
      <w:r w:rsidR="00162602">
        <w:rPr>
          <w:rFonts w:ascii="Arial" w:hAnsi="Arial" w:cs="Arial"/>
          <w:bCs/>
        </w:rPr>
        <w:t xml:space="preserve"> </w:t>
      </w:r>
      <w:r w:rsidR="004577EB" w:rsidRPr="005D183C">
        <w:rPr>
          <w:rFonts w:ascii="Arial" w:hAnsi="Arial" w:cs="Arial"/>
          <w:bCs/>
        </w:rPr>
        <w:t xml:space="preserve">the 2017-18 Northern Hemisphere influenza season. In this study, </w:t>
      </w:r>
      <w:r w:rsidR="002757BE">
        <w:rPr>
          <w:rFonts w:ascii="Arial" w:hAnsi="Arial" w:cs="Arial"/>
          <w:bCs/>
        </w:rPr>
        <w:t>888</w:t>
      </w:r>
      <w:r w:rsidR="00EE4810">
        <w:rPr>
          <w:rFonts w:ascii="Arial" w:hAnsi="Arial" w:cs="Arial"/>
          <w:bCs/>
        </w:rPr>
        <w:t xml:space="preserve"> </w:t>
      </w:r>
      <w:r w:rsidR="004577EB" w:rsidRPr="005D183C">
        <w:rPr>
          <w:rFonts w:ascii="Arial" w:hAnsi="Arial" w:cs="Arial"/>
          <w:bCs/>
        </w:rPr>
        <w:t>receive</w:t>
      </w:r>
      <w:r w:rsidR="002757BE">
        <w:rPr>
          <w:rFonts w:ascii="Arial" w:hAnsi="Arial" w:cs="Arial"/>
          <w:bCs/>
        </w:rPr>
        <w:t>d</w:t>
      </w:r>
      <w:r w:rsidR="004577EB" w:rsidRPr="005D183C">
        <w:rPr>
          <w:rFonts w:ascii="Arial" w:hAnsi="Arial" w:cs="Arial"/>
          <w:bCs/>
        </w:rPr>
        <w:t xml:space="preserve"> </w:t>
      </w:r>
      <w:r w:rsidR="00F36CC2" w:rsidRPr="005D183C">
        <w:rPr>
          <w:rFonts w:ascii="Arial" w:hAnsi="Arial" w:cs="Arial"/>
          <w:bCs/>
        </w:rPr>
        <w:t>Fluad</w:t>
      </w:r>
      <w:r w:rsidR="00B640FB" w:rsidRPr="005D183C">
        <w:rPr>
          <w:rFonts w:ascii="Arial" w:hAnsi="Arial" w:cs="Arial"/>
          <w:vertAlign w:val="superscript"/>
        </w:rPr>
        <w:t>®</w:t>
      </w:r>
      <w:r w:rsidR="00F36CC2" w:rsidRPr="005D183C">
        <w:rPr>
          <w:rFonts w:ascii="Arial" w:hAnsi="Arial" w:cs="Arial"/>
          <w:bCs/>
        </w:rPr>
        <w:t xml:space="preserve"> Quad</w:t>
      </w:r>
      <w:r w:rsidR="004577EB" w:rsidRPr="005D183C">
        <w:rPr>
          <w:rFonts w:ascii="Arial" w:hAnsi="Arial" w:cs="Arial"/>
          <w:bCs/>
        </w:rPr>
        <w:t xml:space="preserve">, </w:t>
      </w:r>
      <w:r w:rsidR="002757BE">
        <w:rPr>
          <w:rFonts w:ascii="Arial" w:hAnsi="Arial" w:cs="Arial"/>
          <w:bCs/>
        </w:rPr>
        <w:t>444 subjects received the</w:t>
      </w:r>
      <w:r w:rsidR="008C1420">
        <w:rPr>
          <w:rFonts w:ascii="Arial" w:hAnsi="Arial" w:cs="Arial"/>
          <w:bCs/>
        </w:rPr>
        <w:t xml:space="preserve"> </w:t>
      </w:r>
      <w:r w:rsidR="008D4518" w:rsidRPr="00045210">
        <w:rPr>
          <w:rFonts w:ascii="Arial" w:hAnsi="Arial" w:cs="Arial"/>
          <w:bCs/>
        </w:rPr>
        <w:t>licensed</w:t>
      </w:r>
      <w:r w:rsidR="008C1420" w:rsidRPr="00045210">
        <w:rPr>
          <w:rFonts w:ascii="Arial" w:hAnsi="Arial" w:cs="Arial"/>
          <w:bCs/>
        </w:rPr>
        <w:t xml:space="preserve"> </w:t>
      </w:r>
      <w:r w:rsidR="004577EB" w:rsidRPr="00045210">
        <w:rPr>
          <w:rFonts w:ascii="Arial" w:hAnsi="Arial" w:cs="Arial"/>
          <w:bCs/>
        </w:rPr>
        <w:t>trivalent</w:t>
      </w:r>
      <w:r w:rsidR="004577EB" w:rsidRPr="005D183C">
        <w:rPr>
          <w:rFonts w:ascii="Arial" w:hAnsi="Arial" w:cs="Arial"/>
          <w:bCs/>
        </w:rPr>
        <w:t xml:space="preserve"> influenza vaccine (</w:t>
      </w:r>
      <w:r w:rsidR="00300E85" w:rsidRPr="005D183C">
        <w:rPr>
          <w:rFonts w:ascii="Arial" w:hAnsi="Arial" w:cs="Arial"/>
          <w:bCs/>
        </w:rPr>
        <w:t>Fluad</w:t>
      </w:r>
      <w:r w:rsidR="00B640FB" w:rsidRPr="005D183C">
        <w:rPr>
          <w:rFonts w:ascii="Arial" w:hAnsi="Arial" w:cs="Arial"/>
          <w:vertAlign w:val="superscript"/>
        </w:rPr>
        <w:t>®</w:t>
      </w:r>
      <w:r w:rsidR="004577EB" w:rsidRPr="005D183C">
        <w:rPr>
          <w:rFonts w:ascii="Arial" w:hAnsi="Arial" w:cs="Arial"/>
          <w:bCs/>
        </w:rPr>
        <w:t>, aTIV-1)</w:t>
      </w:r>
      <w:r w:rsidR="00EE4810">
        <w:rPr>
          <w:rFonts w:ascii="Arial" w:hAnsi="Arial" w:cs="Arial"/>
          <w:bCs/>
        </w:rPr>
        <w:t xml:space="preserve"> </w:t>
      </w:r>
      <w:r w:rsidR="002757BE">
        <w:rPr>
          <w:rFonts w:ascii="Arial" w:hAnsi="Arial" w:cs="Arial"/>
          <w:bCs/>
        </w:rPr>
        <w:t>and 444 subjects received</w:t>
      </w:r>
      <w:r w:rsidR="004577EB" w:rsidRPr="005D183C">
        <w:rPr>
          <w:rFonts w:ascii="Arial" w:hAnsi="Arial" w:cs="Arial"/>
          <w:bCs/>
        </w:rPr>
        <w:t xml:space="preserve"> an adjuvanted trivalent influenza vaccine containing the alternative B strain (a-TIV-2)</w:t>
      </w:r>
      <w:r w:rsidR="002757BE">
        <w:rPr>
          <w:rFonts w:ascii="Arial" w:hAnsi="Arial" w:cs="Arial"/>
          <w:bCs/>
        </w:rPr>
        <w:t>.</w:t>
      </w:r>
      <w:r w:rsidR="002757BE" w:rsidRPr="00EE4810" w:rsidDel="002757BE">
        <w:rPr>
          <w:rFonts w:ascii="Arial" w:hAnsi="Arial" w:cs="Arial"/>
          <w:bCs/>
        </w:rPr>
        <w:t xml:space="preserve"> </w:t>
      </w:r>
    </w:p>
    <w:p w14:paraId="060D593D" w14:textId="16E369E5" w:rsidR="004577EB" w:rsidRPr="005D183C" w:rsidRDefault="004577EB" w:rsidP="004577EB">
      <w:pPr>
        <w:autoSpaceDE w:val="0"/>
        <w:autoSpaceDN w:val="0"/>
        <w:adjustRightInd w:val="0"/>
        <w:spacing w:after="0" w:line="240" w:lineRule="auto"/>
        <w:jc w:val="both"/>
        <w:rPr>
          <w:rFonts w:ascii="Arial" w:hAnsi="Arial" w:cs="Arial"/>
          <w:bCs/>
        </w:rPr>
      </w:pPr>
      <w:r w:rsidRPr="005D183C">
        <w:rPr>
          <w:rFonts w:ascii="Arial" w:hAnsi="Arial" w:cs="Arial"/>
          <w:bCs/>
        </w:rPr>
        <w:t xml:space="preserve">The per protocol immunogenicity set included a total of 1741 subjects:  </w:t>
      </w:r>
      <w:r w:rsidR="00F36CC2" w:rsidRPr="005D183C">
        <w:rPr>
          <w:rFonts w:ascii="Arial" w:hAnsi="Arial" w:cs="Arial"/>
          <w:bCs/>
        </w:rPr>
        <w:t>Fluad</w:t>
      </w:r>
      <w:r w:rsidR="00B640FB" w:rsidRPr="005D183C">
        <w:rPr>
          <w:rFonts w:ascii="Arial" w:hAnsi="Arial" w:cs="Arial"/>
          <w:vertAlign w:val="superscript"/>
        </w:rPr>
        <w:t>®</w:t>
      </w:r>
      <w:r w:rsidR="00F36CC2" w:rsidRPr="005D183C">
        <w:rPr>
          <w:rFonts w:ascii="Arial" w:hAnsi="Arial" w:cs="Arial"/>
          <w:bCs/>
        </w:rPr>
        <w:t xml:space="preserve"> Quad</w:t>
      </w:r>
      <w:r w:rsidR="00305BD8" w:rsidRPr="005D183C">
        <w:rPr>
          <w:rFonts w:ascii="Arial" w:hAnsi="Arial" w:cs="Arial"/>
          <w:bCs/>
        </w:rPr>
        <w:t xml:space="preserve"> (N=872), </w:t>
      </w:r>
      <w:r w:rsidR="007F05E6">
        <w:rPr>
          <w:rFonts w:ascii="Arial" w:hAnsi="Arial" w:cs="Arial"/>
          <w:bCs/>
        </w:rPr>
        <w:t>Fluad</w:t>
      </w:r>
      <w:r w:rsidR="007F05E6" w:rsidRPr="007F05E6">
        <w:rPr>
          <w:rFonts w:ascii="Arial" w:hAnsi="Arial" w:cs="Arial"/>
          <w:bCs/>
          <w:vertAlign w:val="superscript"/>
        </w:rPr>
        <w:t>®</w:t>
      </w:r>
      <w:r w:rsidRPr="005D183C">
        <w:rPr>
          <w:rFonts w:ascii="Arial" w:hAnsi="Arial" w:cs="Arial"/>
          <w:bCs/>
        </w:rPr>
        <w:t xml:space="preserve"> (N=436) and aTIV-2 (N=433). In the per protocol set, the mean age of subjects at enrolment who received </w:t>
      </w:r>
      <w:r w:rsidR="00F36CC2" w:rsidRPr="005D183C">
        <w:rPr>
          <w:rFonts w:ascii="Arial" w:hAnsi="Arial" w:cs="Arial"/>
          <w:bCs/>
        </w:rPr>
        <w:t>Fluad</w:t>
      </w:r>
      <w:r w:rsidR="00B640FB" w:rsidRPr="005D183C">
        <w:rPr>
          <w:rFonts w:ascii="Arial" w:hAnsi="Arial" w:cs="Arial"/>
          <w:vertAlign w:val="superscript"/>
        </w:rPr>
        <w:t>®</w:t>
      </w:r>
      <w:r w:rsidR="00F36CC2" w:rsidRPr="005D183C">
        <w:rPr>
          <w:rFonts w:ascii="Arial" w:hAnsi="Arial" w:cs="Arial"/>
          <w:bCs/>
        </w:rPr>
        <w:t xml:space="preserve"> Quad</w:t>
      </w:r>
      <w:r w:rsidR="00305BD8" w:rsidRPr="005D183C">
        <w:rPr>
          <w:rFonts w:ascii="Arial" w:hAnsi="Arial" w:cs="Arial"/>
          <w:bCs/>
        </w:rPr>
        <w:t xml:space="preserve"> </w:t>
      </w:r>
      <w:r w:rsidR="00C44529">
        <w:rPr>
          <w:rFonts w:ascii="Arial" w:hAnsi="Arial" w:cs="Arial"/>
          <w:bCs/>
        </w:rPr>
        <w:t>was 72.4 years.</w:t>
      </w:r>
    </w:p>
    <w:p w14:paraId="336A6CA9" w14:textId="7AEF9CE1" w:rsidR="004318B2" w:rsidRDefault="008C1420" w:rsidP="0031784E">
      <w:pPr>
        <w:autoSpaceDE w:val="0"/>
        <w:autoSpaceDN w:val="0"/>
        <w:adjustRightInd w:val="0"/>
        <w:spacing w:after="0" w:line="240" w:lineRule="auto"/>
        <w:jc w:val="both"/>
        <w:rPr>
          <w:rFonts w:ascii="Arial" w:hAnsi="Arial" w:cs="Arial"/>
          <w:bCs/>
        </w:rPr>
      </w:pPr>
      <w:r>
        <w:rPr>
          <w:rFonts w:ascii="Arial" w:hAnsi="Arial" w:cs="Arial"/>
          <w:bCs/>
        </w:rPr>
        <w:t>N</w:t>
      </w:r>
      <w:r w:rsidR="004318B2">
        <w:rPr>
          <w:rFonts w:ascii="Arial" w:hAnsi="Arial" w:cs="Arial"/>
          <w:bCs/>
        </w:rPr>
        <w:t>on-inferior</w:t>
      </w:r>
      <w:r>
        <w:rPr>
          <w:rFonts w:ascii="Arial" w:hAnsi="Arial" w:cs="Arial"/>
          <w:bCs/>
        </w:rPr>
        <w:t>ity of the</w:t>
      </w:r>
      <w:r w:rsidR="004318B2">
        <w:rPr>
          <w:rFonts w:ascii="Arial" w:hAnsi="Arial" w:cs="Arial"/>
          <w:bCs/>
        </w:rPr>
        <w:t xml:space="preserve"> </w:t>
      </w:r>
      <w:r w:rsidR="004318B2" w:rsidRPr="00C134E4">
        <w:rPr>
          <w:rFonts w:ascii="Arial" w:hAnsi="Arial" w:cs="Arial"/>
          <w:bCs/>
        </w:rPr>
        <w:t xml:space="preserve">immune response </w:t>
      </w:r>
      <w:r w:rsidR="004318B2">
        <w:rPr>
          <w:rFonts w:ascii="Arial" w:hAnsi="Arial" w:cs="Arial"/>
          <w:bCs/>
        </w:rPr>
        <w:t>of Fluad</w:t>
      </w:r>
      <w:r w:rsidR="004318B2" w:rsidRPr="00F33470">
        <w:rPr>
          <w:rFonts w:ascii="Arial" w:hAnsi="Arial" w:cs="Arial"/>
          <w:bCs/>
          <w:vertAlign w:val="superscript"/>
        </w:rPr>
        <w:t>®</w:t>
      </w:r>
      <w:r w:rsidR="004318B2">
        <w:rPr>
          <w:rFonts w:ascii="Arial" w:hAnsi="Arial" w:cs="Arial"/>
          <w:bCs/>
        </w:rPr>
        <w:t xml:space="preserve"> Quad to </w:t>
      </w:r>
      <w:r w:rsidR="004318B2" w:rsidRPr="00C134E4">
        <w:rPr>
          <w:rFonts w:ascii="Arial" w:hAnsi="Arial" w:cs="Arial"/>
          <w:bCs/>
        </w:rPr>
        <w:t>that of F</w:t>
      </w:r>
      <w:r w:rsidR="004318B2">
        <w:rPr>
          <w:rFonts w:ascii="Arial" w:hAnsi="Arial" w:cs="Arial"/>
          <w:bCs/>
        </w:rPr>
        <w:t>luad</w:t>
      </w:r>
      <w:r w:rsidR="004318B2" w:rsidRPr="00F33470">
        <w:rPr>
          <w:rFonts w:ascii="Arial" w:hAnsi="Arial" w:cs="Arial"/>
          <w:bCs/>
          <w:vertAlign w:val="superscript"/>
        </w:rPr>
        <w:t>®</w:t>
      </w:r>
      <w:r w:rsidR="004318B2" w:rsidRPr="00C134E4">
        <w:rPr>
          <w:rFonts w:ascii="Arial" w:hAnsi="Arial" w:cs="Arial"/>
          <w:bCs/>
        </w:rPr>
        <w:t xml:space="preserve"> </w:t>
      </w:r>
      <w:r w:rsidR="004318B2">
        <w:rPr>
          <w:rFonts w:ascii="Arial" w:hAnsi="Arial" w:cs="Arial"/>
          <w:bCs/>
        </w:rPr>
        <w:t>(</w:t>
      </w:r>
      <w:r w:rsidR="004318B2" w:rsidRPr="00C134E4">
        <w:rPr>
          <w:rFonts w:ascii="Arial" w:hAnsi="Arial" w:cs="Arial"/>
          <w:bCs/>
        </w:rPr>
        <w:t>aTIV-1) and TIV-2 among adults 65 years of age</w:t>
      </w:r>
      <w:r w:rsidR="004318B2">
        <w:rPr>
          <w:rFonts w:ascii="Arial" w:hAnsi="Arial" w:cs="Arial"/>
          <w:bCs/>
        </w:rPr>
        <w:t xml:space="preserve"> or older</w:t>
      </w:r>
      <w:r>
        <w:rPr>
          <w:rFonts w:ascii="Arial" w:hAnsi="Arial" w:cs="Arial"/>
          <w:bCs/>
        </w:rPr>
        <w:t xml:space="preserve"> was assessed as a co-primary endpoint</w:t>
      </w:r>
      <w:r w:rsidR="004318B2">
        <w:rPr>
          <w:rFonts w:ascii="Arial" w:hAnsi="Arial" w:cs="Arial"/>
          <w:bCs/>
        </w:rPr>
        <w:t>.</w:t>
      </w:r>
      <w:r>
        <w:rPr>
          <w:rFonts w:ascii="Arial" w:hAnsi="Arial" w:cs="Arial"/>
          <w:bCs/>
        </w:rPr>
        <w:t xml:space="preserve"> Adjusted</w:t>
      </w:r>
      <w:r w:rsidR="004318B2" w:rsidRPr="004318B2">
        <w:rPr>
          <w:rFonts w:ascii="Arial" w:hAnsi="Arial" w:cs="Arial"/>
          <w:bCs/>
        </w:rPr>
        <w:t xml:space="preserve"> HI Geometric Mean Titre (GMT) ratios and the difference in seroconversion rates for each vaccine </w:t>
      </w:r>
      <w:r w:rsidR="004318B2" w:rsidRPr="004318B2">
        <w:rPr>
          <w:rFonts w:ascii="Arial" w:hAnsi="Arial" w:cs="Arial"/>
          <w:bCs/>
        </w:rPr>
        <w:lastRenderedPageBreak/>
        <w:t xml:space="preserve">strain </w:t>
      </w:r>
      <w:r w:rsidR="004318B2">
        <w:rPr>
          <w:rFonts w:ascii="Arial" w:hAnsi="Arial" w:cs="Arial"/>
          <w:bCs/>
        </w:rPr>
        <w:t xml:space="preserve">were </w:t>
      </w:r>
      <w:r w:rsidR="004318B2" w:rsidRPr="005D183C">
        <w:rPr>
          <w:rFonts w:ascii="Arial" w:hAnsi="Arial" w:cs="Arial"/>
          <w:bCs/>
        </w:rPr>
        <w:t>assessed 21 days</w:t>
      </w:r>
      <w:r w:rsidR="004318B2">
        <w:rPr>
          <w:rFonts w:ascii="Arial" w:hAnsi="Arial" w:cs="Arial"/>
          <w:bCs/>
        </w:rPr>
        <w:t xml:space="preserve"> </w:t>
      </w:r>
      <w:r w:rsidR="004318B2" w:rsidRPr="005D183C">
        <w:rPr>
          <w:rFonts w:ascii="Arial" w:hAnsi="Arial" w:cs="Arial"/>
          <w:bCs/>
        </w:rPr>
        <w:t>after vaccination</w:t>
      </w:r>
      <w:r w:rsidR="004318B2" w:rsidRPr="004318B2">
        <w:rPr>
          <w:rFonts w:ascii="Arial" w:hAnsi="Arial" w:cs="Arial"/>
          <w:bCs/>
        </w:rPr>
        <w:t>.  Pre-specified non-inferiority criteria required that the upper bound of the 2-sided 95% CI of the GMT ratio (</w:t>
      </w:r>
      <w:r w:rsidR="00182353" w:rsidRPr="00280C32">
        <w:rPr>
          <w:rFonts w:ascii="Arial" w:hAnsi="Arial" w:cs="Arial"/>
          <w:bCs/>
          <w:lang w:val="en-GB"/>
        </w:rPr>
        <w:t>GMT</w:t>
      </w:r>
      <w:r w:rsidR="00182353" w:rsidRPr="00280C32">
        <w:rPr>
          <w:rFonts w:ascii="Arial" w:hAnsi="Arial" w:cs="Arial"/>
          <w:bCs/>
          <w:vertAlign w:val="subscript"/>
          <w:lang w:val="en-GB"/>
        </w:rPr>
        <w:t>aTIV</w:t>
      </w:r>
      <w:r w:rsidR="00182353" w:rsidRPr="00280C32">
        <w:rPr>
          <w:rFonts w:ascii="Arial" w:hAnsi="Arial" w:cs="Arial"/>
          <w:bCs/>
          <w:lang w:val="en-GB"/>
        </w:rPr>
        <w:t>/GMT</w:t>
      </w:r>
      <w:r w:rsidR="00182353" w:rsidRPr="004816B1">
        <w:rPr>
          <w:rFonts w:ascii="Arial" w:hAnsi="Arial" w:cs="Arial"/>
          <w:bCs/>
          <w:vertAlign w:val="subscript"/>
          <w:lang w:val="en-GB"/>
        </w:rPr>
        <w:t>Fluad</w:t>
      </w:r>
      <w:r w:rsidR="00182353" w:rsidRPr="00182353">
        <w:rPr>
          <w:rFonts w:ascii="Arial" w:hAnsi="Arial" w:cs="Arial"/>
          <w:bCs/>
          <w:position w:val="6"/>
          <w:vertAlign w:val="subscript"/>
          <w:lang w:val="en-GB"/>
        </w:rPr>
        <w:t>®</w:t>
      </w:r>
      <w:r w:rsidR="00182353" w:rsidRPr="004816B1">
        <w:rPr>
          <w:rFonts w:ascii="Arial" w:hAnsi="Arial" w:cs="Arial"/>
          <w:bCs/>
          <w:vertAlign w:val="subscript"/>
          <w:lang w:val="en-GB"/>
        </w:rPr>
        <w:t xml:space="preserve"> Quad</w:t>
      </w:r>
      <w:r w:rsidR="004318B2" w:rsidRPr="004318B2">
        <w:rPr>
          <w:rFonts w:ascii="Arial" w:hAnsi="Arial" w:cs="Arial"/>
          <w:bCs/>
        </w:rPr>
        <w:t>) did not exceed 1.5 and the upper bound of the 2-sided 95% CI of the seroconversion rate difference (</w:t>
      </w:r>
      <w:r w:rsidR="00182353" w:rsidRPr="00280C32">
        <w:rPr>
          <w:rFonts w:ascii="Arial" w:hAnsi="Arial" w:cs="Arial"/>
          <w:bCs/>
          <w:lang w:val="en-GB"/>
        </w:rPr>
        <w:t>SCR</w:t>
      </w:r>
      <w:r w:rsidR="00182353" w:rsidRPr="00280C32">
        <w:rPr>
          <w:rFonts w:ascii="Arial" w:hAnsi="Arial" w:cs="Arial"/>
          <w:bCs/>
          <w:vertAlign w:val="subscript"/>
          <w:lang w:val="en-GB"/>
        </w:rPr>
        <w:t>aTIV</w:t>
      </w:r>
      <w:r w:rsidR="00182353" w:rsidRPr="00280C32">
        <w:rPr>
          <w:rFonts w:ascii="Arial" w:hAnsi="Arial" w:cs="Arial"/>
          <w:bCs/>
          <w:lang w:val="en-GB"/>
        </w:rPr>
        <w:t>–SCR</w:t>
      </w:r>
      <w:r w:rsidR="00182353">
        <w:rPr>
          <w:rFonts w:ascii="Arial" w:hAnsi="Arial" w:cs="Arial"/>
          <w:bCs/>
          <w:vertAlign w:val="subscript"/>
          <w:lang w:val="en-GB"/>
        </w:rPr>
        <w:t>Fluad</w:t>
      </w:r>
      <w:r w:rsidR="00182353" w:rsidRPr="00922916">
        <w:rPr>
          <w:rFonts w:ascii="Arial" w:hAnsi="Arial" w:cs="Arial"/>
          <w:bCs/>
          <w:position w:val="6"/>
          <w:vertAlign w:val="subscript"/>
          <w:lang w:val="en-GB"/>
        </w:rPr>
        <w:t>®</w:t>
      </w:r>
      <w:r w:rsidR="00182353">
        <w:rPr>
          <w:rFonts w:ascii="Arial" w:hAnsi="Arial" w:cs="Arial"/>
          <w:bCs/>
          <w:vertAlign w:val="subscript"/>
          <w:lang w:val="en-GB"/>
        </w:rPr>
        <w:t xml:space="preserve"> </w:t>
      </w:r>
      <w:r w:rsidR="00182353" w:rsidRPr="004816B1">
        <w:rPr>
          <w:rFonts w:ascii="Arial" w:hAnsi="Arial" w:cs="Arial"/>
          <w:bCs/>
          <w:vertAlign w:val="subscript"/>
          <w:lang w:val="en-GB"/>
        </w:rPr>
        <w:t>Quad</w:t>
      </w:r>
      <w:r w:rsidR="004318B2" w:rsidRPr="004318B2">
        <w:rPr>
          <w:rFonts w:ascii="Arial" w:hAnsi="Arial" w:cs="Arial"/>
          <w:bCs/>
        </w:rPr>
        <w:t xml:space="preserve">) did not exceed 10% for each strain. </w:t>
      </w:r>
    </w:p>
    <w:p w14:paraId="27E9E917" w14:textId="418FA4F9" w:rsidR="00134034" w:rsidRPr="005D183C" w:rsidRDefault="00134034" w:rsidP="00134034">
      <w:pPr>
        <w:autoSpaceDE w:val="0"/>
        <w:autoSpaceDN w:val="0"/>
        <w:adjustRightInd w:val="0"/>
        <w:spacing w:after="0" w:line="240" w:lineRule="auto"/>
        <w:jc w:val="both"/>
        <w:rPr>
          <w:rFonts w:ascii="Arial" w:hAnsi="Arial" w:cs="Arial"/>
          <w:bCs/>
        </w:rPr>
      </w:pPr>
      <w:r w:rsidRPr="005D183C">
        <w:rPr>
          <w:rFonts w:ascii="Arial" w:hAnsi="Arial" w:cs="Arial"/>
          <w:bCs/>
        </w:rPr>
        <w:t>Fluad</w:t>
      </w:r>
      <w:r w:rsidRPr="005D183C">
        <w:rPr>
          <w:rFonts w:ascii="Arial" w:hAnsi="Arial" w:cs="Arial"/>
          <w:vertAlign w:val="superscript"/>
        </w:rPr>
        <w:t>®</w:t>
      </w:r>
      <w:r w:rsidRPr="005D183C">
        <w:rPr>
          <w:rFonts w:ascii="Arial" w:hAnsi="Arial" w:cs="Arial"/>
          <w:bCs/>
        </w:rPr>
        <w:t xml:space="preserve"> Quad was non-inferior for all 4 influenza strains for both HI antibody titres and seroconversion rates</w:t>
      </w:r>
      <w:r w:rsidR="005973D5">
        <w:rPr>
          <w:rFonts w:ascii="Arial" w:hAnsi="Arial" w:cs="Arial"/>
          <w:bCs/>
        </w:rPr>
        <w:t xml:space="preserve"> </w:t>
      </w:r>
      <w:r w:rsidRPr="005D183C">
        <w:rPr>
          <w:rFonts w:ascii="Arial" w:hAnsi="Arial" w:cs="Arial"/>
          <w:bCs/>
        </w:rPr>
        <w:t>(</w:t>
      </w:r>
      <w:r w:rsidRPr="005973D5">
        <w:rPr>
          <w:rFonts w:ascii="Arial" w:hAnsi="Arial" w:cs="Arial"/>
          <w:b/>
          <w:bCs/>
        </w:rPr>
        <w:t>Table 2</w:t>
      </w:r>
      <w:r w:rsidRPr="005D183C">
        <w:rPr>
          <w:rFonts w:ascii="Arial" w:hAnsi="Arial" w:cs="Arial"/>
          <w:bCs/>
        </w:rPr>
        <w:t>).</w:t>
      </w:r>
    </w:p>
    <w:p w14:paraId="7C526527" w14:textId="5A80DFE1" w:rsidR="00305BD8" w:rsidRPr="005D183C" w:rsidRDefault="00305BD8" w:rsidP="00305BD8">
      <w:pPr>
        <w:autoSpaceDE w:val="0"/>
        <w:autoSpaceDN w:val="0"/>
        <w:adjustRightInd w:val="0"/>
        <w:spacing w:after="0" w:line="240" w:lineRule="auto"/>
        <w:jc w:val="both"/>
        <w:rPr>
          <w:rFonts w:ascii="Arial" w:hAnsi="Arial" w:cs="Arial"/>
          <w:b/>
          <w:bCs/>
        </w:rPr>
      </w:pPr>
      <w:r w:rsidRPr="005D183C">
        <w:rPr>
          <w:rFonts w:ascii="Arial" w:hAnsi="Arial" w:cs="Arial"/>
          <w:b/>
          <w:bCs/>
        </w:rPr>
        <w:t xml:space="preserve">Table 2: Comparison of Immune Responses to Each Antigen 21 days After Vaccination with </w:t>
      </w:r>
      <w:r w:rsidR="00F36CC2" w:rsidRPr="005D183C">
        <w:rPr>
          <w:rFonts w:ascii="Arial" w:hAnsi="Arial" w:cs="Arial"/>
          <w:b/>
          <w:bCs/>
        </w:rPr>
        <w:t>Fluad</w:t>
      </w:r>
      <w:r w:rsidR="00B640FB" w:rsidRPr="005D183C">
        <w:rPr>
          <w:rFonts w:ascii="Arial" w:hAnsi="Arial" w:cs="Arial"/>
          <w:vertAlign w:val="superscript"/>
        </w:rPr>
        <w:t>®</w:t>
      </w:r>
      <w:r w:rsidR="00F36CC2" w:rsidRPr="005D183C">
        <w:rPr>
          <w:rFonts w:ascii="Arial" w:hAnsi="Arial" w:cs="Arial"/>
          <w:b/>
          <w:bCs/>
        </w:rPr>
        <w:t xml:space="preserve"> Quad</w:t>
      </w:r>
      <w:r w:rsidRPr="005D183C">
        <w:rPr>
          <w:rFonts w:ascii="Arial" w:hAnsi="Arial" w:cs="Arial"/>
          <w:b/>
          <w:bCs/>
        </w:rPr>
        <w:t xml:space="preserve"> and Adjuvanted Trivalent Comparator Vaccines in Subjects 65 years of Age and Older </w:t>
      </w:r>
      <w:r w:rsidR="00BF7F9C">
        <w:rPr>
          <w:rFonts w:ascii="Arial" w:hAnsi="Arial" w:cs="Arial"/>
          <w:b/>
          <w:bCs/>
        </w:rPr>
        <w:t>(per protocol set)</w:t>
      </w:r>
    </w:p>
    <w:tbl>
      <w:tblPr>
        <w:tblStyle w:val="TableGrid"/>
        <w:tblW w:w="8443" w:type="dxa"/>
        <w:tblInd w:w="-5" w:type="dxa"/>
        <w:tblLayout w:type="fixed"/>
        <w:tblLook w:val="04A0" w:firstRow="1" w:lastRow="0" w:firstColumn="1" w:lastColumn="0" w:noHBand="0" w:noVBand="1"/>
      </w:tblPr>
      <w:tblGrid>
        <w:gridCol w:w="1298"/>
        <w:gridCol w:w="1369"/>
        <w:gridCol w:w="1155"/>
        <w:gridCol w:w="29"/>
        <w:gridCol w:w="1127"/>
        <w:gridCol w:w="1669"/>
        <w:gridCol w:w="1796"/>
      </w:tblGrid>
      <w:tr w:rsidR="00305BD8" w:rsidRPr="005D183C" w14:paraId="20280E20" w14:textId="77777777" w:rsidTr="000C3B7D">
        <w:trPr>
          <w:trHeight w:val="245"/>
        </w:trPr>
        <w:tc>
          <w:tcPr>
            <w:tcW w:w="1298" w:type="dxa"/>
          </w:tcPr>
          <w:p w14:paraId="05AB1CDA" w14:textId="77777777" w:rsidR="00305BD8" w:rsidRPr="000C3B7D" w:rsidRDefault="00305BD8" w:rsidP="00B96D40">
            <w:pPr>
              <w:autoSpaceDE w:val="0"/>
              <w:autoSpaceDN w:val="0"/>
              <w:adjustRightInd w:val="0"/>
              <w:jc w:val="both"/>
              <w:rPr>
                <w:rFonts w:ascii="Arial" w:hAnsi="Arial" w:cs="Arial"/>
                <w:b/>
                <w:bCs/>
                <w:sz w:val="18"/>
                <w:szCs w:val="20"/>
              </w:rPr>
            </w:pPr>
          </w:p>
        </w:tc>
        <w:tc>
          <w:tcPr>
            <w:tcW w:w="3680" w:type="dxa"/>
            <w:gridSpan w:val="4"/>
            <w:vAlign w:val="center"/>
          </w:tcPr>
          <w:p w14:paraId="107E8461"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GMT</w:t>
            </w:r>
          </w:p>
          <w:p w14:paraId="60A94505"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(95% CI)</w:t>
            </w:r>
          </w:p>
        </w:tc>
        <w:tc>
          <w:tcPr>
            <w:tcW w:w="1669" w:type="dxa"/>
            <w:tcBorders>
              <w:right w:val="single" w:sz="4" w:space="0" w:color="auto"/>
            </w:tcBorders>
            <w:vAlign w:val="center"/>
          </w:tcPr>
          <w:p w14:paraId="58C9AB1B"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GMT Ratio</w:t>
            </w:r>
          </w:p>
        </w:tc>
        <w:tc>
          <w:tcPr>
            <w:tcW w:w="1796" w:type="dxa"/>
            <w:tcBorders>
              <w:right w:val="single" w:sz="4" w:space="0" w:color="auto"/>
            </w:tcBorders>
          </w:tcPr>
          <w:p w14:paraId="4BB5FFED" w14:textId="77777777" w:rsidR="00305BD8" w:rsidRPr="000C3B7D" w:rsidRDefault="00305BD8" w:rsidP="00B96D40">
            <w:pPr>
              <w:autoSpaceDE w:val="0"/>
              <w:autoSpaceDN w:val="0"/>
              <w:adjustRightInd w:val="0"/>
              <w:jc w:val="both"/>
              <w:rPr>
                <w:rFonts w:ascii="Arial" w:hAnsi="Arial" w:cs="Arial"/>
                <w:b/>
                <w:bCs/>
                <w:sz w:val="18"/>
                <w:szCs w:val="20"/>
              </w:rPr>
            </w:pPr>
            <w:r w:rsidRPr="000C3B7D">
              <w:rPr>
                <w:rFonts w:ascii="Arial" w:hAnsi="Arial" w:cs="Arial"/>
                <w:b/>
                <w:bCs/>
                <w:sz w:val="18"/>
                <w:szCs w:val="20"/>
              </w:rPr>
              <w:t>Met predefined non-inferiority criteria?</w:t>
            </w:r>
            <w:r w:rsidRPr="000C3B7D">
              <w:rPr>
                <w:rFonts w:ascii="Arial" w:hAnsi="Arial" w:cs="Arial"/>
                <w:b/>
                <w:bCs/>
                <w:sz w:val="18"/>
                <w:szCs w:val="20"/>
                <w:vertAlign w:val="superscript"/>
              </w:rPr>
              <w:t>a</w:t>
            </w:r>
            <w:r w:rsidRPr="000C3B7D">
              <w:rPr>
                <w:rFonts w:ascii="Arial" w:hAnsi="Arial" w:cs="Arial"/>
                <w:b/>
                <w:bCs/>
                <w:sz w:val="18"/>
                <w:szCs w:val="20"/>
              </w:rPr>
              <w:t xml:space="preserve"> </w:t>
            </w:r>
          </w:p>
        </w:tc>
      </w:tr>
      <w:tr w:rsidR="00305BD8" w:rsidRPr="005D183C" w14:paraId="496E7A2E" w14:textId="77777777" w:rsidTr="000C3B7D">
        <w:trPr>
          <w:trHeight w:val="129"/>
        </w:trPr>
        <w:tc>
          <w:tcPr>
            <w:tcW w:w="1298" w:type="dxa"/>
            <w:vAlign w:val="center"/>
          </w:tcPr>
          <w:p w14:paraId="3BB2B219" w14:textId="77777777" w:rsidR="00305BD8" w:rsidRPr="000C3B7D" w:rsidRDefault="00305BD8" w:rsidP="00B96D40">
            <w:pPr>
              <w:autoSpaceDE w:val="0"/>
              <w:autoSpaceDN w:val="0"/>
              <w:adjustRightInd w:val="0"/>
              <w:jc w:val="both"/>
              <w:rPr>
                <w:rFonts w:ascii="Arial" w:hAnsi="Arial" w:cs="Arial"/>
                <w:b/>
                <w:bCs/>
                <w:sz w:val="18"/>
                <w:szCs w:val="20"/>
              </w:rPr>
            </w:pPr>
            <w:r w:rsidRPr="000C3B7D">
              <w:rPr>
                <w:rFonts w:ascii="Arial" w:hAnsi="Arial" w:cs="Arial"/>
                <w:b/>
                <w:bCs/>
                <w:sz w:val="18"/>
                <w:szCs w:val="20"/>
              </w:rPr>
              <w:t>Strain</w:t>
            </w:r>
          </w:p>
        </w:tc>
        <w:tc>
          <w:tcPr>
            <w:tcW w:w="1369" w:type="dxa"/>
            <w:vAlign w:val="center"/>
          </w:tcPr>
          <w:p w14:paraId="51674611" w14:textId="77777777" w:rsidR="00305BD8" w:rsidRPr="000C3B7D" w:rsidRDefault="00F36CC2"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Fluad</w:t>
            </w:r>
            <w:r w:rsidR="00B640FB" w:rsidRPr="000C3B7D">
              <w:rPr>
                <w:rFonts w:ascii="Arial" w:hAnsi="Arial" w:cs="Arial"/>
                <w:sz w:val="18"/>
                <w:vertAlign w:val="superscript"/>
              </w:rPr>
              <w:t>®</w:t>
            </w:r>
            <w:r w:rsidRPr="000C3B7D">
              <w:rPr>
                <w:rFonts w:ascii="Arial" w:hAnsi="Arial" w:cs="Arial"/>
                <w:b/>
                <w:bCs/>
                <w:sz w:val="18"/>
                <w:szCs w:val="20"/>
              </w:rPr>
              <w:t xml:space="preserve"> Quad</w:t>
            </w:r>
          </w:p>
          <w:p w14:paraId="01F7E3FB"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N=872</w:t>
            </w:r>
          </w:p>
        </w:tc>
        <w:tc>
          <w:tcPr>
            <w:tcW w:w="1184" w:type="dxa"/>
            <w:gridSpan w:val="2"/>
            <w:vAlign w:val="center"/>
          </w:tcPr>
          <w:p w14:paraId="1DF1B395" w14:textId="77777777" w:rsidR="00305BD8" w:rsidRPr="000C3B7D" w:rsidRDefault="007F05E6" w:rsidP="00B96D40">
            <w:pPr>
              <w:autoSpaceDE w:val="0"/>
              <w:autoSpaceDN w:val="0"/>
              <w:adjustRightInd w:val="0"/>
              <w:jc w:val="center"/>
              <w:rPr>
                <w:rFonts w:ascii="Arial" w:hAnsi="Arial" w:cs="Arial"/>
                <w:b/>
                <w:bCs/>
                <w:sz w:val="18"/>
                <w:szCs w:val="20"/>
              </w:rPr>
            </w:pPr>
            <w:r>
              <w:rPr>
                <w:rFonts w:ascii="Arial" w:hAnsi="Arial" w:cs="Arial"/>
                <w:b/>
                <w:bCs/>
                <w:sz w:val="18"/>
                <w:szCs w:val="20"/>
              </w:rPr>
              <w:t>Fluad</w:t>
            </w:r>
            <w:r w:rsidRPr="007F05E6">
              <w:rPr>
                <w:rFonts w:ascii="Arial" w:hAnsi="Arial" w:cs="Arial"/>
                <w:b/>
                <w:bCs/>
                <w:sz w:val="18"/>
                <w:szCs w:val="20"/>
                <w:vertAlign w:val="superscript"/>
              </w:rPr>
              <w:t>®</w:t>
            </w:r>
          </w:p>
          <w:p w14:paraId="5C8312BA"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(B-Victoria)</w:t>
            </w:r>
          </w:p>
          <w:p w14:paraId="2B7251DF"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N=436</w:t>
            </w:r>
          </w:p>
        </w:tc>
        <w:tc>
          <w:tcPr>
            <w:tcW w:w="1127" w:type="dxa"/>
            <w:vAlign w:val="center"/>
          </w:tcPr>
          <w:p w14:paraId="5BBBABDB"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aTIV-2</w:t>
            </w:r>
          </w:p>
          <w:p w14:paraId="49BCD437"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(B-Yamagata)</w:t>
            </w:r>
          </w:p>
          <w:p w14:paraId="6C260BC8"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N=433</w:t>
            </w:r>
          </w:p>
        </w:tc>
        <w:tc>
          <w:tcPr>
            <w:tcW w:w="1669" w:type="dxa"/>
            <w:vAlign w:val="center"/>
          </w:tcPr>
          <w:p w14:paraId="0A9EF4A4"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aTIV</w:t>
            </w:r>
            <w:r w:rsidRPr="000C3B7D">
              <w:rPr>
                <w:rFonts w:ascii="Arial" w:hAnsi="Arial" w:cs="Arial"/>
                <w:b/>
                <w:bCs/>
                <w:sz w:val="18"/>
                <w:szCs w:val="20"/>
                <w:vertAlign w:val="superscript"/>
              </w:rPr>
              <w:t>d</w:t>
            </w:r>
            <w:r w:rsidRPr="000C3B7D">
              <w:rPr>
                <w:rFonts w:ascii="Arial" w:hAnsi="Arial" w:cs="Arial"/>
                <w:b/>
                <w:bCs/>
                <w:sz w:val="18"/>
                <w:szCs w:val="20"/>
              </w:rPr>
              <w:t>/</w:t>
            </w:r>
            <w:r w:rsidR="00F36CC2" w:rsidRPr="000C3B7D">
              <w:rPr>
                <w:rFonts w:ascii="Arial" w:hAnsi="Arial" w:cs="Arial"/>
                <w:b/>
                <w:bCs/>
                <w:sz w:val="18"/>
                <w:szCs w:val="20"/>
              </w:rPr>
              <w:t>Fluad</w:t>
            </w:r>
            <w:r w:rsidR="00F36CC2" w:rsidRPr="000C3B7D">
              <w:rPr>
                <w:rFonts w:ascii="Arial" w:hAnsi="Arial" w:cs="Arial"/>
                <w:b/>
                <w:bCs/>
                <w:sz w:val="18"/>
                <w:szCs w:val="20"/>
                <w:vertAlign w:val="superscript"/>
              </w:rPr>
              <w:t>®</w:t>
            </w:r>
            <w:r w:rsidR="00F36CC2" w:rsidRPr="000C3B7D">
              <w:rPr>
                <w:rFonts w:ascii="Arial" w:hAnsi="Arial" w:cs="Arial"/>
                <w:b/>
                <w:bCs/>
                <w:sz w:val="18"/>
                <w:szCs w:val="20"/>
              </w:rPr>
              <w:t xml:space="preserve"> Quad</w:t>
            </w:r>
          </w:p>
          <w:p w14:paraId="0F1BEA28"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(95% CI)</w:t>
            </w:r>
          </w:p>
        </w:tc>
        <w:tc>
          <w:tcPr>
            <w:tcW w:w="1796" w:type="dxa"/>
          </w:tcPr>
          <w:p w14:paraId="3CF2CB4F" w14:textId="77777777" w:rsidR="00305BD8" w:rsidRPr="000C3B7D" w:rsidRDefault="00305BD8" w:rsidP="00B96D40">
            <w:pPr>
              <w:autoSpaceDE w:val="0"/>
              <w:autoSpaceDN w:val="0"/>
              <w:adjustRightInd w:val="0"/>
              <w:jc w:val="both"/>
              <w:rPr>
                <w:rFonts w:ascii="Arial" w:hAnsi="Arial" w:cs="Arial"/>
                <w:b/>
                <w:bCs/>
                <w:sz w:val="18"/>
                <w:szCs w:val="20"/>
              </w:rPr>
            </w:pPr>
          </w:p>
        </w:tc>
      </w:tr>
      <w:tr w:rsidR="00305BD8" w:rsidRPr="005D183C" w14:paraId="4B1FB160" w14:textId="77777777" w:rsidTr="000C3B7D">
        <w:trPr>
          <w:trHeight w:val="561"/>
        </w:trPr>
        <w:tc>
          <w:tcPr>
            <w:tcW w:w="1298" w:type="dxa"/>
            <w:vAlign w:val="center"/>
          </w:tcPr>
          <w:p w14:paraId="2E520071" w14:textId="77777777" w:rsidR="00305BD8" w:rsidRPr="000C3B7D" w:rsidRDefault="00305BD8" w:rsidP="00B96D40">
            <w:pPr>
              <w:autoSpaceDE w:val="0"/>
              <w:autoSpaceDN w:val="0"/>
              <w:adjustRightInd w:val="0"/>
              <w:jc w:val="both"/>
              <w:rPr>
                <w:rFonts w:ascii="Arial" w:hAnsi="Arial" w:cs="Arial"/>
                <w:bCs/>
                <w:sz w:val="18"/>
                <w:szCs w:val="20"/>
              </w:rPr>
            </w:pPr>
            <w:r w:rsidRPr="000C3B7D">
              <w:rPr>
                <w:rFonts w:ascii="Arial" w:hAnsi="Arial" w:cs="Arial"/>
                <w:bCs/>
                <w:sz w:val="18"/>
                <w:szCs w:val="20"/>
              </w:rPr>
              <w:t>A/H1N1</w:t>
            </w:r>
          </w:p>
        </w:tc>
        <w:tc>
          <w:tcPr>
            <w:tcW w:w="1369" w:type="dxa"/>
            <w:vAlign w:val="center"/>
          </w:tcPr>
          <w:p w14:paraId="1AE7BEB4"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65.01</w:t>
            </w:r>
          </w:p>
          <w:p w14:paraId="478BB617"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(57.79; 73.13</w:t>
            </w:r>
            <w:r w:rsidR="001D391F" w:rsidRPr="00BE3F31">
              <w:rPr>
                <w:rFonts w:ascii="Arial" w:hAnsi="Arial" w:cs="Arial"/>
                <w:bCs/>
                <w:color w:val="000000" w:themeColor="text1"/>
                <w:sz w:val="18"/>
                <w:szCs w:val="20"/>
              </w:rPr>
              <w:t>)</w:t>
            </w:r>
          </w:p>
        </w:tc>
        <w:tc>
          <w:tcPr>
            <w:tcW w:w="2311" w:type="dxa"/>
            <w:gridSpan w:val="3"/>
            <w:vAlign w:val="center"/>
          </w:tcPr>
          <w:p w14:paraId="55D55AC2"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75.16</w:t>
            </w:r>
            <w:r w:rsidRPr="00BE3F31">
              <w:rPr>
                <w:rFonts w:ascii="Arial" w:hAnsi="Arial" w:cs="Arial"/>
                <w:bCs/>
                <w:color w:val="000000" w:themeColor="text1"/>
                <w:sz w:val="18"/>
                <w:szCs w:val="20"/>
              </w:rPr>
              <w:br/>
              <w:t>(66.68; 84.72)</w:t>
            </w:r>
          </w:p>
        </w:tc>
        <w:tc>
          <w:tcPr>
            <w:tcW w:w="1669" w:type="dxa"/>
            <w:vAlign w:val="center"/>
          </w:tcPr>
          <w:p w14:paraId="7507AC79"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1.16</w:t>
            </w:r>
          </w:p>
          <w:p w14:paraId="4270A2A8"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(1.05; 1.27)</w:t>
            </w:r>
          </w:p>
        </w:tc>
        <w:tc>
          <w:tcPr>
            <w:tcW w:w="1796" w:type="dxa"/>
            <w:vAlign w:val="center"/>
          </w:tcPr>
          <w:p w14:paraId="761CD4E1"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Yes</w:t>
            </w:r>
          </w:p>
        </w:tc>
      </w:tr>
      <w:tr w:rsidR="00305BD8" w:rsidRPr="005D183C" w14:paraId="2AF1EEB7" w14:textId="77777777" w:rsidTr="000C3B7D">
        <w:trPr>
          <w:trHeight w:val="129"/>
        </w:trPr>
        <w:tc>
          <w:tcPr>
            <w:tcW w:w="1298" w:type="dxa"/>
            <w:vAlign w:val="center"/>
          </w:tcPr>
          <w:p w14:paraId="19E4909C" w14:textId="77777777" w:rsidR="00305BD8" w:rsidRPr="000C3B7D" w:rsidRDefault="00305BD8" w:rsidP="00B96D40">
            <w:pPr>
              <w:autoSpaceDE w:val="0"/>
              <w:autoSpaceDN w:val="0"/>
              <w:adjustRightInd w:val="0"/>
              <w:jc w:val="both"/>
              <w:rPr>
                <w:rFonts w:ascii="Arial" w:hAnsi="Arial" w:cs="Arial"/>
                <w:bCs/>
                <w:sz w:val="18"/>
                <w:szCs w:val="20"/>
              </w:rPr>
            </w:pPr>
            <w:r w:rsidRPr="000C3B7D">
              <w:rPr>
                <w:rFonts w:ascii="Arial" w:hAnsi="Arial" w:cs="Arial"/>
                <w:bCs/>
                <w:sz w:val="18"/>
                <w:szCs w:val="20"/>
              </w:rPr>
              <w:t>A/H3N2</w:t>
            </w:r>
          </w:p>
        </w:tc>
        <w:tc>
          <w:tcPr>
            <w:tcW w:w="1369" w:type="dxa"/>
            <w:vAlign w:val="center"/>
          </w:tcPr>
          <w:p w14:paraId="708C7740"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294.91</w:t>
            </w:r>
          </w:p>
          <w:p w14:paraId="57C7D67F"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(261.88; 332.09)</w:t>
            </w:r>
          </w:p>
        </w:tc>
        <w:tc>
          <w:tcPr>
            <w:tcW w:w="2311" w:type="dxa"/>
            <w:gridSpan w:val="3"/>
            <w:vAlign w:val="center"/>
          </w:tcPr>
          <w:p w14:paraId="287CB6E8"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293.31</w:t>
            </w:r>
            <w:r w:rsidRPr="00BE3F31">
              <w:rPr>
                <w:rFonts w:ascii="Arial" w:hAnsi="Arial" w:cs="Arial"/>
                <w:bCs/>
                <w:color w:val="000000" w:themeColor="text1"/>
                <w:sz w:val="18"/>
                <w:szCs w:val="20"/>
              </w:rPr>
              <w:br/>
              <w:t>(259.91; 330.99)</w:t>
            </w:r>
          </w:p>
        </w:tc>
        <w:tc>
          <w:tcPr>
            <w:tcW w:w="1669" w:type="dxa"/>
            <w:vAlign w:val="center"/>
          </w:tcPr>
          <w:p w14:paraId="5381A3EB"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0.99</w:t>
            </w:r>
          </w:p>
          <w:p w14:paraId="2F7A4CB5"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(0.90; 1.09)</w:t>
            </w:r>
          </w:p>
        </w:tc>
        <w:tc>
          <w:tcPr>
            <w:tcW w:w="1796" w:type="dxa"/>
            <w:vAlign w:val="center"/>
          </w:tcPr>
          <w:p w14:paraId="01DD8989"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Yes</w:t>
            </w:r>
          </w:p>
        </w:tc>
      </w:tr>
      <w:tr w:rsidR="00305BD8" w:rsidRPr="005D183C" w14:paraId="2C5176C6" w14:textId="77777777" w:rsidTr="000C3B7D">
        <w:trPr>
          <w:trHeight w:val="129"/>
        </w:trPr>
        <w:tc>
          <w:tcPr>
            <w:tcW w:w="1298" w:type="dxa"/>
            <w:vAlign w:val="center"/>
          </w:tcPr>
          <w:p w14:paraId="1E5FA0D3" w14:textId="77777777" w:rsidR="00305BD8" w:rsidRPr="000C3B7D" w:rsidRDefault="00305BD8" w:rsidP="00B96D40">
            <w:pPr>
              <w:autoSpaceDE w:val="0"/>
              <w:autoSpaceDN w:val="0"/>
              <w:adjustRightInd w:val="0"/>
              <w:jc w:val="both"/>
              <w:rPr>
                <w:rFonts w:ascii="Arial" w:hAnsi="Arial" w:cs="Arial"/>
                <w:bCs/>
                <w:sz w:val="18"/>
                <w:szCs w:val="20"/>
              </w:rPr>
            </w:pPr>
            <w:r w:rsidRPr="000C3B7D">
              <w:rPr>
                <w:rFonts w:ascii="Arial" w:hAnsi="Arial" w:cs="Arial"/>
                <w:bCs/>
                <w:sz w:val="18"/>
                <w:szCs w:val="20"/>
              </w:rPr>
              <w:t>B/Yamagata</w:t>
            </w:r>
          </w:p>
        </w:tc>
        <w:tc>
          <w:tcPr>
            <w:tcW w:w="1369" w:type="dxa"/>
            <w:vAlign w:val="center"/>
          </w:tcPr>
          <w:p w14:paraId="55A98DED"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 xml:space="preserve">24.67 </w:t>
            </w:r>
            <w:r w:rsidRPr="00BE3F31">
              <w:rPr>
                <w:rFonts w:ascii="Arial" w:hAnsi="Arial" w:cs="Arial"/>
                <w:bCs/>
                <w:color w:val="000000" w:themeColor="text1"/>
                <w:sz w:val="18"/>
                <w:szCs w:val="20"/>
              </w:rPr>
              <w:br/>
              <w:t>(22.67; 26.84)</w:t>
            </w:r>
          </w:p>
        </w:tc>
        <w:tc>
          <w:tcPr>
            <w:tcW w:w="1184" w:type="dxa"/>
            <w:gridSpan w:val="2"/>
            <w:vAlign w:val="center"/>
          </w:tcPr>
          <w:p w14:paraId="64B69DAE" w14:textId="029AED30" w:rsidR="00305BD8" w:rsidRPr="00BE3F31" w:rsidRDefault="00702767" w:rsidP="00702767">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N</w:t>
            </w:r>
            <w:r>
              <w:rPr>
                <w:rFonts w:ascii="Arial" w:hAnsi="Arial" w:cs="Arial"/>
                <w:bCs/>
                <w:color w:val="000000" w:themeColor="text1"/>
                <w:sz w:val="18"/>
                <w:szCs w:val="20"/>
              </w:rPr>
              <w:t>A</w:t>
            </w:r>
          </w:p>
        </w:tc>
        <w:tc>
          <w:tcPr>
            <w:tcW w:w="1127" w:type="dxa"/>
            <w:vAlign w:val="center"/>
          </w:tcPr>
          <w:p w14:paraId="4CCBFB38"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 xml:space="preserve">24.30 </w:t>
            </w:r>
            <w:r w:rsidRPr="00BE3F31">
              <w:rPr>
                <w:rFonts w:ascii="Arial" w:hAnsi="Arial" w:cs="Arial"/>
                <w:bCs/>
                <w:color w:val="000000" w:themeColor="text1"/>
                <w:sz w:val="18"/>
                <w:szCs w:val="20"/>
              </w:rPr>
              <w:br/>
              <w:t>(22.0; 26.84)</w:t>
            </w:r>
          </w:p>
        </w:tc>
        <w:tc>
          <w:tcPr>
            <w:tcW w:w="1669" w:type="dxa"/>
            <w:vAlign w:val="center"/>
          </w:tcPr>
          <w:p w14:paraId="48717979"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0.99</w:t>
            </w:r>
          </w:p>
          <w:p w14:paraId="444DE089"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(0.90; 1.08)</w:t>
            </w:r>
          </w:p>
        </w:tc>
        <w:tc>
          <w:tcPr>
            <w:tcW w:w="1796" w:type="dxa"/>
            <w:vAlign w:val="center"/>
          </w:tcPr>
          <w:p w14:paraId="7AABCFD7"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Yes</w:t>
            </w:r>
          </w:p>
        </w:tc>
      </w:tr>
      <w:tr w:rsidR="00305BD8" w:rsidRPr="005D183C" w14:paraId="7080EC42" w14:textId="77777777" w:rsidTr="000C3B7D">
        <w:trPr>
          <w:trHeight w:val="354"/>
        </w:trPr>
        <w:tc>
          <w:tcPr>
            <w:tcW w:w="1298" w:type="dxa"/>
            <w:vAlign w:val="center"/>
          </w:tcPr>
          <w:p w14:paraId="4C465395" w14:textId="77777777" w:rsidR="00305BD8" w:rsidRPr="000C3B7D" w:rsidRDefault="00305BD8" w:rsidP="00B96D40">
            <w:pPr>
              <w:autoSpaceDE w:val="0"/>
              <w:autoSpaceDN w:val="0"/>
              <w:adjustRightInd w:val="0"/>
              <w:jc w:val="both"/>
              <w:rPr>
                <w:rFonts w:ascii="Arial" w:hAnsi="Arial" w:cs="Arial"/>
                <w:bCs/>
                <w:sz w:val="18"/>
                <w:szCs w:val="20"/>
              </w:rPr>
            </w:pPr>
            <w:r w:rsidRPr="000C3B7D">
              <w:rPr>
                <w:rFonts w:ascii="Arial" w:hAnsi="Arial" w:cs="Arial"/>
                <w:bCs/>
                <w:sz w:val="18"/>
                <w:szCs w:val="20"/>
              </w:rPr>
              <w:t>B/Victoria</w:t>
            </w:r>
          </w:p>
        </w:tc>
        <w:tc>
          <w:tcPr>
            <w:tcW w:w="1369" w:type="dxa"/>
            <w:vAlign w:val="center"/>
          </w:tcPr>
          <w:p w14:paraId="41016A2C"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30.78</w:t>
            </w:r>
            <w:r w:rsidRPr="00BE3F31">
              <w:rPr>
                <w:rFonts w:ascii="Arial" w:hAnsi="Arial" w:cs="Arial"/>
                <w:bCs/>
                <w:color w:val="000000" w:themeColor="text1"/>
                <w:sz w:val="18"/>
                <w:szCs w:val="20"/>
              </w:rPr>
              <w:br/>
              <w:t>(28.27; 33.51)</w:t>
            </w:r>
          </w:p>
        </w:tc>
        <w:tc>
          <w:tcPr>
            <w:tcW w:w="1184" w:type="dxa"/>
            <w:gridSpan w:val="2"/>
            <w:vAlign w:val="center"/>
          </w:tcPr>
          <w:p w14:paraId="6E52FB2A"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 xml:space="preserve">30.13 </w:t>
            </w:r>
            <w:r w:rsidRPr="00BE3F31">
              <w:rPr>
                <w:rFonts w:ascii="Arial" w:hAnsi="Arial" w:cs="Arial"/>
                <w:bCs/>
                <w:color w:val="000000" w:themeColor="text1"/>
                <w:sz w:val="18"/>
                <w:szCs w:val="20"/>
              </w:rPr>
              <w:br/>
              <w:t>(27.31; 33.24)</w:t>
            </w:r>
          </w:p>
        </w:tc>
        <w:tc>
          <w:tcPr>
            <w:tcW w:w="1127" w:type="dxa"/>
            <w:vAlign w:val="center"/>
          </w:tcPr>
          <w:p w14:paraId="007A6AA8" w14:textId="07517C32" w:rsidR="00305BD8" w:rsidRPr="00BE3F31" w:rsidRDefault="00702767" w:rsidP="00702767">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N</w:t>
            </w:r>
            <w:r>
              <w:rPr>
                <w:rFonts w:ascii="Arial" w:hAnsi="Arial" w:cs="Arial"/>
                <w:bCs/>
                <w:color w:val="000000" w:themeColor="text1"/>
                <w:sz w:val="18"/>
                <w:szCs w:val="20"/>
              </w:rPr>
              <w:t>A</w:t>
            </w:r>
          </w:p>
        </w:tc>
        <w:tc>
          <w:tcPr>
            <w:tcW w:w="1669" w:type="dxa"/>
            <w:vAlign w:val="center"/>
          </w:tcPr>
          <w:p w14:paraId="735A4DD3"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0.98</w:t>
            </w:r>
          </w:p>
          <w:p w14:paraId="6A688A97"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(0.89; 1.08)</w:t>
            </w:r>
          </w:p>
        </w:tc>
        <w:tc>
          <w:tcPr>
            <w:tcW w:w="1796" w:type="dxa"/>
            <w:vAlign w:val="center"/>
          </w:tcPr>
          <w:p w14:paraId="4799C0A9"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Yes</w:t>
            </w:r>
          </w:p>
        </w:tc>
      </w:tr>
      <w:tr w:rsidR="00305BD8" w:rsidRPr="005D183C" w14:paraId="6C64BC7A" w14:textId="77777777" w:rsidTr="000C3B7D">
        <w:trPr>
          <w:trHeight w:val="110"/>
        </w:trPr>
        <w:tc>
          <w:tcPr>
            <w:tcW w:w="8443" w:type="dxa"/>
            <w:gridSpan w:val="7"/>
            <w:vAlign w:val="center"/>
          </w:tcPr>
          <w:p w14:paraId="1CF48A27" w14:textId="77777777" w:rsidR="00305BD8" w:rsidRPr="00BE3F31" w:rsidRDefault="00305BD8" w:rsidP="00B96D40">
            <w:pPr>
              <w:autoSpaceDE w:val="0"/>
              <w:autoSpaceDN w:val="0"/>
              <w:adjustRightInd w:val="0"/>
              <w:jc w:val="both"/>
              <w:rPr>
                <w:rFonts w:ascii="Arial" w:hAnsi="Arial" w:cs="Arial"/>
                <w:bCs/>
                <w:color w:val="000000" w:themeColor="text1"/>
                <w:sz w:val="18"/>
                <w:szCs w:val="20"/>
              </w:rPr>
            </w:pPr>
          </w:p>
        </w:tc>
      </w:tr>
      <w:tr w:rsidR="00305BD8" w:rsidRPr="005D183C" w14:paraId="76CFFC24" w14:textId="77777777" w:rsidTr="000C3B7D">
        <w:trPr>
          <w:trHeight w:val="354"/>
        </w:trPr>
        <w:tc>
          <w:tcPr>
            <w:tcW w:w="1298" w:type="dxa"/>
            <w:vAlign w:val="center"/>
          </w:tcPr>
          <w:p w14:paraId="6F9F8B01" w14:textId="77777777" w:rsidR="00305BD8" w:rsidRPr="000C3B7D" w:rsidRDefault="00305BD8" w:rsidP="00B96D40">
            <w:pPr>
              <w:autoSpaceDE w:val="0"/>
              <w:autoSpaceDN w:val="0"/>
              <w:adjustRightInd w:val="0"/>
              <w:jc w:val="both"/>
              <w:rPr>
                <w:rFonts w:ascii="Arial" w:hAnsi="Arial" w:cs="Arial"/>
                <w:bCs/>
                <w:sz w:val="18"/>
                <w:szCs w:val="20"/>
              </w:rPr>
            </w:pPr>
          </w:p>
        </w:tc>
        <w:tc>
          <w:tcPr>
            <w:tcW w:w="3680" w:type="dxa"/>
            <w:gridSpan w:val="4"/>
            <w:vAlign w:val="center"/>
          </w:tcPr>
          <w:p w14:paraId="56A49AC6" w14:textId="77777777" w:rsidR="00305BD8" w:rsidRPr="00BE3F31" w:rsidRDefault="00305BD8" w:rsidP="00B96D40">
            <w:pPr>
              <w:autoSpaceDE w:val="0"/>
              <w:autoSpaceDN w:val="0"/>
              <w:adjustRightInd w:val="0"/>
              <w:jc w:val="center"/>
              <w:rPr>
                <w:rFonts w:ascii="Arial" w:hAnsi="Arial" w:cs="Arial"/>
                <w:b/>
                <w:bCs/>
                <w:color w:val="000000" w:themeColor="text1"/>
                <w:sz w:val="18"/>
                <w:szCs w:val="20"/>
                <w:vertAlign w:val="superscript"/>
              </w:rPr>
            </w:pPr>
            <w:r w:rsidRPr="00BE3F31">
              <w:rPr>
                <w:rFonts w:ascii="Arial" w:hAnsi="Arial" w:cs="Arial"/>
                <w:b/>
                <w:bCs/>
                <w:color w:val="000000" w:themeColor="text1"/>
                <w:sz w:val="18"/>
                <w:szCs w:val="20"/>
              </w:rPr>
              <w:t>Seroconversion %</w:t>
            </w:r>
            <w:r w:rsidRPr="00BE3F31">
              <w:rPr>
                <w:rFonts w:ascii="Arial" w:hAnsi="Arial" w:cs="Arial"/>
                <w:b/>
                <w:bCs/>
                <w:color w:val="000000" w:themeColor="text1"/>
                <w:sz w:val="18"/>
                <w:szCs w:val="20"/>
                <w:vertAlign w:val="superscript"/>
              </w:rPr>
              <w:t>c</w:t>
            </w:r>
          </w:p>
          <w:p w14:paraId="03D2900D" w14:textId="77777777" w:rsidR="00305BD8" w:rsidRPr="00BE3F31" w:rsidRDefault="00305BD8" w:rsidP="00B96D40">
            <w:pPr>
              <w:autoSpaceDE w:val="0"/>
              <w:autoSpaceDN w:val="0"/>
              <w:adjustRightInd w:val="0"/>
              <w:jc w:val="center"/>
              <w:rPr>
                <w:rFonts w:ascii="Arial" w:hAnsi="Arial" w:cs="Arial"/>
                <w:b/>
                <w:bCs/>
                <w:color w:val="000000" w:themeColor="text1"/>
                <w:sz w:val="18"/>
                <w:szCs w:val="20"/>
              </w:rPr>
            </w:pPr>
            <w:r w:rsidRPr="00BE3F31">
              <w:rPr>
                <w:rFonts w:ascii="Arial" w:hAnsi="Arial" w:cs="Arial"/>
                <w:b/>
                <w:bCs/>
                <w:color w:val="000000" w:themeColor="text1"/>
                <w:sz w:val="18"/>
                <w:szCs w:val="20"/>
              </w:rPr>
              <w:lastRenderedPageBreak/>
              <w:t>(95% CI)</w:t>
            </w:r>
          </w:p>
        </w:tc>
        <w:tc>
          <w:tcPr>
            <w:tcW w:w="1669" w:type="dxa"/>
            <w:vAlign w:val="center"/>
          </w:tcPr>
          <w:p w14:paraId="3FECE856"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
                <w:bCs/>
                <w:sz w:val="18"/>
                <w:szCs w:val="20"/>
              </w:rPr>
              <w:lastRenderedPageBreak/>
              <w:t>Seroconversion Difference</w:t>
            </w:r>
          </w:p>
        </w:tc>
        <w:tc>
          <w:tcPr>
            <w:tcW w:w="1796" w:type="dxa"/>
            <w:vAlign w:val="center"/>
          </w:tcPr>
          <w:p w14:paraId="7E9A0C1F"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
                <w:bCs/>
                <w:sz w:val="18"/>
                <w:szCs w:val="20"/>
              </w:rPr>
              <w:t>Met</w:t>
            </w:r>
            <w:r w:rsidR="001D391F" w:rsidRPr="000C3B7D">
              <w:rPr>
                <w:rFonts w:ascii="Arial" w:hAnsi="Arial" w:cs="Arial"/>
                <w:b/>
                <w:bCs/>
                <w:sz w:val="18"/>
                <w:szCs w:val="20"/>
              </w:rPr>
              <w:t xml:space="preserve"> p</w:t>
            </w:r>
            <w:r w:rsidRPr="000C3B7D">
              <w:rPr>
                <w:rFonts w:ascii="Arial" w:hAnsi="Arial" w:cs="Arial"/>
                <w:b/>
                <w:bCs/>
                <w:sz w:val="18"/>
                <w:szCs w:val="20"/>
              </w:rPr>
              <w:t>redefined</w:t>
            </w:r>
            <w:r w:rsidR="001D391F" w:rsidRPr="000C3B7D">
              <w:rPr>
                <w:rFonts w:ascii="Arial" w:hAnsi="Arial" w:cs="Arial"/>
                <w:b/>
                <w:bCs/>
                <w:sz w:val="18"/>
                <w:szCs w:val="20"/>
              </w:rPr>
              <w:t xml:space="preserve"> </w:t>
            </w:r>
            <w:r w:rsidRPr="000C3B7D">
              <w:rPr>
                <w:rFonts w:ascii="Arial" w:hAnsi="Arial" w:cs="Arial"/>
                <w:b/>
                <w:bCs/>
                <w:sz w:val="18"/>
                <w:szCs w:val="20"/>
              </w:rPr>
              <w:t xml:space="preserve">non-inferiority </w:t>
            </w:r>
            <w:r w:rsidRPr="000C3B7D">
              <w:rPr>
                <w:rFonts w:ascii="Arial" w:hAnsi="Arial" w:cs="Arial"/>
                <w:b/>
                <w:bCs/>
                <w:sz w:val="18"/>
                <w:szCs w:val="20"/>
              </w:rPr>
              <w:lastRenderedPageBreak/>
              <w:t>criteria?</w:t>
            </w:r>
            <w:r w:rsidRPr="000C3B7D">
              <w:rPr>
                <w:rFonts w:ascii="Arial" w:hAnsi="Arial" w:cs="Arial"/>
                <w:b/>
                <w:bCs/>
                <w:sz w:val="18"/>
                <w:szCs w:val="20"/>
                <w:vertAlign w:val="superscript"/>
              </w:rPr>
              <w:t>b</w:t>
            </w:r>
          </w:p>
        </w:tc>
      </w:tr>
      <w:tr w:rsidR="00305BD8" w:rsidRPr="005D183C" w14:paraId="14D04BC5" w14:textId="77777777" w:rsidTr="000C3B7D">
        <w:trPr>
          <w:trHeight w:val="354"/>
        </w:trPr>
        <w:tc>
          <w:tcPr>
            <w:tcW w:w="1298" w:type="dxa"/>
            <w:vAlign w:val="center"/>
          </w:tcPr>
          <w:p w14:paraId="2408ED16" w14:textId="77777777" w:rsidR="00305BD8" w:rsidRPr="000C3B7D" w:rsidRDefault="00305BD8" w:rsidP="00B96D40">
            <w:pPr>
              <w:autoSpaceDE w:val="0"/>
              <w:autoSpaceDN w:val="0"/>
              <w:adjustRightInd w:val="0"/>
              <w:jc w:val="both"/>
              <w:rPr>
                <w:rFonts w:ascii="Arial" w:hAnsi="Arial" w:cs="Arial"/>
                <w:b/>
                <w:bCs/>
                <w:sz w:val="18"/>
                <w:szCs w:val="20"/>
              </w:rPr>
            </w:pPr>
            <w:r w:rsidRPr="000C3B7D">
              <w:rPr>
                <w:rFonts w:ascii="Arial" w:hAnsi="Arial" w:cs="Arial"/>
                <w:b/>
                <w:bCs/>
                <w:sz w:val="18"/>
                <w:szCs w:val="20"/>
              </w:rPr>
              <w:lastRenderedPageBreak/>
              <w:t>Strain</w:t>
            </w:r>
          </w:p>
        </w:tc>
        <w:tc>
          <w:tcPr>
            <w:tcW w:w="1369" w:type="dxa"/>
            <w:vAlign w:val="center"/>
          </w:tcPr>
          <w:p w14:paraId="057C3026" w14:textId="77777777" w:rsidR="00DA3E45" w:rsidRPr="00BE3F31" w:rsidRDefault="00F36CC2" w:rsidP="00B96D40">
            <w:pPr>
              <w:autoSpaceDE w:val="0"/>
              <w:autoSpaceDN w:val="0"/>
              <w:adjustRightInd w:val="0"/>
              <w:jc w:val="center"/>
              <w:rPr>
                <w:rFonts w:ascii="Arial" w:hAnsi="Arial" w:cs="Arial"/>
                <w:b/>
                <w:bCs/>
                <w:color w:val="000000" w:themeColor="text1"/>
                <w:sz w:val="18"/>
                <w:szCs w:val="20"/>
              </w:rPr>
            </w:pPr>
            <w:r w:rsidRPr="00BE3F31">
              <w:rPr>
                <w:rFonts w:ascii="Arial" w:hAnsi="Arial" w:cs="Arial"/>
                <w:b/>
                <w:bCs/>
                <w:color w:val="000000" w:themeColor="text1"/>
                <w:sz w:val="18"/>
                <w:szCs w:val="20"/>
              </w:rPr>
              <w:t>Fluad</w:t>
            </w:r>
            <w:r w:rsidRPr="00BE3F31">
              <w:rPr>
                <w:rFonts w:ascii="Arial" w:hAnsi="Arial" w:cs="Arial"/>
                <w:b/>
                <w:bCs/>
                <w:color w:val="000000" w:themeColor="text1"/>
                <w:sz w:val="18"/>
                <w:szCs w:val="20"/>
                <w:vertAlign w:val="superscript"/>
              </w:rPr>
              <w:t>®</w:t>
            </w:r>
            <w:r w:rsidRPr="00BE3F31">
              <w:rPr>
                <w:rFonts w:ascii="Arial" w:hAnsi="Arial" w:cs="Arial"/>
                <w:b/>
                <w:bCs/>
                <w:color w:val="000000" w:themeColor="text1"/>
                <w:sz w:val="18"/>
                <w:szCs w:val="20"/>
              </w:rPr>
              <w:t xml:space="preserve"> Quad</w:t>
            </w:r>
          </w:p>
          <w:p w14:paraId="084FDC67" w14:textId="77777777" w:rsidR="00305BD8" w:rsidRPr="00BE3F31" w:rsidRDefault="00305BD8"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
                <w:bCs/>
                <w:color w:val="000000" w:themeColor="text1"/>
                <w:sz w:val="18"/>
                <w:szCs w:val="20"/>
              </w:rPr>
              <w:t>N=872</w:t>
            </w:r>
          </w:p>
        </w:tc>
        <w:tc>
          <w:tcPr>
            <w:tcW w:w="1184" w:type="dxa"/>
            <w:gridSpan w:val="2"/>
            <w:vAlign w:val="center"/>
          </w:tcPr>
          <w:p w14:paraId="7AC7108A" w14:textId="77777777" w:rsidR="00305BD8" w:rsidRPr="00BE3F31" w:rsidRDefault="00305BD8" w:rsidP="00B96D40">
            <w:pPr>
              <w:autoSpaceDE w:val="0"/>
              <w:autoSpaceDN w:val="0"/>
              <w:adjustRightInd w:val="0"/>
              <w:jc w:val="center"/>
              <w:rPr>
                <w:rFonts w:ascii="Arial" w:hAnsi="Arial" w:cs="Arial"/>
                <w:b/>
                <w:bCs/>
                <w:color w:val="000000" w:themeColor="text1"/>
                <w:sz w:val="18"/>
                <w:szCs w:val="20"/>
              </w:rPr>
            </w:pPr>
            <w:r w:rsidRPr="00BE3F31">
              <w:rPr>
                <w:rFonts w:ascii="Arial" w:hAnsi="Arial" w:cs="Arial"/>
                <w:b/>
                <w:bCs/>
                <w:color w:val="000000" w:themeColor="text1"/>
                <w:sz w:val="18"/>
                <w:szCs w:val="20"/>
              </w:rPr>
              <w:t>aTIV-1</w:t>
            </w:r>
          </w:p>
          <w:p w14:paraId="41D27605" w14:textId="77777777" w:rsidR="00305BD8" w:rsidRPr="00BE3F31" w:rsidRDefault="00305BD8" w:rsidP="00B96D40">
            <w:pPr>
              <w:autoSpaceDE w:val="0"/>
              <w:autoSpaceDN w:val="0"/>
              <w:adjustRightInd w:val="0"/>
              <w:jc w:val="center"/>
              <w:rPr>
                <w:rFonts w:ascii="Arial" w:hAnsi="Arial" w:cs="Arial"/>
                <w:b/>
                <w:bCs/>
                <w:color w:val="000000" w:themeColor="text1"/>
                <w:sz w:val="18"/>
                <w:szCs w:val="20"/>
              </w:rPr>
            </w:pPr>
            <w:r w:rsidRPr="00BE3F31">
              <w:rPr>
                <w:rFonts w:ascii="Arial" w:hAnsi="Arial" w:cs="Arial"/>
                <w:b/>
                <w:bCs/>
                <w:color w:val="000000" w:themeColor="text1"/>
                <w:sz w:val="18"/>
                <w:szCs w:val="20"/>
              </w:rPr>
              <w:t>(B-Victoria)</w:t>
            </w:r>
          </w:p>
          <w:p w14:paraId="42066945" w14:textId="77777777" w:rsidR="00305BD8" w:rsidRPr="00BE3F31" w:rsidRDefault="00305BD8" w:rsidP="00B96D40">
            <w:pPr>
              <w:autoSpaceDE w:val="0"/>
              <w:autoSpaceDN w:val="0"/>
              <w:adjustRightInd w:val="0"/>
              <w:jc w:val="center"/>
              <w:rPr>
                <w:rFonts w:ascii="Arial" w:hAnsi="Arial" w:cs="Arial"/>
                <w:b/>
                <w:bCs/>
                <w:color w:val="000000" w:themeColor="text1"/>
                <w:sz w:val="18"/>
                <w:szCs w:val="20"/>
              </w:rPr>
            </w:pPr>
            <w:r w:rsidRPr="00BE3F31">
              <w:rPr>
                <w:rFonts w:ascii="Arial" w:hAnsi="Arial" w:cs="Arial"/>
                <w:b/>
                <w:bCs/>
                <w:color w:val="000000" w:themeColor="text1"/>
                <w:sz w:val="18"/>
                <w:szCs w:val="20"/>
              </w:rPr>
              <w:t>N=436</w:t>
            </w:r>
          </w:p>
        </w:tc>
        <w:tc>
          <w:tcPr>
            <w:tcW w:w="1127" w:type="dxa"/>
            <w:vAlign w:val="center"/>
          </w:tcPr>
          <w:p w14:paraId="0B01528A" w14:textId="77777777" w:rsidR="00305BD8" w:rsidRPr="00BE3F31" w:rsidRDefault="00305BD8" w:rsidP="00B96D40">
            <w:pPr>
              <w:autoSpaceDE w:val="0"/>
              <w:autoSpaceDN w:val="0"/>
              <w:adjustRightInd w:val="0"/>
              <w:jc w:val="center"/>
              <w:rPr>
                <w:rFonts w:ascii="Arial" w:hAnsi="Arial" w:cs="Arial"/>
                <w:b/>
                <w:bCs/>
                <w:color w:val="000000" w:themeColor="text1"/>
                <w:sz w:val="18"/>
                <w:szCs w:val="20"/>
              </w:rPr>
            </w:pPr>
            <w:r w:rsidRPr="00BE3F31">
              <w:rPr>
                <w:rFonts w:ascii="Arial" w:hAnsi="Arial" w:cs="Arial"/>
                <w:b/>
                <w:bCs/>
                <w:color w:val="000000" w:themeColor="text1"/>
                <w:sz w:val="18"/>
                <w:szCs w:val="20"/>
              </w:rPr>
              <w:t>aTIV-2</w:t>
            </w:r>
          </w:p>
          <w:p w14:paraId="4CC81CC6" w14:textId="77777777" w:rsidR="00305BD8" w:rsidRPr="00BE3F31" w:rsidRDefault="00305BD8" w:rsidP="00B96D40">
            <w:pPr>
              <w:autoSpaceDE w:val="0"/>
              <w:autoSpaceDN w:val="0"/>
              <w:adjustRightInd w:val="0"/>
              <w:jc w:val="center"/>
              <w:rPr>
                <w:rFonts w:ascii="Arial" w:hAnsi="Arial" w:cs="Arial"/>
                <w:b/>
                <w:bCs/>
                <w:color w:val="000000" w:themeColor="text1"/>
                <w:sz w:val="18"/>
                <w:szCs w:val="20"/>
              </w:rPr>
            </w:pPr>
            <w:r w:rsidRPr="00BE3F31">
              <w:rPr>
                <w:rFonts w:ascii="Arial" w:hAnsi="Arial" w:cs="Arial"/>
                <w:b/>
                <w:bCs/>
                <w:color w:val="000000" w:themeColor="text1"/>
                <w:sz w:val="18"/>
                <w:szCs w:val="20"/>
              </w:rPr>
              <w:t>(B-Yamagata)</w:t>
            </w:r>
          </w:p>
          <w:p w14:paraId="3404AAF4" w14:textId="77777777" w:rsidR="00305BD8" w:rsidRPr="00BE3F31" w:rsidRDefault="00305BD8" w:rsidP="00B96D40">
            <w:pPr>
              <w:autoSpaceDE w:val="0"/>
              <w:autoSpaceDN w:val="0"/>
              <w:adjustRightInd w:val="0"/>
              <w:jc w:val="center"/>
              <w:rPr>
                <w:rFonts w:ascii="Arial" w:hAnsi="Arial" w:cs="Arial"/>
                <w:b/>
                <w:bCs/>
                <w:color w:val="000000" w:themeColor="text1"/>
                <w:sz w:val="18"/>
                <w:szCs w:val="20"/>
              </w:rPr>
            </w:pPr>
            <w:r w:rsidRPr="00BE3F31">
              <w:rPr>
                <w:rFonts w:ascii="Arial" w:hAnsi="Arial" w:cs="Arial"/>
                <w:b/>
                <w:bCs/>
                <w:color w:val="000000" w:themeColor="text1"/>
                <w:sz w:val="18"/>
                <w:szCs w:val="20"/>
              </w:rPr>
              <w:t>N=433</w:t>
            </w:r>
          </w:p>
        </w:tc>
        <w:tc>
          <w:tcPr>
            <w:tcW w:w="1669" w:type="dxa"/>
            <w:vAlign w:val="center"/>
          </w:tcPr>
          <w:p w14:paraId="321F1002" w14:textId="77777777" w:rsidR="00DA3E45"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aTIV</w:t>
            </w:r>
            <w:r w:rsidRPr="000C3B7D">
              <w:rPr>
                <w:rFonts w:ascii="Arial" w:hAnsi="Arial" w:cs="Arial"/>
                <w:b/>
                <w:bCs/>
                <w:sz w:val="18"/>
                <w:szCs w:val="20"/>
                <w:vertAlign w:val="superscript"/>
              </w:rPr>
              <w:t>d</w:t>
            </w:r>
            <w:r w:rsidRPr="000C3B7D">
              <w:rPr>
                <w:rFonts w:ascii="Arial" w:hAnsi="Arial" w:cs="Arial"/>
                <w:b/>
                <w:bCs/>
                <w:sz w:val="18"/>
                <w:szCs w:val="20"/>
              </w:rPr>
              <w:t>-</w:t>
            </w:r>
            <w:r w:rsidR="00DA3E45" w:rsidRPr="000C3B7D">
              <w:rPr>
                <w:rFonts w:ascii="Arial" w:hAnsi="Arial" w:cs="Arial"/>
                <w:b/>
                <w:bCs/>
                <w:sz w:val="18"/>
                <w:szCs w:val="20"/>
              </w:rPr>
              <w:t xml:space="preserve"> </w:t>
            </w:r>
            <w:r w:rsidR="00F36CC2" w:rsidRPr="000C3B7D">
              <w:rPr>
                <w:rFonts w:ascii="Arial" w:hAnsi="Arial" w:cs="Arial"/>
                <w:b/>
                <w:bCs/>
                <w:sz w:val="18"/>
                <w:szCs w:val="20"/>
              </w:rPr>
              <w:t>Fluad</w:t>
            </w:r>
            <w:r w:rsidR="00B640FB" w:rsidRPr="000C3B7D">
              <w:rPr>
                <w:rFonts w:ascii="Arial" w:hAnsi="Arial" w:cs="Arial"/>
                <w:sz w:val="18"/>
                <w:vertAlign w:val="superscript"/>
              </w:rPr>
              <w:t>®</w:t>
            </w:r>
            <w:r w:rsidR="00F36CC2" w:rsidRPr="000C3B7D">
              <w:rPr>
                <w:rFonts w:ascii="Arial" w:hAnsi="Arial" w:cs="Arial"/>
                <w:b/>
                <w:bCs/>
                <w:sz w:val="18"/>
                <w:szCs w:val="20"/>
              </w:rPr>
              <w:t xml:space="preserve"> Quad</w:t>
            </w:r>
          </w:p>
          <w:p w14:paraId="6CB5ED7F"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(95% CI)</w:t>
            </w:r>
          </w:p>
          <w:p w14:paraId="1A651A00" w14:textId="77777777" w:rsidR="00305BD8" w:rsidRPr="000C3B7D" w:rsidRDefault="00305BD8" w:rsidP="00B96D40">
            <w:pPr>
              <w:autoSpaceDE w:val="0"/>
              <w:autoSpaceDN w:val="0"/>
              <w:adjustRightInd w:val="0"/>
              <w:jc w:val="center"/>
              <w:rPr>
                <w:rFonts w:ascii="Arial" w:hAnsi="Arial" w:cs="Arial"/>
                <w:b/>
                <w:bCs/>
                <w:sz w:val="18"/>
                <w:szCs w:val="20"/>
              </w:rPr>
            </w:pPr>
            <w:r w:rsidRPr="000C3B7D">
              <w:rPr>
                <w:rFonts w:ascii="Arial" w:hAnsi="Arial" w:cs="Arial"/>
                <w:b/>
                <w:bCs/>
                <w:sz w:val="18"/>
                <w:szCs w:val="20"/>
              </w:rPr>
              <w:t>(95% CI) aTIV</w:t>
            </w:r>
          </w:p>
        </w:tc>
        <w:tc>
          <w:tcPr>
            <w:tcW w:w="1796" w:type="dxa"/>
            <w:vAlign w:val="center"/>
          </w:tcPr>
          <w:p w14:paraId="33A32507" w14:textId="77777777" w:rsidR="00305BD8" w:rsidRPr="000C3B7D" w:rsidRDefault="00305BD8" w:rsidP="00B96D40">
            <w:pPr>
              <w:autoSpaceDE w:val="0"/>
              <w:autoSpaceDN w:val="0"/>
              <w:adjustRightInd w:val="0"/>
              <w:jc w:val="center"/>
              <w:rPr>
                <w:rFonts w:ascii="Arial" w:hAnsi="Arial" w:cs="Arial"/>
                <w:bCs/>
                <w:sz w:val="18"/>
                <w:szCs w:val="20"/>
              </w:rPr>
            </w:pPr>
          </w:p>
        </w:tc>
      </w:tr>
      <w:tr w:rsidR="000C3B7D" w:rsidRPr="005D183C" w14:paraId="09E6EE9F" w14:textId="77777777" w:rsidTr="00872ECC">
        <w:trPr>
          <w:trHeight w:val="354"/>
        </w:trPr>
        <w:tc>
          <w:tcPr>
            <w:tcW w:w="1298" w:type="dxa"/>
            <w:vAlign w:val="center"/>
          </w:tcPr>
          <w:p w14:paraId="15F79052" w14:textId="77777777" w:rsidR="000C3B7D" w:rsidRPr="000C3B7D" w:rsidRDefault="000C3B7D" w:rsidP="00B96D40">
            <w:pPr>
              <w:autoSpaceDE w:val="0"/>
              <w:autoSpaceDN w:val="0"/>
              <w:adjustRightInd w:val="0"/>
              <w:jc w:val="both"/>
              <w:rPr>
                <w:rFonts w:ascii="Arial" w:hAnsi="Arial" w:cs="Arial"/>
                <w:bCs/>
                <w:sz w:val="18"/>
                <w:szCs w:val="20"/>
              </w:rPr>
            </w:pPr>
            <w:r w:rsidRPr="000C3B7D">
              <w:rPr>
                <w:rFonts w:ascii="Arial" w:hAnsi="Arial" w:cs="Arial"/>
                <w:bCs/>
                <w:sz w:val="18"/>
                <w:szCs w:val="20"/>
              </w:rPr>
              <w:t>A/H1N1</w:t>
            </w:r>
          </w:p>
        </w:tc>
        <w:tc>
          <w:tcPr>
            <w:tcW w:w="1369" w:type="dxa"/>
            <w:vAlign w:val="center"/>
          </w:tcPr>
          <w:p w14:paraId="556865C4" w14:textId="77777777" w:rsidR="000C3B7D" w:rsidRPr="00BE3F31" w:rsidRDefault="000C3B7D" w:rsidP="00B96D40">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35.21</w:t>
            </w:r>
          </w:p>
          <w:p w14:paraId="2114F116" w14:textId="77777777" w:rsidR="000C3B7D" w:rsidRPr="00BE3F31" w:rsidRDefault="000C3B7D" w:rsidP="000C3B7D">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(32; 38.5)</w:t>
            </w:r>
          </w:p>
        </w:tc>
        <w:tc>
          <w:tcPr>
            <w:tcW w:w="1155" w:type="dxa"/>
            <w:vAlign w:val="center"/>
          </w:tcPr>
          <w:p w14:paraId="3B71AD83" w14:textId="77777777" w:rsidR="000C3B7D" w:rsidRPr="00BE3F31" w:rsidRDefault="000C3B7D" w:rsidP="000C3B7D">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39.45</w:t>
            </w:r>
          </w:p>
          <w:p w14:paraId="131A503C" w14:textId="77777777" w:rsidR="000C3B7D" w:rsidRPr="00BE3F31" w:rsidRDefault="000C3B7D" w:rsidP="000C3B7D">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(34.8; 44.2)</w:t>
            </w:r>
          </w:p>
        </w:tc>
        <w:tc>
          <w:tcPr>
            <w:tcW w:w="1156" w:type="dxa"/>
            <w:gridSpan w:val="2"/>
            <w:vAlign w:val="center"/>
          </w:tcPr>
          <w:p w14:paraId="7384D8DF" w14:textId="77777777" w:rsidR="000C3B7D" w:rsidRPr="00BE3F31" w:rsidRDefault="000C3B7D" w:rsidP="000C3B7D">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37.41</w:t>
            </w:r>
          </w:p>
          <w:p w14:paraId="4A80E35D" w14:textId="77777777" w:rsidR="000C3B7D" w:rsidRPr="00BE3F31" w:rsidRDefault="000C3B7D" w:rsidP="000C3B7D">
            <w:pPr>
              <w:autoSpaceDE w:val="0"/>
              <w:autoSpaceDN w:val="0"/>
              <w:adjustRightInd w:val="0"/>
              <w:jc w:val="center"/>
              <w:rPr>
                <w:rFonts w:ascii="Arial" w:hAnsi="Arial" w:cs="Arial"/>
                <w:bCs/>
                <w:color w:val="000000" w:themeColor="text1"/>
                <w:sz w:val="18"/>
                <w:szCs w:val="20"/>
              </w:rPr>
            </w:pPr>
            <w:r w:rsidRPr="00BE3F31">
              <w:rPr>
                <w:rFonts w:ascii="Arial" w:hAnsi="Arial" w:cs="Arial"/>
                <w:bCs/>
                <w:color w:val="000000" w:themeColor="text1"/>
                <w:sz w:val="18"/>
                <w:szCs w:val="20"/>
              </w:rPr>
              <w:t>(32.8; 4.2)</w:t>
            </w:r>
          </w:p>
        </w:tc>
        <w:tc>
          <w:tcPr>
            <w:tcW w:w="1669" w:type="dxa"/>
            <w:vAlign w:val="center"/>
          </w:tcPr>
          <w:p w14:paraId="4D9F4678" w14:textId="77777777" w:rsidR="000C3B7D" w:rsidRPr="008F06F3" w:rsidRDefault="000C3B7D"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3.23</w:t>
            </w:r>
          </w:p>
          <w:p w14:paraId="725F41B5" w14:textId="77777777" w:rsidR="000C3B7D" w:rsidRPr="008F06F3" w:rsidRDefault="000C3B7D"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(-1.30, 7.76)</w:t>
            </w:r>
          </w:p>
        </w:tc>
        <w:tc>
          <w:tcPr>
            <w:tcW w:w="1796" w:type="dxa"/>
            <w:vAlign w:val="center"/>
          </w:tcPr>
          <w:p w14:paraId="4B68ADF8" w14:textId="77777777" w:rsidR="000C3B7D" w:rsidRPr="000C3B7D" w:rsidRDefault="000C3B7D"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Yes</w:t>
            </w:r>
          </w:p>
        </w:tc>
      </w:tr>
      <w:tr w:rsidR="000C3B7D" w:rsidRPr="005D183C" w14:paraId="3288BBC5" w14:textId="77777777" w:rsidTr="00872ECC">
        <w:trPr>
          <w:trHeight w:val="354"/>
        </w:trPr>
        <w:tc>
          <w:tcPr>
            <w:tcW w:w="1298" w:type="dxa"/>
            <w:vAlign w:val="center"/>
          </w:tcPr>
          <w:p w14:paraId="7B5CEFF9" w14:textId="77777777" w:rsidR="000C3B7D" w:rsidRPr="000C3B7D" w:rsidRDefault="000C3B7D" w:rsidP="00B96D40">
            <w:pPr>
              <w:autoSpaceDE w:val="0"/>
              <w:autoSpaceDN w:val="0"/>
              <w:adjustRightInd w:val="0"/>
              <w:jc w:val="both"/>
              <w:rPr>
                <w:rFonts w:ascii="Arial" w:hAnsi="Arial" w:cs="Arial"/>
                <w:bCs/>
                <w:sz w:val="18"/>
                <w:szCs w:val="20"/>
              </w:rPr>
            </w:pPr>
            <w:r w:rsidRPr="000C3B7D">
              <w:rPr>
                <w:rFonts w:ascii="Arial" w:hAnsi="Arial" w:cs="Arial"/>
                <w:bCs/>
                <w:sz w:val="18"/>
                <w:szCs w:val="20"/>
              </w:rPr>
              <w:t>A/H3N2</w:t>
            </w:r>
          </w:p>
        </w:tc>
        <w:tc>
          <w:tcPr>
            <w:tcW w:w="1369" w:type="dxa"/>
            <w:vAlign w:val="center"/>
          </w:tcPr>
          <w:p w14:paraId="376F15B9" w14:textId="77777777" w:rsidR="000C3B7D" w:rsidRPr="000C3B7D" w:rsidRDefault="000C3B7D"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39.33</w:t>
            </w:r>
          </w:p>
          <w:p w14:paraId="3BA13432" w14:textId="77777777" w:rsidR="000C3B7D" w:rsidRPr="000C3B7D" w:rsidRDefault="000C3B7D"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(36.</w:t>
            </w:r>
            <w:r>
              <w:rPr>
                <w:rFonts w:ascii="Arial" w:hAnsi="Arial" w:cs="Arial"/>
                <w:bCs/>
                <w:sz w:val="18"/>
                <w:szCs w:val="20"/>
              </w:rPr>
              <w:t>1</w:t>
            </w:r>
            <w:r w:rsidRPr="000C3B7D">
              <w:rPr>
                <w:rFonts w:ascii="Arial" w:hAnsi="Arial" w:cs="Arial"/>
                <w:bCs/>
                <w:sz w:val="18"/>
                <w:szCs w:val="20"/>
              </w:rPr>
              <w:t>; 42.7)</w:t>
            </w:r>
          </w:p>
        </w:tc>
        <w:tc>
          <w:tcPr>
            <w:tcW w:w="1155" w:type="dxa"/>
            <w:vAlign w:val="center"/>
          </w:tcPr>
          <w:p w14:paraId="325C41C6" w14:textId="77777777" w:rsidR="000C3B7D" w:rsidRDefault="000C3B7D"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39.70</w:t>
            </w:r>
          </w:p>
          <w:p w14:paraId="18541A14" w14:textId="77777777" w:rsidR="000C3B7D" w:rsidRPr="000C3B7D" w:rsidRDefault="000C3B7D"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(36.4</w:t>
            </w:r>
            <w:r>
              <w:rPr>
                <w:rFonts w:ascii="Arial" w:hAnsi="Arial" w:cs="Arial"/>
                <w:bCs/>
                <w:sz w:val="18"/>
                <w:szCs w:val="20"/>
              </w:rPr>
              <w:t>; 43.0</w:t>
            </w:r>
            <w:r w:rsidRPr="000C3B7D">
              <w:rPr>
                <w:rFonts w:ascii="Arial" w:hAnsi="Arial" w:cs="Arial"/>
                <w:bCs/>
                <w:sz w:val="18"/>
                <w:szCs w:val="20"/>
              </w:rPr>
              <w:t>)</w:t>
            </w:r>
          </w:p>
        </w:tc>
        <w:tc>
          <w:tcPr>
            <w:tcW w:w="1156" w:type="dxa"/>
            <w:gridSpan w:val="2"/>
            <w:vAlign w:val="center"/>
          </w:tcPr>
          <w:p w14:paraId="6D79403D" w14:textId="77777777" w:rsidR="000C3B7D" w:rsidRDefault="000C3B7D" w:rsidP="000C3B7D">
            <w:pPr>
              <w:autoSpaceDE w:val="0"/>
              <w:autoSpaceDN w:val="0"/>
              <w:adjustRightInd w:val="0"/>
              <w:jc w:val="center"/>
              <w:rPr>
                <w:rFonts w:ascii="Arial" w:hAnsi="Arial" w:cs="Arial"/>
                <w:bCs/>
                <w:sz w:val="18"/>
                <w:szCs w:val="20"/>
              </w:rPr>
            </w:pPr>
            <w:r>
              <w:rPr>
                <w:rFonts w:ascii="Arial" w:hAnsi="Arial" w:cs="Arial"/>
                <w:bCs/>
                <w:sz w:val="18"/>
                <w:szCs w:val="20"/>
              </w:rPr>
              <w:t>3</w:t>
            </w:r>
            <w:r w:rsidRPr="000C3B7D">
              <w:rPr>
                <w:rFonts w:ascii="Arial" w:hAnsi="Arial" w:cs="Arial"/>
                <w:bCs/>
                <w:sz w:val="18"/>
                <w:szCs w:val="20"/>
              </w:rPr>
              <w:t>7</w:t>
            </w:r>
            <w:r>
              <w:rPr>
                <w:rFonts w:ascii="Arial" w:hAnsi="Arial" w:cs="Arial"/>
                <w:bCs/>
                <w:sz w:val="18"/>
                <w:szCs w:val="20"/>
              </w:rPr>
              <w:t>.18</w:t>
            </w:r>
          </w:p>
          <w:p w14:paraId="5FA24F3B" w14:textId="77777777" w:rsidR="000C3B7D" w:rsidRPr="000C3B7D" w:rsidRDefault="000C3B7D" w:rsidP="000C3B7D">
            <w:pPr>
              <w:autoSpaceDE w:val="0"/>
              <w:autoSpaceDN w:val="0"/>
              <w:adjustRightInd w:val="0"/>
              <w:jc w:val="center"/>
              <w:rPr>
                <w:rFonts w:ascii="Arial" w:hAnsi="Arial" w:cs="Arial"/>
                <w:bCs/>
                <w:sz w:val="18"/>
                <w:szCs w:val="20"/>
              </w:rPr>
            </w:pPr>
            <w:r>
              <w:rPr>
                <w:rFonts w:ascii="Arial" w:hAnsi="Arial" w:cs="Arial"/>
                <w:bCs/>
                <w:sz w:val="18"/>
                <w:szCs w:val="20"/>
              </w:rPr>
              <w:t>(32</w:t>
            </w:r>
            <w:r w:rsidRPr="000C3B7D">
              <w:rPr>
                <w:rFonts w:ascii="Arial" w:hAnsi="Arial" w:cs="Arial"/>
                <w:bCs/>
                <w:sz w:val="18"/>
                <w:szCs w:val="20"/>
              </w:rPr>
              <w:t>.</w:t>
            </w:r>
            <w:r>
              <w:rPr>
                <w:rFonts w:ascii="Arial" w:hAnsi="Arial" w:cs="Arial"/>
                <w:bCs/>
                <w:sz w:val="18"/>
                <w:szCs w:val="20"/>
              </w:rPr>
              <w:t>6; 41.9</w:t>
            </w:r>
            <w:r w:rsidRPr="000C3B7D">
              <w:rPr>
                <w:rFonts w:ascii="Arial" w:hAnsi="Arial" w:cs="Arial"/>
                <w:bCs/>
                <w:sz w:val="18"/>
                <w:szCs w:val="20"/>
              </w:rPr>
              <w:t>)</w:t>
            </w:r>
          </w:p>
        </w:tc>
        <w:tc>
          <w:tcPr>
            <w:tcW w:w="1669" w:type="dxa"/>
            <w:vAlign w:val="center"/>
          </w:tcPr>
          <w:p w14:paraId="70C67A00" w14:textId="77777777" w:rsidR="000C3B7D" w:rsidRPr="008F06F3" w:rsidRDefault="000C3B7D"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0.37</w:t>
            </w:r>
          </w:p>
          <w:p w14:paraId="09433D9A" w14:textId="77777777" w:rsidR="000C3B7D" w:rsidRPr="008F06F3" w:rsidRDefault="000C3B7D"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(-4.23, 4.96)</w:t>
            </w:r>
          </w:p>
        </w:tc>
        <w:tc>
          <w:tcPr>
            <w:tcW w:w="1796" w:type="dxa"/>
            <w:vAlign w:val="center"/>
          </w:tcPr>
          <w:p w14:paraId="739EEA20" w14:textId="77777777" w:rsidR="000C3B7D" w:rsidRPr="000C3B7D" w:rsidRDefault="000C3B7D"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Yes</w:t>
            </w:r>
          </w:p>
        </w:tc>
      </w:tr>
      <w:tr w:rsidR="00305BD8" w:rsidRPr="005D183C" w14:paraId="1460C143" w14:textId="77777777" w:rsidTr="000C3B7D">
        <w:trPr>
          <w:trHeight w:val="354"/>
        </w:trPr>
        <w:tc>
          <w:tcPr>
            <w:tcW w:w="1298" w:type="dxa"/>
            <w:vAlign w:val="center"/>
          </w:tcPr>
          <w:p w14:paraId="42984F01" w14:textId="77777777" w:rsidR="00305BD8" w:rsidRPr="000C3B7D" w:rsidRDefault="00305BD8" w:rsidP="00B96D40">
            <w:pPr>
              <w:autoSpaceDE w:val="0"/>
              <w:autoSpaceDN w:val="0"/>
              <w:adjustRightInd w:val="0"/>
              <w:jc w:val="both"/>
              <w:rPr>
                <w:rFonts w:ascii="Arial" w:hAnsi="Arial" w:cs="Arial"/>
                <w:bCs/>
                <w:sz w:val="18"/>
                <w:szCs w:val="20"/>
              </w:rPr>
            </w:pPr>
            <w:r w:rsidRPr="000C3B7D">
              <w:rPr>
                <w:rFonts w:ascii="Arial" w:hAnsi="Arial" w:cs="Arial"/>
                <w:bCs/>
                <w:sz w:val="18"/>
                <w:szCs w:val="20"/>
              </w:rPr>
              <w:t>B/Yamagata</w:t>
            </w:r>
          </w:p>
        </w:tc>
        <w:tc>
          <w:tcPr>
            <w:tcW w:w="1369" w:type="dxa"/>
            <w:vAlign w:val="center"/>
          </w:tcPr>
          <w:p w14:paraId="681BBC6B"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16.4</w:t>
            </w:r>
          </w:p>
          <w:p w14:paraId="0B1833A9" w14:textId="77777777" w:rsidR="00305BD8" w:rsidRPr="000C3B7D" w:rsidRDefault="00305BD8"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(14.0; 19.0)</w:t>
            </w:r>
          </w:p>
        </w:tc>
        <w:tc>
          <w:tcPr>
            <w:tcW w:w="1184" w:type="dxa"/>
            <w:gridSpan w:val="2"/>
            <w:vAlign w:val="center"/>
          </w:tcPr>
          <w:p w14:paraId="3A828541" w14:textId="38A67A4A" w:rsidR="00305BD8" w:rsidRPr="000C3B7D" w:rsidRDefault="00702767" w:rsidP="00702767">
            <w:pPr>
              <w:autoSpaceDE w:val="0"/>
              <w:autoSpaceDN w:val="0"/>
              <w:adjustRightInd w:val="0"/>
              <w:jc w:val="center"/>
              <w:rPr>
                <w:rFonts w:ascii="Arial" w:hAnsi="Arial" w:cs="Arial"/>
                <w:bCs/>
                <w:sz w:val="18"/>
                <w:szCs w:val="20"/>
              </w:rPr>
            </w:pPr>
            <w:r w:rsidRPr="000C3B7D">
              <w:rPr>
                <w:rFonts w:ascii="Arial" w:hAnsi="Arial" w:cs="Arial"/>
                <w:bCs/>
                <w:sz w:val="18"/>
                <w:szCs w:val="20"/>
              </w:rPr>
              <w:t>N</w:t>
            </w:r>
            <w:r>
              <w:rPr>
                <w:rFonts w:ascii="Arial" w:hAnsi="Arial" w:cs="Arial"/>
                <w:bCs/>
                <w:sz w:val="18"/>
                <w:szCs w:val="20"/>
              </w:rPr>
              <w:t>A</w:t>
            </w:r>
          </w:p>
        </w:tc>
        <w:tc>
          <w:tcPr>
            <w:tcW w:w="1127" w:type="dxa"/>
            <w:vAlign w:val="center"/>
          </w:tcPr>
          <w:p w14:paraId="3C3EE48E"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15.47</w:t>
            </w:r>
          </w:p>
          <w:p w14:paraId="53D30289" w14:textId="77777777" w:rsidR="00305BD8" w:rsidRPr="000C3B7D" w:rsidRDefault="00305BD8"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(12.2</w:t>
            </w:r>
            <w:r w:rsidR="000C3B7D">
              <w:rPr>
                <w:rFonts w:ascii="Arial" w:hAnsi="Arial" w:cs="Arial"/>
                <w:bCs/>
                <w:sz w:val="18"/>
                <w:szCs w:val="20"/>
              </w:rPr>
              <w:t>;19.2</w:t>
            </w:r>
            <w:r w:rsidRPr="000C3B7D">
              <w:rPr>
                <w:rFonts w:ascii="Arial" w:hAnsi="Arial" w:cs="Arial"/>
                <w:bCs/>
                <w:sz w:val="18"/>
                <w:szCs w:val="20"/>
              </w:rPr>
              <w:t>)</w:t>
            </w:r>
          </w:p>
        </w:tc>
        <w:tc>
          <w:tcPr>
            <w:tcW w:w="1669" w:type="dxa"/>
            <w:vAlign w:val="center"/>
          </w:tcPr>
          <w:p w14:paraId="611531A3"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-0.93</w:t>
            </w:r>
          </w:p>
          <w:p w14:paraId="051E1B53"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(-5.13; 3.27)</w:t>
            </w:r>
          </w:p>
        </w:tc>
        <w:tc>
          <w:tcPr>
            <w:tcW w:w="1796" w:type="dxa"/>
            <w:vAlign w:val="center"/>
          </w:tcPr>
          <w:p w14:paraId="6F0B0236" w14:textId="77777777" w:rsidR="00305BD8" w:rsidRPr="000C3B7D" w:rsidRDefault="00305BD8"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Yes</w:t>
            </w:r>
          </w:p>
        </w:tc>
      </w:tr>
      <w:tr w:rsidR="00305BD8" w:rsidRPr="005D183C" w14:paraId="30DDDC74" w14:textId="77777777" w:rsidTr="000C3B7D">
        <w:trPr>
          <w:trHeight w:val="354"/>
        </w:trPr>
        <w:tc>
          <w:tcPr>
            <w:tcW w:w="1298" w:type="dxa"/>
            <w:tcBorders>
              <w:bottom w:val="single" w:sz="4" w:space="0" w:color="auto"/>
            </w:tcBorders>
            <w:vAlign w:val="center"/>
          </w:tcPr>
          <w:p w14:paraId="5EE2F3B1" w14:textId="77777777" w:rsidR="00305BD8" w:rsidRPr="000C3B7D" w:rsidRDefault="00305BD8" w:rsidP="00B96D40">
            <w:pPr>
              <w:autoSpaceDE w:val="0"/>
              <w:autoSpaceDN w:val="0"/>
              <w:adjustRightInd w:val="0"/>
              <w:jc w:val="both"/>
              <w:rPr>
                <w:rFonts w:ascii="Arial" w:hAnsi="Arial" w:cs="Arial"/>
                <w:bCs/>
                <w:sz w:val="18"/>
                <w:szCs w:val="20"/>
              </w:rPr>
            </w:pPr>
            <w:r w:rsidRPr="000C3B7D">
              <w:rPr>
                <w:rFonts w:ascii="Arial" w:hAnsi="Arial" w:cs="Arial"/>
                <w:bCs/>
                <w:sz w:val="18"/>
                <w:szCs w:val="20"/>
              </w:rPr>
              <w:t>B/Victoria</w:t>
            </w:r>
          </w:p>
        </w:tc>
        <w:tc>
          <w:tcPr>
            <w:tcW w:w="1369" w:type="dxa"/>
            <w:tcBorders>
              <w:bottom w:val="single" w:sz="4" w:space="0" w:color="auto"/>
            </w:tcBorders>
            <w:vAlign w:val="center"/>
          </w:tcPr>
          <w:p w14:paraId="43ABAAA9" w14:textId="77777777" w:rsidR="00305BD8" w:rsidRPr="000C3B7D" w:rsidRDefault="000C3B7D" w:rsidP="00B96D40">
            <w:pPr>
              <w:autoSpaceDE w:val="0"/>
              <w:autoSpaceDN w:val="0"/>
              <w:adjustRightInd w:val="0"/>
              <w:jc w:val="center"/>
              <w:rPr>
                <w:rFonts w:ascii="Arial" w:hAnsi="Arial" w:cs="Arial"/>
                <w:bCs/>
                <w:sz w:val="18"/>
                <w:szCs w:val="20"/>
              </w:rPr>
            </w:pPr>
            <w:r>
              <w:rPr>
                <w:rFonts w:ascii="Arial" w:hAnsi="Arial" w:cs="Arial"/>
                <w:bCs/>
                <w:sz w:val="18"/>
                <w:szCs w:val="20"/>
              </w:rPr>
              <w:t>13.42</w:t>
            </w:r>
          </w:p>
          <w:p w14:paraId="2BBEFBAC" w14:textId="77777777" w:rsidR="00305BD8" w:rsidRPr="000C3B7D" w:rsidRDefault="000C3B7D" w:rsidP="000C3B7D">
            <w:pPr>
              <w:autoSpaceDE w:val="0"/>
              <w:autoSpaceDN w:val="0"/>
              <w:adjustRightInd w:val="0"/>
              <w:jc w:val="center"/>
              <w:rPr>
                <w:rFonts w:ascii="Arial" w:hAnsi="Arial" w:cs="Arial"/>
                <w:bCs/>
                <w:sz w:val="18"/>
                <w:szCs w:val="20"/>
              </w:rPr>
            </w:pPr>
            <w:r>
              <w:rPr>
                <w:rFonts w:ascii="Arial" w:hAnsi="Arial" w:cs="Arial"/>
                <w:bCs/>
                <w:sz w:val="18"/>
                <w:szCs w:val="20"/>
              </w:rPr>
              <w:t>(11.2;</w:t>
            </w:r>
            <w:r w:rsidR="00305BD8" w:rsidRPr="000C3B7D">
              <w:rPr>
                <w:rFonts w:ascii="Arial" w:hAnsi="Arial" w:cs="Arial"/>
                <w:bCs/>
                <w:sz w:val="18"/>
                <w:szCs w:val="20"/>
              </w:rPr>
              <w:t xml:space="preserve"> 15.</w:t>
            </w:r>
            <w:r>
              <w:rPr>
                <w:rFonts w:ascii="Arial" w:hAnsi="Arial" w:cs="Arial"/>
                <w:bCs/>
                <w:sz w:val="18"/>
                <w:szCs w:val="20"/>
              </w:rPr>
              <w:t>9</w:t>
            </w:r>
            <w:r w:rsidR="00305BD8" w:rsidRPr="000C3B7D">
              <w:rPr>
                <w:rFonts w:ascii="Arial" w:hAnsi="Arial" w:cs="Arial"/>
                <w:bCs/>
                <w:sz w:val="18"/>
                <w:szCs w:val="20"/>
              </w:rPr>
              <w:t>)</w:t>
            </w:r>
          </w:p>
        </w:tc>
        <w:tc>
          <w:tcPr>
            <w:tcW w:w="1184" w:type="dxa"/>
            <w:gridSpan w:val="2"/>
            <w:tcBorders>
              <w:bottom w:val="single" w:sz="4" w:space="0" w:color="auto"/>
            </w:tcBorders>
            <w:vAlign w:val="center"/>
          </w:tcPr>
          <w:p w14:paraId="58C9CD00" w14:textId="77777777" w:rsidR="00305BD8" w:rsidRPr="000C3B7D" w:rsidRDefault="00305BD8" w:rsidP="00B96D40">
            <w:pPr>
              <w:autoSpaceDE w:val="0"/>
              <w:autoSpaceDN w:val="0"/>
              <w:adjustRightInd w:val="0"/>
              <w:jc w:val="center"/>
              <w:rPr>
                <w:rFonts w:ascii="Arial" w:hAnsi="Arial" w:cs="Arial"/>
                <w:bCs/>
                <w:sz w:val="18"/>
                <w:szCs w:val="20"/>
              </w:rPr>
            </w:pPr>
            <w:r w:rsidRPr="000C3B7D">
              <w:rPr>
                <w:rFonts w:ascii="Arial" w:hAnsi="Arial" w:cs="Arial"/>
                <w:bCs/>
                <w:sz w:val="18"/>
                <w:szCs w:val="20"/>
              </w:rPr>
              <w:t>12.16</w:t>
            </w:r>
          </w:p>
          <w:p w14:paraId="50CA58D5" w14:textId="77777777" w:rsidR="00305BD8" w:rsidRPr="000C3B7D" w:rsidRDefault="00305BD8"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(9.24; 15.6)</w:t>
            </w:r>
          </w:p>
        </w:tc>
        <w:tc>
          <w:tcPr>
            <w:tcW w:w="1127" w:type="dxa"/>
            <w:tcBorders>
              <w:bottom w:val="single" w:sz="4" w:space="0" w:color="auto"/>
            </w:tcBorders>
            <w:vAlign w:val="center"/>
          </w:tcPr>
          <w:p w14:paraId="7DBEC96E" w14:textId="635ECC7D" w:rsidR="00305BD8" w:rsidRPr="000C3B7D" w:rsidRDefault="00702767" w:rsidP="00702767">
            <w:pPr>
              <w:autoSpaceDE w:val="0"/>
              <w:autoSpaceDN w:val="0"/>
              <w:adjustRightInd w:val="0"/>
              <w:jc w:val="center"/>
              <w:rPr>
                <w:rFonts w:ascii="Arial" w:hAnsi="Arial" w:cs="Arial"/>
                <w:bCs/>
                <w:sz w:val="18"/>
                <w:szCs w:val="20"/>
              </w:rPr>
            </w:pPr>
            <w:r w:rsidRPr="000C3B7D">
              <w:rPr>
                <w:rFonts w:ascii="Arial" w:hAnsi="Arial" w:cs="Arial"/>
                <w:bCs/>
                <w:sz w:val="18"/>
                <w:szCs w:val="20"/>
              </w:rPr>
              <w:t>N</w:t>
            </w:r>
            <w:r>
              <w:rPr>
                <w:rFonts w:ascii="Arial" w:hAnsi="Arial" w:cs="Arial"/>
                <w:bCs/>
                <w:sz w:val="18"/>
                <w:szCs w:val="20"/>
              </w:rPr>
              <w:t>A</w:t>
            </w:r>
          </w:p>
        </w:tc>
        <w:tc>
          <w:tcPr>
            <w:tcW w:w="1669" w:type="dxa"/>
            <w:tcBorders>
              <w:bottom w:val="single" w:sz="4" w:space="0" w:color="auto"/>
            </w:tcBorders>
            <w:vAlign w:val="center"/>
          </w:tcPr>
          <w:p w14:paraId="1B4269F0"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-1.26</w:t>
            </w:r>
          </w:p>
          <w:p w14:paraId="5DE6E218" w14:textId="77777777" w:rsidR="00305BD8" w:rsidRPr="008F06F3" w:rsidRDefault="00305BD8" w:rsidP="00B96D40">
            <w:pPr>
              <w:autoSpaceDE w:val="0"/>
              <w:autoSpaceDN w:val="0"/>
              <w:adjustRightInd w:val="0"/>
              <w:jc w:val="center"/>
              <w:rPr>
                <w:rFonts w:ascii="Arial" w:hAnsi="Arial" w:cs="Arial"/>
                <w:bCs/>
                <w:sz w:val="18"/>
                <w:szCs w:val="20"/>
              </w:rPr>
            </w:pPr>
            <w:r w:rsidRPr="008F06F3">
              <w:rPr>
                <w:rFonts w:ascii="Arial" w:hAnsi="Arial" w:cs="Arial"/>
                <w:bCs/>
                <w:sz w:val="18"/>
                <w:szCs w:val="20"/>
              </w:rPr>
              <w:t>(-5.07; 2.55)</w:t>
            </w:r>
          </w:p>
        </w:tc>
        <w:tc>
          <w:tcPr>
            <w:tcW w:w="1796" w:type="dxa"/>
            <w:tcBorders>
              <w:bottom w:val="single" w:sz="4" w:space="0" w:color="auto"/>
            </w:tcBorders>
            <w:vAlign w:val="center"/>
          </w:tcPr>
          <w:p w14:paraId="7D7C9E9D" w14:textId="77777777" w:rsidR="00305BD8" w:rsidRPr="000C3B7D" w:rsidRDefault="00305BD8" w:rsidP="000C3B7D">
            <w:pPr>
              <w:autoSpaceDE w:val="0"/>
              <w:autoSpaceDN w:val="0"/>
              <w:adjustRightInd w:val="0"/>
              <w:jc w:val="center"/>
              <w:rPr>
                <w:rFonts w:ascii="Arial" w:hAnsi="Arial" w:cs="Arial"/>
                <w:bCs/>
                <w:sz w:val="18"/>
                <w:szCs w:val="20"/>
              </w:rPr>
            </w:pPr>
            <w:r w:rsidRPr="000C3B7D">
              <w:rPr>
                <w:rFonts w:ascii="Arial" w:hAnsi="Arial" w:cs="Arial"/>
                <w:bCs/>
                <w:sz w:val="18"/>
                <w:szCs w:val="20"/>
              </w:rPr>
              <w:t>Yes</w:t>
            </w:r>
          </w:p>
        </w:tc>
      </w:tr>
    </w:tbl>
    <w:p w14:paraId="4A5F2BE0" w14:textId="5578B9A8" w:rsidR="00305BD8" w:rsidRPr="005D183C" w:rsidRDefault="00305BD8" w:rsidP="00305BD8">
      <w:pPr>
        <w:autoSpaceDE w:val="0"/>
        <w:autoSpaceDN w:val="0"/>
        <w:adjustRightInd w:val="0"/>
        <w:spacing w:after="0" w:line="240" w:lineRule="auto"/>
        <w:jc w:val="both"/>
        <w:rPr>
          <w:rFonts w:ascii="Arial" w:hAnsi="Arial" w:cs="Arial"/>
          <w:bCs/>
          <w:sz w:val="20"/>
        </w:rPr>
      </w:pPr>
      <w:r w:rsidRPr="005D183C">
        <w:rPr>
          <w:rFonts w:ascii="Arial" w:hAnsi="Arial" w:cs="Arial"/>
          <w:bCs/>
          <w:sz w:val="20"/>
        </w:rPr>
        <w:t xml:space="preserve">Abbreviations: GMT= Geometric Mean antibody </w:t>
      </w:r>
      <w:r w:rsidR="00DA3E45" w:rsidRPr="005D183C">
        <w:rPr>
          <w:rFonts w:ascii="Arial" w:hAnsi="Arial" w:cs="Arial"/>
          <w:bCs/>
          <w:sz w:val="20"/>
        </w:rPr>
        <w:t>T</w:t>
      </w:r>
      <w:r w:rsidRPr="005D183C">
        <w:rPr>
          <w:rFonts w:ascii="Arial" w:hAnsi="Arial" w:cs="Arial"/>
          <w:bCs/>
          <w:sz w:val="20"/>
        </w:rPr>
        <w:t xml:space="preserve">itre; CI= Confidence Interval; </w:t>
      </w:r>
      <w:r w:rsidR="00702767" w:rsidRPr="005D183C">
        <w:rPr>
          <w:rFonts w:ascii="Arial" w:hAnsi="Arial" w:cs="Arial"/>
          <w:bCs/>
          <w:sz w:val="20"/>
        </w:rPr>
        <w:t>N</w:t>
      </w:r>
      <w:r w:rsidR="00702767">
        <w:rPr>
          <w:rFonts w:ascii="Arial" w:hAnsi="Arial" w:cs="Arial"/>
          <w:bCs/>
          <w:sz w:val="20"/>
        </w:rPr>
        <w:t>A</w:t>
      </w:r>
      <w:r w:rsidRPr="005D183C">
        <w:rPr>
          <w:rFonts w:ascii="Arial" w:hAnsi="Arial" w:cs="Arial"/>
          <w:bCs/>
          <w:sz w:val="20"/>
        </w:rPr>
        <w:t xml:space="preserve">= Not </w:t>
      </w:r>
      <w:r w:rsidR="00702767">
        <w:rPr>
          <w:rFonts w:ascii="Arial" w:hAnsi="Arial" w:cs="Arial"/>
          <w:bCs/>
          <w:sz w:val="20"/>
        </w:rPr>
        <w:t>Applicable</w:t>
      </w:r>
      <w:r w:rsidRPr="005D183C">
        <w:rPr>
          <w:rFonts w:ascii="Arial" w:hAnsi="Arial" w:cs="Arial"/>
          <w:bCs/>
          <w:sz w:val="20"/>
        </w:rPr>
        <w:t>.</w:t>
      </w:r>
    </w:p>
    <w:p w14:paraId="40231321" w14:textId="5D26CAA3" w:rsidR="00305BD8" w:rsidRPr="005D183C" w:rsidRDefault="00DA3E45" w:rsidP="00305BD8">
      <w:pPr>
        <w:autoSpaceDE w:val="0"/>
        <w:autoSpaceDN w:val="0"/>
        <w:adjustRightInd w:val="0"/>
        <w:spacing w:after="0" w:line="240" w:lineRule="auto"/>
        <w:jc w:val="both"/>
        <w:rPr>
          <w:rFonts w:ascii="Arial" w:hAnsi="Arial" w:cs="Arial"/>
          <w:bCs/>
          <w:sz w:val="20"/>
        </w:rPr>
      </w:pPr>
      <w:r w:rsidRPr="005D183C">
        <w:rPr>
          <w:rFonts w:ascii="Arial" w:hAnsi="Arial" w:cs="Arial"/>
          <w:bCs/>
          <w:sz w:val="20"/>
        </w:rPr>
        <w:t>N=</w:t>
      </w:r>
      <w:r w:rsidR="00305BD8" w:rsidRPr="005D183C">
        <w:rPr>
          <w:rFonts w:ascii="Arial" w:hAnsi="Arial" w:cs="Arial"/>
          <w:bCs/>
          <w:sz w:val="20"/>
        </w:rPr>
        <w:t>the number of vaccinated subjects with available data from the immunogenicity endpoint listed (Per Protocol Set).</w:t>
      </w:r>
    </w:p>
    <w:p w14:paraId="1CA1C244" w14:textId="3689847F" w:rsidR="00305BD8" w:rsidRPr="005D183C" w:rsidRDefault="00305BD8" w:rsidP="00305BD8">
      <w:pPr>
        <w:autoSpaceDE w:val="0"/>
        <w:autoSpaceDN w:val="0"/>
        <w:adjustRightInd w:val="0"/>
        <w:spacing w:after="0" w:line="240" w:lineRule="auto"/>
        <w:jc w:val="both"/>
        <w:rPr>
          <w:rFonts w:ascii="Arial" w:hAnsi="Arial" w:cs="Arial"/>
          <w:bCs/>
          <w:sz w:val="20"/>
        </w:rPr>
      </w:pPr>
      <w:r w:rsidRPr="005D183C">
        <w:rPr>
          <w:rFonts w:ascii="Arial" w:hAnsi="Arial" w:cs="Arial"/>
          <w:bCs/>
          <w:sz w:val="20"/>
          <w:vertAlign w:val="superscript"/>
        </w:rPr>
        <w:t>a</w:t>
      </w:r>
      <w:r w:rsidRPr="005D183C">
        <w:rPr>
          <w:rFonts w:ascii="Arial" w:hAnsi="Arial" w:cs="Arial"/>
          <w:bCs/>
          <w:sz w:val="20"/>
        </w:rPr>
        <w:t xml:space="preserve"> Non-inferiority for the GMT ratio was defined as: the upper bound of the two-sided 95% CI for the ratio of the GMTs did not exceed 1.5.</w:t>
      </w:r>
      <w:r w:rsidR="00702767" w:rsidRPr="00702767">
        <w:rPr>
          <w:rFonts w:ascii="Arial" w:hAnsi="Arial" w:cs="Arial"/>
          <w:bCs/>
          <w:noProof/>
          <w:lang w:val="en-AU" w:eastAsia="en-AU"/>
        </w:rPr>
        <w:t xml:space="preserve"> </w:t>
      </w:r>
    </w:p>
    <w:p w14:paraId="04A6660D" w14:textId="77777777" w:rsidR="00305BD8" w:rsidRPr="005D183C" w:rsidRDefault="00305BD8" w:rsidP="00305BD8">
      <w:pPr>
        <w:autoSpaceDE w:val="0"/>
        <w:autoSpaceDN w:val="0"/>
        <w:adjustRightInd w:val="0"/>
        <w:spacing w:after="0" w:line="240" w:lineRule="auto"/>
        <w:jc w:val="both"/>
        <w:rPr>
          <w:rFonts w:ascii="Arial" w:hAnsi="Arial" w:cs="Arial"/>
          <w:bCs/>
          <w:sz w:val="20"/>
        </w:rPr>
      </w:pPr>
      <w:r w:rsidRPr="005D183C">
        <w:rPr>
          <w:rFonts w:ascii="Arial" w:hAnsi="Arial" w:cs="Arial"/>
          <w:bCs/>
          <w:sz w:val="20"/>
          <w:vertAlign w:val="superscript"/>
        </w:rPr>
        <w:t>b</w:t>
      </w:r>
      <w:r w:rsidRPr="005D183C">
        <w:rPr>
          <w:rFonts w:ascii="Arial" w:hAnsi="Arial" w:cs="Arial"/>
          <w:bCs/>
          <w:sz w:val="20"/>
        </w:rPr>
        <w:t xml:space="preserve"> Non-inferiority for the seroconversion difference was defined as: the upper bound of the two-sided 95% CI for the difference between the seroconversions did not exceed 10%.</w:t>
      </w:r>
    </w:p>
    <w:p w14:paraId="7EA5AECD" w14:textId="77777777" w:rsidR="00305BD8" w:rsidRPr="005D183C" w:rsidRDefault="00305BD8" w:rsidP="00305BD8">
      <w:pPr>
        <w:autoSpaceDE w:val="0"/>
        <w:autoSpaceDN w:val="0"/>
        <w:adjustRightInd w:val="0"/>
        <w:spacing w:after="0" w:line="240" w:lineRule="auto"/>
        <w:jc w:val="both"/>
        <w:rPr>
          <w:rFonts w:ascii="Arial" w:hAnsi="Arial" w:cs="Arial"/>
          <w:bCs/>
          <w:sz w:val="20"/>
        </w:rPr>
      </w:pPr>
      <w:r w:rsidRPr="005D183C">
        <w:rPr>
          <w:rFonts w:ascii="Arial" w:hAnsi="Arial" w:cs="Arial"/>
          <w:bCs/>
          <w:sz w:val="20"/>
          <w:vertAlign w:val="superscript"/>
        </w:rPr>
        <w:t>c</w:t>
      </w:r>
      <w:r w:rsidRPr="005D183C">
        <w:rPr>
          <w:rFonts w:ascii="Arial" w:hAnsi="Arial" w:cs="Arial"/>
          <w:bCs/>
          <w:sz w:val="20"/>
        </w:rPr>
        <w:t xml:space="preserve"> Seroconversion was defined as pre-vaccination HI titre &lt;1:10 and post-vaccination HI titre ≥ 1:40 or at least a 4-fold increase in HI from pre-vaccination HI titre ≥ 1:10.</w:t>
      </w:r>
    </w:p>
    <w:p w14:paraId="352FE383" w14:textId="77777777" w:rsidR="00305BD8" w:rsidRPr="005D183C" w:rsidRDefault="00305BD8" w:rsidP="00305BD8">
      <w:pPr>
        <w:autoSpaceDE w:val="0"/>
        <w:autoSpaceDN w:val="0"/>
        <w:adjustRightInd w:val="0"/>
        <w:spacing w:after="0" w:line="240" w:lineRule="auto"/>
        <w:jc w:val="both"/>
        <w:rPr>
          <w:rFonts w:ascii="Arial" w:hAnsi="Arial" w:cs="Arial"/>
          <w:bCs/>
          <w:sz w:val="20"/>
        </w:rPr>
      </w:pPr>
      <w:r w:rsidRPr="005D183C">
        <w:rPr>
          <w:rFonts w:ascii="Arial" w:hAnsi="Arial" w:cs="Arial"/>
          <w:bCs/>
          <w:sz w:val="20"/>
          <w:vertAlign w:val="superscript"/>
        </w:rPr>
        <w:t>d</w:t>
      </w:r>
      <w:r w:rsidRPr="005D183C">
        <w:rPr>
          <w:rFonts w:ascii="Arial" w:hAnsi="Arial" w:cs="Arial"/>
          <w:bCs/>
          <w:sz w:val="20"/>
        </w:rPr>
        <w:t xml:space="preserve"> aTIV-1 and aTIV-2 vaccine groups are pooled for the analysis of A/H1N1 and A/H3N2 strains. For B/Victoria aTIV=aTIV-1, for B/Yamagata aTIV=aTIV-2.</w:t>
      </w:r>
    </w:p>
    <w:p w14:paraId="190795F1" w14:textId="5C2CB508" w:rsidR="00134034" w:rsidRPr="00872ECC" w:rsidRDefault="0053234E" w:rsidP="00134034">
      <w:pPr>
        <w:autoSpaceDE w:val="0"/>
        <w:autoSpaceDN w:val="0"/>
        <w:adjustRightInd w:val="0"/>
        <w:spacing w:after="0" w:line="240" w:lineRule="auto"/>
        <w:jc w:val="both"/>
        <w:rPr>
          <w:rFonts w:ascii="Arial" w:hAnsi="Arial" w:cs="Arial"/>
          <w:bCs/>
          <w:lang w:val="en-AU"/>
        </w:rPr>
      </w:pPr>
      <w:r>
        <w:rPr>
          <w:rFonts w:ascii="Arial" w:hAnsi="Arial" w:cs="Arial"/>
          <w:bCs/>
          <w:lang w:val="en-AU"/>
        </w:rPr>
        <w:t>I</w:t>
      </w:r>
      <w:r w:rsidR="00872ECC" w:rsidRPr="00872ECC">
        <w:rPr>
          <w:rFonts w:ascii="Arial" w:hAnsi="Arial" w:cs="Arial"/>
          <w:bCs/>
          <w:lang w:val="en-AU"/>
        </w:rPr>
        <w:t xml:space="preserve">mmunogenicity based on CBER </w:t>
      </w:r>
      <w:r w:rsidR="00872ECC" w:rsidRPr="004A64C9">
        <w:rPr>
          <w:rFonts w:ascii="Arial" w:hAnsi="Arial" w:cs="Arial"/>
          <w:bCs/>
        </w:rPr>
        <w:t xml:space="preserve">(Center for Biologics Evaluation and Research) </w:t>
      </w:r>
      <w:r w:rsidR="00872ECC" w:rsidRPr="00872ECC">
        <w:rPr>
          <w:rFonts w:ascii="Arial" w:hAnsi="Arial" w:cs="Arial"/>
          <w:bCs/>
          <w:lang w:val="en-AU"/>
        </w:rPr>
        <w:t>criteria as measured by the percentage of subjects achieving seroconversion for HI antibodies and percentage of subjects achieving an HI antibody titr</w:t>
      </w:r>
      <w:r w:rsidR="004B7589">
        <w:rPr>
          <w:rFonts w:ascii="Arial" w:hAnsi="Arial" w:cs="Arial"/>
          <w:bCs/>
          <w:lang w:val="en-AU"/>
        </w:rPr>
        <w:t>e</w:t>
      </w:r>
      <w:r w:rsidR="00872ECC" w:rsidRPr="00872ECC">
        <w:rPr>
          <w:rFonts w:ascii="Arial" w:hAnsi="Arial" w:cs="Arial"/>
          <w:bCs/>
          <w:lang w:val="en-AU"/>
        </w:rPr>
        <w:t xml:space="preserve"> ≥1:40</w:t>
      </w:r>
      <w:r w:rsidR="00872ECC">
        <w:rPr>
          <w:rFonts w:ascii="Arial" w:hAnsi="Arial" w:cs="Arial"/>
          <w:bCs/>
          <w:lang w:val="en-AU"/>
        </w:rPr>
        <w:t xml:space="preserve"> a</w:t>
      </w:r>
      <w:r w:rsidR="00D710E0">
        <w:rPr>
          <w:rFonts w:ascii="Arial" w:hAnsi="Arial" w:cs="Arial"/>
          <w:bCs/>
          <w:lang w:val="en-AU"/>
        </w:rPr>
        <w:t>t</w:t>
      </w:r>
      <w:r w:rsidR="00134034">
        <w:rPr>
          <w:rFonts w:ascii="Arial" w:hAnsi="Arial" w:cs="Arial"/>
          <w:bCs/>
        </w:rPr>
        <w:t xml:space="preserve"> 21 days </w:t>
      </w:r>
      <w:r w:rsidR="00D710E0">
        <w:rPr>
          <w:rFonts w:ascii="Arial" w:hAnsi="Arial" w:cs="Arial"/>
          <w:bCs/>
        </w:rPr>
        <w:t>post</w:t>
      </w:r>
      <w:r w:rsidR="00394969">
        <w:rPr>
          <w:rFonts w:ascii="Arial" w:hAnsi="Arial" w:cs="Arial"/>
          <w:bCs/>
        </w:rPr>
        <w:t>-</w:t>
      </w:r>
      <w:r w:rsidR="00134034">
        <w:rPr>
          <w:rFonts w:ascii="Arial" w:hAnsi="Arial" w:cs="Arial"/>
          <w:bCs/>
        </w:rPr>
        <w:t>vaccination</w:t>
      </w:r>
      <w:r>
        <w:rPr>
          <w:rFonts w:ascii="Arial" w:hAnsi="Arial" w:cs="Arial"/>
          <w:bCs/>
        </w:rPr>
        <w:t xml:space="preserve"> was assessed as a second co-primary endpoint</w:t>
      </w:r>
      <w:r w:rsidR="00134034">
        <w:rPr>
          <w:rFonts w:ascii="Arial" w:hAnsi="Arial" w:cs="Arial"/>
          <w:bCs/>
        </w:rPr>
        <w:t xml:space="preserve">. </w:t>
      </w:r>
      <w:r w:rsidR="000916EE" w:rsidRPr="000916EE">
        <w:rPr>
          <w:rFonts w:ascii="Arial" w:hAnsi="Arial" w:cs="Arial"/>
          <w:bCs/>
          <w:lang w:val="en-AU"/>
        </w:rPr>
        <w:t xml:space="preserve">Success criteria was met if the lower limit of the two-sided 95% CI for the percentage of subjects achieving seroconversion for HI antibody met </w:t>
      </w:r>
      <w:r w:rsidR="000916EE" w:rsidRPr="000916EE">
        <w:rPr>
          <w:rFonts w:ascii="Arial" w:hAnsi="Arial" w:cs="Arial"/>
          <w:bCs/>
          <w:lang w:val="en-AU"/>
        </w:rPr>
        <w:lastRenderedPageBreak/>
        <w:t xml:space="preserve">or exceeded 30% </w:t>
      </w:r>
      <w:r w:rsidR="000916EE">
        <w:rPr>
          <w:rFonts w:ascii="Arial" w:hAnsi="Arial" w:cs="Arial"/>
          <w:bCs/>
          <w:lang w:val="en-AU"/>
        </w:rPr>
        <w:t>and</w:t>
      </w:r>
      <w:r w:rsidR="000916EE" w:rsidRPr="000916EE">
        <w:rPr>
          <w:rFonts w:ascii="Arial" w:hAnsi="Arial" w:cs="Arial"/>
          <w:bCs/>
          <w:lang w:val="en-AU"/>
        </w:rPr>
        <w:t xml:space="preserve"> the lower limit of the two-sided 95% CI for the percentage of subjects achieving an HI antibody titr</w:t>
      </w:r>
      <w:r w:rsidR="004B7589">
        <w:rPr>
          <w:rFonts w:ascii="Arial" w:hAnsi="Arial" w:cs="Arial"/>
          <w:bCs/>
          <w:lang w:val="en-AU"/>
        </w:rPr>
        <w:t>e</w:t>
      </w:r>
      <w:r w:rsidR="000916EE" w:rsidRPr="000916EE">
        <w:rPr>
          <w:rFonts w:ascii="Arial" w:hAnsi="Arial" w:cs="Arial"/>
          <w:bCs/>
          <w:lang w:val="en-AU"/>
        </w:rPr>
        <w:t xml:space="preserve"> ≥1:40 met and exceeded 60%</w:t>
      </w:r>
      <w:r w:rsidR="000916EE">
        <w:rPr>
          <w:rFonts w:ascii="Arial" w:hAnsi="Arial" w:cs="Arial"/>
          <w:bCs/>
          <w:lang w:val="en-AU"/>
        </w:rPr>
        <w:t>.</w:t>
      </w:r>
    </w:p>
    <w:p w14:paraId="530FFF5D" w14:textId="69804537" w:rsidR="005973D5" w:rsidRPr="005973D5" w:rsidRDefault="005973D5" w:rsidP="000916EE">
      <w:pPr>
        <w:autoSpaceDE w:val="0"/>
        <w:autoSpaceDN w:val="0"/>
        <w:adjustRightInd w:val="0"/>
        <w:spacing w:after="0" w:line="240" w:lineRule="auto"/>
        <w:jc w:val="both"/>
        <w:rPr>
          <w:rFonts w:ascii="Arial" w:hAnsi="Arial" w:cs="Arial"/>
          <w:bCs/>
        </w:rPr>
      </w:pPr>
      <w:r w:rsidRPr="005973D5">
        <w:rPr>
          <w:rFonts w:ascii="Arial" w:hAnsi="Arial" w:cs="Arial"/>
          <w:bCs/>
        </w:rPr>
        <w:t>The second co-primary objective was met for A strains (H1N1 and H3N2), but not for B strains (B</w:t>
      </w:r>
      <w:r w:rsidRPr="005973D5">
        <w:rPr>
          <w:rFonts w:ascii="Arial" w:hAnsi="Arial" w:cs="Arial"/>
          <w:bCs/>
        </w:rPr>
        <w:noBreakHyphen/>
        <w:t>Yamagata and B-Victoria).</w:t>
      </w:r>
      <w:r w:rsidR="000916EE">
        <w:rPr>
          <w:rFonts w:ascii="Arial" w:hAnsi="Arial" w:cs="Arial"/>
          <w:bCs/>
        </w:rPr>
        <w:t xml:space="preserve"> </w:t>
      </w:r>
      <w:r w:rsidR="00606819">
        <w:rPr>
          <w:rFonts w:ascii="Arial" w:hAnsi="Arial" w:cs="Arial"/>
          <w:bCs/>
        </w:rPr>
        <w:t>Results for B strains in the Fluad</w:t>
      </w:r>
      <w:r w:rsidR="00606819" w:rsidRPr="00606819">
        <w:rPr>
          <w:rFonts w:ascii="Arial" w:hAnsi="Arial" w:cs="Arial"/>
          <w:bCs/>
          <w:vertAlign w:val="superscript"/>
        </w:rPr>
        <w:t>®</w:t>
      </w:r>
      <w:r w:rsidR="00606819">
        <w:rPr>
          <w:rFonts w:ascii="Arial" w:hAnsi="Arial" w:cs="Arial"/>
          <w:bCs/>
        </w:rPr>
        <w:t xml:space="preserve"> and aTIV-2 groups were similar to those obtained for Fluad</w:t>
      </w:r>
      <w:r w:rsidR="00606819" w:rsidRPr="00606819">
        <w:rPr>
          <w:rFonts w:ascii="Arial" w:hAnsi="Arial" w:cs="Arial"/>
          <w:bCs/>
          <w:vertAlign w:val="superscript"/>
        </w:rPr>
        <w:t>®</w:t>
      </w:r>
      <w:r w:rsidR="00606819">
        <w:rPr>
          <w:rFonts w:ascii="Arial" w:hAnsi="Arial" w:cs="Arial"/>
          <w:bCs/>
        </w:rPr>
        <w:t xml:space="preserve"> Quad.</w:t>
      </w:r>
    </w:p>
    <w:p w14:paraId="36375FE9" w14:textId="5F5EBA18" w:rsidR="00280C32" w:rsidRPr="00280C32" w:rsidRDefault="00914F4D" w:rsidP="002B1E40">
      <w:pPr>
        <w:spacing w:after="0" w:line="240" w:lineRule="auto"/>
        <w:jc w:val="both"/>
        <w:rPr>
          <w:rFonts w:ascii="Arial" w:hAnsi="Arial" w:cs="Arial"/>
          <w:bCs/>
          <w:lang w:val="en-GB"/>
        </w:rPr>
      </w:pPr>
      <w:r>
        <w:rPr>
          <w:rFonts w:ascii="Arial" w:hAnsi="Arial" w:cs="Arial"/>
          <w:bCs/>
          <w:lang w:val="en-AU"/>
        </w:rPr>
        <w:t>I</w:t>
      </w:r>
      <w:r w:rsidR="0082173C" w:rsidRPr="0082173C">
        <w:rPr>
          <w:rFonts w:ascii="Arial" w:hAnsi="Arial" w:cs="Arial"/>
          <w:bCs/>
          <w:lang w:val="en-AU"/>
        </w:rPr>
        <w:t xml:space="preserve">mmunological superiority of </w:t>
      </w:r>
      <w:r w:rsidR="0082173C">
        <w:rPr>
          <w:rFonts w:ascii="Arial" w:hAnsi="Arial" w:cs="Arial"/>
          <w:bCs/>
          <w:lang w:val="en-AU"/>
        </w:rPr>
        <w:t>Fluad</w:t>
      </w:r>
      <w:r w:rsidR="0082173C" w:rsidRPr="0082173C">
        <w:rPr>
          <w:rFonts w:ascii="Arial" w:hAnsi="Arial" w:cs="Arial"/>
          <w:bCs/>
          <w:vertAlign w:val="superscript"/>
          <w:lang w:val="en-AU"/>
        </w:rPr>
        <w:t>®</w:t>
      </w:r>
      <w:r w:rsidR="0082173C">
        <w:rPr>
          <w:rFonts w:ascii="Arial" w:hAnsi="Arial" w:cs="Arial"/>
          <w:bCs/>
          <w:lang w:val="en-AU"/>
        </w:rPr>
        <w:t xml:space="preserve"> Quad</w:t>
      </w:r>
      <w:r w:rsidR="0082173C" w:rsidRPr="0082173C">
        <w:rPr>
          <w:rFonts w:ascii="Arial" w:hAnsi="Arial" w:cs="Arial"/>
          <w:bCs/>
          <w:lang w:val="en-AU"/>
        </w:rPr>
        <w:t xml:space="preserve"> compared to </w:t>
      </w:r>
      <w:r w:rsidR="0082173C">
        <w:rPr>
          <w:rFonts w:ascii="Arial" w:hAnsi="Arial" w:cs="Arial"/>
          <w:bCs/>
          <w:lang w:val="en-AU"/>
        </w:rPr>
        <w:t>Fluad</w:t>
      </w:r>
      <w:r w:rsidR="0082173C" w:rsidRPr="0082173C">
        <w:rPr>
          <w:rFonts w:ascii="Arial" w:hAnsi="Arial" w:cs="Arial"/>
          <w:bCs/>
          <w:vertAlign w:val="superscript"/>
          <w:lang w:val="en-AU"/>
        </w:rPr>
        <w:t>®</w:t>
      </w:r>
      <w:r w:rsidR="0082173C" w:rsidRPr="0082173C">
        <w:rPr>
          <w:rFonts w:ascii="Arial" w:hAnsi="Arial" w:cs="Arial"/>
          <w:bCs/>
          <w:lang w:val="en-AU"/>
        </w:rPr>
        <w:t xml:space="preserve"> and aTIV-2 for the B strain that was n</w:t>
      </w:r>
      <w:r w:rsidR="004816B1">
        <w:rPr>
          <w:rFonts w:ascii="Arial" w:hAnsi="Arial" w:cs="Arial"/>
          <w:bCs/>
          <w:lang w:val="en-AU"/>
        </w:rPr>
        <w:t xml:space="preserve">ot included in each </w:t>
      </w:r>
      <w:r>
        <w:rPr>
          <w:rFonts w:ascii="Arial" w:hAnsi="Arial" w:cs="Arial"/>
          <w:bCs/>
          <w:lang w:val="en-AU"/>
        </w:rPr>
        <w:t>a</w:t>
      </w:r>
      <w:r w:rsidR="004816B1">
        <w:rPr>
          <w:rFonts w:ascii="Arial" w:hAnsi="Arial" w:cs="Arial"/>
          <w:bCs/>
          <w:lang w:val="en-AU"/>
        </w:rPr>
        <w:t>TIV vaccine</w:t>
      </w:r>
      <w:r w:rsidR="0082173C" w:rsidRPr="0082173C">
        <w:rPr>
          <w:rFonts w:ascii="Arial" w:hAnsi="Arial" w:cs="Arial"/>
          <w:bCs/>
          <w:lang w:val="en-AU"/>
        </w:rPr>
        <w:t xml:space="preserve"> </w:t>
      </w:r>
      <w:r w:rsidR="00280C32" w:rsidRPr="00280C32">
        <w:rPr>
          <w:rFonts w:ascii="Arial" w:hAnsi="Arial" w:cs="Arial"/>
          <w:bCs/>
          <w:lang w:val="en-GB"/>
        </w:rPr>
        <w:t xml:space="preserve">was assessed </w:t>
      </w:r>
      <w:r>
        <w:rPr>
          <w:rFonts w:ascii="Arial" w:hAnsi="Arial" w:cs="Arial"/>
          <w:bCs/>
          <w:lang w:val="en-GB"/>
        </w:rPr>
        <w:t xml:space="preserve">by </w:t>
      </w:r>
      <w:r w:rsidR="00280C32" w:rsidRPr="00280C32">
        <w:rPr>
          <w:rFonts w:ascii="Arial" w:hAnsi="Arial" w:cs="Arial"/>
          <w:bCs/>
          <w:lang w:val="en-GB"/>
        </w:rPr>
        <w:t xml:space="preserve">the GMT ratio and difference in </w:t>
      </w:r>
      <w:r w:rsidR="004816B1">
        <w:rPr>
          <w:rFonts w:ascii="Arial" w:hAnsi="Arial" w:cs="Arial"/>
          <w:bCs/>
          <w:lang w:val="en-GB"/>
        </w:rPr>
        <w:t>seroconversion</w:t>
      </w:r>
      <w:r w:rsidR="00280C32" w:rsidRPr="00280C32">
        <w:rPr>
          <w:rFonts w:ascii="Arial" w:hAnsi="Arial" w:cs="Arial"/>
          <w:bCs/>
          <w:lang w:val="en-GB"/>
        </w:rPr>
        <w:t xml:space="preserve"> </w:t>
      </w:r>
      <w:r w:rsidR="00D710E0">
        <w:rPr>
          <w:rFonts w:ascii="Arial" w:hAnsi="Arial" w:cs="Arial"/>
          <w:bCs/>
        </w:rPr>
        <w:t xml:space="preserve">at </w:t>
      </w:r>
      <w:r w:rsidR="004816B1">
        <w:rPr>
          <w:rFonts w:ascii="Arial" w:hAnsi="Arial" w:cs="Arial"/>
          <w:bCs/>
        </w:rPr>
        <w:t xml:space="preserve">21 days </w:t>
      </w:r>
      <w:r w:rsidR="00D710E0">
        <w:rPr>
          <w:rFonts w:ascii="Arial" w:hAnsi="Arial" w:cs="Arial"/>
          <w:bCs/>
        </w:rPr>
        <w:t>post</w:t>
      </w:r>
      <w:r w:rsidR="00394969">
        <w:rPr>
          <w:rFonts w:ascii="Arial" w:hAnsi="Arial" w:cs="Arial"/>
          <w:bCs/>
        </w:rPr>
        <w:t>-</w:t>
      </w:r>
      <w:r w:rsidR="004816B1">
        <w:rPr>
          <w:rFonts w:ascii="Arial" w:hAnsi="Arial" w:cs="Arial"/>
          <w:bCs/>
        </w:rPr>
        <w:t>vaccination</w:t>
      </w:r>
      <w:r w:rsidR="00280C32" w:rsidRPr="00280C32">
        <w:rPr>
          <w:rFonts w:ascii="Arial" w:hAnsi="Arial" w:cs="Arial"/>
          <w:bCs/>
          <w:lang w:val="en-GB"/>
        </w:rPr>
        <w:t xml:space="preserve">. Superiority was </w:t>
      </w:r>
      <w:r>
        <w:rPr>
          <w:rFonts w:ascii="Arial" w:hAnsi="Arial" w:cs="Arial"/>
          <w:bCs/>
          <w:lang w:val="en-GB"/>
        </w:rPr>
        <w:t>met</w:t>
      </w:r>
      <w:r w:rsidRPr="00280C32">
        <w:rPr>
          <w:rFonts w:ascii="Arial" w:hAnsi="Arial" w:cs="Arial"/>
          <w:bCs/>
          <w:lang w:val="en-GB"/>
        </w:rPr>
        <w:t xml:space="preserve"> </w:t>
      </w:r>
      <w:r w:rsidR="00280C32" w:rsidRPr="00280C32">
        <w:rPr>
          <w:rFonts w:ascii="Arial" w:hAnsi="Arial" w:cs="Arial"/>
          <w:bCs/>
          <w:lang w:val="en-GB"/>
        </w:rPr>
        <w:t>if the upper limit of the two-sided 95% CI for the GMT ratio</w:t>
      </w:r>
      <w:r w:rsidR="001E5138">
        <w:rPr>
          <w:rFonts w:ascii="Arial" w:hAnsi="Arial" w:cs="Arial"/>
          <w:bCs/>
          <w:lang w:val="en-GB"/>
        </w:rPr>
        <w:t xml:space="preserve"> </w:t>
      </w:r>
      <w:r w:rsidR="001E5138" w:rsidRPr="00280C32">
        <w:rPr>
          <w:rFonts w:ascii="Arial" w:hAnsi="Arial" w:cs="Arial"/>
          <w:bCs/>
          <w:lang w:val="en-GB"/>
        </w:rPr>
        <w:t>(GMT</w:t>
      </w:r>
      <w:r w:rsidR="001E5138" w:rsidRPr="00280C32">
        <w:rPr>
          <w:rFonts w:ascii="Arial" w:hAnsi="Arial" w:cs="Arial"/>
          <w:bCs/>
          <w:vertAlign w:val="subscript"/>
          <w:lang w:val="en-GB"/>
        </w:rPr>
        <w:t>aTIV</w:t>
      </w:r>
      <w:r w:rsidR="001E5138" w:rsidRPr="00280C32">
        <w:rPr>
          <w:rFonts w:ascii="Arial" w:hAnsi="Arial" w:cs="Arial"/>
          <w:bCs/>
          <w:lang w:val="en-GB"/>
        </w:rPr>
        <w:t>/GMT</w:t>
      </w:r>
      <w:r w:rsidR="001E5138" w:rsidRPr="004816B1">
        <w:rPr>
          <w:rFonts w:ascii="Arial" w:hAnsi="Arial" w:cs="Arial"/>
          <w:bCs/>
          <w:vertAlign w:val="subscript"/>
          <w:lang w:val="en-GB"/>
        </w:rPr>
        <w:t>Fluad</w:t>
      </w:r>
      <w:r w:rsidR="001E5138" w:rsidRPr="00182353">
        <w:rPr>
          <w:rFonts w:ascii="Arial" w:hAnsi="Arial" w:cs="Arial"/>
          <w:bCs/>
          <w:position w:val="6"/>
          <w:vertAlign w:val="subscript"/>
          <w:lang w:val="en-GB"/>
        </w:rPr>
        <w:t>®</w:t>
      </w:r>
      <w:r w:rsidR="001E5138" w:rsidRPr="004816B1">
        <w:rPr>
          <w:rFonts w:ascii="Arial" w:hAnsi="Arial" w:cs="Arial"/>
          <w:bCs/>
          <w:vertAlign w:val="subscript"/>
          <w:lang w:val="en-GB"/>
        </w:rPr>
        <w:t xml:space="preserve"> Quad</w:t>
      </w:r>
      <w:r w:rsidR="001E5138" w:rsidRPr="00280C32">
        <w:rPr>
          <w:rFonts w:ascii="Arial" w:hAnsi="Arial" w:cs="Arial"/>
          <w:bCs/>
          <w:lang w:val="en-GB"/>
        </w:rPr>
        <w:t>)</w:t>
      </w:r>
      <w:r w:rsidR="001E5138">
        <w:rPr>
          <w:rFonts w:ascii="Arial" w:hAnsi="Arial" w:cs="Arial"/>
          <w:bCs/>
          <w:lang w:val="en-GB"/>
        </w:rPr>
        <w:t xml:space="preserve"> </w:t>
      </w:r>
      <w:r w:rsidR="00280C32" w:rsidRPr="00280C32">
        <w:rPr>
          <w:rFonts w:ascii="Arial" w:hAnsi="Arial" w:cs="Arial"/>
          <w:bCs/>
          <w:lang w:val="en-GB"/>
        </w:rPr>
        <w:t xml:space="preserve">was &lt;1, and the upper limit of the two-sided 95% CI for the difference in SCRs </w:t>
      </w:r>
      <w:r w:rsidR="001E5138" w:rsidRPr="00280C32">
        <w:rPr>
          <w:rFonts w:ascii="Arial" w:hAnsi="Arial" w:cs="Arial"/>
          <w:bCs/>
          <w:lang w:val="en-GB"/>
        </w:rPr>
        <w:t>(SCR</w:t>
      </w:r>
      <w:r w:rsidR="001E5138" w:rsidRPr="00280C32">
        <w:rPr>
          <w:rFonts w:ascii="Arial" w:hAnsi="Arial" w:cs="Arial"/>
          <w:bCs/>
          <w:vertAlign w:val="subscript"/>
          <w:lang w:val="en-GB"/>
        </w:rPr>
        <w:t>aTIV</w:t>
      </w:r>
      <w:r w:rsidR="001E5138" w:rsidRPr="00280C32">
        <w:rPr>
          <w:rFonts w:ascii="Arial" w:hAnsi="Arial" w:cs="Arial"/>
          <w:bCs/>
          <w:lang w:val="en-GB"/>
        </w:rPr>
        <w:t>–SCR</w:t>
      </w:r>
      <w:r w:rsidR="001E5138">
        <w:rPr>
          <w:rFonts w:ascii="Arial" w:hAnsi="Arial" w:cs="Arial"/>
          <w:bCs/>
          <w:vertAlign w:val="subscript"/>
          <w:lang w:val="en-GB"/>
        </w:rPr>
        <w:t>Fluad</w:t>
      </w:r>
      <w:r w:rsidR="001E5138" w:rsidRPr="00182353">
        <w:rPr>
          <w:rFonts w:ascii="Arial" w:hAnsi="Arial" w:cs="Arial"/>
          <w:bCs/>
          <w:position w:val="6"/>
          <w:vertAlign w:val="subscript"/>
          <w:lang w:val="en-GB"/>
        </w:rPr>
        <w:t>®</w:t>
      </w:r>
      <w:r w:rsidR="001E5138">
        <w:rPr>
          <w:rFonts w:ascii="Arial" w:hAnsi="Arial" w:cs="Arial"/>
          <w:bCs/>
          <w:vertAlign w:val="subscript"/>
          <w:lang w:val="en-GB"/>
        </w:rPr>
        <w:t xml:space="preserve"> </w:t>
      </w:r>
      <w:r w:rsidR="001E5138" w:rsidRPr="004816B1">
        <w:rPr>
          <w:rFonts w:ascii="Arial" w:hAnsi="Arial" w:cs="Arial"/>
          <w:bCs/>
          <w:vertAlign w:val="subscript"/>
          <w:lang w:val="en-GB"/>
        </w:rPr>
        <w:t>Quad</w:t>
      </w:r>
      <w:r w:rsidR="001E5138" w:rsidRPr="00280C32">
        <w:rPr>
          <w:rFonts w:ascii="Arial" w:hAnsi="Arial" w:cs="Arial"/>
          <w:bCs/>
          <w:lang w:val="en-GB"/>
        </w:rPr>
        <w:t xml:space="preserve">) </w:t>
      </w:r>
      <w:r w:rsidR="00280C32" w:rsidRPr="00280C32">
        <w:rPr>
          <w:rFonts w:ascii="Arial" w:hAnsi="Arial" w:cs="Arial"/>
          <w:bCs/>
          <w:lang w:val="en-GB"/>
        </w:rPr>
        <w:t>was &lt;0, for both B strains.</w:t>
      </w:r>
    </w:p>
    <w:p w14:paraId="056731D5" w14:textId="509337B1" w:rsidR="00C74095" w:rsidRDefault="00914F4D" w:rsidP="002B1E40">
      <w:pPr>
        <w:autoSpaceDE w:val="0"/>
        <w:autoSpaceDN w:val="0"/>
        <w:adjustRightInd w:val="0"/>
        <w:spacing w:after="0" w:line="240" w:lineRule="auto"/>
        <w:jc w:val="both"/>
        <w:rPr>
          <w:rFonts w:ascii="Arial" w:hAnsi="Arial" w:cs="Arial"/>
          <w:bCs/>
          <w:lang w:val="en-AU"/>
        </w:rPr>
      </w:pPr>
      <w:r>
        <w:rPr>
          <w:rFonts w:ascii="Arial" w:hAnsi="Arial" w:cs="Arial"/>
          <w:bCs/>
          <w:lang w:val="en-AU"/>
        </w:rPr>
        <w:t>T</w:t>
      </w:r>
      <w:r w:rsidR="00280C32" w:rsidRPr="00280C32">
        <w:rPr>
          <w:rFonts w:ascii="Arial" w:hAnsi="Arial" w:cs="Arial"/>
          <w:bCs/>
          <w:lang w:val="en-AU"/>
        </w:rPr>
        <w:t>he pre</w:t>
      </w:r>
      <w:r w:rsidR="006F2C0E">
        <w:rPr>
          <w:rFonts w:ascii="Arial" w:hAnsi="Arial" w:cs="Arial"/>
          <w:bCs/>
          <w:lang w:val="en-AU"/>
        </w:rPr>
        <w:t>-</w:t>
      </w:r>
      <w:r w:rsidR="00280C32" w:rsidRPr="00280C32">
        <w:rPr>
          <w:rFonts w:ascii="Arial" w:hAnsi="Arial" w:cs="Arial"/>
          <w:bCs/>
          <w:lang w:val="en-AU"/>
        </w:rPr>
        <w:t xml:space="preserve">specified criteria for immunological superiority for the alternate B strain of </w:t>
      </w:r>
      <w:r w:rsidR="00182353">
        <w:rPr>
          <w:rFonts w:ascii="Arial" w:hAnsi="Arial" w:cs="Arial"/>
          <w:bCs/>
          <w:lang w:val="en-AU"/>
        </w:rPr>
        <w:t>Fluad</w:t>
      </w:r>
      <w:r w:rsidR="00182353" w:rsidRPr="00182353">
        <w:rPr>
          <w:rFonts w:ascii="Arial" w:hAnsi="Arial" w:cs="Arial"/>
          <w:bCs/>
          <w:vertAlign w:val="superscript"/>
          <w:lang w:val="en-AU"/>
        </w:rPr>
        <w:t>®</w:t>
      </w:r>
      <w:r w:rsidR="00182353">
        <w:rPr>
          <w:rFonts w:ascii="Arial" w:hAnsi="Arial" w:cs="Arial"/>
          <w:bCs/>
          <w:lang w:val="en-AU"/>
        </w:rPr>
        <w:t xml:space="preserve"> Quad</w:t>
      </w:r>
      <w:r w:rsidR="00182353" w:rsidRPr="00280C32">
        <w:rPr>
          <w:rFonts w:ascii="Arial" w:hAnsi="Arial" w:cs="Arial"/>
          <w:bCs/>
          <w:lang w:val="en-AU"/>
        </w:rPr>
        <w:t xml:space="preserve"> </w:t>
      </w:r>
      <w:r w:rsidR="00280C32" w:rsidRPr="00280C32">
        <w:rPr>
          <w:rFonts w:ascii="Arial" w:hAnsi="Arial" w:cs="Arial"/>
          <w:bCs/>
          <w:lang w:val="en-AU"/>
        </w:rPr>
        <w:t>relative to each aTIV vaccine were met</w:t>
      </w:r>
      <w:r w:rsidR="006F2C0E">
        <w:rPr>
          <w:rFonts w:ascii="Arial" w:hAnsi="Arial" w:cs="Arial"/>
          <w:bCs/>
          <w:lang w:val="en-AU"/>
        </w:rPr>
        <w:t>.</w:t>
      </w:r>
    </w:p>
    <w:p w14:paraId="2317F66D" w14:textId="776BCD82" w:rsidR="00582B86" w:rsidRPr="005D183C" w:rsidRDefault="00582B86" w:rsidP="00B3087D">
      <w:pPr>
        <w:pStyle w:val="Heading1"/>
        <w:numPr>
          <w:ilvl w:val="1"/>
          <w:numId w:val="14"/>
        </w:numPr>
      </w:pPr>
      <w:r w:rsidRPr="005D183C">
        <w:t>Pharmacokinetic Properties</w:t>
      </w:r>
    </w:p>
    <w:p w14:paraId="0D4EAAD8" w14:textId="77777777" w:rsidR="00E91B98" w:rsidRPr="005D183C" w:rsidRDefault="00E91B98" w:rsidP="00E91B98">
      <w:pPr>
        <w:autoSpaceDE w:val="0"/>
        <w:autoSpaceDN w:val="0"/>
        <w:adjustRightInd w:val="0"/>
        <w:spacing w:after="0" w:line="240" w:lineRule="auto"/>
        <w:jc w:val="both"/>
        <w:rPr>
          <w:rFonts w:ascii="Arial" w:hAnsi="Arial" w:cs="Arial"/>
          <w:bCs/>
        </w:rPr>
      </w:pPr>
      <w:r w:rsidRPr="005D183C">
        <w:rPr>
          <w:rFonts w:ascii="Arial" w:hAnsi="Arial" w:cs="Arial"/>
          <w:bCs/>
        </w:rPr>
        <w:t>Not applicable</w:t>
      </w:r>
      <w:r w:rsidR="004238E2" w:rsidRPr="005D183C">
        <w:rPr>
          <w:rFonts w:ascii="Arial" w:hAnsi="Arial" w:cs="Arial"/>
          <w:bCs/>
        </w:rPr>
        <w:t>.</w:t>
      </w:r>
    </w:p>
    <w:p w14:paraId="07C617CE" w14:textId="77777777" w:rsidR="0088784C" w:rsidRPr="005D183C" w:rsidRDefault="00582B86" w:rsidP="00B3087D">
      <w:pPr>
        <w:pStyle w:val="Heading1"/>
        <w:numPr>
          <w:ilvl w:val="1"/>
          <w:numId w:val="14"/>
        </w:numPr>
      </w:pPr>
      <w:r w:rsidRPr="005D183C">
        <w:t>Preclinical Safety Data</w:t>
      </w:r>
    </w:p>
    <w:p w14:paraId="743006D4" w14:textId="67E166FF" w:rsidR="0088784C" w:rsidRPr="005D183C" w:rsidRDefault="00C20AD8" w:rsidP="00C20AD8">
      <w:pPr>
        <w:autoSpaceDE w:val="0"/>
        <w:autoSpaceDN w:val="0"/>
        <w:adjustRightInd w:val="0"/>
        <w:spacing w:after="0" w:line="240" w:lineRule="auto"/>
        <w:jc w:val="both"/>
        <w:rPr>
          <w:rFonts w:ascii="Arial" w:hAnsi="Arial" w:cs="Arial"/>
          <w:bCs/>
        </w:rPr>
      </w:pPr>
      <w:r w:rsidRPr="005D183C">
        <w:rPr>
          <w:rFonts w:ascii="Arial" w:hAnsi="Arial" w:cs="Arial"/>
          <w:bCs/>
        </w:rPr>
        <w:t>Non-clinical data reveal no special hazard for humans based on conventional studies of repeated-dose</w:t>
      </w:r>
      <w:r w:rsidR="00C91C9D" w:rsidRPr="005D183C">
        <w:rPr>
          <w:rFonts w:ascii="Arial" w:hAnsi="Arial" w:cs="Arial"/>
          <w:bCs/>
        </w:rPr>
        <w:t xml:space="preserve"> </w:t>
      </w:r>
      <w:r w:rsidRPr="005D183C">
        <w:rPr>
          <w:rFonts w:ascii="Arial" w:hAnsi="Arial" w:cs="Arial"/>
          <w:bCs/>
        </w:rPr>
        <w:t xml:space="preserve">toxicity (60 mcg HA/dose), local tolerance and </w:t>
      </w:r>
      <w:r w:rsidR="00C91C9D" w:rsidRPr="005D183C">
        <w:rPr>
          <w:rFonts w:ascii="Arial" w:hAnsi="Arial" w:cs="Arial"/>
          <w:bCs/>
        </w:rPr>
        <w:t xml:space="preserve">sensitization </w:t>
      </w:r>
      <w:r w:rsidRPr="005D183C">
        <w:rPr>
          <w:rFonts w:ascii="Arial" w:hAnsi="Arial" w:cs="Arial"/>
          <w:bCs/>
        </w:rPr>
        <w:t>(45 mcg HA/dose).</w:t>
      </w:r>
      <w:r w:rsidR="000A1067">
        <w:rPr>
          <w:rFonts w:ascii="Arial" w:hAnsi="Arial" w:cs="Arial"/>
          <w:bCs/>
        </w:rPr>
        <w:t xml:space="preserve"> </w:t>
      </w:r>
      <w:r w:rsidR="000A1067" w:rsidRPr="000A1067">
        <w:rPr>
          <w:rFonts w:ascii="Arial" w:hAnsi="Arial" w:cs="Arial"/>
          <w:bCs/>
        </w:rPr>
        <w:t xml:space="preserve">For the reproductive and development toxicity refer to </w:t>
      </w:r>
      <w:r w:rsidR="000A1067">
        <w:rPr>
          <w:rFonts w:ascii="Arial" w:hAnsi="Arial" w:cs="Arial"/>
          <w:b/>
          <w:bCs/>
        </w:rPr>
        <w:t xml:space="preserve">Section 4.6 – </w:t>
      </w:r>
      <w:r w:rsidR="000A1067" w:rsidRPr="000A1067">
        <w:rPr>
          <w:rFonts w:ascii="Arial" w:hAnsi="Arial" w:cs="Arial"/>
          <w:b/>
          <w:bCs/>
        </w:rPr>
        <w:t>Fertility, Pregnancy and Lactation</w:t>
      </w:r>
      <w:r w:rsidR="000A1067" w:rsidRPr="000A1067">
        <w:rPr>
          <w:rFonts w:ascii="Arial" w:hAnsi="Arial" w:cs="Arial"/>
          <w:bCs/>
        </w:rPr>
        <w:t>.</w:t>
      </w:r>
    </w:p>
    <w:p w14:paraId="43558F95" w14:textId="6D759D69" w:rsidR="00C91C9D" w:rsidRPr="005D183C" w:rsidRDefault="00C91C9D" w:rsidP="0088784C">
      <w:pPr>
        <w:autoSpaceDE w:val="0"/>
        <w:autoSpaceDN w:val="0"/>
        <w:adjustRightInd w:val="0"/>
        <w:spacing w:after="0" w:line="240" w:lineRule="auto"/>
        <w:jc w:val="both"/>
        <w:rPr>
          <w:rFonts w:ascii="Arial" w:hAnsi="Arial" w:cs="Arial"/>
          <w:b/>
          <w:bCs/>
        </w:rPr>
      </w:pPr>
      <w:r w:rsidRPr="005D183C">
        <w:rPr>
          <w:rFonts w:ascii="Arial" w:hAnsi="Arial" w:cs="Arial"/>
          <w:b/>
          <w:bCs/>
        </w:rPr>
        <w:t>Genotoxicity</w:t>
      </w:r>
    </w:p>
    <w:p w14:paraId="695C1C48" w14:textId="58144529" w:rsidR="00C91C9D" w:rsidRPr="005D183C" w:rsidRDefault="00C91C9D" w:rsidP="0088784C">
      <w:pPr>
        <w:autoSpaceDE w:val="0"/>
        <w:autoSpaceDN w:val="0"/>
        <w:adjustRightInd w:val="0"/>
        <w:spacing w:after="0" w:line="240" w:lineRule="auto"/>
        <w:jc w:val="both"/>
        <w:rPr>
          <w:rFonts w:ascii="Arial" w:hAnsi="Arial" w:cs="Arial"/>
          <w:bCs/>
        </w:rPr>
      </w:pPr>
      <w:r w:rsidRPr="005D183C">
        <w:rPr>
          <w:rFonts w:ascii="Arial" w:hAnsi="Arial" w:cs="Arial"/>
          <w:bCs/>
        </w:rPr>
        <w:t>No data available</w:t>
      </w:r>
      <w:r w:rsidR="00A92205" w:rsidRPr="005D183C">
        <w:rPr>
          <w:rFonts w:ascii="Arial" w:hAnsi="Arial" w:cs="Arial"/>
          <w:bCs/>
        </w:rPr>
        <w:t>.</w:t>
      </w:r>
    </w:p>
    <w:p w14:paraId="15605FA3" w14:textId="258AEF3C" w:rsidR="00C91C9D" w:rsidRPr="005D183C" w:rsidRDefault="00C91C9D" w:rsidP="0088784C">
      <w:pPr>
        <w:autoSpaceDE w:val="0"/>
        <w:autoSpaceDN w:val="0"/>
        <w:adjustRightInd w:val="0"/>
        <w:spacing w:after="0" w:line="240" w:lineRule="auto"/>
        <w:jc w:val="both"/>
        <w:rPr>
          <w:rFonts w:ascii="Arial" w:hAnsi="Arial" w:cs="Arial"/>
          <w:b/>
          <w:bCs/>
        </w:rPr>
      </w:pPr>
      <w:r w:rsidRPr="005D183C">
        <w:rPr>
          <w:rFonts w:ascii="Arial" w:hAnsi="Arial" w:cs="Arial"/>
          <w:b/>
          <w:bCs/>
        </w:rPr>
        <w:t>Carcinogenicity</w:t>
      </w:r>
    </w:p>
    <w:p w14:paraId="4A318EF9" w14:textId="3692F38A" w:rsidR="009B6BE4" w:rsidRPr="005D183C" w:rsidRDefault="00C91C9D" w:rsidP="0088784C">
      <w:pPr>
        <w:autoSpaceDE w:val="0"/>
        <w:autoSpaceDN w:val="0"/>
        <w:adjustRightInd w:val="0"/>
        <w:spacing w:after="0" w:line="240" w:lineRule="auto"/>
        <w:jc w:val="both"/>
        <w:rPr>
          <w:rFonts w:ascii="Arial" w:hAnsi="Arial" w:cs="Arial"/>
          <w:bCs/>
        </w:rPr>
      </w:pPr>
      <w:r w:rsidRPr="005D183C">
        <w:rPr>
          <w:rFonts w:ascii="Arial" w:hAnsi="Arial" w:cs="Arial"/>
          <w:bCs/>
        </w:rPr>
        <w:t>No data available</w:t>
      </w:r>
      <w:r w:rsidR="00A92205" w:rsidRPr="005D183C">
        <w:rPr>
          <w:rFonts w:ascii="Arial" w:hAnsi="Arial" w:cs="Arial"/>
          <w:bCs/>
        </w:rPr>
        <w:t>.</w:t>
      </w:r>
    </w:p>
    <w:p w14:paraId="373AB60F" w14:textId="18BA3EEC" w:rsidR="00727BAA" w:rsidRPr="005D183C" w:rsidRDefault="009B6BE4" w:rsidP="00B3087D">
      <w:pPr>
        <w:pStyle w:val="Heading1"/>
      </w:pPr>
      <w:r w:rsidRPr="005D183C">
        <w:t>PHARMACOLOGICAL PARTICULARS</w:t>
      </w:r>
    </w:p>
    <w:p w14:paraId="2AA47BDF" w14:textId="0C39566E" w:rsidR="009B6BE4" w:rsidRPr="005D183C" w:rsidRDefault="009B6BE4" w:rsidP="00B3087D">
      <w:pPr>
        <w:pStyle w:val="Heading1"/>
        <w:numPr>
          <w:ilvl w:val="1"/>
          <w:numId w:val="14"/>
        </w:numPr>
      </w:pPr>
      <w:r w:rsidRPr="005D183C">
        <w:t>List of Excipients</w:t>
      </w:r>
    </w:p>
    <w:p w14:paraId="035639EE" w14:textId="07E0B743" w:rsidR="00433047" w:rsidRPr="005D183C" w:rsidRDefault="00433047" w:rsidP="00433047">
      <w:pPr>
        <w:autoSpaceDE w:val="0"/>
        <w:autoSpaceDN w:val="0"/>
        <w:adjustRightInd w:val="0"/>
        <w:spacing w:after="0" w:line="240" w:lineRule="auto"/>
        <w:jc w:val="both"/>
        <w:rPr>
          <w:rFonts w:ascii="Arial" w:hAnsi="Arial" w:cs="Arial"/>
          <w:bCs/>
        </w:rPr>
      </w:pPr>
      <w:r w:rsidRPr="005D183C">
        <w:rPr>
          <w:rFonts w:ascii="Arial" w:hAnsi="Arial" w:cs="Arial"/>
          <w:bCs/>
        </w:rPr>
        <w:t xml:space="preserve">Each 0.5 mL dose </w:t>
      </w:r>
      <w:r w:rsidR="00A92205" w:rsidRPr="005D183C">
        <w:rPr>
          <w:rFonts w:ascii="Arial" w:hAnsi="Arial" w:cs="Arial"/>
          <w:bCs/>
        </w:rPr>
        <w:t>of Fluad</w:t>
      </w:r>
      <w:r w:rsidR="00B640FB" w:rsidRPr="005D183C">
        <w:rPr>
          <w:rFonts w:ascii="Arial" w:hAnsi="Arial" w:cs="Arial"/>
          <w:vertAlign w:val="superscript"/>
        </w:rPr>
        <w:t>®</w:t>
      </w:r>
      <w:r w:rsidR="00A92205" w:rsidRPr="005D183C">
        <w:rPr>
          <w:rFonts w:ascii="Arial" w:hAnsi="Arial" w:cs="Arial"/>
          <w:bCs/>
        </w:rPr>
        <w:t xml:space="preserve"> </w:t>
      </w:r>
      <w:r w:rsidR="00617182" w:rsidRPr="005D183C">
        <w:rPr>
          <w:rFonts w:ascii="Arial" w:hAnsi="Arial" w:cs="Arial"/>
          <w:bCs/>
        </w:rPr>
        <w:t>Quad</w:t>
      </w:r>
      <w:r w:rsidR="00A92205" w:rsidRPr="005D183C">
        <w:rPr>
          <w:rFonts w:ascii="Arial" w:hAnsi="Arial" w:cs="Arial"/>
          <w:bCs/>
        </w:rPr>
        <w:t xml:space="preserve"> </w:t>
      </w:r>
      <w:r w:rsidRPr="005D183C">
        <w:rPr>
          <w:rFonts w:ascii="Arial" w:hAnsi="Arial" w:cs="Arial"/>
          <w:bCs/>
        </w:rPr>
        <w:t>contains MF59C.1 (a proprietary adjuvant): containing squalene</w:t>
      </w:r>
      <w:r w:rsidR="00F81569">
        <w:rPr>
          <w:rFonts w:ascii="Arial" w:hAnsi="Arial" w:cs="Arial"/>
          <w:bCs/>
        </w:rPr>
        <w:t xml:space="preserve"> </w:t>
      </w:r>
      <w:r w:rsidR="00F81569" w:rsidRPr="005D183C">
        <w:rPr>
          <w:rFonts w:ascii="Arial" w:hAnsi="Arial" w:cs="Arial"/>
          <w:bCs/>
        </w:rPr>
        <w:t>9.75 mg</w:t>
      </w:r>
      <w:r w:rsidRPr="005D183C">
        <w:rPr>
          <w:rFonts w:ascii="Arial" w:hAnsi="Arial" w:cs="Arial"/>
          <w:bCs/>
        </w:rPr>
        <w:t>, polysorbate 80</w:t>
      </w:r>
      <w:r w:rsidR="00F81569">
        <w:rPr>
          <w:rFonts w:ascii="Arial" w:hAnsi="Arial" w:cs="Arial"/>
          <w:bCs/>
        </w:rPr>
        <w:t xml:space="preserve"> </w:t>
      </w:r>
      <w:r w:rsidR="00F81569" w:rsidRPr="005D183C">
        <w:rPr>
          <w:rFonts w:ascii="Arial" w:hAnsi="Arial" w:cs="Arial"/>
          <w:bCs/>
        </w:rPr>
        <w:t>1.175 mg</w:t>
      </w:r>
      <w:r w:rsidRPr="005D183C">
        <w:rPr>
          <w:rFonts w:ascii="Arial" w:hAnsi="Arial" w:cs="Arial"/>
          <w:bCs/>
        </w:rPr>
        <w:t>, sorbitan trioleate</w:t>
      </w:r>
      <w:r w:rsidR="00F81569">
        <w:rPr>
          <w:rFonts w:ascii="Arial" w:hAnsi="Arial" w:cs="Arial"/>
          <w:bCs/>
        </w:rPr>
        <w:t xml:space="preserve"> </w:t>
      </w:r>
      <w:r w:rsidR="00F81569" w:rsidRPr="005D183C">
        <w:rPr>
          <w:rFonts w:ascii="Arial" w:hAnsi="Arial" w:cs="Arial"/>
          <w:bCs/>
        </w:rPr>
        <w:t>1.175 mg</w:t>
      </w:r>
      <w:r w:rsidRPr="005D183C">
        <w:rPr>
          <w:rFonts w:ascii="Arial" w:hAnsi="Arial" w:cs="Arial"/>
          <w:bCs/>
        </w:rPr>
        <w:t xml:space="preserve">, </w:t>
      </w:r>
      <w:r w:rsidRPr="005D183C">
        <w:rPr>
          <w:rFonts w:ascii="Arial" w:hAnsi="Arial" w:cs="Arial"/>
          <w:bCs/>
          <w:color w:val="000000" w:themeColor="text1"/>
        </w:rPr>
        <w:t xml:space="preserve">sodium citrate </w:t>
      </w:r>
      <w:r w:rsidR="00D4079A" w:rsidRPr="005D183C">
        <w:rPr>
          <w:rFonts w:ascii="Arial" w:hAnsi="Arial" w:cs="Arial"/>
          <w:bCs/>
          <w:color w:val="000000" w:themeColor="text1"/>
        </w:rPr>
        <w:t xml:space="preserve">dihydrate </w:t>
      </w:r>
      <w:r w:rsidRPr="005D183C">
        <w:rPr>
          <w:rFonts w:ascii="Arial" w:hAnsi="Arial" w:cs="Arial"/>
          <w:bCs/>
          <w:color w:val="000000" w:themeColor="text1"/>
        </w:rPr>
        <w:t xml:space="preserve">0.66 mg, citric acid </w:t>
      </w:r>
      <w:r w:rsidR="00D4079A" w:rsidRPr="005D183C">
        <w:rPr>
          <w:rFonts w:ascii="Arial" w:hAnsi="Arial" w:cs="Arial"/>
          <w:bCs/>
          <w:color w:val="000000" w:themeColor="text1"/>
        </w:rPr>
        <w:t xml:space="preserve">monohydrate </w:t>
      </w:r>
      <w:r w:rsidRPr="005D183C">
        <w:rPr>
          <w:rFonts w:ascii="Arial" w:hAnsi="Arial" w:cs="Arial"/>
          <w:bCs/>
          <w:color w:val="000000" w:themeColor="text1"/>
        </w:rPr>
        <w:t>0.04 mg</w:t>
      </w:r>
      <w:r w:rsidR="00F81569">
        <w:rPr>
          <w:rFonts w:ascii="Arial" w:hAnsi="Arial" w:cs="Arial"/>
          <w:bCs/>
          <w:color w:val="000000" w:themeColor="text1"/>
        </w:rPr>
        <w:t xml:space="preserve"> and</w:t>
      </w:r>
      <w:r w:rsidRPr="005D183C">
        <w:rPr>
          <w:rFonts w:ascii="Arial" w:hAnsi="Arial" w:cs="Arial"/>
          <w:bCs/>
          <w:color w:val="000000" w:themeColor="text1"/>
        </w:rPr>
        <w:t xml:space="preserve"> water for injections and the following excipients</w:t>
      </w:r>
      <w:r w:rsidRPr="005D183C">
        <w:rPr>
          <w:rFonts w:ascii="Arial" w:hAnsi="Arial" w:cs="Arial"/>
          <w:bCs/>
        </w:rPr>
        <w:t>.</w:t>
      </w:r>
      <w:r w:rsidR="00783555" w:rsidRPr="005D183C">
        <w:rPr>
          <w:rFonts w:ascii="Arial" w:hAnsi="Arial" w:cs="Arial"/>
          <w:bCs/>
        </w:rPr>
        <w:t xml:space="preserve"> </w:t>
      </w:r>
    </w:p>
    <w:p w14:paraId="5E5DC185" w14:textId="1F6ED6A2" w:rsidR="0089497C" w:rsidRPr="005D183C" w:rsidRDefault="0089497C" w:rsidP="00433047">
      <w:pPr>
        <w:autoSpaceDE w:val="0"/>
        <w:autoSpaceDN w:val="0"/>
        <w:adjustRightInd w:val="0"/>
        <w:spacing w:after="0" w:line="240" w:lineRule="auto"/>
        <w:jc w:val="both"/>
        <w:rPr>
          <w:rFonts w:ascii="Arial" w:hAnsi="Arial" w:cs="Arial"/>
          <w:bCs/>
        </w:rPr>
      </w:pPr>
    </w:p>
    <w:tbl>
      <w:tblPr>
        <w:tblStyle w:val="TableGrid"/>
        <w:tblW w:w="0" w:type="auto"/>
        <w:tblInd w:w="108" w:type="dxa"/>
        <w:tblLook w:val="04A0" w:firstRow="1" w:lastRow="0" w:firstColumn="1" w:lastColumn="0" w:noHBand="0" w:noVBand="1"/>
      </w:tblPr>
      <w:tblGrid>
        <w:gridCol w:w="3227"/>
        <w:gridCol w:w="1451"/>
      </w:tblGrid>
      <w:tr w:rsidR="00433047" w:rsidRPr="000C3B7D" w14:paraId="569D1A3A" w14:textId="77777777" w:rsidTr="0098731E">
        <w:tc>
          <w:tcPr>
            <w:tcW w:w="3227" w:type="dxa"/>
          </w:tcPr>
          <w:p w14:paraId="76B77118" w14:textId="6C5B8C07" w:rsidR="00433047" w:rsidRPr="000C3B7D" w:rsidRDefault="00892059" w:rsidP="00433047">
            <w:pPr>
              <w:autoSpaceDE w:val="0"/>
              <w:autoSpaceDN w:val="0"/>
              <w:adjustRightInd w:val="0"/>
              <w:jc w:val="both"/>
              <w:rPr>
                <w:rFonts w:ascii="Arial" w:hAnsi="Arial" w:cs="Arial"/>
                <w:bCs/>
                <w:sz w:val="18"/>
              </w:rPr>
            </w:pPr>
            <w:r>
              <w:rPr>
                <w:rFonts w:ascii="Arial" w:hAnsi="Arial" w:cs="Arial"/>
                <w:bCs/>
                <w:sz w:val="18"/>
              </w:rPr>
              <w:lastRenderedPageBreak/>
              <w:t>S</w:t>
            </w:r>
            <w:r w:rsidR="00433047" w:rsidRPr="000C3B7D">
              <w:rPr>
                <w:rFonts w:ascii="Arial" w:hAnsi="Arial" w:cs="Arial"/>
                <w:bCs/>
                <w:sz w:val="18"/>
              </w:rPr>
              <w:t>odium chloride</w:t>
            </w:r>
          </w:p>
        </w:tc>
        <w:tc>
          <w:tcPr>
            <w:tcW w:w="1451" w:type="dxa"/>
          </w:tcPr>
          <w:p w14:paraId="767A8DC1" w14:textId="77777777" w:rsidR="00433047" w:rsidRPr="000C3B7D" w:rsidRDefault="00433047" w:rsidP="00433047">
            <w:pPr>
              <w:autoSpaceDE w:val="0"/>
              <w:autoSpaceDN w:val="0"/>
              <w:adjustRightInd w:val="0"/>
              <w:jc w:val="both"/>
              <w:rPr>
                <w:rFonts w:ascii="Arial" w:hAnsi="Arial" w:cs="Arial"/>
                <w:bCs/>
                <w:sz w:val="18"/>
              </w:rPr>
            </w:pPr>
            <w:r w:rsidRPr="000C3B7D">
              <w:rPr>
                <w:rFonts w:ascii="Arial" w:hAnsi="Arial" w:cs="Arial"/>
                <w:bCs/>
                <w:sz w:val="18"/>
              </w:rPr>
              <w:t>4.00 mg</w:t>
            </w:r>
          </w:p>
        </w:tc>
      </w:tr>
      <w:tr w:rsidR="00433047" w:rsidRPr="000C3B7D" w14:paraId="60514A10" w14:textId="77777777" w:rsidTr="0098731E">
        <w:tc>
          <w:tcPr>
            <w:tcW w:w="3227" w:type="dxa"/>
          </w:tcPr>
          <w:p w14:paraId="6403F950" w14:textId="00DC566D" w:rsidR="00433047" w:rsidRPr="000C3B7D" w:rsidRDefault="00892059" w:rsidP="00433047">
            <w:pPr>
              <w:autoSpaceDE w:val="0"/>
              <w:autoSpaceDN w:val="0"/>
              <w:adjustRightInd w:val="0"/>
              <w:jc w:val="both"/>
              <w:rPr>
                <w:rFonts w:ascii="Arial" w:hAnsi="Arial" w:cs="Arial"/>
                <w:bCs/>
                <w:sz w:val="18"/>
              </w:rPr>
            </w:pPr>
            <w:r>
              <w:rPr>
                <w:rFonts w:ascii="Arial" w:hAnsi="Arial" w:cs="Arial"/>
                <w:bCs/>
                <w:sz w:val="18"/>
              </w:rPr>
              <w:t>P</w:t>
            </w:r>
            <w:r w:rsidR="00433047" w:rsidRPr="000C3B7D">
              <w:rPr>
                <w:rFonts w:ascii="Arial" w:hAnsi="Arial" w:cs="Arial"/>
                <w:bCs/>
                <w:sz w:val="18"/>
              </w:rPr>
              <w:t>otassium chloride</w:t>
            </w:r>
          </w:p>
        </w:tc>
        <w:tc>
          <w:tcPr>
            <w:tcW w:w="1451" w:type="dxa"/>
          </w:tcPr>
          <w:p w14:paraId="07804E87" w14:textId="77777777" w:rsidR="00433047" w:rsidRPr="000C3B7D" w:rsidRDefault="00433047" w:rsidP="00433047">
            <w:pPr>
              <w:autoSpaceDE w:val="0"/>
              <w:autoSpaceDN w:val="0"/>
              <w:adjustRightInd w:val="0"/>
              <w:jc w:val="both"/>
              <w:rPr>
                <w:rFonts w:ascii="Arial" w:hAnsi="Arial" w:cs="Arial"/>
                <w:bCs/>
                <w:sz w:val="18"/>
              </w:rPr>
            </w:pPr>
            <w:r w:rsidRPr="000C3B7D">
              <w:rPr>
                <w:rFonts w:ascii="Arial" w:hAnsi="Arial" w:cs="Arial"/>
                <w:bCs/>
                <w:sz w:val="18"/>
              </w:rPr>
              <w:t>0.10 mg</w:t>
            </w:r>
          </w:p>
        </w:tc>
      </w:tr>
      <w:tr w:rsidR="00433047" w:rsidRPr="000C3B7D" w14:paraId="5EF9A933" w14:textId="77777777" w:rsidTr="0098731E">
        <w:tc>
          <w:tcPr>
            <w:tcW w:w="3227" w:type="dxa"/>
          </w:tcPr>
          <w:p w14:paraId="29932A6B" w14:textId="7E135DEA" w:rsidR="00433047" w:rsidRPr="000C3B7D" w:rsidRDefault="00892059" w:rsidP="00433047">
            <w:pPr>
              <w:autoSpaceDE w:val="0"/>
              <w:autoSpaceDN w:val="0"/>
              <w:adjustRightInd w:val="0"/>
              <w:jc w:val="both"/>
              <w:rPr>
                <w:rFonts w:ascii="Arial" w:hAnsi="Arial" w:cs="Arial"/>
                <w:bCs/>
                <w:sz w:val="18"/>
              </w:rPr>
            </w:pPr>
            <w:r>
              <w:rPr>
                <w:rFonts w:ascii="Arial" w:hAnsi="Arial" w:cs="Arial"/>
                <w:bCs/>
                <w:sz w:val="18"/>
              </w:rPr>
              <w:t>M</w:t>
            </w:r>
            <w:r w:rsidR="00433047" w:rsidRPr="000C3B7D">
              <w:rPr>
                <w:rFonts w:ascii="Arial" w:hAnsi="Arial" w:cs="Arial"/>
                <w:bCs/>
                <w:sz w:val="18"/>
              </w:rPr>
              <w:t>onobasic potassium phosphate</w:t>
            </w:r>
          </w:p>
        </w:tc>
        <w:tc>
          <w:tcPr>
            <w:tcW w:w="1451" w:type="dxa"/>
          </w:tcPr>
          <w:p w14:paraId="0DCF2636" w14:textId="77777777" w:rsidR="00433047" w:rsidRPr="000C3B7D" w:rsidRDefault="00433047" w:rsidP="00433047">
            <w:pPr>
              <w:autoSpaceDE w:val="0"/>
              <w:autoSpaceDN w:val="0"/>
              <w:adjustRightInd w:val="0"/>
              <w:jc w:val="both"/>
              <w:rPr>
                <w:rFonts w:ascii="Arial" w:hAnsi="Arial" w:cs="Arial"/>
                <w:bCs/>
                <w:sz w:val="18"/>
              </w:rPr>
            </w:pPr>
            <w:r w:rsidRPr="000C3B7D">
              <w:rPr>
                <w:rFonts w:ascii="Arial" w:hAnsi="Arial" w:cs="Arial"/>
                <w:bCs/>
                <w:sz w:val="18"/>
              </w:rPr>
              <w:t>0.10 mg</w:t>
            </w:r>
          </w:p>
        </w:tc>
      </w:tr>
      <w:tr w:rsidR="00433047" w:rsidRPr="000C3B7D" w14:paraId="448754AA" w14:textId="77777777" w:rsidTr="0098731E">
        <w:tc>
          <w:tcPr>
            <w:tcW w:w="3227" w:type="dxa"/>
          </w:tcPr>
          <w:p w14:paraId="2ADD0396" w14:textId="5A4C9C78" w:rsidR="00433047" w:rsidRPr="000C3B7D" w:rsidRDefault="00892059" w:rsidP="00433047">
            <w:pPr>
              <w:autoSpaceDE w:val="0"/>
              <w:autoSpaceDN w:val="0"/>
              <w:adjustRightInd w:val="0"/>
              <w:jc w:val="both"/>
              <w:rPr>
                <w:rFonts w:ascii="Arial" w:hAnsi="Arial" w:cs="Arial"/>
                <w:bCs/>
                <w:sz w:val="18"/>
              </w:rPr>
            </w:pPr>
            <w:r>
              <w:rPr>
                <w:rFonts w:ascii="Arial" w:hAnsi="Arial" w:cs="Arial"/>
                <w:bCs/>
                <w:sz w:val="18"/>
              </w:rPr>
              <w:t>Di</w:t>
            </w:r>
            <w:r w:rsidR="00433047" w:rsidRPr="000C3B7D">
              <w:rPr>
                <w:rFonts w:ascii="Arial" w:hAnsi="Arial" w:cs="Arial"/>
                <w:bCs/>
                <w:sz w:val="18"/>
              </w:rPr>
              <w:t>basic sodium phosphate dihydrate</w:t>
            </w:r>
          </w:p>
        </w:tc>
        <w:tc>
          <w:tcPr>
            <w:tcW w:w="1451" w:type="dxa"/>
          </w:tcPr>
          <w:p w14:paraId="7BDF6735" w14:textId="77777777" w:rsidR="00433047" w:rsidRPr="000C3B7D" w:rsidRDefault="00433047" w:rsidP="00433047">
            <w:pPr>
              <w:autoSpaceDE w:val="0"/>
              <w:autoSpaceDN w:val="0"/>
              <w:adjustRightInd w:val="0"/>
              <w:jc w:val="both"/>
              <w:rPr>
                <w:rFonts w:ascii="Arial" w:hAnsi="Arial" w:cs="Arial"/>
                <w:bCs/>
                <w:sz w:val="18"/>
              </w:rPr>
            </w:pPr>
            <w:r w:rsidRPr="000C3B7D">
              <w:rPr>
                <w:rFonts w:ascii="Arial" w:hAnsi="Arial" w:cs="Arial"/>
                <w:bCs/>
                <w:sz w:val="18"/>
              </w:rPr>
              <w:t>0.67 mg</w:t>
            </w:r>
          </w:p>
        </w:tc>
      </w:tr>
      <w:tr w:rsidR="00433047" w:rsidRPr="000C3B7D" w14:paraId="34C246B0" w14:textId="77777777" w:rsidTr="0098731E">
        <w:tc>
          <w:tcPr>
            <w:tcW w:w="3227" w:type="dxa"/>
          </w:tcPr>
          <w:p w14:paraId="16C7D3B4" w14:textId="3E700337" w:rsidR="00433047" w:rsidRPr="000C3B7D" w:rsidRDefault="00892059" w:rsidP="00433047">
            <w:pPr>
              <w:autoSpaceDE w:val="0"/>
              <w:autoSpaceDN w:val="0"/>
              <w:adjustRightInd w:val="0"/>
              <w:jc w:val="both"/>
              <w:rPr>
                <w:rFonts w:ascii="Arial" w:hAnsi="Arial" w:cs="Arial"/>
                <w:bCs/>
                <w:sz w:val="18"/>
              </w:rPr>
            </w:pPr>
            <w:r>
              <w:rPr>
                <w:rFonts w:ascii="Arial" w:hAnsi="Arial" w:cs="Arial"/>
                <w:bCs/>
                <w:sz w:val="18"/>
              </w:rPr>
              <w:t>M</w:t>
            </w:r>
            <w:r w:rsidR="00433047" w:rsidRPr="000C3B7D">
              <w:rPr>
                <w:rFonts w:ascii="Arial" w:hAnsi="Arial" w:cs="Arial"/>
                <w:bCs/>
                <w:sz w:val="18"/>
              </w:rPr>
              <w:t>agnesium chloride hexahydrate</w:t>
            </w:r>
          </w:p>
        </w:tc>
        <w:tc>
          <w:tcPr>
            <w:tcW w:w="1451" w:type="dxa"/>
          </w:tcPr>
          <w:p w14:paraId="0B1160FB" w14:textId="77777777" w:rsidR="00433047" w:rsidRPr="000C3B7D" w:rsidRDefault="00433047" w:rsidP="00433047">
            <w:pPr>
              <w:autoSpaceDE w:val="0"/>
              <w:autoSpaceDN w:val="0"/>
              <w:adjustRightInd w:val="0"/>
              <w:jc w:val="both"/>
              <w:rPr>
                <w:rFonts w:ascii="Arial" w:hAnsi="Arial" w:cs="Arial"/>
                <w:bCs/>
                <w:sz w:val="18"/>
              </w:rPr>
            </w:pPr>
            <w:r w:rsidRPr="000C3B7D">
              <w:rPr>
                <w:rFonts w:ascii="Arial" w:hAnsi="Arial" w:cs="Arial"/>
                <w:bCs/>
                <w:sz w:val="18"/>
              </w:rPr>
              <w:t>0.05 mg</w:t>
            </w:r>
          </w:p>
        </w:tc>
      </w:tr>
      <w:tr w:rsidR="00433047" w:rsidRPr="000C3B7D" w14:paraId="64EB5283" w14:textId="77777777" w:rsidTr="0098731E">
        <w:tc>
          <w:tcPr>
            <w:tcW w:w="3227" w:type="dxa"/>
          </w:tcPr>
          <w:p w14:paraId="1C1EAF0C" w14:textId="619704E4" w:rsidR="00433047" w:rsidRPr="000C3B7D" w:rsidRDefault="00892059" w:rsidP="00433047">
            <w:pPr>
              <w:autoSpaceDE w:val="0"/>
              <w:autoSpaceDN w:val="0"/>
              <w:adjustRightInd w:val="0"/>
              <w:jc w:val="both"/>
              <w:rPr>
                <w:rFonts w:ascii="Arial" w:hAnsi="Arial" w:cs="Arial"/>
                <w:bCs/>
                <w:sz w:val="18"/>
              </w:rPr>
            </w:pPr>
            <w:r>
              <w:rPr>
                <w:rFonts w:ascii="Arial" w:hAnsi="Arial" w:cs="Arial"/>
                <w:bCs/>
                <w:sz w:val="18"/>
              </w:rPr>
              <w:t>C</w:t>
            </w:r>
            <w:r w:rsidR="00433047" w:rsidRPr="000C3B7D">
              <w:rPr>
                <w:rFonts w:ascii="Arial" w:hAnsi="Arial" w:cs="Arial"/>
                <w:bCs/>
                <w:sz w:val="18"/>
              </w:rPr>
              <w:t>alcium chloride dihydrate</w:t>
            </w:r>
          </w:p>
        </w:tc>
        <w:tc>
          <w:tcPr>
            <w:tcW w:w="1451" w:type="dxa"/>
          </w:tcPr>
          <w:p w14:paraId="602E226B" w14:textId="77777777" w:rsidR="00433047" w:rsidRPr="000C3B7D" w:rsidRDefault="00433047" w:rsidP="00433047">
            <w:pPr>
              <w:autoSpaceDE w:val="0"/>
              <w:autoSpaceDN w:val="0"/>
              <w:adjustRightInd w:val="0"/>
              <w:jc w:val="both"/>
              <w:rPr>
                <w:rFonts w:ascii="Arial" w:hAnsi="Arial" w:cs="Arial"/>
                <w:bCs/>
                <w:sz w:val="18"/>
              </w:rPr>
            </w:pPr>
            <w:r w:rsidRPr="000C3B7D">
              <w:rPr>
                <w:rFonts w:ascii="Arial" w:hAnsi="Arial" w:cs="Arial"/>
                <w:bCs/>
                <w:sz w:val="18"/>
              </w:rPr>
              <w:t>0.06 mg</w:t>
            </w:r>
          </w:p>
        </w:tc>
      </w:tr>
      <w:tr w:rsidR="00433047" w:rsidRPr="000C3B7D" w14:paraId="67F4C628" w14:textId="77777777" w:rsidTr="0098731E">
        <w:tc>
          <w:tcPr>
            <w:tcW w:w="3227" w:type="dxa"/>
          </w:tcPr>
          <w:p w14:paraId="32C95E28" w14:textId="03D5069C" w:rsidR="00433047" w:rsidRPr="000C3B7D" w:rsidRDefault="00892059" w:rsidP="00433047">
            <w:pPr>
              <w:autoSpaceDE w:val="0"/>
              <w:autoSpaceDN w:val="0"/>
              <w:adjustRightInd w:val="0"/>
              <w:jc w:val="both"/>
              <w:rPr>
                <w:rFonts w:ascii="Arial" w:hAnsi="Arial" w:cs="Arial"/>
                <w:bCs/>
                <w:sz w:val="18"/>
              </w:rPr>
            </w:pPr>
            <w:r>
              <w:rPr>
                <w:rFonts w:ascii="Arial" w:hAnsi="Arial" w:cs="Arial"/>
                <w:bCs/>
                <w:sz w:val="18"/>
              </w:rPr>
              <w:t>W</w:t>
            </w:r>
            <w:r w:rsidR="00433047" w:rsidRPr="000C3B7D">
              <w:rPr>
                <w:rFonts w:ascii="Arial" w:hAnsi="Arial" w:cs="Arial"/>
                <w:bCs/>
                <w:sz w:val="18"/>
              </w:rPr>
              <w:t>ater for injections</w:t>
            </w:r>
          </w:p>
        </w:tc>
        <w:tc>
          <w:tcPr>
            <w:tcW w:w="1451" w:type="dxa"/>
          </w:tcPr>
          <w:p w14:paraId="722DF3F4" w14:textId="77777777" w:rsidR="00433047" w:rsidRPr="000C3B7D" w:rsidRDefault="00433047" w:rsidP="00433047">
            <w:pPr>
              <w:autoSpaceDE w:val="0"/>
              <w:autoSpaceDN w:val="0"/>
              <w:adjustRightInd w:val="0"/>
              <w:jc w:val="both"/>
              <w:rPr>
                <w:rFonts w:ascii="Arial" w:hAnsi="Arial" w:cs="Arial"/>
                <w:bCs/>
                <w:sz w:val="18"/>
              </w:rPr>
            </w:pPr>
            <w:r w:rsidRPr="000C3B7D">
              <w:rPr>
                <w:rFonts w:ascii="Arial" w:hAnsi="Arial" w:cs="Arial"/>
                <w:bCs/>
                <w:sz w:val="18"/>
              </w:rPr>
              <w:t>up to 0.5 mL</w:t>
            </w:r>
          </w:p>
        </w:tc>
      </w:tr>
    </w:tbl>
    <w:p w14:paraId="51ADBF24" w14:textId="57B373DC" w:rsidR="00205C8B" w:rsidRPr="005D183C" w:rsidRDefault="00F36CC2" w:rsidP="00433047">
      <w:pPr>
        <w:autoSpaceDE w:val="0"/>
        <w:autoSpaceDN w:val="0"/>
        <w:adjustRightInd w:val="0"/>
        <w:spacing w:after="0" w:line="240" w:lineRule="auto"/>
        <w:jc w:val="both"/>
        <w:rPr>
          <w:rFonts w:ascii="Arial" w:hAnsi="Arial" w:cs="Arial"/>
          <w:bCs/>
        </w:rPr>
      </w:pPr>
      <w:r w:rsidRPr="005D183C">
        <w:rPr>
          <w:rFonts w:ascii="Arial" w:hAnsi="Arial" w:cs="Arial"/>
          <w:bCs/>
        </w:rPr>
        <w:t>Fluad</w:t>
      </w:r>
      <w:r w:rsidR="00B640FB" w:rsidRPr="005D183C">
        <w:rPr>
          <w:rFonts w:ascii="Arial" w:hAnsi="Arial" w:cs="Arial"/>
          <w:vertAlign w:val="superscript"/>
        </w:rPr>
        <w:t>®</w:t>
      </w:r>
      <w:r w:rsidRPr="005D183C">
        <w:rPr>
          <w:rFonts w:ascii="Arial" w:hAnsi="Arial" w:cs="Arial"/>
          <w:bCs/>
        </w:rPr>
        <w:t xml:space="preserve"> Quad</w:t>
      </w:r>
      <w:r w:rsidR="00AC6A59" w:rsidRPr="005D183C">
        <w:rPr>
          <w:rFonts w:ascii="Arial" w:hAnsi="Arial" w:cs="Arial"/>
          <w:bCs/>
        </w:rPr>
        <w:t xml:space="preserve"> is manufactured in eggs and trace amounts</w:t>
      </w:r>
      <w:r w:rsidR="00433047" w:rsidRPr="005D183C">
        <w:rPr>
          <w:rFonts w:ascii="Arial" w:hAnsi="Arial" w:cs="Arial"/>
          <w:bCs/>
        </w:rPr>
        <w:t xml:space="preserve"> </w:t>
      </w:r>
      <w:r w:rsidR="0022317C">
        <w:rPr>
          <w:rFonts w:ascii="Arial" w:hAnsi="Arial" w:cs="Arial"/>
          <w:bCs/>
        </w:rPr>
        <w:t xml:space="preserve">of </w:t>
      </w:r>
      <w:r w:rsidR="00433047" w:rsidRPr="005D183C">
        <w:rPr>
          <w:rFonts w:ascii="Arial" w:hAnsi="Arial" w:cs="Arial"/>
          <w:bCs/>
        </w:rPr>
        <w:t>kanamycin</w:t>
      </w:r>
      <w:r w:rsidR="00D4079A" w:rsidRPr="005D183C">
        <w:rPr>
          <w:rFonts w:ascii="Arial" w:hAnsi="Arial" w:cs="Arial"/>
          <w:bCs/>
        </w:rPr>
        <w:t xml:space="preserve"> </w:t>
      </w:r>
      <w:r w:rsidR="00D7712D" w:rsidRPr="005D183C">
        <w:rPr>
          <w:rFonts w:ascii="Arial" w:hAnsi="Arial" w:cs="Arial"/>
          <w:bCs/>
        </w:rPr>
        <w:t>sul</w:t>
      </w:r>
      <w:r w:rsidR="00D7712D">
        <w:rPr>
          <w:rFonts w:ascii="Arial" w:hAnsi="Arial" w:cs="Arial"/>
          <w:bCs/>
        </w:rPr>
        <w:t>f</w:t>
      </w:r>
      <w:r w:rsidR="00D7712D" w:rsidRPr="005D183C">
        <w:rPr>
          <w:rFonts w:ascii="Arial" w:hAnsi="Arial" w:cs="Arial"/>
          <w:bCs/>
        </w:rPr>
        <w:t>ate</w:t>
      </w:r>
      <w:r w:rsidR="00433047" w:rsidRPr="005D183C">
        <w:rPr>
          <w:rFonts w:ascii="Arial" w:hAnsi="Arial" w:cs="Arial"/>
          <w:bCs/>
        </w:rPr>
        <w:t>, neomycin</w:t>
      </w:r>
      <w:r w:rsidR="00D4079A" w:rsidRPr="005D183C">
        <w:rPr>
          <w:rFonts w:ascii="Arial" w:hAnsi="Arial" w:cs="Arial"/>
          <w:bCs/>
        </w:rPr>
        <w:t xml:space="preserve"> </w:t>
      </w:r>
      <w:r w:rsidR="00D7712D" w:rsidRPr="005D183C">
        <w:rPr>
          <w:rFonts w:ascii="Arial" w:hAnsi="Arial" w:cs="Arial"/>
          <w:bCs/>
        </w:rPr>
        <w:t>sul</w:t>
      </w:r>
      <w:r w:rsidR="00D7712D">
        <w:rPr>
          <w:rFonts w:ascii="Arial" w:hAnsi="Arial" w:cs="Arial"/>
          <w:bCs/>
        </w:rPr>
        <w:t>f</w:t>
      </w:r>
      <w:r w:rsidR="00D7712D" w:rsidRPr="005D183C">
        <w:rPr>
          <w:rFonts w:ascii="Arial" w:hAnsi="Arial" w:cs="Arial"/>
          <w:bCs/>
        </w:rPr>
        <w:t>ate</w:t>
      </w:r>
      <w:r w:rsidR="00433047" w:rsidRPr="005D183C">
        <w:rPr>
          <w:rFonts w:ascii="Arial" w:hAnsi="Arial" w:cs="Arial"/>
          <w:bCs/>
        </w:rPr>
        <w:t>, ovalbumin</w:t>
      </w:r>
      <w:r w:rsidR="00551016" w:rsidRPr="005D183C">
        <w:rPr>
          <w:rFonts w:ascii="Arial" w:hAnsi="Arial" w:cs="Arial"/>
          <w:bCs/>
        </w:rPr>
        <w:t xml:space="preserve"> (</w:t>
      </w:r>
      <w:r w:rsidR="0022317C">
        <w:rPr>
          <w:rFonts w:ascii="Arial" w:hAnsi="Arial" w:cs="Arial"/>
          <w:bCs/>
        </w:rPr>
        <w:t>≤</w:t>
      </w:r>
      <w:r w:rsidR="00551016" w:rsidRPr="005D183C">
        <w:rPr>
          <w:rFonts w:ascii="Arial" w:hAnsi="Arial" w:cs="Arial"/>
          <w:bCs/>
        </w:rPr>
        <w:t xml:space="preserve"> 1 microg</w:t>
      </w:r>
      <w:r w:rsidR="00D7712D">
        <w:rPr>
          <w:rFonts w:ascii="Arial" w:hAnsi="Arial" w:cs="Arial"/>
          <w:bCs/>
        </w:rPr>
        <w:t>r</w:t>
      </w:r>
      <w:r w:rsidR="00551016" w:rsidRPr="005D183C">
        <w:rPr>
          <w:rFonts w:ascii="Arial" w:hAnsi="Arial" w:cs="Arial"/>
          <w:bCs/>
        </w:rPr>
        <w:t>am</w:t>
      </w:r>
      <w:r w:rsidR="00AC6A59" w:rsidRPr="005D183C">
        <w:rPr>
          <w:rFonts w:ascii="Arial" w:hAnsi="Arial" w:cs="Arial"/>
          <w:bCs/>
        </w:rPr>
        <w:t>/0.5 mL dose</w:t>
      </w:r>
      <w:r w:rsidR="00551016" w:rsidRPr="005D183C">
        <w:rPr>
          <w:rFonts w:ascii="Arial" w:hAnsi="Arial" w:cs="Arial"/>
          <w:bCs/>
        </w:rPr>
        <w:t>)</w:t>
      </w:r>
      <w:r w:rsidR="00784165" w:rsidRPr="005D183C">
        <w:rPr>
          <w:rFonts w:ascii="Arial" w:hAnsi="Arial" w:cs="Arial"/>
          <w:bCs/>
        </w:rPr>
        <w:t>, formaldehyde</w:t>
      </w:r>
      <w:r w:rsidR="00782DFF">
        <w:rPr>
          <w:rFonts w:ascii="Arial" w:hAnsi="Arial" w:cs="Arial"/>
          <w:bCs/>
        </w:rPr>
        <w:t xml:space="preserve"> (≤</w:t>
      </w:r>
      <w:r w:rsidR="00782DFF" w:rsidRPr="005D183C">
        <w:rPr>
          <w:rFonts w:ascii="Arial" w:hAnsi="Arial" w:cs="Arial"/>
          <w:bCs/>
        </w:rPr>
        <w:t xml:space="preserve"> 1 microg</w:t>
      </w:r>
      <w:r w:rsidR="00782DFF">
        <w:rPr>
          <w:rFonts w:ascii="Arial" w:hAnsi="Arial" w:cs="Arial"/>
          <w:bCs/>
        </w:rPr>
        <w:t>r</w:t>
      </w:r>
      <w:r w:rsidR="00782DFF" w:rsidRPr="005D183C">
        <w:rPr>
          <w:rFonts w:ascii="Arial" w:hAnsi="Arial" w:cs="Arial"/>
          <w:bCs/>
        </w:rPr>
        <w:t>am/0.5 mL dose</w:t>
      </w:r>
      <w:r w:rsidR="00782DFF">
        <w:rPr>
          <w:rFonts w:ascii="Arial" w:hAnsi="Arial" w:cs="Arial"/>
          <w:bCs/>
        </w:rPr>
        <w:t>)</w:t>
      </w:r>
      <w:r w:rsidR="00784165" w:rsidRPr="005D183C">
        <w:rPr>
          <w:rFonts w:ascii="Arial" w:hAnsi="Arial" w:cs="Arial"/>
          <w:bCs/>
        </w:rPr>
        <w:t>, cet</w:t>
      </w:r>
      <w:r w:rsidR="00741456">
        <w:rPr>
          <w:rFonts w:ascii="Arial" w:hAnsi="Arial" w:cs="Arial"/>
          <w:bCs/>
        </w:rPr>
        <w:t xml:space="preserve">rimonium </w:t>
      </w:r>
      <w:r w:rsidR="00784165" w:rsidRPr="005D183C">
        <w:rPr>
          <w:rFonts w:ascii="Arial" w:hAnsi="Arial" w:cs="Arial"/>
          <w:bCs/>
        </w:rPr>
        <w:t>bromide (</w:t>
      </w:r>
      <w:r w:rsidR="00782DFF">
        <w:rPr>
          <w:rFonts w:ascii="Arial" w:hAnsi="Arial" w:cs="Arial"/>
          <w:bCs/>
        </w:rPr>
        <w:t xml:space="preserve">≤ </w:t>
      </w:r>
      <w:r w:rsidR="00C372D2">
        <w:rPr>
          <w:rFonts w:ascii="Arial" w:hAnsi="Arial" w:cs="Arial"/>
          <w:bCs/>
        </w:rPr>
        <w:t>12</w:t>
      </w:r>
      <w:r w:rsidR="00782DFF" w:rsidRPr="005D183C">
        <w:rPr>
          <w:rFonts w:ascii="Arial" w:hAnsi="Arial" w:cs="Arial"/>
          <w:bCs/>
        </w:rPr>
        <w:t xml:space="preserve"> microg</w:t>
      </w:r>
      <w:r w:rsidR="00782DFF">
        <w:rPr>
          <w:rFonts w:ascii="Arial" w:hAnsi="Arial" w:cs="Arial"/>
          <w:bCs/>
        </w:rPr>
        <w:t>r</w:t>
      </w:r>
      <w:r w:rsidR="00782DFF" w:rsidRPr="005D183C">
        <w:rPr>
          <w:rFonts w:ascii="Arial" w:hAnsi="Arial" w:cs="Arial"/>
          <w:bCs/>
        </w:rPr>
        <w:t>am/0.5 mL dose</w:t>
      </w:r>
      <w:r w:rsidR="00784165" w:rsidRPr="005D183C">
        <w:rPr>
          <w:rFonts w:ascii="Arial" w:hAnsi="Arial" w:cs="Arial"/>
          <w:bCs/>
        </w:rPr>
        <w:t>), sucrose</w:t>
      </w:r>
      <w:r w:rsidR="00705157">
        <w:rPr>
          <w:rFonts w:ascii="Arial" w:hAnsi="Arial" w:cs="Arial"/>
          <w:bCs/>
        </w:rPr>
        <w:t xml:space="preserve"> </w:t>
      </w:r>
      <w:r w:rsidR="00784165" w:rsidRPr="005D183C">
        <w:rPr>
          <w:rFonts w:ascii="Arial" w:hAnsi="Arial" w:cs="Arial"/>
          <w:bCs/>
        </w:rPr>
        <w:t>and hydrocortisone</w:t>
      </w:r>
      <w:r w:rsidR="00433047" w:rsidRPr="005D183C">
        <w:rPr>
          <w:rFonts w:ascii="Arial" w:hAnsi="Arial" w:cs="Arial"/>
          <w:bCs/>
          <w:color w:val="FF0000"/>
        </w:rPr>
        <w:t xml:space="preserve"> </w:t>
      </w:r>
      <w:r w:rsidR="00AC6A59" w:rsidRPr="005D183C">
        <w:rPr>
          <w:rFonts w:ascii="Arial" w:hAnsi="Arial" w:cs="Arial"/>
          <w:bCs/>
        </w:rPr>
        <w:t xml:space="preserve">may be present </w:t>
      </w:r>
      <w:r w:rsidR="00433047" w:rsidRPr="005D183C">
        <w:rPr>
          <w:rFonts w:ascii="Arial" w:hAnsi="Arial" w:cs="Arial"/>
          <w:bCs/>
        </w:rPr>
        <w:t>as residues of the manufacturing process.</w:t>
      </w:r>
    </w:p>
    <w:p w14:paraId="3EB5916C" w14:textId="25F1F08A" w:rsidR="003447D0" w:rsidRPr="005D183C" w:rsidRDefault="003447D0" w:rsidP="00B3087D">
      <w:pPr>
        <w:pStyle w:val="Heading1"/>
        <w:numPr>
          <w:ilvl w:val="1"/>
          <w:numId w:val="14"/>
        </w:numPr>
      </w:pPr>
      <w:r w:rsidRPr="005D183C">
        <w:t>Incompatibilities</w:t>
      </w:r>
    </w:p>
    <w:p w14:paraId="3C42E06D" w14:textId="1AD07DAF" w:rsidR="005A27FB" w:rsidRPr="005D183C" w:rsidRDefault="00390E6B" w:rsidP="005E2B0B">
      <w:pPr>
        <w:autoSpaceDE w:val="0"/>
        <w:autoSpaceDN w:val="0"/>
        <w:adjustRightInd w:val="0"/>
        <w:spacing w:after="0" w:line="240" w:lineRule="auto"/>
        <w:jc w:val="both"/>
        <w:rPr>
          <w:rFonts w:ascii="Arial" w:hAnsi="Arial" w:cs="Arial"/>
          <w:bCs/>
        </w:rPr>
      </w:pPr>
      <w:r w:rsidRPr="005D183C">
        <w:rPr>
          <w:rFonts w:ascii="Arial" w:hAnsi="Arial" w:cs="Arial"/>
          <w:bCs/>
        </w:rPr>
        <w:t xml:space="preserve">Incompatibilities were either not assessed or not identified as part of the registration of this medicine. </w:t>
      </w:r>
    </w:p>
    <w:p w14:paraId="1AD85EC0" w14:textId="0808BB62" w:rsidR="003447D0" w:rsidRPr="005D183C" w:rsidRDefault="003447D0" w:rsidP="00B3087D">
      <w:pPr>
        <w:pStyle w:val="Heading1"/>
        <w:numPr>
          <w:ilvl w:val="1"/>
          <w:numId w:val="14"/>
        </w:numPr>
      </w:pPr>
      <w:r w:rsidRPr="005D183C">
        <w:t>Shelf Life</w:t>
      </w:r>
    </w:p>
    <w:p w14:paraId="1389CF93" w14:textId="77777777" w:rsidR="002D7DAD" w:rsidRPr="005D183C" w:rsidRDefault="00440609" w:rsidP="0088784C">
      <w:pPr>
        <w:autoSpaceDE w:val="0"/>
        <w:autoSpaceDN w:val="0"/>
        <w:adjustRightInd w:val="0"/>
        <w:spacing w:after="0" w:line="240" w:lineRule="auto"/>
        <w:jc w:val="both"/>
        <w:rPr>
          <w:rFonts w:ascii="Arial" w:hAnsi="Arial" w:cs="Arial"/>
          <w:bCs/>
        </w:rPr>
      </w:pPr>
      <w:r w:rsidRPr="005D183C">
        <w:rPr>
          <w:rFonts w:ascii="Arial" w:hAnsi="Arial" w:cs="Arial"/>
          <w:bCs/>
        </w:rPr>
        <w:t>12 months</w:t>
      </w:r>
    </w:p>
    <w:p w14:paraId="25549811" w14:textId="49E60EDB" w:rsidR="002D7DAD" w:rsidRPr="005D183C" w:rsidRDefault="002D7DAD" w:rsidP="00B3087D">
      <w:pPr>
        <w:pStyle w:val="Heading1"/>
        <w:numPr>
          <w:ilvl w:val="1"/>
          <w:numId w:val="14"/>
        </w:numPr>
      </w:pPr>
      <w:r w:rsidRPr="005D183C">
        <w:t>Special Precautions for Storage</w:t>
      </w:r>
    </w:p>
    <w:p w14:paraId="60F1B937" w14:textId="77777777" w:rsidR="002D7DAD" w:rsidRPr="005D183C" w:rsidRDefault="0073131F" w:rsidP="0073131F">
      <w:pPr>
        <w:autoSpaceDE w:val="0"/>
        <w:autoSpaceDN w:val="0"/>
        <w:adjustRightInd w:val="0"/>
        <w:spacing w:after="0" w:line="240" w:lineRule="auto"/>
        <w:jc w:val="both"/>
        <w:rPr>
          <w:rFonts w:ascii="Arial" w:hAnsi="Arial" w:cs="Arial"/>
          <w:bCs/>
        </w:rPr>
      </w:pPr>
      <w:r w:rsidRPr="005D183C">
        <w:rPr>
          <w:rFonts w:ascii="Arial" w:hAnsi="Arial" w:cs="Arial"/>
          <w:bCs/>
        </w:rPr>
        <w:t xml:space="preserve">Store </w:t>
      </w:r>
      <w:r w:rsidR="00C704B4" w:rsidRPr="005D183C">
        <w:rPr>
          <w:rFonts w:ascii="Arial" w:hAnsi="Arial" w:cs="Arial"/>
          <w:bCs/>
        </w:rPr>
        <w:t xml:space="preserve">at </w:t>
      </w:r>
      <w:r w:rsidRPr="005D183C">
        <w:rPr>
          <w:rFonts w:ascii="Arial" w:hAnsi="Arial" w:cs="Arial"/>
          <w:bCs/>
        </w:rPr>
        <w:t xml:space="preserve">2 °C </w:t>
      </w:r>
      <w:r w:rsidR="000C3295" w:rsidRPr="005D183C">
        <w:rPr>
          <w:rFonts w:ascii="Arial" w:hAnsi="Arial" w:cs="Arial"/>
          <w:bCs/>
        </w:rPr>
        <w:t>to</w:t>
      </w:r>
      <w:r w:rsidRPr="005D183C">
        <w:rPr>
          <w:rFonts w:ascii="Arial" w:hAnsi="Arial" w:cs="Arial"/>
          <w:bCs/>
        </w:rPr>
        <w:t xml:space="preserve"> 8 °C</w:t>
      </w:r>
      <w:r w:rsidR="007E46EB" w:rsidRPr="005D183C">
        <w:rPr>
          <w:rFonts w:ascii="Arial" w:hAnsi="Arial" w:cs="Arial"/>
          <w:bCs/>
        </w:rPr>
        <w:t>. Do not freeze. P</w:t>
      </w:r>
      <w:r w:rsidRPr="005D183C">
        <w:rPr>
          <w:rFonts w:ascii="Arial" w:hAnsi="Arial" w:cs="Arial"/>
          <w:bCs/>
        </w:rPr>
        <w:t>rotect from light.</w:t>
      </w:r>
    </w:p>
    <w:p w14:paraId="2F4852D2" w14:textId="77777777" w:rsidR="002D7DAD" w:rsidRPr="005D183C" w:rsidRDefault="002D7DAD" w:rsidP="00B3087D">
      <w:pPr>
        <w:pStyle w:val="Heading1"/>
        <w:numPr>
          <w:ilvl w:val="1"/>
          <w:numId w:val="14"/>
        </w:numPr>
      </w:pPr>
      <w:r w:rsidRPr="005D183C">
        <w:t>Nature and Contents of Container</w:t>
      </w:r>
    </w:p>
    <w:p w14:paraId="412E29B6" w14:textId="20CE8453" w:rsidR="007D3766" w:rsidRPr="005D183C" w:rsidRDefault="007D3766" w:rsidP="007D3766">
      <w:pPr>
        <w:autoSpaceDE w:val="0"/>
        <w:autoSpaceDN w:val="0"/>
        <w:adjustRightInd w:val="0"/>
        <w:spacing w:after="0" w:line="240" w:lineRule="auto"/>
        <w:jc w:val="both"/>
        <w:rPr>
          <w:rFonts w:ascii="Arial" w:hAnsi="Arial" w:cs="Arial"/>
          <w:bCs/>
        </w:rPr>
      </w:pPr>
      <w:r w:rsidRPr="005D183C">
        <w:rPr>
          <w:rFonts w:ascii="Arial" w:hAnsi="Arial" w:cs="Arial"/>
          <w:bCs/>
        </w:rPr>
        <w:t>Not all pack sizes may be marketed.</w:t>
      </w:r>
    </w:p>
    <w:p w14:paraId="09E89822" w14:textId="6E38F1B4" w:rsidR="007E5F3E" w:rsidRDefault="007E5F3E" w:rsidP="007D3766">
      <w:pPr>
        <w:autoSpaceDE w:val="0"/>
        <w:autoSpaceDN w:val="0"/>
        <w:adjustRightInd w:val="0"/>
        <w:spacing w:after="0" w:line="240" w:lineRule="auto"/>
        <w:jc w:val="both"/>
        <w:rPr>
          <w:rFonts w:ascii="Arial" w:hAnsi="Arial" w:cs="Arial"/>
          <w:bCs/>
        </w:rPr>
      </w:pPr>
      <w:r>
        <w:rPr>
          <w:rFonts w:ascii="Arial" w:hAnsi="Arial" w:cs="Arial"/>
          <w:bCs/>
        </w:rPr>
        <w:t xml:space="preserve">AUST R </w:t>
      </w:r>
      <w:r w:rsidR="00C72C89">
        <w:rPr>
          <w:rFonts w:ascii="Arial" w:hAnsi="Arial" w:cs="Arial"/>
          <w:bCs/>
        </w:rPr>
        <w:t>313724</w:t>
      </w:r>
    </w:p>
    <w:p w14:paraId="4626F992" w14:textId="1D4203A0" w:rsidR="007D3766" w:rsidRPr="005D183C" w:rsidRDefault="007D3766" w:rsidP="007D3766">
      <w:pPr>
        <w:autoSpaceDE w:val="0"/>
        <w:autoSpaceDN w:val="0"/>
        <w:adjustRightInd w:val="0"/>
        <w:spacing w:after="0" w:line="240" w:lineRule="auto"/>
        <w:jc w:val="both"/>
        <w:rPr>
          <w:rFonts w:ascii="Arial" w:hAnsi="Arial" w:cs="Arial"/>
          <w:bCs/>
        </w:rPr>
      </w:pPr>
      <w:r w:rsidRPr="005D183C">
        <w:rPr>
          <w:rFonts w:ascii="Arial" w:hAnsi="Arial" w:cs="Arial"/>
          <w:bCs/>
        </w:rPr>
        <w:t>Fluad</w:t>
      </w:r>
      <w:r w:rsidRPr="005D183C">
        <w:rPr>
          <w:rFonts w:ascii="Arial" w:hAnsi="Arial" w:cs="Arial"/>
          <w:vertAlign w:val="superscript"/>
        </w:rPr>
        <w:t>®</w:t>
      </w:r>
      <w:r w:rsidRPr="005D183C">
        <w:rPr>
          <w:rFonts w:ascii="Arial" w:hAnsi="Arial" w:cs="Arial"/>
          <w:bCs/>
        </w:rPr>
        <w:t xml:space="preserve"> Quad, inact</w:t>
      </w:r>
      <w:r w:rsidRPr="005D183C">
        <w:rPr>
          <w:rFonts w:ascii="Arial" w:hAnsi="Arial" w:cs="Arial"/>
          <w:lang w:val="en-GB"/>
        </w:rPr>
        <w:t>ivated, quadrivalent influenza vaccine (surface antigen), adjuvanted, suspension for injection,</w:t>
      </w:r>
      <w:r w:rsidRPr="005D183C">
        <w:rPr>
          <w:rFonts w:ascii="Arial" w:hAnsi="Arial" w:cs="Arial"/>
          <w:bCs/>
        </w:rPr>
        <w:t xml:space="preserve"> 0.5</w:t>
      </w:r>
      <w:r w:rsidR="00AA7F0C">
        <w:rPr>
          <w:rFonts w:ascii="Arial" w:hAnsi="Arial" w:cs="Arial"/>
          <w:bCs/>
        </w:rPr>
        <w:t xml:space="preserve"> </w:t>
      </w:r>
      <w:r w:rsidRPr="005D183C">
        <w:rPr>
          <w:rFonts w:ascii="Arial" w:hAnsi="Arial" w:cs="Arial"/>
          <w:bCs/>
        </w:rPr>
        <w:t>m</w:t>
      </w:r>
      <w:r w:rsidR="00AA7F0C">
        <w:rPr>
          <w:rFonts w:ascii="Arial" w:hAnsi="Arial" w:cs="Arial"/>
          <w:bCs/>
        </w:rPr>
        <w:t>L</w:t>
      </w:r>
      <w:r w:rsidRPr="005D183C">
        <w:rPr>
          <w:rFonts w:ascii="Arial" w:hAnsi="Arial" w:cs="Arial"/>
          <w:bCs/>
        </w:rPr>
        <w:t xml:space="preserve"> </w:t>
      </w:r>
      <w:r w:rsidR="00C372D2">
        <w:rPr>
          <w:rFonts w:ascii="Arial" w:hAnsi="Arial" w:cs="Arial"/>
          <w:bCs/>
        </w:rPr>
        <w:t xml:space="preserve">pre-filled </w:t>
      </w:r>
      <w:r w:rsidRPr="005D183C">
        <w:rPr>
          <w:rFonts w:ascii="Arial" w:hAnsi="Arial" w:cs="Arial"/>
          <w:bCs/>
        </w:rPr>
        <w:t xml:space="preserve">syringe, needle-free (AUST R </w:t>
      </w:r>
      <w:r w:rsidR="00C72C89">
        <w:rPr>
          <w:rFonts w:ascii="Arial" w:hAnsi="Arial" w:cs="Arial"/>
          <w:bCs/>
        </w:rPr>
        <w:t>313724</w:t>
      </w:r>
      <w:r w:rsidRPr="005D183C">
        <w:rPr>
          <w:rFonts w:ascii="Arial" w:hAnsi="Arial" w:cs="Arial"/>
          <w:bCs/>
        </w:rPr>
        <w:t>) is a 0.5 mL suspension for injection in a needle-free pre-filled syringe (type I glass).</w:t>
      </w:r>
    </w:p>
    <w:p w14:paraId="42324140" w14:textId="77777777" w:rsidR="007D3766" w:rsidRPr="005D183C" w:rsidRDefault="007D3766" w:rsidP="007D3766">
      <w:pPr>
        <w:autoSpaceDE w:val="0"/>
        <w:autoSpaceDN w:val="0"/>
        <w:adjustRightInd w:val="0"/>
        <w:spacing w:after="0" w:line="240" w:lineRule="auto"/>
        <w:jc w:val="both"/>
        <w:rPr>
          <w:rFonts w:ascii="Arial" w:hAnsi="Arial" w:cs="Arial"/>
          <w:bCs/>
        </w:rPr>
      </w:pPr>
      <w:r w:rsidRPr="005D183C">
        <w:rPr>
          <w:rFonts w:ascii="Arial" w:hAnsi="Arial" w:cs="Arial"/>
          <w:bCs/>
        </w:rPr>
        <w:lastRenderedPageBreak/>
        <w:t xml:space="preserve">The syringe barrel, plunger and rubber stopper are not manufactured with natural rubber latex.   </w:t>
      </w:r>
    </w:p>
    <w:p w14:paraId="5BE7BD93" w14:textId="77777777" w:rsidR="00550FAD" w:rsidRPr="005D183C" w:rsidRDefault="007D3766" w:rsidP="007D3766">
      <w:pPr>
        <w:autoSpaceDE w:val="0"/>
        <w:autoSpaceDN w:val="0"/>
        <w:adjustRightInd w:val="0"/>
        <w:spacing w:after="0" w:line="240" w:lineRule="auto"/>
        <w:jc w:val="both"/>
        <w:rPr>
          <w:rFonts w:ascii="Arial" w:hAnsi="Arial" w:cs="Arial"/>
        </w:rPr>
      </w:pPr>
      <w:r w:rsidRPr="005D183C">
        <w:rPr>
          <w:rFonts w:ascii="Arial" w:hAnsi="Arial" w:cs="Arial"/>
        </w:rPr>
        <w:t>Pack sizes: 1’s; 10’s.</w:t>
      </w:r>
    </w:p>
    <w:p w14:paraId="688AC8DF" w14:textId="4AFC4A12" w:rsidR="007E5F3E" w:rsidRDefault="007E5F3E" w:rsidP="007D3766">
      <w:pPr>
        <w:autoSpaceDE w:val="0"/>
        <w:autoSpaceDN w:val="0"/>
        <w:adjustRightInd w:val="0"/>
        <w:spacing w:after="0" w:line="240" w:lineRule="auto"/>
        <w:jc w:val="both"/>
        <w:rPr>
          <w:rFonts w:ascii="Arial" w:hAnsi="Arial" w:cs="Arial"/>
          <w:bCs/>
        </w:rPr>
      </w:pPr>
      <w:r>
        <w:rPr>
          <w:rFonts w:ascii="Arial" w:hAnsi="Arial" w:cs="Arial"/>
          <w:bCs/>
        </w:rPr>
        <w:t xml:space="preserve">AUST R </w:t>
      </w:r>
      <w:r w:rsidR="00C72C89">
        <w:rPr>
          <w:rFonts w:ascii="Arial" w:hAnsi="Arial" w:cs="Arial"/>
          <w:bCs/>
        </w:rPr>
        <w:t>316323</w:t>
      </w:r>
    </w:p>
    <w:p w14:paraId="0786C03A" w14:textId="68B24FB0" w:rsidR="007E5F3E" w:rsidRDefault="007E5F3E" w:rsidP="007E5F3E">
      <w:pPr>
        <w:autoSpaceDE w:val="0"/>
        <w:autoSpaceDN w:val="0"/>
        <w:adjustRightInd w:val="0"/>
        <w:spacing w:after="0" w:line="240" w:lineRule="auto"/>
        <w:jc w:val="both"/>
        <w:rPr>
          <w:rFonts w:ascii="Arial" w:hAnsi="Arial" w:cs="Arial"/>
          <w:bCs/>
        </w:rPr>
      </w:pPr>
      <w:r>
        <w:rPr>
          <w:rFonts w:ascii="Arial" w:hAnsi="Arial" w:cs="Arial"/>
          <w:bCs/>
        </w:rPr>
        <w:t>Fluad</w:t>
      </w:r>
      <w:r w:rsidRPr="001C34BD">
        <w:rPr>
          <w:rFonts w:ascii="Arial" w:hAnsi="Arial" w:cs="Arial"/>
          <w:bCs/>
          <w:vertAlign w:val="superscript"/>
        </w:rPr>
        <w:t>®</w:t>
      </w:r>
      <w:r>
        <w:rPr>
          <w:rFonts w:ascii="Arial" w:hAnsi="Arial" w:cs="Arial"/>
          <w:bCs/>
        </w:rPr>
        <w:t xml:space="preserve"> Quad, inactivated, quadrivalent influenza vaccine (surface antigen), adjuvanted, suspension for injection, 0.5</w:t>
      </w:r>
      <w:r w:rsidR="00AA7F0C">
        <w:rPr>
          <w:rFonts w:ascii="Arial" w:hAnsi="Arial" w:cs="Arial"/>
          <w:bCs/>
        </w:rPr>
        <w:t xml:space="preserve"> </w:t>
      </w:r>
      <w:r>
        <w:rPr>
          <w:rFonts w:ascii="Arial" w:hAnsi="Arial" w:cs="Arial"/>
          <w:bCs/>
        </w:rPr>
        <w:t>m</w:t>
      </w:r>
      <w:r w:rsidR="00AA7F0C">
        <w:rPr>
          <w:rFonts w:ascii="Arial" w:hAnsi="Arial" w:cs="Arial"/>
          <w:bCs/>
        </w:rPr>
        <w:t>L</w:t>
      </w:r>
      <w:r>
        <w:rPr>
          <w:rFonts w:ascii="Arial" w:hAnsi="Arial" w:cs="Arial"/>
          <w:bCs/>
        </w:rPr>
        <w:t xml:space="preserve"> </w:t>
      </w:r>
      <w:r w:rsidR="00C372D2">
        <w:rPr>
          <w:rFonts w:ascii="Arial" w:hAnsi="Arial" w:cs="Arial"/>
          <w:bCs/>
        </w:rPr>
        <w:t xml:space="preserve">pre-filled </w:t>
      </w:r>
      <w:r>
        <w:rPr>
          <w:rFonts w:ascii="Arial" w:hAnsi="Arial" w:cs="Arial"/>
          <w:bCs/>
        </w:rPr>
        <w:t xml:space="preserve">syringe, </w:t>
      </w:r>
      <w:r w:rsidR="00C72C89">
        <w:rPr>
          <w:rFonts w:ascii="Arial" w:hAnsi="Arial" w:cs="Arial"/>
          <w:bCs/>
        </w:rPr>
        <w:t xml:space="preserve">with attached </w:t>
      </w:r>
      <w:r>
        <w:rPr>
          <w:rFonts w:ascii="Arial" w:hAnsi="Arial" w:cs="Arial"/>
          <w:bCs/>
        </w:rPr>
        <w:t xml:space="preserve">needle (AUST R </w:t>
      </w:r>
      <w:r w:rsidR="00C72C89" w:rsidRPr="00C72C89">
        <w:rPr>
          <w:rFonts w:ascii="Arial" w:hAnsi="Arial" w:cs="Arial"/>
          <w:bCs/>
        </w:rPr>
        <w:t>316323</w:t>
      </w:r>
      <w:r>
        <w:rPr>
          <w:rFonts w:ascii="Arial" w:hAnsi="Arial" w:cs="Arial"/>
          <w:bCs/>
        </w:rPr>
        <w:t xml:space="preserve">) is a </w:t>
      </w:r>
      <w:r w:rsidRPr="006C25C7">
        <w:rPr>
          <w:rFonts w:ascii="Arial" w:hAnsi="Arial" w:cs="Arial"/>
          <w:bCs/>
        </w:rPr>
        <w:t>0.5 mL suspension for injection in a pre-filled syringe (type I glass) with attached needle.</w:t>
      </w:r>
    </w:p>
    <w:p w14:paraId="45DB430B" w14:textId="058F08E1" w:rsidR="007E5F3E" w:rsidRPr="006C25C7" w:rsidRDefault="007E5F3E" w:rsidP="007E5F3E">
      <w:pPr>
        <w:autoSpaceDE w:val="0"/>
        <w:autoSpaceDN w:val="0"/>
        <w:adjustRightInd w:val="0"/>
        <w:spacing w:after="0" w:line="240" w:lineRule="auto"/>
        <w:jc w:val="both"/>
        <w:rPr>
          <w:rFonts w:ascii="Arial" w:hAnsi="Arial" w:cs="Arial"/>
          <w:bCs/>
        </w:rPr>
      </w:pPr>
      <w:r w:rsidRPr="006C25C7">
        <w:rPr>
          <w:rFonts w:ascii="Arial" w:hAnsi="Arial" w:cs="Arial"/>
          <w:bCs/>
        </w:rPr>
        <w:t>The sheath covering the needle contains natural rubber latex (see</w:t>
      </w:r>
      <w:r>
        <w:rPr>
          <w:rFonts w:ascii="Arial" w:hAnsi="Arial" w:cs="Arial"/>
          <w:bCs/>
        </w:rPr>
        <w:t xml:space="preserve"> </w:t>
      </w:r>
      <w:r w:rsidR="00720563" w:rsidRPr="00720563">
        <w:rPr>
          <w:rFonts w:ascii="Arial" w:hAnsi="Arial" w:cs="Arial"/>
          <w:b/>
          <w:bCs/>
        </w:rPr>
        <w:t xml:space="preserve">Section 4.4 </w:t>
      </w:r>
      <w:r w:rsidR="00720563">
        <w:rPr>
          <w:rFonts w:ascii="Arial" w:hAnsi="Arial" w:cs="Arial"/>
          <w:b/>
          <w:bCs/>
        </w:rPr>
        <w:t xml:space="preserve">– </w:t>
      </w:r>
      <w:r w:rsidR="00720563" w:rsidRPr="00720563">
        <w:rPr>
          <w:rFonts w:ascii="Arial" w:hAnsi="Arial" w:cs="Arial"/>
          <w:b/>
          <w:bCs/>
        </w:rPr>
        <w:t xml:space="preserve">Special Warnings </w:t>
      </w:r>
      <w:r w:rsidR="00720563">
        <w:rPr>
          <w:rFonts w:ascii="Arial" w:hAnsi="Arial" w:cs="Arial"/>
          <w:b/>
          <w:bCs/>
        </w:rPr>
        <w:t>a</w:t>
      </w:r>
      <w:r w:rsidR="00720563" w:rsidRPr="00720563">
        <w:rPr>
          <w:rFonts w:ascii="Arial" w:hAnsi="Arial" w:cs="Arial"/>
          <w:b/>
          <w:bCs/>
        </w:rPr>
        <w:t xml:space="preserve">nd Precautions </w:t>
      </w:r>
      <w:r w:rsidR="00720563">
        <w:rPr>
          <w:rFonts w:ascii="Arial" w:hAnsi="Arial" w:cs="Arial"/>
          <w:b/>
          <w:bCs/>
        </w:rPr>
        <w:t>f</w:t>
      </w:r>
      <w:r w:rsidR="00720563" w:rsidRPr="00720563">
        <w:rPr>
          <w:rFonts w:ascii="Arial" w:hAnsi="Arial" w:cs="Arial"/>
          <w:b/>
          <w:bCs/>
        </w:rPr>
        <w:t>or Use</w:t>
      </w:r>
      <w:r w:rsidRPr="006C25C7">
        <w:rPr>
          <w:rFonts w:ascii="Arial" w:hAnsi="Arial" w:cs="Arial"/>
          <w:bCs/>
        </w:rPr>
        <w:t xml:space="preserve">). </w:t>
      </w:r>
    </w:p>
    <w:p w14:paraId="160F74B1" w14:textId="49EE578D" w:rsidR="007E5F3E" w:rsidRDefault="007E5F3E" w:rsidP="007E5F3E">
      <w:pPr>
        <w:autoSpaceDE w:val="0"/>
        <w:autoSpaceDN w:val="0"/>
        <w:adjustRightInd w:val="0"/>
        <w:spacing w:after="0" w:line="240" w:lineRule="auto"/>
        <w:jc w:val="both"/>
        <w:rPr>
          <w:rFonts w:ascii="Arial" w:hAnsi="Arial" w:cs="Arial"/>
          <w:bCs/>
        </w:rPr>
      </w:pPr>
      <w:r w:rsidRPr="006C25C7">
        <w:rPr>
          <w:rFonts w:ascii="Arial" w:hAnsi="Arial" w:cs="Arial"/>
          <w:bCs/>
        </w:rPr>
        <w:t>The syringe barrel, plunger and rubber stopper are not manufactured with natural rubber latex.</w:t>
      </w:r>
    </w:p>
    <w:p w14:paraId="57A19DA1" w14:textId="72E44BA8" w:rsidR="007E5F3E" w:rsidRDefault="007E5F3E" w:rsidP="007E5F3E">
      <w:pPr>
        <w:autoSpaceDE w:val="0"/>
        <w:autoSpaceDN w:val="0"/>
        <w:adjustRightInd w:val="0"/>
        <w:spacing w:after="0" w:line="240" w:lineRule="auto"/>
        <w:jc w:val="both"/>
        <w:rPr>
          <w:rFonts w:ascii="Arial" w:hAnsi="Arial" w:cs="Arial"/>
        </w:rPr>
      </w:pPr>
      <w:r>
        <w:rPr>
          <w:rFonts w:ascii="Arial" w:hAnsi="Arial" w:cs="Arial"/>
        </w:rPr>
        <w:t>Pack sizes: 1’s; 10’s.</w:t>
      </w:r>
    </w:p>
    <w:p w14:paraId="68AF66A8" w14:textId="455541FD" w:rsidR="00550FAD" w:rsidRPr="005D183C" w:rsidRDefault="00550FAD" w:rsidP="00B3087D">
      <w:pPr>
        <w:pStyle w:val="Heading1"/>
        <w:numPr>
          <w:ilvl w:val="1"/>
          <w:numId w:val="14"/>
        </w:numPr>
      </w:pPr>
      <w:r w:rsidRPr="005D183C">
        <w:t>Special Precautions for Disposal</w:t>
      </w:r>
    </w:p>
    <w:p w14:paraId="696B63B6" w14:textId="77777777" w:rsidR="00550FAD" w:rsidRPr="005D183C" w:rsidRDefault="00C70625" w:rsidP="00CE5AF1">
      <w:pPr>
        <w:autoSpaceDE w:val="0"/>
        <w:autoSpaceDN w:val="0"/>
        <w:adjustRightInd w:val="0"/>
        <w:spacing w:after="0" w:line="240" w:lineRule="auto"/>
        <w:jc w:val="both"/>
        <w:rPr>
          <w:rFonts w:ascii="Arial" w:hAnsi="Arial" w:cs="Arial"/>
          <w:bCs/>
        </w:rPr>
      </w:pPr>
      <w:r w:rsidRPr="005D183C">
        <w:rPr>
          <w:rFonts w:ascii="Arial" w:hAnsi="Arial" w:cs="Arial"/>
          <w:bCs/>
        </w:rPr>
        <w:t>In Australia, any unused medicine or waste material should be disposed of in accordance with local requirements.</w:t>
      </w:r>
    </w:p>
    <w:p w14:paraId="5D190960" w14:textId="109DEC7D" w:rsidR="00550FAD" w:rsidRPr="005D183C" w:rsidRDefault="00550FAD" w:rsidP="00B3087D">
      <w:pPr>
        <w:pStyle w:val="Heading1"/>
        <w:numPr>
          <w:ilvl w:val="1"/>
          <w:numId w:val="14"/>
        </w:numPr>
      </w:pPr>
      <w:r w:rsidRPr="005D183C">
        <w:t>Physicochemical properties</w:t>
      </w:r>
    </w:p>
    <w:p w14:paraId="4AA9967F" w14:textId="77777777" w:rsidR="00550FAD" w:rsidRPr="005D183C" w:rsidRDefault="00E7740B" w:rsidP="00AC71DB">
      <w:pPr>
        <w:spacing w:after="0"/>
        <w:rPr>
          <w:rFonts w:ascii="Arial" w:hAnsi="Arial" w:cs="Arial"/>
          <w:bCs/>
          <w:color w:val="000000" w:themeColor="text1"/>
        </w:rPr>
      </w:pPr>
      <w:r w:rsidRPr="005D183C">
        <w:rPr>
          <w:rFonts w:ascii="Arial" w:hAnsi="Arial" w:cs="Arial"/>
          <w:bCs/>
          <w:color w:val="000000" w:themeColor="text1"/>
        </w:rPr>
        <w:t>Not applicable.</w:t>
      </w:r>
    </w:p>
    <w:p w14:paraId="6EC40379" w14:textId="77777777" w:rsidR="00A335FF" w:rsidRPr="005D183C" w:rsidRDefault="00F2771F" w:rsidP="00B3087D">
      <w:pPr>
        <w:pStyle w:val="Heading1"/>
      </w:pPr>
      <w:r w:rsidRPr="005D183C">
        <w:t>MEDICINE SCHEDULE (POISONS STANDARD)</w:t>
      </w:r>
      <w:r w:rsidR="00E7740B" w:rsidRPr="005D183C">
        <w:t xml:space="preserve"> </w:t>
      </w:r>
    </w:p>
    <w:p w14:paraId="7BAED820" w14:textId="77777777" w:rsidR="00A335FF" w:rsidRPr="005D183C" w:rsidRDefault="00A335FF" w:rsidP="00206713">
      <w:pPr>
        <w:pStyle w:val="OmniPage35"/>
        <w:spacing w:line="240" w:lineRule="auto"/>
        <w:ind w:left="0" w:right="0"/>
        <w:jc w:val="both"/>
        <w:rPr>
          <w:rFonts w:ascii="Arial" w:hAnsi="Arial" w:cs="Arial"/>
        </w:rPr>
      </w:pPr>
      <w:r w:rsidRPr="005D183C">
        <w:rPr>
          <w:rFonts w:ascii="Arial" w:eastAsiaTheme="minorHAnsi" w:hAnsi="Arial" w:cs="Arial"/>
          <w:noProof w:val="0"/>
          <w:sz w:val="22"/>
          <w:szCs w:val="22"/>
        </w:rPr>
        <w:t>Schedule 4 (Prescription</w:t>
      </w:r>
      <w:r w:rsidR="00A92205" w:rsidRPr="005D183C">
        <w:rPr>
          <w:rFonts w:ascii="Arial" w:eastAsiaTheme="minorHAnsi" w:hAnsi="Arial" w:cs="Arial"/>
          <w:noProof w:val="0"/>
          <w:sz w:val="22"/>
          <w:szCs w:val="22"/>
        </w:rPr>
        <w:t xml:space="preserve"> O</w:t>
      </w:r>
      <w:r w:rsidRPr="005D183C">
        <w:rPr>
          <w:rFonts w:ascii="Arial" w:eastAsiaTheme="minorHAnsi" w:hAnsi="Arial" w:cs="Arial"/>
          <w:noProof w:val="0"/>
          <w:sz w:val="22"/>
          <w:szCs w:val="22"/>
        </w:rPr>
        <w:t>nly Medicine)</w:t>
      </w:r>
    </w:p>
    <w:p w14:paraId="6F3CE57C" w14:textId="77777777" w:rsidR="00140377" w:rsidRPr="005D183C" w:rsidRDefault="00140377" w:rsidP="00B3087D">
      <w:pPr>
        <w:pStyle w:val="Heading1"/>
      </w:pPr>
      <w:r w:rsidRPr="005D183C">
        <w:t>SPONSOR</w:t>
      </w:r>
    </w:p>
    <w:p w14:paraId="4CD35C63" w14:textId="26F0E0D9" w:rsidR="006300F0" w:rsidRPr="005D183C" w:rsidRDefault="006300F0" w:rsidP="00B3087D">
      <w:pPr>
        <w:autoSpaceDE w:val="0"/>
        <w:autoSpaceDN w:val="0"/>
        <w:adjustRightInd w:val="0"/>
        <w:spacing w:after="0" w:line="240" w:lineRule="auto"/>
        <w:rPr>
          <w:rFonts w:ascii="Arial" w:hAnsi="Arial" w:cs="Arial"/>
        </w:rPr>
      </w:pPr>
      <w:r w:rsidRPr="005D183C">
        <w:rPr>
          <w:rFonts w:ascii="Arial" w:hAnsi="Arial" w:cs="Arial"/>
        </w:rPr>
        <w:t>Seqirus Pty Ltd</w:t>
      </w:r>
      <w:r w:rsidR="00B3087D">
        <w:rPr>
          <w:rFonts w:ascii="Arial" w:hAnsi="Arial" w:cs="Arial"/>
        </w:rPr>
        <w:br/>
      </w:r>
      <w:r w:rsidR="00B04545" w:rsidRPr="005D183C">
        <w:rPr>
          <w:rFonts w:ascii="Arial" w:hAnsi="Arial" w:cs="Arial"/>
        </w:rPr>
        <w:t>ABN 26 160 735 035</w:t>
      </w:r>
      <w:r w:rsidR="00B3087D">
        <w:rPr>
          <w:rFonts w:ascii="Arial" w:hAnsi="Arial" w:cs="Arial"/>
        </w:rPr>
        <w:br/>
      </w:r>
      <w:r w:rsidRPr="005D183C">
        <w:rPr>
          <w:rFonts w:ascii="Arial" w:hAnsi="Arial" w:cs="Arial"/>
        </w:rPr>
        <w:t>63 Poplar Road</w:t>
      </w:r>
      <w:r w:rsidR="00B3087D">
        <w:rPr>
          <w:rFonts w:ascii="Arial" w:hAnsi="Arial" w:cs="Arial"/>
        </w:rPr>
        <w:br/>
      </w:r>
      <w:r w:rsidRPr="005D183C">
        <w:rPr>
          <w:rFonts w:ascii="Arial" w:hAnsi="Arial" w:cs="Arial"/>
        </w:rPr>
        <w:t>Parkville  VIC  3052</w:t>
      </w:r>
    </w:p>
    <w:p w14:paraId="1194D9B1" w14:textId="6F6F50BB" w:rsidR="00A335FF" w:rsidRPr="005D183C" w:rsidRDefault="00A335FF" w:rsidP="00B3087D">
      <w:pPr>
        <w:pStyle w:val="Heading1"/>
      </w:pPr>
      <w:r w:rsidRPr="005D183C">
        <w:t xml:space="preserve">DATE OF </w:t>
      </w:r>
      <w:r w:rsidR="00B26397" w:rsidRPr="005D183C">
        <w:t>FIRST APPROVAL</w:t>
      </w:r>
    </w:p>
    <w:p w14:paraId="64D6CFBF" w14:textId="4752B19D" w:rsidR="00CE5AF1" w:rsidRPr="005D183C" w:rsidRDefault="00D1032D" w:rsidP="00727BAA">
      <w:pPr>
        <w:autoSpaceDE w:val="0"/>
        <w:autoSpaceDN w:val="0"/>
        <w:adjustRightInd w:val="0"/>
        <w:spacing w:after="0" w:line="240" w:lineRule="auto"/>
        <w:jc w:val="both"/>
        <w:rPr>
          <w:rFonts w:ascii="Arial" w:hAnsi="Arial" w:cs="Arial"/>
        </w:rPr>
      </w:pPr>
      <w:r>
        <w:rPr>
          <w:rFonts w:ascii="Arial" w:hAnsi="Arial" w:cs="Arial"/>
        </w:rPr>
        <w:t>01 October 2019</w:t>
      </w:r>
    </w:p>
    <w:p w14:paraId="587ABD81" w14:textId="6B8BEC51" w:rsidR="00A335FF" w:rsidRPr="005D183C" w:rsidRDefault="00A335FF" w:rsidP="00B3087D">
      <w:pPr>
        <w:pStyle w:val="Heading1"/>
      </w:pPr>
      <w:r w:rsidRPr="005D183C">
        <w:t xml:space="preserve">DATE OF </w:t>
      </w:r>
      <w:r w:rsidR="00B17B79" w:rsidRPr="005D183C">
        <w:t>REVISION</w:t>
      </w:r>
    </w:p>
    <w:p w14:paraId="57C46CD8" w14:textId="77777777" w:rsidR="00CE5AF1" w:rsidRPr="005D183C" w:rsidRDefault="00A92205" w:rsidP="00727BAA">
      <w:pPr>
        <w:spacing w:after="0"/>
        <w:jc w:val="both"/>
        <w:rPr>
          <w:rFonts w:ascii="Arial" w:hAnsi="Arial" w:cs="Arial"/>
        </w:rPr>
      </w:pPr>
      <w:r w:rsidRPr="005D183C">
        <w:rPr>
          <w:rFonts w:ascii="Arial" w:hAnsi="Arial" w:cs="Arial"/>
        </w:rPr>
        <w:t>Not applicable.</w:t>
      </w:r>
    </w:p>
    <w:p w14:paraId="320A0987" w14:textId="77777777" w:rsidR="00A0554D" w:rsidRPr="005D183C" w:rsidRDefault="00B17B79" w:rsidP="0089497C">
      <w:pPr>
        <w:keepNext/>
        <w:spacing w:after="0"/>
        <w:jc w:val="both"/>
        <w:rPr>
          <w:rFonts w:ascii="Arial" w:hAnsi="Arial" w:cs="Arial"/>
          <w:b/>
        </w:rPr>
      </w:pPr>
      <w:r w:rsidRPr="005D183C">
        <w:rPr>
          <w:rFonts w:ascii="Arial" w:hAnsi="Arial" w:cs="Arial"/>
          <w:b/>
        </w:rPr>
        <w:lastRenderedPageBreak/>
        <w:t>S</w:t>
      </w:r>
      <w:bookmarkStart w:id="2" w:name="_GoBack"/>
      <w:bookmarkEnd w:id="2"/>
      <w:r w:rsidRPr="005D183C">
        <w:rPr>
          <w:rFonts w:ascii="Arial" w:hAnsi="Arial" w:cs="Arial"/>
          <w:b/>
        </w:rPr>
        <w:t>UMMARY TABLE OF CHANGES</w:t>
      </w:r>
    </w:p>
    <w:tbl>
      <w:tblPr>
        <w:tblStyle w:val="TableGrid"/>
        <w:tblW w:w="0" w:type="auto"/>
        <w:tblInd w:w="108" w:type="dxa"/>
        <w:tblLook w:val="04A0" w:firstRow="1" w:lastRow="0" w:firstColumn="1" w:lastColumn="0" w:noHBand="0" w:noVBand="1"/>
      </w:tblPr>
      <w:tblGrid>
        <w:gridCol w:w="1134"/>
        <w:gridCol w:w="7938"/>
      </w:tblGrid>
      <w:tr w:rsidR="00B17B79" w:rsidRPr="005D183C" w14:paraId="15418E51" w14:textId="77777777" w:rsidTr="00727BAA">
        <w:tc>
          <w:tcPr>
            <w:tcW w:w="1134" w:type="dxa"/>
          </w:tcPr>
          <w:p w14:paraId="461C4B7F" w14:textId="77777777" w:rsidR="00B17B79" w:rsidRPr="005D183C" w:rsidRDefault="00B26397" w:rsidP="00206713">
            <w:pPr>
              <w:jc w:val="both"/>
              <w:rPr>
                <w:rFonts w:ascii="Arial" w:hAnsi="Arial" w:cs="Arial"/>
              </w:rPr>
            </w:pPr>
            <w:r w:rsidRPr="005D183C">
              <w:rPr>
                <w:rFonts w:ascii="Arial" w:hAnsi="Arial" w:cs="Arial"/>
              </w:rPr>
              <w:t>Section</w:t>
            </w:r>
            <w:r w:rsidR="00B17B79" w:rsidRPr="005D183C">
              <w:rPr>
                <w:rFonts w:ascii="Arial" w:hAnsi="Arial" w:cs="Arial"/>
              </w:rPr>
              <w:t xml:space="preserve"> Changed</w:t>
            </w:r>
          </w:p>
        </w:tc>
        <w:tc>
          <w:tcPr>
            <w:tcW w:w="7938" w:type="dxa"/>
          </w:tcPr>
          <w:p w14:paraId="46891D9B" w14:textId="77777777" w:rsidR="00B17B79" w:rsidRPr="005D183C" w:rsidRDefault="00B17B79" w:rsidP="00206713">
            <w:pPr>
              <w:jc w:val="both"/>
              <w:rPr>
                <w:rFonts w:ascii="Arial" w:hAnsi="Arial" w:cs="Arial"/>
              </w:rPr>
            </w:pPr>
            <w:r w:rsidRPr="005D183C">
              <w:rPr>
                <w:rFonts w:ascii="Arial" w:hAnsi="Arial" w:cs="Arial"/>
              </w:rPr>
              <w:t>Summary of new information</w:t>
            </w:r>
          </w:p>
        </w:tc>
      </w:tr>
      <w:tr w:rsidR="00B17B79" w:rsidRPr="005D183C" w14:paraId="4486F532" w14:textId="77777777" w:rsidTr="00727BAA">
        <w:tc>
          <w:tcPr>
            <w:tcW w:w="1134" w:type="dxa"/>
          </w:tcPr>
          <w:p w14:paraId="0EFD6616" w14:textId="77777777" w:rsidR="00B17B79" w:rsidRPr="005D183C" w:rsidRDefault="00B17B79" w:rsidP="00206713">
            <w:pPr>
              <w:jc w:val="both"/>
              <w:rPr>
                <w:rFonts w:ascii="Arial" w:hAnsi="Arial" w:cs="Arial"/>
              </w:rPr>
            </w:pPr>
          </w:p>
        </w:tc>
        <w:tc>
          <w:tcPr>
            <w:tcW w:w="7938" w:type="dxa"/>
          </w:tcPr>
          <w:p w14:paraId="2A42175C" w14:textId="77777777" w:rsidR="00B17B79" w:rsidRPr="005D183C" w:rsidRDefault="00B17B79" w:rsidP="00206713">
            <w:pPr>
              <w:jc w:val="both"/>
              <w:rPr>
                <w:rFonts w:ascii="Arial" w:hAnsi="Arial" w:cs="Arial"/>
              </w:rPr>
            </w:pPr>
          </w:p>
        </w:tc>
      </w:tr>
      <w:tr w:rsidR="00B17B79" w:rsidRPr="005D183C" w14:paraId="499BA260" w14:textId="77777777" w:rsidTr="00727BAA">
        <w:tc>
          <w:tcPr>
            <w:tcW w:w="1134" w:type="dxa"/>
          </w:tcPr>
          <w:p w14:paraId="087951AA" w14:textId="77777777" w:rsidR="00B17B79" w:rsidRPr="005D183C" w:rsidRDefault="00B17B79" w:rsidP="00206713">
            <w:pPr>
              <w:jc w:val="both"/>
              <w:rPr>
                <w:rFonts w:ascii="Arial" w:hAnsi="Arial" w:cs="Arial"/>
              </w:rPr>
            </w:pPr>
          </w:p>
        </w:tc>
        <w:tc>
          <w:tcPr>
            <w:tcW w:w="7938" w:type="dxa"/>
          </w:tcPr>
          <w:p w14:paraId="313E99B6" w14:textId="77777777" w:rsidR="00B17B79" w:rsidRPr="005D183C" w:rsidRDefault="00B17B79" w:rsidP="00206713">
            <w:pPr>
              <w:jc w:val="both"/>
              <w:rPr>
                <w:rFonts w:ascii="Arial" w:hAnsi="Arial" w:cs="Arial"/>
              </w:rPr>
            </w:pPr>
          </w:p>
        </w:tc>
      </w:tr>
      <w:tr w:rsidR="00B17B79" w:rsidRPr="005D183C" w14:paraId="5B987A2C" w14:textId="77777777" w:rsidTr="00727BAA">
        <w:tc>
          <w:tcPr>
            <w:tcW w:w="1134" w:type="dxa"/>
          </w:tcPr>
          <w:p w14:paraId="72B10CBF" w14:textId="77777777" w:rsidR="00B17B79" w:rsidRPr="005D183C" w:rsidRDefault="00B17B79" w:rsidP="00206713">
            <w:pPr>
              <w:jc w:val="both"/>
              <w:rPr>
                <w:rFonts w:ascii="Arial" w:hAnsi="Arial" w:cs="Arial"/>
              </w:rPr>
            </w:pPr>
          </w:p>
        </w:tc>
        <w:tc>
          <w:tcPr>
            <w:tcW w:w="7938" w:type="dxa"/>
          </w:tcPr>
          <w:p w14:paraId="0D42ED5B" w14:textId="77777777" w:rsidR="00B17B79" w:rsidRPr="005D183C" w:rsidRDefault="00B17B79" w:rsidP="00206713">
            <w:pPr>
              <w:jc w:val="both"/>
              <w:rPr>
                <w:rFonts w:ascii="Arial" w:hAnsi="Arial" w:cs="Arial"/>
              </w:rPr>
            </w:pPr>
          </w:p>
        </w:tc>
      </w:tr>
    </w:tbl>
    <w:p w14:paraId="314DE077" w14:textId="58A9F5FE" w:rsidR="00372546" w:rsidRPr="005D183C" w:rsidRDefault="00372546" w:rsidP="00206713">
      <w:pPr>
        <w:jc w:val="both"/>
      </w:pPr>
      <w:r w:rsidRPr="0073309D">
        <w:rPr>
          <w:rFonts w:ascii="Arial" w:hAnsi="Arial"/>
          <w:lang w:val="en-GB"/>
        </w:rPr>
        <w:t>Fluad</w:t>
      </w:r>
      <w:r w:rsidRPr="0073309D">
        <w:rPr>
          <w:rFonts w:ascii="Calibri" w:hAnsi="Calibri" w:cs="Calibri"/>
          <w:lang w:val="en-GB"/>
        </w:rPr>
        <w:t>®</w:t>
      </w:r>
      <w:r w:rsidRPr="0073309D">
        <w:rPr>
          <w:rFonts w:ascii="Arial" w:hAnsi="Arial"/>
          <w:lang w:val="en-GB"/>
        </w:rPr>
        <w:t xml:space="preserve"> is a registered trademark of Seqirus UK Limited or its affiliates.</w:t>
      </w:r>
    </w:p>
    <w:sectPr w:rsidR="00372546" w:rsidRPr="005D183C" w:rsidSect="0035442C">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pgMar w:top="1440" w:right="146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A37A" w14:textId="77777777" w:rsidR="009E3FB8" w:rsidRDefault="009E3FB8" w:rsidP="00144CF0">
      <w:pPr>
        <w:spacing w:after="0" w:line="240" w:lineRule="auto"/>
      </w:pPr>
      <w:r>
        <w:separator/>
      </w:r>
    </w:p>
  </w:endnote>
  <w:endnote w:type="continuationSeparator" w:id="0">
    <w:p w14:paraId="4434BB88" w14:textId="77777777" w:rsidR="009E3FB8" w:rsidRDefault="009E3FB8" w:rsidP="0014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A2B3" w14:textId="77777777" w:rsidR="00E90B7A" w:rsidRDefault="00E90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6401" w14:textId="77777777" w:rsidR="00F66DCE" w:rsidRDefault="00F66DCE">
    <w:pPr>
      <w:pStyle w:val="Footer"/>
      <w:pBdr>
        <w:bottom w:val="single" w:sz="6" w:space="1" w:color="auto"/>
      </w:pBdr>
      <w:jc w:val="right"/>
    </w:pPr>
  </w:p>
  <w:p w14:paraId="10153A48" w14:textId="2CD8AEE4" w:rsidR="00F66DCE" w:rsidRPr="005537E1" w:rsidRDefault="0089497C">
    <w:pPr>
      <w:pStyle w:val="Footer"/>
      <w:jc w:val="right"/>
      <w:rPr>
        <w:rFonts w:ascii="Arial" w:hAnsi="Arial" w:cs="Arial"/>
      </w:rPr>
    </w:pPr>
    <w:sdt>
      <w:sdtPr>
        <w:id w:val="2066983180"/>
        <w:docPartObj>
          <w:docPartGallery w:val="Page Numbers (Bottom of Page)"/>
          <w:docPartUnique/>
        </w:docPartObj>
      </w:sdtPr>
      <w:sdtEndPr>
        <w:rPr>
          <w:rFonts w:ascii="Arial" w:hAnsi="Arial" w:cs="Arial"/>
        </w:rPr>
      </w:sdtEndPr>
      <w:sdtContent>
        <w:sdt>
          <w:sdtPr>
            <w:id w:val="-1953622414"/>
            <w:docPartObj>
              <w:docPartGallery w:val="Page Numbers (Top of Page)"/>
              <w:docPartUnique/>
            </w:docPartObj>
          </w:sdtPr>
          <w:sdtEndPr>
            <w:rPr>
              <w:rFonts w:ascii="Arial" w:hAnsi="Arial" w:cs="Arial"/>
            </w:rPr>
          </w:sdtEndPr>
          <w:sdtContent>
            <w:r w:rsidR="00F66DCE" w:rsidRPr="005537E1">
              <w:rPr>
                <w:rFonts w:ascii="Arial" w:hAnsi="Arial" w:cs="Arial"/>
              </w:rPr>
              <w:t xml:space="preserve">Page </w:t>
            </w:r>
            <w:r w:rsidR="00F66DCE" w:rsidRPr="005537E1">
              <w:rPr>
                <w:rFonts w:ascii="Arial" w:hAnsi="Arial" w:cs="Arial"/>
                <w:b/>
                <w:bCs/>
              </w:rPr>
              <w:fldChar w:fldCharType="begin"/>
            </w:r>
            <w:r w:rsidR="00F66DCE" w:rsidRPr="005537E1">
              <w:rPr>
                <w:rFonts w:ascii="Arial" w:hAnsi="Arial" w:cs="Arial"/>
                <w:b/>
                <w:bCs/>
              </w:rPr>
              <w:instrText xml:space="preserve"> PAGE </w:instrText>
            </w:r>
            <w:r w:rsidR="00F66DCE" w:rsidRPr="005537E1">
              <w:rPr>
                <w:rFonts w:ascii="Arial" w:hAnsi="Arial" w:cs="Arial"/>
                <w:b/>
                <w:bCs/>
              </w:rPr>
              <w:fldChar w:fldCharType="separate"/>
            </w:r>
            <w:r>
              <w:rPr>
                <w:rFonts w:ascii="Arial" w:hAnsi="Arial" w:cs="Arial"/>
                <w:b/>
                <w:bCs/>
                <w:noProof/>
              </w:rPr>
              <w:t>15</w:t>
            </w:r>
            <w:r w:rsidR="00F66DCE" w:rsidRPr="005537E1">
              <w:rPr>
                <w:rFonts w:ascii="Arial" w:hAnsi="Arial" w:cs="Arial"/>
                <w:b/>
                <w:bCs/>
              </w:rPr>
              <w:fldChar w:fldCharType="end"/>
            </w:r>
            <w:r w:rsidR="00F66DCE" w:rsidRPr="005537E1">
              <w:rPr>
                <w:rFonts w:ascii="Arial" w:hAnsi="Arial" w:cs="Arial"/>
              </w:rPr>
              <w:t xml:space="preserve"> of </w:t>
            </w:r>
            <w:r w:rsidR="00F66DCE" w:rsidRPr="005537E1">
              <w:rPr>
                <w:rFonts w:ascii="Arial" w:hAnsi="Arial" w:cs="Arial"/>
                <w:b/>
                <w:bCs/>
              </w:rPr>
              <w:fldChar w:fldCharType="begin"/>
            </w:r>
            <w:r w:rsidR="00F66DCE" w:rsidRPr="005537E1">
              <w:rPr>
                <w:rFonts w:ascii="Arial" w:hAnsi="Arial" w:cs="Arial"/>
                <w:b/>
                <w:bCs/>
              </w:rPr>
              <w:instrText xml:space="preserve"> NUMPAGES  </w:instrText>
            </w:r>
            <w:r w:rsidR="00F66DCE" w:rsidRPr="005537E1">
              <w:rPr>
                <w:rFonts w:ascii="Arial" w:hAnsi="Arial" w:cs="Arial"/>
                <w:b/>
                <w:bCs/>
              </w:rPr>
              <w:fldChar w:fldCharType="separate"/>
            </w:r>
            <w:r>
              <w:rPr>
                <w:rFonts w:ascii="Arial" w:hAnsi="Arial" w:cs="Arial"/>
                <w:b/>
                <w:bCs/>
                <w:noProof/>
              </w:rPr>
              <w:t>15</w:t>
            </w:r>
            <w:r w:rsidR="00F66DCE" w:rsidRPr="005537E1">
              <w:rPr>
                <w:rFonts w:ascii="Arial" w:hAnsi="Arial" w:cs="Arial"/>
                <w:b/>
                <w:bCs/>
              </w:rPr>
              <w:fldChar w:fldCharType="end"/>
            </w:r>
          </w:sdtContent>
        </w:sdt>
      </w:sdtContent>
    </w:sdt>
  </w:p>
  <w:p w14:paraId="19698D50" w14:textId="77777777" w:rsidR="00F66DCE" w:rsidRDefault="00F66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7409" w14:textId="77777777" w:rsidR="00E90B7A" w:rsidRDefault="00E9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2AE46" w14:textId="77777777" w:rsidR="009E3FB8" w:rsidRDefault="009E3FB8" w:rsidP="00144CF0">
      <w:pPr>
        <w:spacing w:after="0" w:line="240" w:lineRule="auto"/>
      </w:pPr>
      <w:r>
        <w:separator/>
      </w:r>
    </w:p>
  </w:footnote>
  <w:footnote w:type="continuationSeparator" w:id="0">
    <w:p w14:paraId="26A3B7BA" w14:textId="77777777" w:rsidR="009E3FB8" w:rsidRDefault="009E3FB8" w:rsidP="00144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B6AA" w14:textId="77777777" w:rsidR="00E90B7A" w:rsidRDefault="00E90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4B3C74" w14:paraId="20298D02" w14:textId="77777777" w:rsidTr="009E5389">
      <w:tc>
        <w:tcPr>
          <w:tcW w:w="8720" w:type="dxa"/>
          <w:shd w:val="clear" w:color="auto" w:fill="E4F2E0"/>
        </w:tcPr>
        <w:p w14:paraId="0590D434" w14:textId="60B811A6" w:rsidR="004B3C74" w:rsidRPr="00D361CA" w:rsidRDefault="004B3C74" w:rsidP="004B3C74">
          <w:pPr>
            <w:spacing w:before="40" w:after="40"/>
            <w:rPr>
              <w:b/>
              <w:sz w:val="20"/>
              <w:szCs w:val="20"/>
            </w:rPr>
          </w:pPr>
          <w:r w:rsidRPr="00D361CA">
            <w:rPr>
              <w:b/>
              <w:sz w:val="20"/>
              <w:szCs w:val="20"/>
            </w:rPr>
            <w:t xml:space="preserve">Attachment 1: Product information for </w:t>
          </w:r>
          <w:r w:rsidRPr="004B3C74">
            <w:rPr>
              <w:b/>
              <w:sz w:val="20"/>
              <w:szCs w:val="20"/>
            </w:rPr>
            <w:t>AusPAR - Fluad Quad - Inactivated quadrivalent influenza vaccine - PM-2019-00120-1-2</w:t>
          </w:r>
          <w:r>
            <w:rPr>
              <w:b/>
              <w:sz w:val="20"/>
              <w:szCs w:val="20"/>
            </w:rPr>
            <w:t xml:space="preserve"> </w:t>
          </w:r>
          <w:r w:rsidRPr="004B3C74">
            <w:rPr>
              <w:b/>
              <w:sz w:val="20"/>
              <w:szCs w:val="20"/>
            </w:rPr>
            <w:t>FINAL 11 November 2019</w:t>
          </w:r>
          <w:r w:rsidRPr="00D361CA">
            <w:rPr>
              <w:b/>
              <w:sz w:val="20"/>
              <w:szCs w:val="20"/>
            </w:rPr>
            <w:t>. This Product Information was approved at the time this AusPAR was published.</w:t>
          </w:r>
        </w:p>
      </w:tc>
    </w:tr>
  </w:tbl>
  <w:p w14:paraId="5C8236E6" w14:textId="3655E58F" w:rsidR="00F66DCE" w:rsidRPr="001C4E14" w:rsidRDefault="00F66DCE" w:rsidP="00144CF0">
    <w:pPr>
      <w:autoSpaceDE w:val="0"/>
      <w:autoSpaceDN w:val="0"/>
      <w:adjustRightInd w:val="0"/>
      <w:spacing w:after="0" w:line="240" w:lineRule="auto"/>
      <w:jc w:val="right"/>
      <w:rPr>
        <w:rFonts w:ascii="Arial" w:hAnsi="Arial"/>
        <w:szCs w:val="20"/>
        <w:lang w:val="en-GB"/>
      </w:rPr>
    </w:pPr>
    <w:r>
      <w:rPr>
        <w:rFonts w:ascii="Arial" w:hAnsi="Arial" w:cs="Arial"/>
      </w:rPr>
      <w:t>Fluad</w:t>
    </w:r>
    <w:r w:rsidRPr="001C4E14">
      <w:rPr>
        <w:rFonts w:ascii="Arial" w:hAnsi="Arial"/>
        <w:szCs w:val="20"/>
        <w:vertAlign w:val="superscript"/>
        <w:lang w:val="en-GB"/>
      </w:rPr>
      <w:t>®</w:t>
    </w:r>
    <w:r w:rsidRPr="001C4E14">
      <w:rPr>
        <w:rFonts w:ascii="Arial" w:hAnsi="Arial"/>
        <w:szCs w:val="20"/>
        <w:lang w:val="en-GB"/>
      </w:rPr>
      <w:t xml:space="preserve"> </w:t>
    </w:r>
    <w:r>
      <w:rPr>
        <w:rFonts w:ascii="Arial" w:hAnsi="Arial"/>
        <w:szCs w:val="20"/>
        <w:lang w:val="en-GB"/>
      </w:rPr>
      <w:t xml:space="preserve">Quad </w:t>
    </w:r>
    <w:r w:rsidRPr="001C4E14">
      <w:rPr>
        <w:rFonts w:ascii="Arial" w:hAnsi="Arial"/>
        <w:szCs w:val="20"/>
        <w:lang w:val="en-GB"/>
      </w:rPr>
      <w:t>Product Information</w:t>
    </w:r>
  </w:p>
  <w:p w14:paraId="0A80EAC0" w14:textId="724FFE43" w:rsidR="00F66DCE" w:rsidRPr="001C4E14" w:rsidRDefault="00F66DCE" w:rsidP="00144CF0">
    <w:pPr>
      <w:pStyle w:val="Header"/>
      <w:jc w:val="right"/>
      <w:rPr>
        <w:rFonts w:ascii="Arial" w:hAnsi="Arial" w:cs="Arial"/>
      </w:rPr>
    </w:pPr>
    <w:r w:rsidRPr="001C4E14">
      <w:rPr>
        <w:rFonts w:ascii="Arial" w:hAnsi="Arial" w:cs="Arial"/>
      </w:rPr>
      <w:t>AUST R</w:t>
    </w:r>
    <w:r>
      <w:rPr>
        <w:rFonts w:ascii="Arial" w:hAnsi="Arial" w:cs="Arial"/>
      </w:rPr>
      <w:t xml:space="preserve"> </w:t>
    </w:r>
    <w:r w:rsidRPr="00C72C89">
      <w:rPr>
        <w:rFonts w:ascii="Arial" w:hAnsi="Arial" w:cs="Arial"/>
      </w:rPr>
      <w:t>313724</w:t>
    </w:r>
    <w:r>
      <w:rPr>
        <w:rFonts w:ascii="Arial" w:hAnsi="Arial" w:cs="Arial"/>
      </w:rPr>
      <w:t xml:space="preserve"> and AUST R </w:t>
    </w:r>
    <w:r w:rsidRPr="00C72C89">
      <w:rPr>
        <w:rFonts w:ascii="Arial" w:hAnsi="Arial" w:cs="Arial"/>
      </w:rPr>
      <w:t>316323</w:t>
    </w:r>
  </w:p>
  <w:p w14:paraId="0EBA8F63" w14:textId="185462B0" w:rsidR="00F66DCE" w:rsidRDefault="00E90B7A">
    <w:pPr>
      <w:pStyle w:val="Header"/>
    </w:pPr>
    <w:r w:rsidRPr="001C4E14">
      <w:rPr>
        <w:rFonts w:ascii="Arial" w:hAnsi="Arial" w:cs="Arial"/>
        <w:noProof/>
        <w:lang w:val="en-AU" w:eastAsia="en-AU"/>
      </w:rPr>
      <mc:AlternateContent>
        <mc:Choice Requires="wps">
          <w:drawing>
            <wp:anchor distT="0" distB="0" distL="114300" distR="114300" simplePos="0" relativeHeight="251660288" behindDoc="0" locked="0" layoutInCell="1" allowOverlap="1" wp14:anchorId="61BBE37A" wp14:editId="093CE287">
              <wp:simplePos x="0" y="0"/>
              <wp:positionH relativeFrom="column">
                <wp:posOffset>-138890</wp:posOffset>
              </wp:positionH>
              <wp:positionV relativeFrom="paragraph">
                <wp:posOffset>46274</wp:posOffset>
              </wp:positionV>
              <wp:extent cx="6209414" cy="20955"/>
              <wp:effectExtent l="0" t="0" r="20320" b="36195"/>
              <wp:wrapNone/>
              <wp:docPr id="3" name="Straight Connector 3"/>
              <wp:cNvGraphicFramePr/>
              <a:graphic xmlns:a="http://schemas.openxmlformats.org/drawingml/2006/main">
                <a:graphicData uri="http://schemas.microsoft.com/office/word/2010/wordprocessingShape">
                  <wps:wsp>
                    <wps:cNvCnPr/>
                    <wps:spPr>
                      <a:xfrm>
                        <a:off x="0" y="0"/>
                        <a:ext cx="6209414" cy="2095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5428D50"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5pt,3.65pt" to="47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" strokecolor="windowTex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1639" w14:textId="77777777" w:rsidR="00E90B7A" w:rsidRDefault="00E90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50C"/>
    <w:multiLevelType w:val="hybridMultilevel"/>
    <w:tmpl w:val="3348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7EE"/>
    <w:multiLevelType w:val="multilevel"/>
    <w:tmpl w:val="CE786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8B1B26"/>
    <w:multiLevelType w:val="multilevel"/>
    <w:tmpl w:val="CE786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472E1A"/>
    <w:multiLevelType w:val="multilevel"/>
    <w:tmpl w:val="BBA6475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F7DAF"/>
    <w:multiLevelType w:val="multilevel"/>
    <w:tmpl w:val="D8CCC4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7E6102"/>
    <w:multiLevelType w:val="hybridMultilevel"/>
    <w:tmpl w:val="743CAC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830C9C"/>
    <w:multiLevelType w:val="hybridMultilevel"/>
    <w:tmpl w:val="B778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E38F1"/>
    <w:multiLevelType w:val="multilevel"/>
    <w:tmpl w:val="D8CCC4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D30F9A"/>
    <w:multiLevelType w:val="multilevel"/>
    <w:tmpl w:val="65F86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1A2E78"/>
    <w:multiLevelType w:val="multilevel"/>
    <w:tmpl w:val="DE4A61AE"/>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AA07D86"/>
    <w:multiLevelType w:val="multilevel"/>
    <w:tmpl w:val="CE786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4C0D0A"/>
    <w:multiLevelType w:val="multilevel"/>
    <w:tmpl w:val="D5887622"/>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296596C"/>
    <w:multiLevelType w:val="multilevel"/>
    <w:tmpl w:val="85A0C3DC"/>
    <w:lvl w:ilvl="0">
      <w:start w:val="4"/>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BEC1610"/>
    <w:multiLevelType w:val="multilevel"/>
    <w:tmpl w:val="CE786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4C03C1B"/>
    <w:multiLevelType w:val="hybridMultilevel"/>
    <w:tmpl w:val="3A8C9D58"/>
    <w:lvl w:ilvl="0" w:tplc="5B08DD16">
      <w:start w:val="200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6B395B"/>
    <w:multiLevelType w:val="multilevel"/>
    <w:tmpl w:val="23DC28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8D273D"/>
    <w:multiLevelType w:val="hybridMultilevel"/>
    <w:tmpl w:val="0930C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CE35927"/>
    <w:multiLevelType w:val="multilevel"/>
    <w:tmpl w:val="DAF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DF37F7"/>
    <w:multiLevelType w:val="hybridMultilevel"/>
    <w:tmpl w:val="22C8D15A"/>
    <w:lvl w:ilvl="0" w:tplc="D722E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13"/>
  </w:num>
  <w:num w:numId="4">
    <w:abstractNumId w:val="8"/>
  </w:num>
  <w:num w:numId="5">
    <w:abstractNumId w:val="15"/>
  </w:num>
  <w:num w:numId="6">
    <w:abstractNumId w:val="10"/>
  </w:num>
  <w:num w:numId="7">
    <w:abstractNumId w:val="9"/>
  </w:num>
  <w:num w:numId="8">
    <w:abstractNumId w:val="3"/>
  </w:num>
  <w:num w:numId="9">
    <w:abstractNumId w:val="12"/>
  </w:num>
  <w:num w:numId="10">
    <w:abstractNumId w:val="2"/>
  </w:num>
  <w:num w:numId="11">
    <w:abstractNumId w:val="1"/>
  </w:num>
  <w:num w:numId="12">
    <w:abstractNumId w:val="4"/>
  </w:num>
  <w:num w:numId="13">
    <w:abstractNumId w:val="7"/>
  </w:num>
  <w:num w:numId="14">
    <w:abstractNumId w:val="11"/>
  </w:num>
  <w:num w:numId="15">
    <w:abstractNumId w:val="5"/>
  </w:num>
  <w:num w:numId="16">
    <w:abstractNumId w:val="18"/>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activeWritingStyle w:appName="MSWord" w:lang="fr-FR"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867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54D"/>
    <w:rsid w:val="0000060E"/>
    <w:rsid w:val="0000070A"/>
    <w:rsid w:val="0000166C"/>
    <w:rsid w:val="00010524"/>
    <w:rsid w:val="00011DD4"/>
    <w:rsid w:val="00016913"/>
    <w:rsid w:val="00020BA9"/>
    <w:rsid w:val="00031A18"/>
    <w:rsid w:val="000361D3"/>
    <w:rsid w:val="00036A34"/>
    <w:rsid w:val="000371F6"/>
    <w:rsid w:val="00045210"/>
    <w:rsid w:val="0004661F"/>
    <w:rsid w:val="00050D47"/>
    <w:rsid w:val="00052BBD"/>
    <w:rsid w:val="00053AC6"/>
    <w:rsid w:val="00054BE8"/>
    <w:rsid w:val="00055015"/>
    <w:rsid w:val="00055ABC"/>
    <w:rsid w:val="00056B66"/>
    <w:rsid w:val="00060669"/>
    <w:rsid w:val="000711C4"/>
    <w:rsid w:val="00072AE0"/>
    <w:rsid w:val="00073A7E"/>
    <w:rsid w:val="000746D4"/>
    <w:rsid w:val="000778D6"/>
    <w:rsid w:val="00077AD6"/>
    <w:rsid w:val="00083B1B"/>
    <w:rsid w:val="00083E6A"/>
    <w:rsid w:val="000916EE"/>
    <w:rsid w:val="00091C0C"/>
    <w:rsid w:val="00091DD3"/>
    <w:rsid w:val="000925CF"/>
    <w:rsid w:val="000929C2"/>
    <w:rsid w:val="00095A28"/>
    <w:rsid w:val="00097D43"/>
    <w:rsid w:val="000A1067"/>
    <w:rsid w:val="000A1E8D"/>
    <w:rsid w:val="000A5A0B"/>
    <w:rsid w:val="000B0A10"/>
    <w:rsid w:val="000B1153"/>
    <w:rsid w:val="000B18A7"/>
    <w:rsid w:val="000C0CA0"/>
    <w:rsid w:val="000C3238"/>
    <w:rsid w:val="000C3295"/>
    <w:rsid w:val="000C3B7D"/>
    <w:rsid w:val="000C6B34"/>
    <w:rsid w:val="000D0D6E"/>
    <w:rsid w:val="000E0277"/>
    <w:rsid w:val="000E08C2"/>
    <w:rsid w:val="000E264E"/>
    <w:rsid w:val="000E629D"/>
    <w:rsid w:val="000E71DA"/>
    <w:rsid w:val="000F32C5"/>
    <w:rsid w:val="000F4D06"/>
    <w:rsid w:val="000F4F62"/>
    <w:rsid w:val="000F5DFB"/>
    <w:rsid w:val="001017F4"/>
    <w:rsid w:val="001023F5"/>
    <w:rsid w:val="00103C2A"/>
    <w:rsid w:val="001041F9"/>
    <w:rsid w:val="00106B61"/>
    <w:rsid w:val="00113801"/>
    <w:rsid w:val="00113B15"/>
    <w:rsid w:val="00115A3F"/>
    <w:rsid w:val="00115F79"/>
    <w:rsid w:val="00116BFE"/>
    <w:rsid w:val="001214DE"/>
    <w:rsid w:val="00121646"/>
    <w:rsid w:val="00121C50"/>
    <w:rsid w:val="00122072"/>
    <w:rsid w:val="0012225F"/>
    <w:rsid w:val="00124C0B"/>
    <w:rsid w:val="0012739B"/>
    <w:rsid w:val="001307A0"/>
    <w:rsid w:val="00131A63"/>
    <w:rsid w:val="00131F6E"/>
    <w:rsid w:val="00134034"/>
    <w:rsid w:val="00135A12"/>
    <w:rsid w:val="00136EA8"/>
    <w:rsid w:val="00140377"/>
    <w:rsid w:val="00140879"/>
    <w:rsid w:val="00144B73"/>
    <w:rsid w:val="00144CF0"/>
    <w:rsid w:val="001567DA"/>
    <w:rsid w:val="00157C00"/>
    <w:rsid w:val="00162602"/>
    <w:rsid w:val="001626E7"/>
    <w:rsid w:val="001704E4"/>
    <w:rsid w:val="001710DF"/>
    <w:rsid w:val="00171E58"/>
    <w:rsid w:val="001748B9"/>
    <w:rsid w:val="001811F9"/>
    <w:rsid w:val="00182353"/>
    <w:rsid w:val="0018398F"/>
    <w:rsid w:val="001851FF"/>
    <w:rsid w:val="00186F74"/>
    <w:rsid w:val="0019347F"/>
    <w:rsid w:val="00194564"/>
    <w:rsid w:val="001959F4"/>
    <w:rsid w:val="001A26F8"/>
    <w:rsid w:val="001A2B6F"/>
    <w:rsid w:val="001A6A97"/>
    <w:rsid w:val="001A798D"/>
    <w:rsid w:val="001B350B"/>
    <w:rsid w:val="001B575A"/>
    <w:rsid w:val="001C4803"/>
    <w:rsid w:val="001C6ED1"/>
    <w:rsid w:val="001D391F"/>
    <w:rsid w:val="001D6537"/>
    <w:rsid w:val="001D654F"/>
    <w:rsid w:val="001D6FF9"/>
    <w:rsid w:val="001E2953"/>
    <w:rsid w:val="001E2E9C"/>
    <w:rsid w:val="001E30AF"/>
    <w:rsid w:val="001E5138"/>
    <w:rsid w:val="001F2E58"/>
    <w:rsid w:val="001F3388"/>
    <w:rsid w:val="001F41DD"/>
    <w:rsid w:val="001F5161"/>
    <w:rsid w:val="00203D58"/>
    <w:rsid w:val="0020484F"/>
    <w:rsid w:val="002057CA"/>
    <w:rsid w:val="00205C8B"/>
    <w:rsid w:val="00206713"/>
    <w:rsid w:val="00206F66"/>
    <w:rsid w:val="00206F93"/>
    <w:rsid w:val="00214B41"/>
    <w:rsid w:val="002176E9"/>
    <w:rsid w:val="002200A1"/>
    <w:rsid w:val="00221670"/>
    <w:rsid w:val="0022317C"/>
    <w:rsid w:val="0022423A"/>
    <w:rsid w:val="00226E05"/>
    <w:rsid w:val="002278BE"/>
    <w:rsid w:val="00227FED"/>
    <w:rsid w:val="00230ECE"/>
    <w:rsid w:val="00237D76"/>
    <w:rsid w:val="00240C71"/>
    <w:rsid w:val="00243E3F"/>
    <w:rsid w:val="00244866"/>
    <w:rsid w:val="00246E57"/>
    <w:rsid w:val="002472A7"/>
    <w:rsid w:val="00250C62"/>
    <w:rsid w:val="00253472"/>
    <w:rsid w:val="002557DC"/>
    <w:rsid w:val="0025743B"/>
    <w:rsid w:val="0026002C"/>
    <w:rsid w:val="002757BE"/>
    <w:rsid w:val="00276B07"/>
    <w:rsid w:val="002772D5"/>
    <w:rsid w:val="00280C32"/>
    <w:rsid w:val="00280CB0"/>
    <w:rsid w:val="002810D2"/>
    <w:rsid w:val="00281BE7"/>
    <w:rsid w:val="00283343"/>
    <w:rsid w:val="00283ACE"/>
    <w:rsid w:val="00290182"/>
    <w:rsid w:val="0029126B"/>
    <w:rsid w:val="00292B26"/>
    <w:rsid w:val="002943D3"/>
    <w:rsid w:val="002A43CD"/>
    <w:rsid w:val="002A6FA0"/>
    <w:rsid w:val="002A7C62"/>
    <w:rsid w:val="002B1E40"/>
    <w:rsid w:val="002B27C7"/>
    <w:rsid w:val="002B3ED9"/>
    <w:rsid w:val="002C091D"/>
    <w:rsid w:val="002C1F83"/>
    <w:rsid w:val="002C2AC3"/>
    <w:rsid w:val="002C2EFF"/>
    <w:rsid w:val="002C3C89"/>
    <w:rsid w:val="002C4328"/>
    <w:rsid w:val="002C50B5"/>
    <w:rsid w:val="002C5C5D"/>
    <w:rsid w:val="002C7ED3"/>
    <w:rsid w:val="002D097D"/>
    <w:rsid w:val="002D202A"/>
    <w:rsid w:val="002D60EC"/>
    <w:rsid w:val="002D7DAD"/>
    <w:rsid w:val="002E0620"/>
    <w:rsid w:val="002E308F"/>
    <w:rsid w:val="002E350E"/>
    <w:rsid w:val="002E4B78"/>
    <w:rsid w:val="002E7A3D"/>
    <w:rsid w:val="002E7B70"/>
    <w:rsid w:val="002F34D8"/>
    <w:rsid w:val="002F7732"/>
    <w:rsid w:val="00300E85"/>
    <w:rsid w:val="00304829"/>
    <w:rsid w:val="00305BD8"/>
    <w:rsid w:val="0031002C"/>
    <w:rsid w:val="0031587A"/>
    <w:rsid w:val="0031784E"/>
    <w:rsid w:val="0032040B"/>
    <w:rsid w:val="00333A30"/>
    <w:rsid w:val="00336596"/>
    <w:rsid w:val="00341C8C"/>
    <w:rsid w:val="003447D0"/>
    <w:rsid w:val="003457E0"/>
    <w:rsid w:val="003464F7"/>
    <w:rsid w:val="00347D61"/>
    <w:rsid w:val="0035016B"/>
    <w:rsid w:val="003533DC"/>
    <w:rsid w:val="0035442C"/>
    <w:rsid w:val="003566C7"/>
    <w:rsid w:val="0035710B"/>
    <w:rsid w:val="003648B7"/>
    <w:rsid w:val="00364EA0"/>
    <w:rsid w:val="0036517C"/>
    <w:rsid w:val="00366372"/>
    <w:rsid w:val="00366EFB"/>
    <w:rsid w:val="00370A81"/>
    <w:rsid w:val="00372546"/>
    <w:rsid w:val="00375DB0"/>
    <w:rsid w:val="00377A7C"/>
    <w:rsid w:val="00381CD9"/>
    <w:rsid w:val="00382F02"/>
    <w:rsid w:val="00386875"/>
    <w:rsid w:val="00387C34"/>
    <w:rsid w:val="00390E6B"/>
    <w:rsid w:val="00394015"/>
    <w:rsid w:val="00394969"/>
    <w:rsid w:val="00396C78"/>
    <w:rsid w:val="003A0B0D"/>
    <w:rsid w:val="003A3259"/>
    <w:rsid w:val="003A41C0"/>
    <w:rsid w:val="003A4D04"/>
    <w:rsid w:val="003A6E04"/>
    <w:rsid w:val="003A7071"/>
    <w:rsid w:val="003B00F3"/>
    <w:rsid w:val="003B490B"/>
    <w:rsid w:val="003B56FD"/>
    <w:rsid w:val="003B6D20"/>
    <w:rsid w:val="003C053E"/>
    <w:rsid w:val="003C1716"/>
    <w:rsid w:val="003C2C3B"/>
    <w:rsid w:val="003C436F"/>
    <w:rsid w:val="003C4D74"/>
    <w:rsid w:val="003C7C50"/>
    <w:rsid w:val="003D0215"/>
    <w:rsid w:val="003D0C87"/>
    <w:rsid w:val="003D311F"/>
    <w:rsid w:val="003E2418"/>
    <w:rsid w:val="003E2815"/>
    <w:rsid w:val="003E3B05"/>
    <w:rsid w:val="003E68E9"/>
    <w:rsid w:val="003E72E1"/>
    <w:rsid w:val="003F0D9C"/>
    <w:rsid w:val="003F14E0"/>
    <w:rsid w:val="003F22D4"/>
    <w:rsid w:val="003F27E9"/>
    <w:rsid w:val="003F3AE9"/>
    <w:rsid w:val="003F4331"/>
    <w:rsid w:val="003F4E76"/>
    <w:rsid w:val="004049A1"/>
    <w:rsid w:val="00406666"/>
    <w:rsid w:val="00407A1E"/>
    <w:rsid w:val="0041135C"/>
    <w:rsid w:val="004124BA"/>
    <w:rsid w:val="004151CD"/>
    <w:rsid w:val="004177B8"/>
    <w:rsid w:val="00420E73"/>
    <w:rsid w:val="004238E2"/>
    <w:rsid w:val="004250A0"/>
    <w:rsid w:val="004301F9"/>
    <w:rsid w:val="00430720"/>
    <w:rsid w:val="004318B2"/>
    <w:rsid w:val="004327F5"/>
    <w:rsid w:val="00433047"/>
    <w:rsid w:val="004338A3"/>
    <w:rsid w:val="0043747B"/>
    <w:rsid w:val="00437561"/>
    <w:rsid w:val="00440609"/>
    <w:rsid w:val="004429C3"/>
    <w:rsid w:val="00445010"/>
    <w:rsid w:val="004513BB"/>
    <w:rsid w:val="004577EB"/>
    <w:rsid w:val="0046190B"/>
    <w:rsid w:val="0046610B"/>
    <w:rsid w:val="004661D1"/>
    <w:rsid w:val="0046759C"/>
    <w:rsid w:val="0046781E"/>
    <w:rsid w:val="0047129A"/>
    <w:rsid w:val="00471978"/>
    <w:rsid w:val="00471EC8"/>
    <w:rsid w:val="00473A6F"/>
    <w:rsid w:val="00473C98"/>
    <w:rsid w:val="00474775"/>
    <w:rsid w:val="004750E9"/>
    <w:rsid w:val="004775AB"/>
    <w:rsid w:val="004816B1"/>
    <w:rsid w:val="00484E1F"/>
    <w:rsid w:val="004850DE"/>
    <w:rsid w:val="004853B1"/>
    <w:rsid w:val="00485FA8"/>
    <w:rsid w:val="00486177"/>
    <w:rsid w:val="0048707F"/>
    <w:rsid w:val="00492BB9"/>
    <w:rsid w:val="004976DD"/>
    <w:rsid w:val="00497CE6"/>
    <w:rsid w:val="004A10D2"/>
    <w:rsid w:val="004A3AB9"/>
    <w:rsid w:val="004A459B"/>
    <w:rsid w:val="004A584C"/>
    <w:rsid w:val="004A64C9"/>
    <w:rsid w:val="004B24DA"/>
    <w:rsid w:val="004B3C74"/>
    <w:rsid w:val="004B7589"/>
    <w:rsid w:val="004B7AFA"/>
    <w:rsid w:val="004C05F2"/>
    <w:rsid w:val="004C0D85"/>
    <w:rsid w:val="004C1F00"/>
    <w:rsid w:val="004C7E81"/>
    <w:rsid w:val="004D0A40"/>
    <w:rsid w:val="004D1C0C"/>
    <w:rsid w:val="004D2428"/>
    <w:rsid w:val="004D476E"/>
    <w:rsid w:val="004E3433"/>
    <w:rsid w:val="004E6660"/>
    <w:rsid w:val="004E6C0F"/>
    <w:rsid w:val="004E6CD2"/>
    <w:rsid w:val="004E70AC"/>
    <w:rsid w:val="004F08E7"/>
    <w:rsid w:val="005029FF"/>
    <w:rsid w:val="00504640"/>
    <w:rsid w:val="0050484C"/>
    <w:rsid w:val="00511021"/>
    <w:rsid w:val="00516C67"/>
    <w:rsid w:val="00522379"/>
    <w:rsid w:val="00523562"/>
    <w:rsid w:val="0052369E"/>
    <w:rsid w:val="0053234E"/>
    <w:rsid w:val="00532916"/>
    <w:rsid w:val="00532ECB"/>
    <w:rsid w:val="00534374"/>
    <w:rsid w:val="005400CF"/>
    <w:rsid w:val="00543285"/>
    <w:rsid w:val="0054387F"/>
    <w:rsid w:val="00550FAD"/>
    <w:rsid w:val="00551016"/>
    <w:rsid w:val="005537E1"/>
    <w:rsid w:val="005569D9"/>
    <w:rsid w:val="0055708A"/>
    <w:rsid w:val="005573AB"/>
    <w:rsid w:val="00560974"/>
    <w:rsid w:val="00560CFD"/>
    <w:rsid w:val="00564006"/>
    <w:rsid w:val="0056515E"/>
    <w:rsid w:val="00570ACE"/>
    <w:rsid w:val="005742D1"/>
    <w:rsid w:val="005747DC"/>
    <w:rsid w:val="00577373"/>
    <w:rsid w:val="00581D08"/>
    <w:rsid w:val="00581F31"/>
    <w:rsid w:val="00582B86"/>
    <w:rsid w:val="00586A71"/>
    <w:rsid w:val="00587533"/>
    <w:rsid w:val="005906E1"/>
    <w:rsid w:val="00595920"/>
    <w:rsid w:val="00595D37"/>
    <w:rsid w:val="005973D5"/>
    <w:rsid w:val="005A15EC"/>
    <w:rsid w:val="005A27FB"/>
    <w:rsid w:val="005A370C"/>
    <w:rsid w:val="005A37A1"/>
    <w:rsid w:val="005A644B"/>
    <w:rsid w:val="005A7068"/>
    <w:rsid w:val="005A784A"/>
    <w:rsid w:val="005B041D"/>
    <w:rsid w:val="005B363A"/>
    <w:rsid w:val="005C0104"/>
    <w:rsid w:val="005C4E75"/>
    <w:rsid w:val="005D183C"/>
    <w:rsid w:val="005D20D2"/>
    <w:rsid w:val="005D332E"/>
    <w:rsid w:val="005D3894"/>
    <w:rsid w:val="005D5393"/>
    <w:rsid w:val="005D5C5A"/>
    <w:rsid w:val="005D6230"/>
    <w:rsid w:val="005E2B0B"/>
    <w:rsid w:val="005E5C76"/>
    <w:rsid w:val="005E7B66"/>
    <w:rsid w:val="005F4EDC"/>
    <w:rsid w:val="005F6288"/>
    <w:rsid w:val="005F6BDA"/>
    <w:rsid w:val="006040EF"/>
    <w:rsid w:val="006055CE"/>
    <w:rsid w:val="006061FA"/>
    <w:rsid w:val="00606819"/>
    <w:rsid w:val="00607BD7"/>
    <w:rsid w:val="006112BB"/>
    <w:rsid w:val="00614005"/>
    <w:rsid w:val="00617182"/>
    <w:rsid w:val="00622F18"/>
    <w:rsid w:val="0062507B"/>
    <w:rsid w:val="00626FAD"/>
    <w:rsid w:val="006300F0"/>
    <w:rsid w:val="006319F4"/>
    <w:rsid w:val="00635B15"/>
    <w:rsid w:val="0063606B"/>
    <w:rsid w:val="00642B29"/>
    <w:rsid w:val="00642D7D"/>
    <w:rsid w:val="00642E6A"/>
    <w:rsid w:val="00643E04"/>
    <w:rsid w:val="00646264"/>
    <w:rsid w:val="00647C23"/>
    <w:rsid w:val="00664F86"/>
    <w:rsid w:val="00667362"/>
    <w:rsid w:val="0067041A"/>
    <w:rsid w:val="00670479"/>
    <w:rsid w:val="0067242F"/>
    <w:rsid w:val="0067721C"/>
    <w:rsid w:val="0068054F"/>
    <w:rsid w:val="006814B4"/>
    <w:rsid w:val="00686A37"/>
    <w:rsid w:val="0069528D"/>
    <w:rsid w:val="00696C7B"/>
    <w:rsid w:val="006A6617"/>
    <w:rsid w:val="006B021C"/>
    <w:rsid w:val="006B0974"/>
    <w:rsid w:val="006B3A63"/>
    <w:rsid w:val="006B5186"/>
    <w:rsid w:val="006B69C6"/>
    <w:rsid w:val="006B7416"/>
    <w:rsid w:val="006C16A5"/>
    <w:rsid w:val="006C57CE"/>
    <w:rsid w:val="006C7CAA"/>
    <w:rsid w:val="006D1235"/>
    <w:rsid w:val="006D4A8A"/>
    <w:rsid w:val="006D5BF6"/>
    <w:rsid w:val="006D6D98"/>
    <w:rsid w:val="006E029C"/>
    <w:rsid w:val="006E48E0"/>
    <w:rsid w:val="006F099C"/>
    <w:rsid w:val="006F14E7"/>
    <w:rsid w:val="006F2236"/>
    <w:rsid w:val="006F2C0E"/>
    <w:rsid w:val="006F4121"/>
    <w:rsid w:val="006F6CD1"/>
    <w:rsid w:val="0070061C"/>
    <w:rsid w:val="00700E68"/>
    <w:rsid w:val="00701F38"/>
    <w:rsid w:val="00702767"/>
    <w:rsid w:val="00702DE5"/>
    <w:rsid w:val="007036A1"/>
    <w:rsid w:val="00703BAB"/>
    <w:rsid w:val="00705157"/>
    <w:rsid w:val="0070726C"/>
    <w:rsid w:val="00720563"/>
    <w:rsid w:val="00720C35"/>
    <w:rsid w:val="00725323"/>
    <w:rsid w:val="00727BAA"/>
    <w:rsid w:val="00730DFB"/>
    <w:rsid w:val="0073131F"/>
    <w:rsid w:val="0073309D"/>
    <w:rsid w:val="00733467"/>
    <w:rsid w:val="0073494C"/>
    <w:rsid w:val="00735C42"/>
    <w:rsid w:val="007376B0"/>
    <w:rsid w:val="00741456"/>
    <w:rsid w:val="00743B2F"/>
    <w:rsid w:val="00745DA1"/>
    <w:rsid w:val="0074633A"/>
    <w:rsid w:val="007530FF"/>
    <w:rsid w:val="0075382F"/>
    <w:rsid w:val="00754301"/>
    <w:rsid w:val="00754975"/>
    <w:rsid w:val="00756B7A"/>
    <w:rsid w:val="007572AA"/>
    <w:rsid w:val="007625B3"/>
    <w:rsid w:val="007704ED"/>
    <w:rsid w:val="007715EC"/>
    <w:rsid w:val="00782DFF"/>
    <w:rsid w:val="00783555"/>
    <w:rsid w:val="00784165"/>
    <w:rsid w:val="007856B7"/>
    <w:rsid w:val="00790111"/>
    <w:rsid w:val="00790E88"/>
    <w:rsid w:val="007919BF"/>
    <w:rsid w:val="007921B4"/>
    <w:rsid w:val="00792EA4"/>
    <w:rsid w:val="00794245"/>
    <w:rsid w:val="007A1872"/>
    <w:rsid w:val="007A60C7"/>
    <w:rsid w:val="007A679B"/>
    <w:rsid w:val="007A712B"/>
    <w:rsid w:val="007B0A40"/>
    <w:rsid w:val="007B2077"/>
    <w:rsid w:val="007B2477"/>
    <w:rsid w:val="007B2CD4"/>
    <w:rsid w:val="007B6836"/>
    <w:rsid w:val="007C07E3"/>
    <w:rsid w:val="007C2144"/>
    <w:rsid w:val="007C2375"/>
    <w:rsid w:val="007C5EBA"/>
    <w:rsid w:val="007C7E61"/>
    <w:rsid w:val="007D26FF"/>
    <w:rsid w:val="007D3766"/>
    <w:rsid w:val="007D4472"/>
    <w:rsid w:val="007E0114"/>
    <w:rsid w:val="007E34EB"/>
    <w:rsid w:val="007E46EB"/>
    <w:rsid w:val="007E5F3E"/>
    <w:rsid w:val="007E60D4"/>
    <w:rsid w:val="007E69DC"/>
    <w:rsid w:val="007F05E6"/>
    <w:rsid w:val="007F1635"/>
    <w:rsid w:val="007F388F"/>
    <w:rsid w:val="00803074"/>
    <w:rsid w:val="00805B5C"/>
    <w:rsid w:val="00807F2E"/>
    <w:rsid w:val="00811433"/>
    <w:rsid w:val="008122DB"/>
    <w:rsid w:val="00816361"/>
    <w:rsid w:val="00816417"/>
    <w:rsid w:val="008172C4"/>
    <w:rsid w:val="008216FC"/>
    <w:rsid w:val="0082173C"/>
    <w:rsid w:val="0082210B"/>
    <w:rsid w:val="00824467"/>
    <w:rsid w:val="00825329"/>
    <w:rsid w:val="00827B4C"/>
    <w:rsid w:val="00827CAE"/>
    <w:rsid w:val="00832534"/>
    <w:rsid w:val="00836324"/>
    <w:rsid w:val="008407D1"/>
    <w:rsid w:val="00845D2B"/>
    <w:rsid w:val="00854C07"/>
    <w:rsid w:val="008554CE"/>
    <w:rsid w:val="00855FCD"/>
    <w:rsid w:val="00860D3A"/>
    <w:rsid w:val="00860E5E"/>
    <w:rsid w:val="00861851"/>
    <w:rsid w:val="00863372"/>
    <w:rsid w:val="00865D6A"/>
    <w:rsid w:val="00865F15"/>
    <w:rsid w:val="00866397"/>
    <w:rsid w:val="008664EE"/>
    <w:rsid w:val="00870450"/>
    <w:rsid w:val="00872ECC"/>
    <w:rsid w:val="00880670"/>
    <w:rsid w:val="0088118C"/>
    <w:rsid w:val="00882B0C"/>
    <w:rsid w:val="00884816"/>
    <w:rsid w:val="0088784C"/>
    <w:rsid w:val="00887E05"/>
    <w:rsid w:val="00892059"/>
    <w:rsid w:val="0089497C"/>
    <w:rsid w:val="008A0B23"/>
    <w:rsid w:val="008A0FE5"/>
    <w:rsid w:val="008A1F96"/>
    <w:rsid w:val="008A45E0"/>
    <w:rsid w:val="008A596E"/>
    <w:rsid w:val="008B24EB"/>
    <w:rsid w:val="008B3BA1"/>
    <w:rsid w:val="008B4772"/>
    <w:rsid w:val="008C0085"/>
    <w:rsid w:val="008C0F14"/>
    <w:rsid w:val="008C1420"/>
    <w:rsid w:val="008C4D71"/>
    <w:rsid w:val="008D4518"/>
    <w:rsid w:val="008E47BE"/>
    <w:rsid w:val="008E55FE"/>
    <w:rsid w:val="008E666E"/>
    <w:rsid w:val="008F06F3"/>
    <w:rsid w:val="008F269F"/>
    <w:rsid w:val="008F2C40"/>
    <w:rsid w:val="00910777"/>
    <w:rsid w:val="00912E4E"/>
    <w:rsid w:val="00914F4D"/>
    <w:rsid w:val="00922916"/>
    <w:rsid w:val="0092342B"/>
    <w:rsid w:val="009304AF"/>
    <w:rsid w:val="00930DB0"/>
    <w:rsid w:val="00930ECC"/>
    <w:rsid w:val="00933D6A"/>
    <w:rsid w:val="00940425"/>
    <w:rsid w:val="009450B4"/>
    <w:rsid w:val="00945691"/>
    <w:rsid w:val="00945C12"/>
    <w:rsid w:val="00946855"/>
    <w:rsid w:val="00946A72"/>
    <w:rsid w:val="00952B77"/>
    <w:rsid w:val="00952F61"/>
    <w:rsid w:val="009553F8"/>
    <w:rsid w:val="00955961"/>
    <w:rsid w:val="009563ED"/>
    <w:rsid w:val="0096168A"/>
    <w:rsid w:val="009736CF"/>
    <w:rsid w:val="009753CF"/>
    <w:rsid w:val="00975F02"/>
    <w:rsid w:val="00977F01"/>
    <w:rsid w:val="00981625"/>
    <w:rsid w:val="00983446"/>
    <w:rsid w:val="009849D9"/>
    <w:rsid w:val="00985365"/>
    <w:rsid w:val="0098731E"/>
    <w:rsid w:val="00990017"/>
    <w:rsid w:val="00990C42"/>
    <w:rsid w:val="009946FE"/>
    <w:rsid w:val="009A0CF1"/>
    <w:rsid w:val="009A19A7"/>
    <w:rsid w:val="009B2DC2"/>
    <w:rsid w:val="009B4BFB"/>
    <w:rsid w:val="009B6BE4"/>
    <w:rsid w:val="009C7B50"/>
    <w:rsid w:val="009D0864"/>
    <w:rsid w:val="009D1D7E"/>
    <w:rsid w:val="009D2B08"/>
    <w:rsid w:val="009D45FA"/>
    <w:rsid w:val="009D787B"/>
    <w:rsid w:val="009E3DAE"/>
    <w:rsid w:val="009E3FB8"/>
    <w:rsid w:val="009E49ED"/>
    <w:rsid w:val="009E7B5A"/>
    <w:rsid w:val="009F0691"/>
    <w:rsid w:val="009F0A61"/>
    <w:rsid w:val="009F1394"/>
    <w:rsid w:val="009F2290"/>
    <w:rsid w:val="009F23DB"/>
    <w:rsid w:val="009F3E46"/>
    <w:rsid w:val="009F3F21"/>
    <w:rsid w:val="009F4EAF"/>
    <w:rsid w:val="009F6090"/>
    <w:rsid w:val="00A0018F"/>
    <w:rsid w:val="00A0247D"/>
    <w:rsid w:val="00A026A8"/>
    <w:rsid w:val="00A0554D"/>
    <w:rsid w:val="00A077F9"/>
    <w:rsid w:val="00A11073"/>
    <w:rsid w:val="00A13A8E"/>
    <w:rsid w:val="00A14C3A"/>
    <w:rsid w:val="00A206C3"/>
    <w:rsid w:val="00A218C7"/>
    <w:rsid w:val="00A21CE0"/>
    <w:rsid w:val="00A2381C"/>
    <w:rsid w:val="00A269D1"/>
    <w:rsid w:val="00A27937"/>
    <w:rsid w:val="00A335FF"/>
    <w:rsid w:val="00A3366A"/>
    <w:rsid w:val="00A33B05"/>
    <w:rsid w:val="00A346AF"/>
    <w:rsid w:val="00A34865"/>
    <w:rsid w:val="00A359D7"/>
    <w:rsid w:val="00A35CD9"/>
    <w:rsid w:val="00A36017"/>
    <w:rsid w:val="00A36CBF"/>
    <w:rsid w:val="00A4778D"/>
    <w:rsid w:val="00A47A4A"/>
    <w:rsid w:val="00A50F94"/>
    <w:rsid w:val="00A571D8"/>
    <w:rsid w:val="00A6196A"/>
    <w:rsid w:val="00A61D5D"/>
    <w:rsid w:val="00A620B1"/>
    <w:rsid w:val="00A65BB2"/>
    <w:rsid w:val="00A668B3"/>
    <w:rsid w:val="00A6752B"/>
    <w:rsid w:val="00A7173C"/>
    <w:rsid w:val="00A76761"/>
    <w:rsid w:val="00A803DC"/>
    <w:rsid w:val="00A86A5B"/>
    <w:rsid w:val="00A871EF"/>
    <w:rsid w:val="00A90B62"/>
    <w:rsid w:val="00A91C66"/>
    <w:rsid w:val="00A91E31"/>
    <w:rsid w:val="00A92205"/>
    <w:rsid w:val="00A95D05"/>
    <w:rsid w:val="00A970A3"/>
    <w:rsid w:val="00AA42DD"/>
    <w:rsid w:val="00AA62B3"/>
    <w:rsid w:val="00AA6CEA"/>
    <w:rsid w:val="00AA7F0C"/>
    <w:rsid w:val="00AB1605"/>
    <w:rsid w:val="00AB3066"/>
    <w:rsid w:val="00AB31F4"/>
    <w:rsid w:val="00AB47CB"/>
    <w:rsid w:val="00AB6928"/>
    <w:rsid w:val="00AC02BB"/>
    <w:rsid w:val="00AC113A"/>
    <w:rsid w:val="00AC37DE"/>
    <w:rsid w:val="00AC6A59"/>
    <w:rsid w:val="00AC71DB"/>
    <w:rsid w:val="00AD0B99"/>
    <w:rsid w:val="00AF781C"/>
    <w:rsid w:val="00B00888"/>
    <w:rsid w:val="00B01C86"/>
    <w:rsid w:val="00B040B4"/>
    <w:rsid w:val="00B04545"/>
    <w:rsid w:val="00B06B1E"/>
    <w:rsid w:val="00B1338A"/>
    <w:rsid w:val="00B16B82"/>
    <w:rsid w:val="00B17B79"/>
    <w:rsid w:val="00B22594"/>
    <w:rsid w:val="00B25013"/>
    <w:rsid w:val="00B2512D"/>
    <w:rsid w:val="00B259DE"/>
    <w:rsid w:val="00B25E4D"/>
    <w:rsid w:val="00B26397"/>
    <w:rsid w:val="00B303B5"/>
    <w:rsid w:val="00B3087D"/>
    <w:rsid w:val="00B32E77"/>
    <w:rsid w:val="00B35D59"/>
    <w:rsid w:val="00B36048"/>
    <w:rsid w:val="00B368C8"/>
    <w:rsid w:val="00B37F6C"/>
    <w:rsid w:val="00B44514"/>
    <w:rsid w:val="00B47C0D"/>
    <w:rsid w:val="00B55359"/>
    <w:rsid w:val="00B61270"/>
    <w:rsid w:val="00B6146F"/>
    <w:rsid w:val="00B62647"/>
    <w:rsid w:val="00B640FB"/>
    <w:rsid w:val="00B64B26"/>
    <w:rsid w:val="00B671E7"/>
    <w:rsid w:val="00B70799"/>
    <w:rsid w:val="00B7266B"/>
    <w:rsid w:val="00B76974"/>
    <w:rsid w:val="00B770D2"/>
    <w:rsid w:val="00B867E0"/>
    <w:rsid w:val="00B87CD1"/>
    <w:rsid w:val="00B90C3F"/>
    <w:rsid w:val="00B94645"/>
    <w:rsid w:val="00B95EAA"/>
    <w:rsid w:val="00B96D40"/>
    <w:rsid w:val="00BA097F"/>
    <w:rsid w:val="00BA0CF5"/>
    <w:rsid w:val="00BA403C"/>
    <w:rsid w:val="00BA425D"/>
    <w:rsid w:val="00BA495F"/>
    <w:rsid w:val="00BA6A5D"/>
    <w:rsid w:val="00BB14DE"/>
    <w:rsid w:val="00BC0983"/>
    <w:rsid w:val="00BE1A3F"/>
    <w:rsid w:val="00BE245F"/>
    <w:rsid w:val="00BE3F31"/>
    <w:rsid w:val="00BE5549"/>
    <w:rsid w:val="00BE7CCD"/>
    <w:rsid w:val="00BE7DB3"/>
    <w:rsid w:val="00BF0E0B"/>
    <w:rsid w:val="00BF65EF"/>
    <w:rsid w:val="00BF7F9C"/>
    <w:rsid w:val="00C0211B"/>
    <w:rsid w:val="00C02453"/>
    <w:rsid w:val="00C134E4"/>
    <w:rsid w:val="00C141C4"/>
    <w:rsid w:val="00C1495B"/>
    <w:rsid w:val="00C20AD8"/>
    <w:rsid w:val="00C21325"/>
    <w:rsid w:val="00C25A20"/>
    <w:rsid w:val="00C27E1D"/>
    <w:rsid w:val="00C27F6A"/>
    <w:rsid w:val="00C32199"/>
    <w:rsid w:val="00C337D3"/>
    <w:rsid w:val="00C372D2"/>
    <w:rsid w:val="00C41C65"/>
    <w:rsid w:val="00C42324"/>
    <w:rsid w:val="00C44529"/>
    <w:rsid w:val="00C44DFC"/>
    <w:rsid w:val="00C54C87"/>
    <w:rsid w:val="00C5579E"/>
    <w:rsid w:val="00C56C5C"/>
    <w:rsid w:val="00C6100D"/>
    <w:rsid w:val="00C704B4"/>
    <w:rsid w:val="00C70625"/>
    <w:rsid w:val="00C70C8C"/>
    <w:rsid w:val="00C7282F"/>
    <w:rsid w:val="00C72C89"/>
    <w:rsid w:val="00C733AD"/>
    <w:rsid w:val="00C74095"/>
    <w:rsid w:val="00C76461"/>
    <w:rsid w:val="00C772A6"/>
    <w:rsid w:val="00C814BE"/>
    <w:rsid w:val="00C8315E"/>
    <w:rsid w:val="00C8432A"/>
    <w:rsid w:val="00C8444C"/>
    <w:rsid w:val="00C87B43"/>
    <w:rsid w:val="00C91C9D"/>
    <w:rsid w:val="00C923C2"/>
    <w:rsid w:val="00C953F3"/>
    <w:rsid w:val="00C974D6"/>
    <w:rsid w:val="00CA13A8"/>
    <w:rsid w:val="00CA3ABA"/>
    <w:rsid w:val="00CA521F"/>
    <w:rsid w:val="00CA6852"/>
    <w:rsid w:val="00CB4DD6"/>
    <w:rsid w:val="00CB761A"/>
    <w:rsid w:val="00CC32FE"/>
    <w:rsid w:val="00CC6A57"/>
    <w:rsid w:val="00CD17A7"/>
    <w:rsid w:val="00CD31FF"/>
    <w:rsid w:val="00CD588D"/>
    <w:rsid w:val="00CD6B1C"/>
    <w:rsid w:val="00CD7408"/>
    <w:rsid w:val="00CE3920"/>
    <w:rsid w:val="00CE5AF1"/>
    <w:rsid w:val="00CE7071"/>
    <w:rsid w:val="00CF2636"/>
    <w:rsid w:val="00CF53D2"/>
    <w:rsid w:val="00CF6D36"/>
    <w:rsid w:val="00D065B6"/>
    <w:rsid w:val="00D1032D"/>
    <w:rsid w:val="00D115D2"/>
    <w:rsid w:val="00D11993"/>
    <w:rsid w:val="00D15A9E"/>
    <w:rsid w:val="00D174A2"/>
    <w:rsid w:val="00D2031F"/>
    <w:rsid w:val="00D2323F"/>
    <w:rsid w:val="00D24D2D"/>
    <w:rsid w:val="00D25158"/>
    <w:rsid w:val="00D25F40"/>
    <w:rsid w:val="00D26417"/>
    <w:rsid w:val="00D31FFD"/>
    <w:rsid w:val="00D3522A"/>
    <w:rsid w:val="00D3565E"/>
    <w:rsid w:val="00D37B36"/>
    <w:rsid w:val="00D400BC"/>
    <w:rsid w:val="00D401AE"/>
    <w:rsid w:val="00D4079A"/>
    <w:rsid w:val="00D4108A"/>
    <w:rsid w:val="00D41342"/>
    <w:rsid w:val="00D4652E"/>
    <w:rsid w:val="00D53228"/>
    <w:rsid w:val="00D55D54"/>
    <w:rsid w:val="00D5661E"/>
    <w:rsid w:val="00D60EBD"/>
    <w:rsid w:val="00D70503"/>
    <w:rsid w:val="00D70E10"/>
    <w:rsid w:val="00D710E0"/>
    <w:rsid w:val="00D718F6"/>
    <w:rsid w:val="00D7712D"/>
    <w:rsid w:val="00D8045A"/>
    <w:rsid w:val="00D8195C"/>
    <w:rsid w:val="00D82361"/>
    <w:rsid w:val="00D86422"/>
    <w:rsid w:val="00D92996"/>
    <w:rsid w:val="00DA3CAC"/>
    <w:rsid w:val="00DA3E45"/>
    <w:rsid w:val="00DA54E3"/>
    <w:rsid w:val="00DB48B0"/>
    <w:rsid w:val="00DB5DA9"/>
    <w:rsid w:val="00DB650B"/>
    <w:rsid w:val="00DB6550"/>
    <w:rsid w:val="00DB784C"/>
    <w:rsid w:val="00DC0B8B"/>
    <w:rsid w:val="00DC2402"/>
    <w:rsid w:val="00DC2CF6"/>
    <w:rsid w:val="00DC6D2F"/>
    <w:rsid w:val="00DD032D"/>
    <w:rsid w:val="00DD6E66"/>
    <w:rsid w:val="00DE1400"/>
    <w:rsid w:val="00DE20B4"/>
    <w:rsid w:val="00DE2604"/>
    <w:rsid w:val="00DF00D9"/>
    <w:rsid w:val="00DF15B1"/>
    <w:rsid w:val="00DF45BE"/>
    <w:rsid w:val="00DF6546"/>
    <w:rsid w:val="00E00399"/>
    <w:rsid w:val="00E061DB"/>
    <w:rsid w:val="00E06634"/>
    <w:rsid w:val="00E06D5C"/>
    <w:rsid w:val="00E06E0F"/>
    <w:rsid w:val="00E112DD"/>
    <w:rsid w:val="00E128E1"/>
    <w:rsid w:val="00E13435"/>
    <w:rsid w:val="00E1382A"/>
    <w:rsid w:val="00E14D90"/>
    <w:rsid w:val="00E23A0A"/>
    <w:rsid w:val="00E2419E"/>
    <w:rsid w:val="00E24522"/>
    <w:rsid w:val="00E2688A"/>
    <w:rsid w:val="00E30049"/>
    <w:rsid w:val="00E30BA7"/>
    <w:rsid w:val="00E36C6A"/>
    <w:rsid w:val="00E436A7"/>
    <w:rsid w:val="00E44B37"/>
    <w:rsid w:val="00E46460"/>
    <w:rsid w:val="00E47890"/>
    <w:rsid w:val="00E529E6"/>
    <w:rsid w:val="00E546E1"/>
    <w:rsid w:val="00E56FC0"/>
    <w:rsid w:val="00E57EA0"/>
    <w:rsid w:val="00E6562A"/>
    <w:rsid w:val="00E73762"/>
    <w:rsid w:val="00E7740B"/>
    <w:rsid w:val="00E81EF1"/>
    <w:rsid w:val="00E82CC0"/>
    <w:rsid w:val="00E8505C"/>
    <w:rsid w:val="00E8630D"/>
    <w:rsid w:val="00E90B7A"/>
    <w:rsid w:val="00E91B98"/>
    <w:rsid w:val="00E92BB9"/>
    <w:rsid w:val="00E9300C"/>
    <w:rsid w:val="00E9560A"/>
    <w:rsid w:val="00E974E7"/>
    <w:rsid w:val="00EA3998"/>
    <w:rsid w:val="00EA44BD"/>
    <w:rsid w:val="00EB1BE2"/>
    <w:rsid w:val="00EB1FDF"/>
    <w:rsid w:val="00EB43ED"/>
    <w:rsid w:val="00EB4783"/>
    <w:rsid w:val="00EB518D"/>
    <w:rsid w:val="00EB6C2B"/>
    <w:rsid w:val="00EB7417"/>
    <w:rsid w:val="00EB7DE8"/>
    <w:rsid w:val="00EB7F94"/>
    <w:rsid w:val="00EC0964"/>
    <w:rsid w:val="00EC24C6"/>
    <w:rsid w:val="00EC33A7"/>
    <w:rsid w:val="00EC4BA2"/>
    <w:rsid w:val="00EC5A8C"/>
    <w:rsid w:val="00EC6D86"/>
    <w:rsid w:val="00EC7A98"/>
    <w:rsid w:val="00ED06BF"/>
    <w:rsid w:val="00ED2170"/>
    <w:rsid w:val="00ED6ADB"/>
    <w:rsid w:val="00EE02FC"/>
    <w:rsid w:val="00EE4810"/>
    <w:rsid w:val="00EE6FEF"/>
    <w:rsid w:val="00EF290D"/>
    <w:rsid w:val="00EF4A24"/>
    <w:rsid w:val="00F00058"/>
    <w:rsid w:val="00F058DD"/>
    <w:rsid w:val="00F06949"/>
    <w:rsid w:val="00F1046D"/>
    <w:rsid w:val="00F10497"/>
    <w:rsid w:val="00F13E22"/>
    <w:rsid w:val="00F14DAE"/>
    <w:rsid w:val="00F17C29"/>
    <w:rsid w:val="00F2038F"/>
    <w:rsid w:val="00F2095D"/>
    <w:rsid w:val="00F22357"/>
    <w:rsid w:val="00F24C98"/>
    <w:rsid w:val="00F2771F"/>
    <w:rsid w:val="00F27E47"/>
    <w:rsid w:val="00F33470"/>
    <w:rsid w:val="00F36CC2"/>
    <w:rsid w:val="00F4302B"/>
    <w:rsid w:val="00F43201"/>
    <w:rsid w:val="00F45E6C"/>
    <w:rsid w:val="00F53B58"/>
    <w:rsid w:val="00F57148"/>
    <w:rsid w:val="00F57F74"/>
    <w:rsid w:val="00F60C7C"/>
    <w:rsid w:val="00F648E1"/>
    <w:rsid w:val="00F66DCE"/>
    <w:rsid w:val="00F729B1"/>
    <w:rsid w:val="00F771BB"/>
    <w:rsid w:val="00F81569"/>
    <w:rsid w:val="00F81805"/>
    <w:rsid w:val="00F84A3F"/>
    <w:rsid w:val="00F85830"/>
    <w:rsid w:val="00F9005C"/>
    <w:rsid w:val="00F90D9F"/>
    <w:rsid w:val="00F93980"/>
    <w:rsid w:val="00F95734"/>
    <w:rsid w:val="00F97F4E"/>
    <w:rsid w:val="00FA0274"/>
    <w:rsid w:val="00FA24BD"/>
    <w:rsid w:val="00FA344D"/>
    <w:rsid w:val="00FA5BDB"/>
    <w:rsid w:val="00FA7623"/>
    <w:rsid w:val="00FC2CC9"/>
    <w:rsid w:val="00FC51E5"/>
    <w:rsid w:val="00FE5B8E"/>
    <w:rsid w:val="00FE7926"/>
    <w:rsid w:val="00FF1DCC"/>
    <w:rsid w:val="00FF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627E3D"/>
  <w15:docId w15:val="{813048A0-2026-4F2B-88AA-5DD8B2C7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87D"/>
    <w:pPr>
      <w:spacing w:before="180" w:after="180"/>
    </w:pPr>
  </w:style>
  <w:style w:type="paragraph" w:styleId="Heading1">
    <w:name w:val="heading 1"/>
    <w:basedOn w:val="Normal"/>
    <w:next w:val="Normal"/>
    <w:link w:val="Heading1Char"/>
    <w:uiPriority w:val="9"/>
    <w:qFormat/>
    <w:rsid w:val="00B3087D"/>
    <w:pPr>
      <w:keepNext/>
      <w:keepLines/>
      <w:numPr>
        <w:numId w:val="14"/>
      </w:numPr>
      <w:ind w:left="714" w:hanging="357"/>
      <w:outlineLvl w:val="0"/>
    </w:pPr>
    <w:rPr>
      <w:rFonts w:ascii="Arial" w:eastAsiaTheme="majorEastAsia" w:hAnsi="Arial"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54D"/>
    <w:rPr>
      <w:rFonts w:ascii="Tahoma" w:hAnsi="Tahoma" w:cs="Tahoma"/>
      <w:sz w:val="16"/>
      <w:szCs w:val="16"/>
    </w:rPr>
  </w:style>
  <w:style w:type="table" w:styleId="TableGrid">
    <w:name w:val="Table Grid"/>
    <w:basedOn w:val="TableNormal"/>
    <w:uiPriority w:val="59"/>
    <w:rsid w:val="0075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6">
    <w:name w:val="OmniPage #6"/>
    <w:basedOn w:val="Normal"/>
    <w:rsid w:val="00A335FF"/>
    <w:pPr>
      <w:overflowPunct w:val="0"/>
      <w:autoSpaceDE w:val="0"/>
      <w:autoSpaceDN w:val="0"/>
      <w:adjustRightInd w:val="0"/>
      <w:spacing w:after="0" w:line="111" w:lineRule="exact"/>
      <w:ind w:left="52" w:right="50"/>
      <w:textAlignment w:val="baseline"/>
    </w:pPr>
    <w:rPr>
      <w:rFonts w:ascii="Times New Roman" w:eastAsia="Times New Roman" w:hAnsi="Times New Roman" w:cs="Times New Roman"/>
      <w:noProof/>
      <w:sz w:val="20"/>
      <w:szCs w:val="20"/>
    </w:rPr>
  </w:style>
  <w:style w:type="paragraph" w:customStyle="1" w:styleId="OmniPage35">
    <w:name w:val="OmniPage #35"/>
    <w:basedOn w:val="Normal"/>
    <w:rsid w:val="00A335FF"/>
    <w:pPr>
      <w:tabs>
        <w:tab w:val="right" w:pos="2245"/>
      </w:tabs>
      <w:overflowPunct w:val="0"/>
      <w:autoSpaceDE w:val="0"/>
      <w:autoSpaceDN w:val="0"/>
      <w:adjustRightInd w:val="0"/>
      <w:spacing w:after="0" w:line="113" w:lineRule="exact"/>
      <w:ind w:left="50" w:right="50"/>
      <w:textAlignment w:val="baseline"/>
    </w:pPr>
    <w:rPr>
      <w:rFonts w:ascii="Times New Roman" w:eastAsia="Times New Roman" w:hAnsi="Times New Roman" w:cs="Times New Roman"/>
      <w:noProof/>
      <w:sz w:val="20"/>
      <w:szCs w:val="20"/>
    </w:rPr>
  </w:style>
  <w:style w:type="paragraph" w:customStyle="1" w:styleId="OmniPage34">
    <w:name w:val="OmniPage #34"/>
    <w:basedOn w:val="Normal"/>
    <w:rsid w:val="00A335FF"/>
    <w:pPr>
      <w:tabs>
        <w:tab w:val="right" w:pos="1896"/>
      </w:tabs>
      <w:overflowPunct w:val="0"/>
      <w:autoSpaceDE w:val="0"/>
      <w:autoSpaceDN w:val="0"/>
      <w:adjustRightInd w:val="0"/>
      <w:spacing w:after="0" w:line="110" w:lineRule="exact"/>
      <w:ind w:left="50" w:right="50"/>
      <w:textAlignment w:val="baseline"/>
    </w:pPr>
    <w:rPr>
      <w:rFonts w:ascii="Times New Roman" w:eastAsia="Times New Roman" w:hAnsi="Times New Roman" w:cs="Times New Roman"/>
      <w:noProof/>
      <w:sz w:val="20"/>
      <w:szCs w:val="20"/>
    </w:rPr>
  </w:style>
  <w:style w:type="paragraph" w:customStyle="1" w:styleId="OmniPage36">
    <w:name w:val="OmniPage #36"/>
    <w:basedOn w:val="Normal"/>
    <w:rsid w:val="00A335FF"/>
    <w:pPr>
      <w:tabs>
        <w:tab w:val="right" w:pos="1191"/>
      </w:tabs>
      <w:overflowPunct w:val="0"/>
      <w:autoSpaceDE w:val="0"/>
      <w:autoSpaceDN w:val="0"/>
      <w:adjustRightInd w:val="0"/>
      <w:spacing w:after="0" w:line="108" w:lineRule="exact"/>
      <w:ind w:left="50" w:right="1104"/>
      <w:textAlignment w:val="baseline"/>
    </w:pPr>
    <w:rPr>
      <w:rFonts w:ascii="Times New Roman" w:eastAsia="Times New Roman" w:hAnsi="Times New Roman" w:cs="Times New Roman"/>
      <w:noProof/>
      <w:sz w:val="20"/>
      <w:szCs w:val="20"/>
    </w:rPr>
  </w:style>
  <w:style w:type="paragraph" w:customStyle="1" w:styleId="OmniPage37">
    <w:name w:val="OmniPage #37"/>
    <w:basedOn w:val="Normal"/>
    <w:rsid w:val="00A335FF"/>
    <w:pPr>
      <w:overflowPunct w:val="0"/>
      <w:autoSpaceDE w:val="0"/>
      <w:autoSpaceDN w:val="0"/>
      <w:adjustRightInd w:val="0"/>
      <w:spacing w:after="0" w:line="126" w:lineRule="exact"/>
      <w:ind w:left="54" w:right="418"/>
      <w:textAlignment w:val="baseline"/>
    </w:pPr>
    <w:rPr>
      <w:rFonts w:ascii="Times New Roman" w:eastAsia="Times New Roman" w:hAnsi="Times New Roman" w:cs="Times New Roman"/>
      <w:noProof/>
      <w:sz w:val="20"/>
      <w:szCs w:val="20"/>
    </w:rPr>
  </w:style>
  <w:style w:type="paragraph" w:customStyle="1" w:styleId="OmniPage38">
    <w:name w:val="OmniPage #38"/>
    <w:basedOn w:val="Normal"/>
    <w:rsid w:val="00A335FF"/>
    <w:pPr>
      <w:tabs>
        <w:tab w:val="left" w:pos="5168"/>
        <w:tab w:val="right" w:pos="5752"/>
      </w:tabs>
      <w:overflowPunct w:val="0"/>
      <w:autoSpaceDE w:val="0"/>
      <w:autoSpaceDN w:val="0"/>
      <w:adjustRightInd w:val="0"/>
      <w:spacing w:after="0" w:line="126" w:lineRule="exact"/>
      <w:ind w:left="50" w:right="50"/>
      <w:textAlignment w:val="baseline"/>
    </w:pPr>
    <w:rPr>
      <w:rFonts w:ascii="Times New Roman" w:eastAsia="Times New Roman" w:hAnsi="Times New Roman" w:cs="Times New Roman"/>
      <w:noProof/>
      <w:sz w:val="20"/>
      <w:szCs w:val="20"/>
    </w:rPr>
  </w:style>
  <w:style w:type="character" w:styleId="Hyperlink">
    <w:name w:val="Hyperlink"/>
    <w:uiPriority w:val="99"/>
    <w:rsid w:val="00A335FF"/>
    <w:rPr>
      <w:color w:val="0000FF"/>
      <w:u w:val="single"/>
    </w:rPr>
  </w:style>
  <w:style w:type="character" w:styleId="CommentReference">
    <w:name w:val="annotation reference"/>
    <w:basedOn w:val="DefaultParagraphFont"/>
    <w:unhideWhenUsed/>
    <w:rsid w:val="00642D7D"/>
    <w:rPr>
      <w:sz w:val="16"/>
      <w:szCs w:val="16"/>
    </w:rPr>
  </w:style>
  <w:style w:type="paragraph" w:styleId="CommentText">
    <w:name w:val="annotation text"/>
    <w:basedOn w:val="Normal"/>
    <w:link w:val="CommentTextChar"/>
    <w:unhideWhenUsed/>
    <w:qFormat/>
    <w:rsid w:val="00642D7D"/>
    <w:pPr>
      <w:spacing w:line="240" w:lineRule="auto"/>
    </w:pPr>
    <w:rPr>
      <w:sz w:val="20"/>
      <w:szCs w:val="20"/>
    </w:rPr>
  </w:style>
  <w:style w:type="character" w:customStyle="1" w:styleId="CommentTextChar">
    <w:name w:val="Comment Text Char"/>
    <w:basedOn w:val="DefaultParagraphFont"/>
    <w:link w:val="CommentText"/>
    <w:rsid w:val="00642D7D"/>
    <w:rPr>
      <w:sz w:val="20"/>
      <w:szCs w:val="20"/>
    </w:rPr>
  </w:style>
  <w:style w:type="paragraph" w:styleId="CommentSubject">
    <w:name w:val="annotation subject"/>
    <w:basedOn w:val="CommentText"/>
    <w:next w:val="CommentText"/>
    <w:link w:val="CommentSubjectChar"/>
    <w:uiPriority w:val="99"/>
    <w:semiHidden/>
    <w:unhideWhenUsed/>
    <w:rsid w:val="00642D7D"/>
    <w:rPr>
      <w:b/>
      <w:bCs/>
    </w:rPr>
  </w:style>
  <w:style w:type="character" w:customStyle="1" w:styleId="CommentSubjectChar">
    <w:name w:val="Comment Subject Char"/>
    <w:basedOn w:val="CommentTextChar"/>
    <w:link w:val="CommentSubject"/>
    <w:uiPriority w:val="99"/>
    <w:semiHidden/>
    <w:rsid w:val="00642D7D"/>
    <w:rPr>
      <w:b/>
      <w:bCs/>
      <w:sz w:val="20"/>
      <w:szCs w:val="20"/>
    </w:rPr>
  </w:style>
  <w:style w:type="paragraph" w:styleId="ListParagraph">
    <w:name w:val="List Paragraph"/>
    <w:basedOn w:val="Normal"/>
    <w:uiPriority w:val="34"/>
    <w:qFormat/>
    <w:rsid w:val="003A4D04"/>
    <w:pPr>
      <w:ind w:left="720"/>
      <w:contextualSpacing/>
    </w:pPr>
  </w:style>
  <w:style w:type="paragraph" w:styleId="Revision">
    <w:name w:val="Revision"/>
    <w:hidden/>
    <w:uiPriority w:val="99"/>
    <w:semiHidden/>
    <w:rsid w:val="00FA5BDB"/>
    <w:pPr>
      <w:spacing w:after="0" w:line="240" w:lineRule="auto"/>
    </w:pPr>
  </w:style>
  <w:style w:type="paragraph" w:customStyle="1" w:styleId="Default">
    <w:name w:val="Default"/>
    <w:rsid w:val="00FA5BDB"/>
    <w:pPr>
      <w:autoSpaceDE w:val="0"/>
      <w:autoSpaceDN w:val="0"/>
      <w:adjustRightInd w:val="0"/>
      <w:spacing w:after="0" w:line="240" w:lineRule="auto"/>
    </w:pPr>
    <w:rPr>
      <w:rFonts w:ascii="Arial" w:hAnsi="Arial" w:cs="Arial"/>
      <w:color w:val="000000"/>
      <w:sz w:val="24"/>
      <w:szCs w:val="24"/>
      <w:lang w:val="en-AU"/>
    </w:rPr>
  </w:style>
  <w:style w:type="paragraph" w:styleId="Header">
    <w:name w:val="header"/>
    <w:basedOn w:val="Normal"/>
    <w:link w:val="HeaderChar"/>
    <w:uiPriority w:val="99"/>
    <w:unhideWhenUsed/>
    <w:rsid w:val="0014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CF0"/>
  </w:style>
  <w:style w:type="paragraph" w:styleId="Footer">
    <w:name w:val="footer"/>
    <w:basedOn w:val="Normal"/>
    <w:link w:val="FooterChar"/>
    <w:uiPriority w:val="99"/>
    <w:unhideWhenUsed/>
    <w:rsid w:val="0014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CF0"/>
  </w:style>
  <w:style w:type="paragraph" w:styleId="EndnoteText">
    <w:name w:val="endnote text"/>
    <w:basedOn w:val="Normal"/>
    <w:link w:val="EndnoteTextChar"/>
    <w:uiPriority w:val="99"/>
    <w:semiHidden/>
    <w:unhideWhenUsed/>
    <w:rsid w:val="00CE5A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5AF1"/>
    <w:rPr>
      <w:sz w:val="20"/>
      <w:szCs w:val="20"/>
    </w:rPr>
  </w:style>
  <w:style w:type="character" w:styleId="EndnoteReference">
    <w:name w:val="endnote reference"/>
    <w:basedOn w:val="DefaultParagraphFont"/>
    <w:uiPriority w:val="99"/>
    <w:semiHidden/>
    <w:unhideWhenUsed/>
    <w:rsid w:val="00CE5AF1"/>
    <w:rPr>
      <w:vertAlign w:val="superscript"/>
    </w:rPr>
  </w:style>
  <w:style w:type="character" w:customStyle="1" w:styleId="Heading1Char">
    <w:name w:val="Heading 1 Char"/>
    <w:basedOn w:val="DefaultParagraphFont"/>
    <w:link w:val="Heading1"/>
    <w:uiPriority w:val="9"/>
    <w:rsid w:val="00B3087D"/>
    <w:rPr>
      <w:rFonts w:ascii="Arial" w:eastAsiaTheme="majorEastAsia" w:hAnsi="Arial" w:cs="Arial"/>
      <w:b/>
      <w:bCs/>
      <w:color w:val="000000" w:themeColor="text1"/>
    </w:rPr>
  </w:style>
  <w:style w:type="paragraph" w:customStyle="1" w:styleId="Text">
    <w:name w:val="Text"/>
    <w:basedOn w:val="Normal"/>
    <w:link w:val="TextChar"/>
    <w:rsid w:val="00E47890"/>
    <w:pPr>
      <w:spacing w:before="120" w:after="0" w:line="240" w:lineRule="auto"/>
      <w:jc w:val="both"/>
    </w:pPr>
    <w:rPr>
      <w:rFonts w:ascii="Times New Roman" w:eastAsia="MS Mincho" w:hAnsi="Times New Roman" w:cs="Times New Roman"/>
      <w:sz w:val="24"/>
      <w:szCs w:val="20"/>
    </w:rPr>
  </w:style>
  <w:style w:type="character" w:customStyle="1" w:styleId="TextChar">
    <w:name w:val="Text Char"/>
    <w:link w:val="Text"/>
    <w:locked/>
    <w:rsid w:val="00E47890"/>
    <w:rPr>
      <w:rFonts w:ascii="Times New Roman" w:eastAsia="MS Mincho" w:hAnsi="Times New Roman" w:cs="Times New Roman"/>
      <w:sz w:val="24"/>
      <w:szCs w:val="20"/>
    </w:rPr>
  </w:style>
  <w:style w:type="paragraph" w:styleId="FootnoteText">
    <w:name w:val="footnote text"/>
    <w:basedOn w:val="Normal"/>
    <w:link w:val="FootnoteTextChar"/>
    <w:uiPriority w:val="99"/>
    <w:semiHidden/>
    <w:unhideWhenUsed/>
    <w:rsid w:val="003D31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11F"/>
    <w:rPr>
      <w:sz w:val="20"/>
      <w:szCs w:val="20"/>
    </w:rPr>
  </w:style>
  <w:style w:type="character" w:styleId="FootnoteReference">
    <w:name w:val="footnote reference"/>
    <w:basedOn w:val="DefaultParagraphFont"/>
    <w:uiPriority w:val="99"/>
    <w:semiHidden/>
    <w:unhideWhenUsed/>
    <w:rsid w:val="003D311F"/>
    <w:rPr>
      <w:vertAlign w:val="superscript"/>
    </w:rPr>
  </w:style>
  <w:style w:type="paragraph" w:styleId="BodyText">
    <w:name w:val="Body Text"/>
    <w:basedOn w:val="Normal"/>
    <w:link w:val="BodyTextChar"/>
    <w:rsid w:val="00792EA4"/>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792EA4"/>
    <w:rPr>
      <w:rFonts w:ascii="Times New Roman" w:eastAsia="Times New Roman" w:hAnsi="Times New Roman" w:cs="Times New Roman"/>
      <w:sz w:val="24"/>
      <w:szCs w:val="24"/>
      <w:lang w:val="en-GB"/>
    </w:rPr>
  </w:style>
  <w:style w:type="character" w:customStyle="1" w:styleId="BodyBlue">
    <w:name w:val="Body Blue"/>
    <w:qFormat/>
    <w:rsid w:val="00792EA4"/>
    <w:rPr>
      <w:rFonts w:ascii="Times New Roman" w:hAnsi="Times New Roman"/>
      <w:b w:val="0"/>
      <w:i w:val="0"/>
      <w:color w:val="0000FF"/>
      <w:sz w:val="24"/>
    </w:rPr>
  </w:style>
  <w:style w:type="paragraph" w:styleId="Title">
    <w:name w:val="Title"/>
    <w:basedOn w:val="Normal"/>
    <w:link w:val="TitleChar"/>
    <w:uiPriority w:val="10"/>
    <w:qFormat/>
    <w:rsid w:val="00792EA4"/>
    <w:pPr>
      <w:spacing w:after="0" w:line="240" w:lineRule="auto"/>
      <w:jc w:val="center"/>
    </w:pPr>
    <w:rPr>
      <w:rFonts w:ascii="Times New Roman" w:eastAsia="Calibri" w:hAnsi="Times New Roman" w:cs="Times New Roman"/>
      <w:b/>
      <w:bCs/>
      <w:sz w:val="24"/>
      <w:szCs w:val="24"/>
      <w:lang w:val="en-AU" w:eastAsia="en-AU"/>
    </w:rPr>
  </w:style>
  <w:style w:type="character" w:customStyle="1" w:styleId="TitleChar">
    <w:name w:val="Title Char"/>
    <w:basedOn w:val="DefaultParagraphFont"/>
    <w:link w:val="Title"/>
    <w:uiPriority w:val="10"/>
    <w:rsid w:val="00792EA4"/>
    <w:rPr>
      <w:rFonts w:ascii="Times New Roman" w:eastAsia="Calibri" w:hAnsi="Times New Roman" w:cs="Times New Roman"/>
      <w:b/>
      <w:bCs/>
      <w:sz w:val="24"/>
      <w:szCs w:val="24"/>
      <w:lang w:val="en-AU" w:eastAsia="en-AU"/>
    </w:rPr>
  </w:style>
  <w:style w:type="paragraph" w:styleId="NormalWeb">
    <w:name w:val="Normal (Web)"/>
    <w:basedOn w:val="Normal"/>
    <w:uiPriority w:val="99"/>
    <w:semiHidden/>
    <w:unhideWhenUsed/>
    <w:rsid w:val="0051102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dicatednumber">
    <w:name w:val="Dedicatednumber"/>
    <w:basedOn w:val="Normal"/>
    <w:uiPriority w:val="99"/>
    <w:rsid w:val="00745DA1"/>
    <w:pPr>
      <w:keepNext/>
      <w:spacing w:before="720" w:after="0" w:line="240" w:lineRule="auto"/>
      <w:jc w:val="center"/>
    </w:pPr>
    <w:rPr>
      <w:rFonts w:ascii="Arial" w:eastAsia="MS Gothic" w:hAnsi="Arial" w:cs="Times New Roman"/>
      <w:sz w:val="28"/>
      <w:szCs w:val="20"/>
    </w:rPr>
  </w:style>
  <w:style w:type="paragraph" w:customStyle="1" w:styleId="Pa1">
    <w:name w:val="Pa1"/>
    <w:basedOn w:val="Default"/>
    <w:next w:val="Default"/>
    <w:uiPriority w:val="99"/>
    <w:rsid w:val="00D5661E"/>
    <w:pPr>
      <w:spacing w:line="160" w:lineRule="atLeast"/>
    </w:pPr>
    <w:rPr>
      <w:rFonts w:ascii="Myriad Pro" w:hAnsi="Myriad Pro" w:cstheme="minorBidi"/>
      <w:color w:val="auto"/>
    </w:rPr>
  </w:style>
  <w:style w:type="paragraph" w:customStyle="1" w:styleId="Propertystatement">
    <w:name w:val="Propertystatement"/>
    <w:basedOn w:val="Normal"/>
    <w:rsid w:val="00B06B1E"/>
    <w:pPr>
      <w:spacing w:before="1200" w:after="160" w:line="259" w:lineRule="auto"/>
      <w:jc w:val="center"/>
    </w:pPr>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6388">
      <w:bodyDiv w:val="1"/>
      <w:marLeft w:val="0"/>
      <w:marRight w:val="0"/>
      <w:marTop w:val="0"/>
      <w:marBottom w:val="0"/>
      <w:divBdr>
        <w:top w:val="none" w:sz="0" w:space="0" w:color="auto"/>
        <w:left w:val="none" w:sz="0" w:space="0" w:color="auto"/>
        <w:bottom w:val="none" w:sz="0" w:space="0" w:color="auto"/>
        <w:right w:val="none" w:sz="0" w:space="0" w:color="auto"/>
      </w:divBdr>
    </w:div>
    <w:div w:id="372116022">
      <w:bodyDiv w:val="1"/>
      <w:marLeft w:val="0"/>
      <w:marRight w:val="0"/>
      <w:marTop w:val="0"/>
      <w:marBottom w:val="0"/>
      <w:divBdr>
        <w:top w:val="none" w:sz="0" w:space="0" w:color="auto"/>
        <w:left w:val="none" w:sz="0" w:space="0" w:color="auto"/>
        <w:bottom w:val="none" w:sz="0" w:space="0" w:color="auto"/>
        <w:right w:val="none" w:sz="0" w:space="0" w:color="auto"/>
      </w:divBdr>
    </w:div>
    <w:div w:id="435255628">
      <w:bodyDiv w:val="1"/>
      <w:marLeft w:val="0"/>
      <w:marRight w:val="0"/>
      <w:marTop w:val="0"/>
      <w:marBottom w:val="0"/>
      <w:divBdr>
        <w:top w:val="none" w:sz="0" w:space="0" w:color="auto"/>
        <w:left w:val="none" w:sz="0" w:space="0" w:color="auto"/>
        <w:bottom w:val="none" w:sz="0" w:space="0" w:color="auto"/>
        <w:right w:val="none" w:sz="0" w:space="0" w:color="auto"/>
      </w:divBdr>
    </w:div>
    <w:div w:id="601651941">
      <w:bodyDiv w:val="1"/>
      <w:marLeft w:val="0"/>
      <w:marRight w:val="0"/>
      <w:marTop w:val="0"/>
      <w:marBottom w:val="0"/>
      <w:divBdr>
        <w:top w:val="none" w:sz="0" w:space="0" w:color="auto"/>
        <w:left w:val="none" w:sz="0" w:space="0" w:color="auto"/>
        <w:bottom w:val="none" w:sz="0" w:space="0" w:color="auto"/>
        <w:right w:val="none" w:sz="0" w:space="0" w:color="auto"/>
      </w:divBdr>
    </w:div>
    <w:div w:id="628433497">
      <w:bodyDiv w:val="1"/>
      <w:marLeft w:val="0"/>
      <w:marRight w:val="0"/>
      <w:marTop w:val="0"/>
      <w:marBottom w:val="0"/>
      <w:divBdr>
        <w:top w:val="none" w:sz="0" w:space="0" w:color="auto"/>
        <w:left w:val="none" w:sz="0" w:space="0" w:color="auto"/>
        <w:bottom w:val="none" w:sz="0" w:space="0" w:color="auto"/>
        <w:right w:val="none" w:sz="0" w:space="0" w:color="auto"/>
      </w:divBdr>
    </w:div>
    <w:div w:id="772479567">
      <w:bodyDiv w:val="1"/>
      <w:marLeft w:val="0"/>
      <w:marRight w:val="0"/>
      <w:marTop w:val="0"/>
      <w:marBottom w:val="0"/>
      <w:divBdr>
        <w:top w:val="none" w:sz="0" w:space="0" w:color="auto"/>
        <w:left w:val="none" w:sz="0" w:space="0" w:color="auto"/>
        <w:bottom w:val="none" w:sz="0" w:space="0" w:color="auto"/>
        <w:right w:val="none" w:sz="0" w:space="0" w:color="auto"/>
      </w:divBdr>
    </w:div>
    <w:div w:id="854151091">
      <w:bodyDiv w:val="1"/>
      <w:marLeft w:val="0"/>
      <w:marRight w:val="0"/>
      <w:marTop w:val="0"/>
      <w:marBottom w:val="0"/>
      <w:divBdr>
        <w:top w:val="none" w:sz="0" w:space="0" w:color="auto"/>
        <w:left w:val="none" w:sz="0" w:space="0" w:color="auto"/>
        <w:bottom w:val="none" w:sz="0" w:space="0" w:color="auto"/>
        <w:right w:val="none" w:sz="0" w:space="0" w:color="auto"/>
      </w:divBdr>
    </w:div>
    <w:div w:id="1271284201">
      <w:bodyDiv w:val="1"/>
      <w:marLeft w:val="0"/>
      <w:marRight w:val="0"/>
      <w:marTop w:val="0"/>
      <w:marBottom w:val="0"/>
      <w:divBdr>
        <w:top w:val="none" w:sz="0" w:space="0" w:color="auto"/>
        <w:left w:val="none" w:sz="0" w:space="0" w:color="auto"/>
        <w:bottom w:val="none" w:sz="0" w:space="0" w:color="auto"/>
        <w:right w:val="none" w:sz="0" w:space="0" w:color="auto"/>
      </w:divBdr>
    </w:div>
    <w:div w:id="1389762456">
      <w:bodyDiv w:val="1"/>
      <w:marLeft w:val="0"/>
      <w:marRight w:val="0"/>
      <w:marTop w:val="0"/>
      <w:marBottom w:val="0"/>
      <w:divBdr>
        <w:top w:val="none" w:sz="0" w:space="0" w:color="auto"/>
        <w:left w:val="none" w:sz="0" w:space="0" w:color="auto"/>
        <w:bottom w:val="none" w:sz="0" w:space="0" w:color="auto"/>
        <w:right w:val="none" w:sz="0" w:space="0" w:color="auto"/>
      </w:divBdr>
    </w:div>
    <w:div w:id="1610117615">
      <w:bodyDiv w:val="1"/>
      <w:marLeft w:val="0"/>
      <w:marRight w:val="0"/>
      <w:marTop w:val="0"/>
      <w:marBottom w:val="0"/>
      <w:divBdr>
        <w:top w:val="none" w:sz="0" w:space="0" w:color="auto"/>
        <w:left w:val="none" w:sz="0" w:space="0" w:color="auto"/>
        <w:bottom w:val="none" w:sz="0" w:space="0" w:color="auto"/>
        <w:right w:val="none" w:sz="0" w:space="0" w:color="auto"/>
      </w:divBdr>
    </w:div>
    <w:div w:id="1768647388">
      <w:bodyDiv w:val="1"/>
      <w:marLeft w:val="0"/>
      <w:marRight w:val="0"/>
      <w:marTop w:val="0"/>
      <w:marBottom w:val="0"/>
      <w:divBdr>
        <w:top w:val="none" w:sz="0" w:space="0" w:color="auto"/>
        <w:left w:val="none" w:sz="0" w:space="0" w:color="auto"/>
        <w:bottom w:val="none" w:sz="0" w:space="0" w:color="auto"/>
        <w:right w:val="none" w:sz="0" w:space="0" w:color="auto"/>
      </w:divBdr>
    </w:div>
    <w:div w:id="21119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 Document" ma:contentTypeID="0x01010039983CF8680F544899597C3CF673966A006681E399D2676A4494415B5C34D2395C" ma:contentTypeVersion="8" ma:contentTypeDescription="PI Document Content Type" ma:contentTypeScope="" ma:versionID="ae6d61bf51b5e52cace6de957ed8ea97">
  <xsd:schema xmlns:xsd="http://www.w3.org/2001/XMLSchema" xmlns:p="http://schemas.microsoft.com/office/2006/metadata/properties" xmlns:ns2="17bb8c82-f074-452f-b484-641a2ea4a283" xmlns:ns3="4b8f162b-5636-4821-85da-331af8dff062" targetNamespace="http://schemas.microsoft.com/office/2006/metadata/properties" ma:root="true" ma:fieldsID="b2c203a00581eb0ba9fafbd06b2443a5" ns2:_="" ns3:_="">
    <xsd:import namespace="17bb8c82-f074-452f-b484-641a2ea4a283"/>
    <xsd:import namespace="4b8f162b-5636-4821-85da-331af8dff062"/>
    <xsd:element name="properties">
      <xsd:complexType>
        <xsd:sequence>
          <xsd:element name="documentManagement">
            <xsd:complexType>
              <xsd:all>
                <xsd:element ref="ns2:Revision_x0020_Flag" minOccurs="0"/>
                <xsd:element ref="ns2:Brand_x0020_Name" minOccurs="0"/>
                <xsd:element ref="ns2:Generic_x0020_Name" minOccurs="0"/>
                <xsd:element ref="ns2:PI_x0020_Date" minOccurs="0"/>
                <xsd:element ref="ns2:Dosage_x0020_Form" minOccurs="0"/>
                <xsd:element ref="ns3:Image" minOccurs="0"/>
                <xsd:element ref="ns3:Marketed" minOccurs="0"/>
              </xsd:all>
            </xsd:complexType>
          </xsd:element>
        </xsd:sequence>
      </xsd:complexType>
    </xsd:element>
  </xsd:schema>
  <xsd:schema xmlns:xsd="http://www.w3.org/2001/XMLSchema" xmlns:dms="http://schemas.microsoft.com/office/2006/documentManagement/types" targetNamespace="17bb8c82-f074-452f-b484-641a2ea4a283" elementFormDefault="qualified">
    <xsd:import namespace="http://schemas.microsoft.com/office/2006/documentManagement/types"/>
    <xsd:element name="Revision_x0020_Flag" ma:index="8" nillable="true" ma:displayName="Revision Flag" ma:default="" ma:format="Dropdown" ma:internalName="Revision_x0020_Flag">
      <xsd:simpleType>
        <xsd:restriction base="dms:Choice">
          <xsd:enumeration value="-"/>
          <xsd:enumeration value="Under Revision"/>
        </xsd:restriction>
      </xsd:simpleType>
    </xsd:element>
    <xsd:element name="Brand_x0020_Name" ma:index="9" nillable="true" ma:displayName="Brand" ma:default="Aclasta" ma:format="Dropdown" ma:internalName="Brand_x0020_Name">
      <xsd:simpleType>
        <xsd:union memberTypes="dms:Text">
          <xsd:simpleType>
            <xsd:restriction base="dms:Choice">
              <xsd:enumeration value="Aclasta"/>
              <xsd:enumeration value="Albuferon"/>
              <xsd:enumeration value="Aliskiren Portfolio"/>
              <xsd:enumeration value="Certican"/>
              <xsd:enumeration value="Cubicin"/>
              <xsd:enumeration value="Exelon"/>
              <xsd:enumeration value="Famvir"/>
              <xsd:enumeration value="Galvus"/>
              <xsd:enumeration value="Lescol XL"/>
              <xsd:enumeration value="Lucentis"/>
              <xsd:enumeration value="MS Portfolio"/>
              <xsd:enumeration value="Other CVM Pipeline Products"/>
              <xsd:enumeration value="Respiratory Portfolio"/>
              <xsd:enumeration value="Sebivo"/>
              <xsd:enumeration value="Stalevo"/>
              <xsd:enumeration value="Valsartan Portfolio"/>
            </xsd:restriction>
          </xsd:simpleType>
        </xsd:union>
      </xsd:simpleType>
    </xsd:element>
    <xsd:element name="Generic_x0020_Name" ma:index="10" nillable="true" ma:displayName="Generic Name" ma:internalName="Generic_x0020_Name">
      <xsd:simpleType>
        <xsd:restriction base="dms:Text">
          <xsd:maxLength value="255"/>
        </xsd:restriction>
      </xsd:simpleType>
    </xsd:element>
    <xsd:element name="PI_x0020_Date" ma:index="11" nillable="true" ma:displayName="PI Date" ma:format="DateOnly" ma:internalName="PI_x0020_Date">
      <xsd:simpleType>
        <xsd:restriction base="dms:DateTime"/>
      </xsd:simpleType>
    </xsd:element>
    <xsd:element name="Dosage_x0020_Form" ma:index="12" nillable="true" ma:displayName="Dosage Form" ma:default="Capsule, enteric" ma:format="Dropdown" ma:internalName="Dosage_x0020_Form">
      <xsd:simpleType>
        <xsd:union memberTypes="dms:Text">
          <xsd:simpleType>
            <xsd:restriction base="dms:Choice">
              <xsd:enumeration value="Capsule, enteric"/>
              <xsd:enumeration value="Capsule, hard"/>
              <xsd:enumeration value="Capsule, modified release"/>
              <xsd:enumeration value="Capsule, soft"/>
              <xsd:enumeration value="Capsule, other"/>
              <xsd:enumeration value="Cosmetic"/>
              <xsd:enumeration value="Cream"/>
              <xsd:enumeration value="Drug delivery system, transdermal"/>
              <xsd:enumeration value="Eye Drops"/>
              <xsd:enumeration value="Eye Drops, solution"/>
              <xsd:enumeration value="Eye Drops, suspension"/>
              <xsd:enumeration value="Gel, eye"/>
              <xsd:enumeration value="Gel"/>
              <xsd:enumeration value="Inhalation, powder for"/>
              <xsd:enumeration value="Inhalation, pressurised"/>
              <xsd:enumeration value="Inhalation"/>
              <xsd:enumeration value="Injection, concentrated"/>
              <xsd:enumeration value="Injection, diluent for"/>
              <xsd:enumeration value="Injection, powder for"/>
              <xsd:enumeration value="Injection, solution"/>
              <xsd:enumeration value="Injection, solvent for"/>
              <xsd:enumeration value="Injection"/>
              <xsd:enumeration value="Liquids"/>
              <xsd:enumeration value="Spray, nasal"/>
              <xsd:enumeration value="Nasal Drops"/>
              <xsd:enumeration value="Oral Liquid, powder for"/>
              <xsd:enumeration value="Oral Liquid, solution"/>
              <xsd:enumeration value="Oral Liquid, suspension"/>
              <xsd:enumeration value="Oral Liquid, syrup"/>
              <xsd:enumeration value="Oral Liquid"/>
              <xsd:enumeration value="Powder, oral"/>
              <xsd:enumeration value="Powder"/>
              <xsd:enumeration value="Solution, powder for irrigation"/>
              <xsd:enumeration value="Solution, powder for"/>
              <xsd:enumeration value="Solution"/>
              <xsd:enumeration value="Spray"/>
              <xsd:enumeration value="Suppository"/>
              <xsd:enumeration value="Tablet, dispersible"/>
              <xsd:enumeration value="Tablet, effervescent"/>
              <xsd:enumeration value="Tablet, enteric coated"/>
              <xsd:enumeration value="Tablet, film coated"/>
              <xsd:enumeration value="Tablet, modified release"/>
              <xsd:enumeration value="Tablet, sugar coated"/>
              <xsd:enumeration value="Tablet, uncoated"/>
            </xsd:restriction>
          </xsd:simpleType>
        </xsd:union>
      </xsd:simpleType>
    </xsd:element>
  </xsd:schema>
  <xsd:schema xmlns:xsd="http://www.w3.org/2001/XMLSchema" xmlns:dms="http://schemas.microsoft.com/office/2006/documentManagement/types" targetNamespace="4b8f162b-5636-4821-85da-331af8dff062" elementFormDefault="qualified">
    <xsd:import namespace="http://schemas.microsoft.com/office/2006/documentManagement/types"/>
    <xsd:element name="Image" ma:index="13" nillable="true" ma:displayName="-" ma:default=""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arketed" ma:index="14" nillable="true" ma:displayName="Marketed" ma:default="0" ma:internalName="Mark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Image xmlns="4b8f162b-5636-4821-85da-331af8dff062">
      <Url xsi:nil="true"/>
      <Description xsi:nil="true"/>
    </Image>
    <Generic_x0020_Name xmlns="17bb8c82-f074-452f-b484-641a2ea4a283">Purified, inactivated, sub-unit influenza vaccine </Generic_x0020_Name>
    <PI_x0020_Date xmlns="17bb8c82-f074-452f-b484-641a2ea4a283">2015-02-08T13:00:00+00:00</PI_x0020_Date>
    <Revision_x0020_Flag xmlns="17bb8c82-f074-452f-b484-641a2ea4a283" xsi:nil="true"/>
    <Dosage_x0020_Form xmlns="17bb8c82-f074-452f-b484-641a2ea4a283">Suspension for injection</Dosage_x0020_Form>
    <Marketed xmlns="4b8f162b-5636-4821-85da-331af8dff062">false</Marketed>
    <Brand_x0020_Name xmlns="17bb8c82-f074-452f-b484-641a2ea4a283">Fluad</Brand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CSR</b:Tag>
    <b:SourceType>Misc</b:SourceType>
    <b:Guid>{F3C1DF4D-84CF-4DF8-A8DA-7116DD7084EA}</b:Guid>
    <b:Title>CSR V118_20, Table 14.3.1.3</b:Title>
    <b:RefOrder>14</b:RefOrder>
  </b:Source>
  <b:Source>
    <b:Tag>Han</b:Tag>
    <b:SourceType>Misc</b:SourceType>
    <b:Guid>{42F2932D-BC20-4554-92BA-8059479D2618}</b:Guid>
    <b:Title>Hannoun C, Megas F, Piercy J. Immunogenicity and Protective Efficacy of Influenza Vaccination. Virus Res 2004; 103:133-138 </b:Title>
    <b:RefOrder>27</b:RefOrder>
  </b:Source>
  <b:Source>
    <b:Tag>Hob</b:Tag>
    <b:SourceType>Misc</b:SourceType>
    <b:Guid>{6F4E4042-850B-458D-B60B-9630979D2912}</b:Guid>
    <b:Title>Hobson D, Curry RL, Beare AS, et al. The Role of Serum Hemagglutination-Inhibiting Antibody in Protection against Challenge Infection with Influenza A2 and B Viruses. J Hyg Camb 1972;70:767-777</b:Title>
    <b:RefOrder>28</b:RefOrder>
  </b:Source>
  <b:Source>
    <b:Tag>Bla</b:Tag>
    <b:SourceType>Misc</b:SourceType>
    <b:Guid>{3B8DE38F-1B1C-48C5-818A-3AC2FB84FDB9}</b:Guid>
    <b:Title>Black S, Nicolay U, Vesikari T, et al. Hemagglutination inhibition antibody titers as a correlate of protection for inactivated influenza vaccines in children. The Pediatric infectious disease journal 2011; 30(12): 1081-5.</b:Title>
    <b:RefOrder>29</b:RefOrder>
  </b:Source>
  <b:Source>
    <b:Tag>OHa</b:Tag>
    <b:SourceType>Misc</b:SourceType>
    <b:Guid>{C2CE4EC2-5B52-4271-A5E7-57BAA29457EE}</b:Guid>
    <b:Title>O'Hagan DT. The mechanism of action of MF59 - an innately attractive adjuvant formulation. Vaccine. 2012 Jun 19;30(29):4341-8.</b:Title>
    <b:RefOrder>37</b:RefOrder>
  </b:Source>
  <b:Source>
    <b:Tag>Rei</b:Tag>
    <b:SourceType>Misc</b:SourceType>
    <b:Guid>{EE7DF436-CADB-4500-84A1-8B42C99B5D63}</b:Guid>
    <b:Title>Reisinger KS. A dose-ranging study of MF59-adjuvanted and non-adjuvanted A/H1N1 pandemic influenza vacc in young to middle-aged and older adlt pop to assess safety, immuno, antibody persistence 1 yr after vacc. Hum Vaccin Immunother 2014; 10:2395-407</b:Title>
    <b:RefOrder>38</b:RefOrder>
  </b:Source>
  <b:Source>
    <b:Tag>8Fr</b:Tag>
    <b:SourceType>Misc</b:SourceType>
    <b:Guid>{5780BA5D-82DE-437A-B1AA-4B619DE01F1B}</b:Guid>
    <b:Title>Frey S. Comparison of the safety and immunogenicity of an MF59®-adjuvanted with a non-adjuvanted seasonal influenza vaccine in elderly subjects. Vaccine 32 (2014) 5027–5034)</b:Title>
    <b:RefOrder>39</b:RefOrder>
  </b:Source>
  <b:Source>
    <b:Tag>Seu</b:Tag>
    <b:SourceType>Misc</b:SourceType>
    <b:Guid>{5D0ADD2F-29F6-4B76-B0CB-525DF516B075}</b:Guid>
    <b:Title>Seubert et al, The Adjuvants Aluminum Hydroxide and MF59 Induce Moncyte and Granulocyte Chemoattractans and Enhance Monocyte Differentiation toward Dendritic Cells, J Immunol 2008; 180:5402-5412;</b:Title>
    <b:RefOrder>40</b:RefOrder>
  </b:Source>
  <b:Source>
    <b:Tag>Sch</b:Tag>
    <b:SourceType>Misc</b:SourceType>
    <b:Guid>{D710CE99-17D7-40DA-BFEE-31CD36D58025}</b:Guid>
    <b:Title>Schultze et al, Safety of MF59 adjuvant, Vaccine; Volume 26, Issue 26, 19 June 2008, pages 3209-3222</b:Title>
    <b:RefOrder>41</b:RefOrder>
  </b:Source>
  <b:Source>
    <b:Tag>Khu</b:Tag>
    <b:SourceType>Misc</b:SourceType>
    <b:Guid>{B18F9A74-E945-4308-9EAC-A6B0FF95000E}</b:Guid>
    <b:Title>Khurana S et al, Vaccines with MF59 adjuvant expand the antibody repertoire to target protective sites of pandemic avian H5N1 influenza virus, Sci Transi Med, 2010 Jan 20; 2(15) </b:Title>
    <b:RefOrder>42</b:RefOrder>
  </b:Source>
  <b:Source>
    <b:Tag>Cal</b:Tag>
    <b:SourceType>Misc</b:SourceType>
    <b:Guid>{E3E52213-6A10-4F49-99D8-FD7B74A51434}</b:Guid>
    <b:Title>Calabro S et al, Vaccine adjuvants alum and MF59 induce rapid recruitment of neutrophils and monocytes that participate in antigen transport to draining lymph nodes, Vaccine, 2011 Feb 17; 29(9) 1812-23</b:Title>
    <b:RefOrder>43</b:RefOrder>
  </b:Source>
  <b:Source>
    <b:Tag>Von</b:Tag>
    <b:SourceType>Misc</b:SourceType>
    <b:Guid>{D9F88DA1-8BF8-4201-9D78-FB3A131BD8E9}</b:Guid>
    <b:Title>Vono M et al, The adjuvant MF59 induces ATP release from muscle that potentiates response to vaccination, Prac Natl Acad Sci U.S.A., 2013 Dec 24; 110(52) 21095-21100</b:Title>
    <b:RefOrder>44</b:RefOrder>
  </b:Source>
  <b:Source>
    <b:Tag>514</b:Tag>
    <b:SourceType>Misc</b:SourceType>
    <b:Guid>{F13DA9D5-969F-4B4D-9873-652674FB9C57}</b:Guid>
    <b:Title>Ansaldi F. Antibody response against heterogeneous circulating influenza virus strains elicited by MF59- and non-adjuvanted vaccines during seasons with good or partial matching btwn vaccine strain and clinical isolates. Vaccine 28 (2010) 4123–4129</b:Title>
    <b:RefOrder>45</b:RefOrder>
  </b:Source>
  <b:Source>
    <b:Tag>UNSOL</b:Tag>
    <b:SourceType>Misc</b:SourceType>
    <b:Guid>{61F5BDC9-4DAB-4C0D-9A3A-ED2C2FD2BA47}</b:Guid>
    <b:Title>V118_20 CSR, Table 26 - Related Unsolicited Treatment-Emergent Adverse Events by System, (Table 14.3.2.5)</b:Title>
    <b:RefOrder>17</b:RefOrder>
  </b:Source>
</b:Sources>
</file>

<file path=customXml/itemProps1.xml><?xml version="1.0" encoding="utf-8"?>
<ds:datastoreItem xmlns:ds="http://schemas.openxmlformats.org/officeDocument/2006/customXml" ds:itemID="{3E5763CD-4D97-41D3-93EE-8E3B8FCF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b8c82-f074-452f-b484-641a2ea4a283"/>
    <ds:schemaRef ds:uri="4b8f162b-5636-4821-85da-331af8dff06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37F26A-40BB-40DA-B781-CD52ED96FDD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b8f162b-5636-4821-85da-331af8dff062"/>
    <ds:schemaRef ds:uri="17bb8c82-f074-452f-b484-641a2ea4a283"/>
    <ds:schemaRef ds:uri="http://www.w3.org/XML/1998/namespace"/>
    <ds:schemaRef ds:uri="http://purl.org/dc/dcmitype/"/>
  </ds:schemaRefs>
</ds:datastoreItem>
</file>

<file path=customXml/itemProps3.xml><?xml version="1.0" encoding="utf-8"?>
<ds:datastoreItem xmlns:ds="http://schemas.openxmlformats.org/officeDocument/2006/customXml" ds:itemID="{0C7FBA9B-E44D-4630-BDC4-7A57A1E3F1EE}">
  <ds:schemaRefs>
    <ds:schemaRef ds:uri="http://schemas.microsoft.com/sharepoint/v3/contenttype/forms"/>
  </ds:schemaRefs>
</ds:datastoreItem>
</file>

<file path=customXml/itemProps4.xml><?xml version="1.0" encoding="utf-8"?>
<ds:datastoreItem xmlns:ds="http://schemas.openxmlformats.org/officeDocument/2006/customXml" ds:itemID="{58CF73D9-C475-4718-AA7E-044EE628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3637</Words>
  <Characters>20663</Characters>
  <Application>Microsoft Office Word</Application>
  <DocSecurity>0</DocSecurity>
  <Lines>626</Lines>
  <Paragraphs>467</Paragraphs>
  <ScaleCrop>false</ScaleCrop>
  <HeadingPairs>
    <vt:vector size="2" baseType="variant">
      <vt:variant>
        <vt:lpstr>Title</vt:lpstr>
      </vt:variant>
      <vt:variant>
        <vt:i4>1</vt:i4>
      </vt:variant>
    </vt:vector>
  </HeadingPairs>
  <TitlesOfParts>
    <vt:vector size="1" baseType="lpstr">
      <vt:lpstr>AusPAR Attachment 1: Product Information for Influenza virus haemagglutinin</vt:lpstr>
    </vt:vector>
  </TitlesOfParts>
  <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Influenza virus haemagglutinin</dc:title>
  <dc:subject>prescription medicines</dc:subject>
  <dc:creator>Seqirus Pty Ltd</dc:creator>
  <cp:keywords/>
  <dc:description/>
  <cp:lastPrinted>2018-11-19T04:57:00Z</cp:lastPrinted>
  <dcterms:created xsi:type="dcterms:W3CDTF">2019-10-31T00:00:00Z</dcterms:created>
  <dcterms:modified xsi:type="dcterms:W3CDTF">2019-12-05T04:14:00Z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0x01010039983CF8680F544899597C3CF673966A006681E399D2676A4494415B5C34D2395C</vt:lpwstr>
  </property>
</Properties>
</file>