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328DCD36" w14:textId="77777777" w:rsidTr="00BF1190">
        <w:trPr>
          <w:trHeight w:val="1863"/>
        </w:trPr>
        <w:tc>
          <w:tcPr>
            <w:tcW w:w="3652" w:type="dxa"/>
            <w:tcBorders>
              <w:top w:val="nil"/>
              <w:left w:val="nil"/>
              <w:bottom w:val="nil"/>
              <w:right w:val="nil"/>
            </w:tcBorders>
          </w:tcPr>
          <w:p w14:paraId="63A45640" w14:textId="77777777" w:rsidR="008E7846" w:rsidRPr="00096AA7" w:rsidRDefault="001E23A2" w:rsidP="001E23A2">
            <w:pPr>
              <w:rPr>
                <w:rFonts w:ascii="Arial" w:hAnsi="Arial" w:cs="Arial"/>
                <w:b/>
                <w:color w:val="002C47"/>
                <w:sz w:val="36"/>
                <w:szCs w:val="36"/>
              </w:rPr>
            </w:pPr>
            <w:r>
              <w:rPr>
                <w:rFonts w:ascii="Arial" w:hAnsi="Arial" w:cs="Arial"/>
                <w:b/>
                <w:color w:val="002C47"/>
                <w:sz w:val="36"/>
                <w:szCs w:val="36"/>
              </w:rPr>
              <w:t>November 2019</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611248FA" w14:textId="77777777" w:rsidTr="0032583B">
        <w:trPr>
          <w:trHeight w:val="868"/>
        </w:trPr>
        <w:tc>
          <w:tcPr>
            <w:tcW w:w="9079" w:type="dxa"/>
          </w:tcPr>
          <w:p w14:paraId="0506630B" w14:textId="18E9C41B" w:rsidR="0032583B" w:rsidRPr="00A964D1" w:rsidRDefault="0032583B" w:rsidP="0092687F">
            <w:pPr>
              <w:pStyle w:val="Title"/>
              <w:framePr w:hSpace="0" w:wrap="auto" w:vAnchor="margin" w:yAlign="inline"/>
            </w:pPr>
            <w:r w:rsidRPr="00CA4CC8">
              <w:t xml:space="preserve">Australian Public Assessment Report for </w:t>
            </w:r>
            <w:r w:rsidR="00202556" w:rsidRPr="00CA4CC8">
              <w:rPr>
                <w:lang w:eastAsia="en-AU"/>
              </w:rPr>
              <w:t xml:space="preserve">Influenza virus </w:t>
            </w:r>
            <w:proofErr w:type="spellStart"/>
            <w:r w:rsidR="00202556" w:rsidRPr="00CA4CC8">
              <w:rPr>
                <w:lang w:eastAsia="en-AU"/>
              </w:rPr>
              <w:t>haemagglutinin</w:t>
            </w:r>
            <w:proofErr w:type="spellEnd"/>
          </w:p>
        </w:tc>
      </w:tr>
      <w:tr w:rsidR="0032583B" w:rsidRPr="00B64760" w14:paraId="6664B3CF" w14:textId="77777777" w:rsidTr="0032583B">
        <w:tc>
          <w:tcPr>
            <w:tcW w:w="9079" w:type="dxa"/>
          </w:tcPr>
          <w:p w14:paraId="15869090" w14:textId="77777777" w:rsidR="0032583B" w:rsidRPr="008E7846" w:rsidRDefault="0032583B" w:rsidP="0092687F">
            <w:pPr>
              <w:pStyle w:val="Subtitle"/>
              <w:framePr w:hSpace="0" w:wrap="auto" w:vAnchor="margin" w:yAlign="inline"/>
            </w:pPr>
            <w:r w:rsidRPr="008E7846">
              <w:t xml:space="preserve">Proprietary Product Name: </w:t>
            </w:r>
            <w:proofErr w:type="spellStart"/>
            <w:r w:rsidR="001E23A2">
              <w:t>Fluad</w:t>
            </w:r>
            <w:proofErr w:type="spellEnd"/>
            <w:r w:rsidR="001E23A2">
              <w:t xml:space="preserve"> Q</w:t>
            </w:r>
            <w:r w:rsidR="00DE11AE">
              <w:t>u</w:t>
            </w:r>
            <w:r w:rsidR="001E23A2">
              <w:t>ad</w:t>
            </w:r>
          </w:p>
        </w:tc>
      </w:tr>
      <w:tr w:rsidR="0032583B" w:rsidRPr="00B64760" w14:paraId="4B748F95" w14:textId="77777777" w:rsidTr="0032583B">
        <w:trPr>
          <w:trHeight w:val="486"/>
        </w:trPr>
        <w:tc>
          <w:tcPr>
            <w:tcW w:w="9079" w:type="dxa"/>
          </w:tcPr>
          <w:p w14:paraId="405301B0" w14:textId="440E869B" w:rsidR="0032583B" w:rsidRPr="008E7846" w:rsidRDefault="0032583B" w:rsidP="0092687F">
            <w:pPr>
              <w:pStyle w:val="Subtitle"/>
              <w:framePr w:hSpace="0" w:wrap="auto" w:vAnchor="margin" w:yAlign="inline"/>
            </w:pPr>
            <w:r w:rsidRPr="008E7846">
              <w:t xml:space="preserve">Sponsor: </w:t>
            </w:r>
            <w:proofErr w:type="spellStart"/>
            <w:r w:rsidR="001E23A2">
              <w:t>Seqirus</w:t>
            </w:r>
            <w:proofErr w:type="spellEnd"/>
            <w:r w:rsidR="001E23A2">
              <w:t xml:space="preserve"> Pty Ltd (Australia)</w:t>
            </w:r>
          </w:p>
        </w:tc>
      </w:tr>
    </w:tbl>
    <w:p w14:paraId="51B52E61" w14:textId="77777777" w:rsidR="008E7846" w:rsidRPr="0085156D" w:rsidRDefault="008E7846" w:rsidP="0085156D">
      <w:r w:rsidRPr="0085156D">
        <w:br w:type="page"/>
      </w:r>
    </w:p>
    <w:p w14:paraId="2EC1249E" w14:textId="77777777" w:rsidR="008E7846" w:rsidRPr="001F6CBA" w:rsidRDefault="008E7846" w:rsidP="008E7846">
      <w:pPr>
        <w:pStyle w:val="NonTOCHeading2"/>
      </w:pPr>
      <w:r w:rsidRPr="001F6CBA">
        <w:lastRenderedPageBreak/>
        <w:t>About the Therapeutic Goods Administration (TGA)</w:t>
      </w:r>
    </w:p>
    <w:p w14:paraId="42A69205" w14:textId="77777777" w:rsidR="008E7846" w:rsidRDefault="008E7846" w:rsidP="0092687F">
      <w:pPr>
        <w:pStyle w:val="ListBullet"/>
      </w:pPr>
      <w:r>
        <w:t xml:space="preserve">The Therapeutic Goods Administration (TGA) is </w:t>
      </w:r>
      <w:r w:rsidR="00E624A5">
        <w:t xml:space="preserve">part </w:t>
      </w:r>
      <w:r>
        <w:t>of the Australian Government Department of Health and is responsible for regulating medicines and medical devices.</w:t>
      </w:r>
    </w:p>
    <w:p w14:paraId="0B3CB4BE" w14:textId="77777777" w:rsidR="008E7846" w:rsidRDefault="00C80137" w:rsidP="0092687F">
      <w:pPr>
        <w:pStyle w:val="ListBullet"/>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32EE9838" w14:textId="77777777" w:rsidR="008E7846" w:rsidRDefault="008E7846" w:rsidP="0092687F">
      <w:pPr>
        <w:pStyle w:val="ListBullet"/>
      </w:pPr>
      <w:r>
        <w:t>The work of the TGA is based on applying scientific and clinical expertise to decision-making, to ensure that the benefits to consumers outweigh any risks associated with the use of medicines and medical devices.</w:t>
      </w:r>
    </w:p>
    <w:p w14:paraId="065262DB" w14:textId="77777777" w:rsidR="008E7846" w:rsidRDefault="008E7846" w:rsidP="0092687F">
      <w:pPr>
        <w:pStyle w:val="ListBullet"/>
      </w:pPr>
      <w:r>
        <w:t>The TGA relies on the public, healthcare professionals and industry to report problems with medicines or medical devices. TGA investigates reports received by it to determine any necessary regulatory action.</w:t>
      </w:r>
    </w:p>
    <w:p w14:paraId="21A71C1D" w14:textId="77777777" w:rsidR="00441C3F" w:rsidRDefault="008E7846" w:rsidP="0092687F">
      <w:pPr>
        <w:pStyle w:val="ListBullet"/>
      </w:pPr>
      <w:r>
        <w:t xml:space="preserve">To report a problem with a medicine or medical device, please see the information on </w:t>
      </w:r>
      <w:r w:rsidR="00441C3F">
        <w:t>the TGA website &lt;</w:t>
      </w:r>
      <w:hyperlink r:id="rId8" w:history="1">
        <w:r w:rsidR="00441C3F">
          <w:rPr>
            <w:rStyle w:val="Hyperlink"/>
          </w:rPr>
          <w:t>https://www.tga.gov.au</w:t>
        </w:r>
      </w:hyperlink>
      <w:r w:rsidR="00441C3F">
        <w:t>&gt;.</w:t>
      </w:r>
    </w:p>
    <w:p w14:paraId="22EE52FD" w14:textId="77777777" w:rsidR="008E7846" w:rsidRDefault="008E7846" w:rsidP="00875A6B">
      <w:pPr>
        <w:pStyle w:val="NonTOCHeading2"/>
      </w:pPr>
      <w:r>
        <w:t xml:space="preserve">About </w:t>
      </w:r>
      <w:proofErr w:type="spellStart"/>
      <w:r>
        <w:t>AusPARs</w:t>
      </w:r>
      <w:proofErr w:type="spellEnd"/>
    </w:p>
    <w:p w14:paraId="2BF26E35" w14:textId="77777777" w:rsidR="008E7846" w:rsidRDefault="008E7846" w:rsidP="0092687F">
      <w:pPr>
        <w:pStyle w:val="ListBullet"/>
      </w:pPr>
      <w:r>
        <w:t>An Australian Public Assessment Re</w:t>
      </w:r>
      <w:r w:rsidR="00133A1B">
        <w:t>port</w:t>
      </w:r>
      <w:r>
        <w:t xml:space="preserve"> (</w:t>
      </w:r>
      <w:proofErr w:type="spellStart"/>
      <w:r>
        <w:t>AusPAR</w:t>
      </w:r>
      <w:proofErr w:type="spellEnd"/>
      <w:r>
        <w:t>) provides information about the evaluation of a prescription medicine and the considerations that led the TGA to approve or not approve a pr</w:t>
      </w:r>
      <w:r w:rsidR="00441C3F">
        <w:t>escription medicine submission.</w:t>
      </w:r>
    </w:p>
    <w:p w14:paraId="0E7AA6DF" w14:textId="77777777" w:rsidR="008E7846" w:rsidRDefault="008E7846" w:rsidP="0092687F">
      <w:pPr>
        <w:pStyle w:val="ListBullet"/>
      </w:pPr>
      <w:proofErr w:type="spellStart"/>
      <w:r>
        <w:t>AusPARs</w:t>
      </w:r>
      <w:proofErr w:type="spellEnd"/>
      <w:r>
        <w:t xml:space="preserve"> are prepared and published by the TGA.</w:t>
      </w:r>
    </w:p>
    <w:p w14:paraId="126074A8" w14:textId="77777777" w:rsidR="008E7846" w:rsidRDefault="008E7846" w:rsidP="0092687F">
      <w:pPr>
        <w:pStyle w:val="ListBullet"/>
      </w:pPr>
      <w:r>
        <w:t xml:space="preserve">An </w:t>
      </w:r>
      <w:proofErr w:type="spellStart"/>
      <w:r>
        <w:t>AusPAR</w:t>
      </w:r>
      <w:proofErr w:type="spellEnd"/>
      <w:r>
        <w:t xml:space="preserve"> is prepared for submissions that relate to new chemical entities, generic medicines, major variations and extensions of indications.</w:t>
      </w:r>
    </w:p>
    <w:p w14:paraId="19681AFD" w14:textId="77777777" w:rsidR="008E7846" w:rsidRDefault="008E7846" w:rsidP="0092687F">
      <w:pPr>
        <w:pStyle w:val="ListBullet"/>
      </w:pPr>
      <w:r>
        <w:t xml:space="preserve">An </w:t>
      </w:r>
      <w:proofErr w:type="spellStart"/>
      <w:r>
        <w:t>AusPAR</w:t>
      </w:r>
      <w:proofErr w:type="spellEnd"/>
      <w:r>
        <w:t xml:space="preserve"> is a static document</w:t>
      </w:r>
      <w:r w:rsidR="00133A1B">
        <w:t>;</w:t>
      </w:r>
      <w:r>
        <w:t xml:space="preserve"> it provide</w:t>
      </w:r>
      <w:r w:rsidR="00133A1B">
        <w:t>s</w:t>
      </w:r>
      <w:r>
        <w:t xml:space="preserve"> information that relates to a submission at a particular point in time.</w:t>
      </w:r>
    </w:p>
    <w:p w14:paraId="49E01A1A" w14:textId="77777777" w:rsidR="00B452CE" w:rsidRDefault="008E7846" w:rsidP="0092687F">
      <w:pPr>
        <w:pStyle w:val="ListBullet"/>
      </w:pPr>
      <w:r>
        <w:t xml:space="preserve">A new </w:t>
      </w:r>
      <w:proofErr w:type="spellStart"/>
      <w:r>
        <w:t>AusPAR</w:t>
      </w:r>
      <w:proofErr w:type="spellEnd"/>
      <w:r>
        <w:t xml:space="preserve"> will be developed to reflect changes to indications and/or major variations to a prescription medicine subject to evaluation by the TGA.</w:t>
      </w:r>
    </w:p>
    <w:p w14:paraId="35562825" w14:textId="77777777" w:rsidR="00924482" w:rsidRPr="00DF1D7F" w:rsidRDefault="00924482" w:rsidP="00F54B65">
      <w:pPr>
        <w:pStyle w:val="LegalSubheading"/>
        <w:spacing w:before="3120"/>
      </w:pPr>
      <w:r w:rsidRPr="00DF1D7F">
        <w:t>Copyright</w:t>
      </w:r>
    </w:p>
    <w:p w14:paraId="454EDEF8" w14:textId="77777777" w:rsidR="00924482" w:rsidRDefault="00924482" w:rsidP="00924482">
      <w:pPr>
        <w:pStyle w:val="LegalCopy"/>
      </w:pPr>
      <w:r w:rsidRPr="00191B3B">
        <w:rPr>
          <w:rFonts w:cs="Arial"/>
          <w:lang w:val="en-GB"/>
        </w:rPr>
        <w:t>© Comm</w:t>
      </w:r>
      <w:r>
        <w:rPr>
          <w:rFonts w:cs="Arial"/>
          <w:lang w:val="en-GB"/>
        </w:rPr>
        <w:t>onwealth of Australia 201</w:t>
      </w:r>
      <w:r w:rsidR="00C52E24">
        <w:rPr>
          <w:rFonts w:cs="Arial"/>
          <w:lang w:val="en-GB"/>
        </w:rPr>
        <w:t>9</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14:paraId="7DCCAD87" w14:textId="77777777"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302A014A" w14:textId="77777777" w:rsidR="0089635C" w:rsidRPr="0089635C" w:rsidRDefault="0089635C" w:rsidP="0010788A">
          <w:pPr>
            <w:pStyle w:val="Contents"/>
          </w:pPr>
          <w:r w:rsidRPr="0010788A">
            <w:t>Contents</w:t>
          </w:r>
        </w:p>
        <w:p w14:paraId="74BC4975" w14:textId="2FE2F1FD" w:rsidR="00533313"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bookmarkStart w:id="2" w:name="_GoBack"/>
          <w:bookmarkEnd w:id="2"/>
          <w:r w:rsidR="00533313" w:rsidRPr="00DD5548">
            <w:rPr>
              <w:rStyle w:val="Hyperlink"/>
              <w:noProof/>
            </w:rPr>
            <w:fldChar w:fldCharType="begin"/>
          </w:r>
          <w:r w:rsidR="00533313" w:rsidRPr="00DD5548">
            <w:rPr>
              <w:rStyle w:val="Hyperlink"/>
              <w:noProof/>
            </w:rPr>
            <w:instrText xml:space="preserve"> </w:instrText>
          </w:r>
          <w:r w:rsidR="00533313">
            <w:rPr>
              <w:noProof/>
            </w:rPr>
            <w:instrText>HYPERLINK \l "_Toc26439468"</w:instrText>
          </w:r>
          <w:r w:rsidR="00533313" w:rsidRPr="00DD5548">
            <w:rPr>
              <w:rStyle w:val="Hyperlink"/>
              <w:noProof/>
            </w:rPr>
            <w:instrText xml:space="preserve"> </w:instrText>
          </w:r>
          <w:r w:rsidR="00533313" w:rsidRPr="00DD5548">
            <w:rPr>
              <w:rStyle w:val="Hyperlink"/>
              <w:noProof/>
            </w:rPr>
          </w:r>
          <w:r w:rsidR="00533313" w:rsidRPr="00DD5548">
            <w:rPr>
              <w:rStyle w:val="Hyperlink"/>
              <w:noProof/>
            </w:rPr>
            <w:fldChar w:fldCharType="separate"/>
          </w:r>
          <w:r w:rsidR="00533313" w:rsidRPr="00DD5548">
            <w:rPr>
              <w:rStyle w:val="Hyperlink"/>
              <w:noProof/>
            </w:rPr>
            <w:t>Common abbreviations</w:t>
          </w:r>
          <w:r w:rsidR="00533313">
            <w:rPr>
              <w:noProof/>
              <w:webHidden/>
            </w:rPr>
            <w:tab/>
          </w:r>
          <w:r w:rsidR="00533313">
            <w:rPr>
              <w:noProof/>
              <w:webHidden/>
            </w:rPr>
            <w:fldChar w:fldCharType="begin"/>
          </w:r>
          <w:r w:rsidR="00533313">
            <w:rPr>
              <w:noProof/>
              <w:webHidden/>
            </w:rPr>
            <w:instrText xml:space="preserve"> PAGEREF _Toc26439468 \h </w:instrText>
          </w:r>
          <w:r w:rsidR="00533313">
            <w:rPr>
              <w:noProof/>
              <w:webHidden/>
            </w:rPr>
          </w:r>
          <w:r w:rsidR="00533313">
            <w:rPr>
              <w:noProof/>
              <w:webHidden/>
            </w:rPr>
            <w:fldChar w:fldCharType="separate"/>
          </w:r>
          <w:r w:rsidR="00533313">
            <w:rPr>
              <w:noProof/>
              <w:webHidden/>
            </w:rPr>
            <w:t>4</w:t>
          </w:r>
          <w:r w:rsidR="00533313">
            <w:rPr>
              <w:noProof/>
              <w:webHidden/>
            </w:rPr>
            <w:fldChar w:fldCharType="end"/>
          </w:r>
          <w:r w:rsidR="00533313" w:rsidRPr="00DD5548">
            <w:rPr>
              <w:rStyle w:val="Hyperlink"/>
              <w:noProof/>
            </w:rPr>
            <w:fldChar w:fldCharType="end"/>
          </w:r>
        </w:p>
        <w:p w14:paraId="765AF20E" w14:textId="6F11B867" w:rsidR="00533313" w:rsidRDefault="00533313">
          <w:pPr>
            <w:pStyle w:val="TOC2"/>
            <w:rPr>
              <w:rFonts w:asciiTheme="minorHAnsi" w:eastAsiaTheme="minorEastAsia" w:hAnsiTheme="minorHAnsi" w:cstheme="minorBidi"/>
              <w:b w:val="0"/>
              <w:noProof/>
              <w:sz w:val="22"/>
              <w:lang w:eastAsia="en-AU"/>
            </w:rPr>
          </w:pPr>
          <w:hyperlink w:anchor="_Toc26439469" w:history="1">
            <w:r w:rsidRPr="00DD5548">
              <w:rPr>
                <w:rStyle w:val="Hyperlink"/>
                <w:noProof/>
              </w:rPr>
              <w:t>I. Introduction to product submission</w:t>
            </w:r>
            <w:r>
              <w:rPr>
                <w:noProof/>
                <w:webHidden/>
              </w:rPr>
              <w:tab/>
            </w:r>
            <w:r>
              <w:rPr>
                <w:noProof/>
                <w:webHidden/>
              </w:rPr>
              <w:fldChar w:fldCharType="begin"/>
            </w:r>
            <w:r>
              <w:rPr>
                <w:noProof/>
                <w:webHidden/>
              </w:rPr>
              <w:instrText xml:space="preserve"> PAGEREF _Toc26439469 \h </w:instrText>
            </w:r>
            <w:r>
              <w:rPr>
                <w:noProof/>
                <w:webHidden/>
              </w:rPr>
            </w:r>
            <w:r>
              <w:rPr>
                <w:noProof/>
                <w:webHidden/>
              </w:rPr>
              <w:fldChar w:fldCharType="separate"/>
            </w:r>
            <w:r>
              <w:rPr>
                <w:noProof/>
                <w:webHidden/>
              </w:rPr>
              <w:t>6</w:t>
            </w:r>
            <w:r>
              <w:rPr>
                <w:noProof/>
                <w:webHidden/>
              </w:rPr>
              <w:fldChar w:fldCharType="end"/>
            </w:r>
          </w:hyperlink>
        </w:p>
        <w:p w14:paraId="1A04FA4D" w14:textId="71389DCF" w:rsidR="00533313" w:rsidRDefault="00533313">
          <w:pPr>
            <w:pStyle w:val="TOC3"/>
            <w:rPr>
              <w:rFonts w:asciiTheme="minorHAnsi" w:eastAsiaTheme="minorEastAsia" w:hAnsiTheme="minorHAnsi" w:cstheme="minorBidi"/>
              <w:noProof/>
              <w:lang w:eastAsia="en-AU"/>
            </w:rPr>
          </w:pPr>
          <w:hyperlink w:anchor="_Toc26439470" w:history="1">
            <w:r w:rsidRPr="00DD5548">
              <w:rPr>
                <w:rStyle w:val="Hyperlink"/>
                <w:noProof/>
                <w:lang w:eastAsia="en-AU"/>
              </w:rPr>
              <w:t>Submission details</w:t>
            </w:r>
            <w:r>
              <w:rPr>
                <w:noProof/>
                <w:webHidden/>
              </w:rPr>
              <w:tab/>
            </w:r>
            <w:r>
              <w:rPr>
                <w:noProof/>
                <w:webHidden/>
              </w:rPr>
              <w:fldChar w:fldCharType="begin"/>
            </w:r>
            <w:r>
              <w:rPr>
                <w:noProof/>
                <w:webHidden/>
              </w:rPr>
              <w:instrText xml:space="preserve"> PAGEREF _Toc26439470 \h </w:instrText>
            </w:r>
            <w:r>
              <w:rPr>
                <w:noProof/>
                <w:webHidden/>
              </w:rPr>
            </w:r>
            <w:r>
              <w:rPr>
                <w:noProof/>
                <w:webHidden/>
              </w:rPr>
              <w:fldChar w:fldCharType="separate"/>
            </w:r>
            <w:r>
              <w:rPr>
                <w:noProof/>
                <w:webHidden/>
              </w:rPr>
              <w:t>6</w:t>
            </w:r>
            <w:r>
              <w:rPr>
                <w:noProof/>
                <w:webHidden/>
              </w:rPr>
              <w:fldChar w:fldCharType="end"/>
            </w:r>
          </w:hyperlink>
        </w:p>
        <w:p w14:paraId="4C030F26" w14:textId="31136821" w:rsidR="00533313" w:rsidRDefault="00533313">
          <w:pPr>
            <w:pStyle w:val="TOC3"/>
            <w:rPr>
              <w:rFonts w:asciiTheme="minorHAnsi" w:eastAsiaTheme="minorEastAsia" w:hAnsiTheme="minorHAnsi" w:cstheme="minorBidi"/>
              <w:noProof/>
              <w:lang w:eastAsia="en-AU"/>
            </w:rPr>
          </w:pPr>
          <w:hyperlink w:anchor="_Toc26439471" w:history="1">
            <w:r w:rsidRPr="00DD5548">
              <w:rPr>
                <w:rStyle w:val="Hyperlink"/>
                <w:noProof/>
              </w:rPr>
              <w:t>Product background</w:t>
            </w:r>
            <w:r>
              <w:rPr>
                <w:noProof/>
                <w:webHidden/>
              </w:rPr>
              <w:tab/>
            </w:r>
            <w:r>
              <w:rPr>
                <w:noProof/>
                <w:webHidden/>
              </w:rPr>
              <w:fldChar w:fldCharType="begin"/>
            </w:r>
            <w:r>
              <w:rPr>
                <w:noProof/>
                <w:webHidden/>
              </w:rPr>
              <w:instrText xml:space="preserve"> PAGEREF _Toc26439471 \h </w:instrText>
            </w:r>
            <w:r>
              <w:rPr>
                <w:noProof/>
                <w:webHidden/>
              </w:rPr>
            </w:r>
            <w:r>
              <w:rPr>
                <w:noProof/>
                <w:webHidden/>
              </w:rPr>
              <w:fldChar w:fldCharType="separate"/>
            </w:r>
            <w:r>
              <w:rPr>
                <w:noProof/>
                <w:webHidden/>
              </w:rPr>
              <w:t>6</w:t>
            </w:r>
            <w:r>
              <w:rPr>
                <w:noProof/>
                <w:webHidden/>
              </w:rPr>
              <w:fldChar w:fldCharType="end"/>
            </w:r>
          </w:hyperlink>
        </w:p>
        <w:p w14:paraId="2C6900F8" w14:textId="64FC5582" w:rsidR="00533313" w:rsidRDefault="00533313">
          <w:pPr>
            <w:pStyle w:val="TOC3"/>
            <w:rPr>
              <w:rFonts w:asciiTheme="minorHAnsi" w:eastAsiaTheme="minorEastAsia" w:hAnsiTheme="minorHAnsi" w:cstheme="minorBidi"/>
              <w:noProof/>
              <w:lang w:eastAsia="en-AU"/>
            </w:rPr>
          </w:pPr>
          <w:hyperlink w:anchor="_Toc26439472" w:history="1">
            <w:r w:rsidRPr="00DD5548">
              <w:rPr>
                <w:rStyle w:val="Hyperlink"/>
                <w:noProof/>
              </w:rPr>
              <w:t>Regulatory status</w:t>
            </w:r>
            <w:r>
              <w:rPr>
                <w:noProof/>
                <w:webHidden/>
              </w:rPr>
              <w:tab/>
            </w:r>
            <w:r>
              <w:rPr>
                <w:noProof/>
                <w:webHidden/>
              </w:rPr>
              <w:fldChar w:fldCharType="begin"/>
            </w:r>
            <w:r>
              <w:rPr>
                <w:noProof/>
                <w:webHidden/>
              </w:rPr>
              <w:instrText xml:space="preserve"> PAGEREF _Toc26439472 \h </w:instrText>
            </w:r>
            <w:r>
              <w:rPr>
                <w:noProof/>
                <w:webHidden/>
              </w:rPr>
            </w:r>
            <w:r>
              <w:rPr>
                <w:noProof/>
                <w:webHidden/>
              </w:rPr>
              <w:fldChar w:fldCharType="separate"/>
            </w:r>
            <w:r>
              <w:rPr>
                <w:noProof/>
                <w:webHidden/>
              </w:rPr>
              <w:t>7</w:t>
            </w:r>
            <w:r>
              <w:rPr>
                <w:noProof/>
                <w:webHidden/>
              </w:rPr>
              <w:fldChar w:fldCharType="end"/>
            </w:r>
          </w:hyperlink>
        </w:p>
        <w:p w14:paraId="5356ED9A" w14:textId="7D394256" w:rsidR="00533313" w:rsidRDefault="00533313">
          <w:pPr>
            <w:pStyle w:val="TOC3"/>
            <w:rPr>
              <w:rFonts w:asciiTheme="minorHAnsi" w:eastAsiaTheme="minorEastAsia" w:hAnsiTheme="minorHAnsi" w:cstheme="minorBidi"/>
              <w:noProof/>
              <w:lang w:eastAsia="en-AU"/>
            </w:rPr>
          </w:pPr>
          <w:hyperlink w:anchor="_Toc26439473" w:history="1">
            <w:r w:rsidRPr="00DD5548">
              <w:rPr>
                <w:rStyle w:val="Hyperlink"/>
                <w:noProof/>
              </w:rPr>
              <w:t>Product Information</w:t>
            </w:r>
            <w:r>
              <w:rPr>
                <w:noProof/>
                <w:webHidden/>
              </w:rPr>
              <w:tab/>
            </w:r>
            <w:r>
              <w:rPr>
                <w:noProof/>
                <w:webHidden/>
              </w:rPr>
              <w:fldChar w:fldCharType="begin"/>
            </w:r>
            <w:r>
              <w:rPr>
                <w:noProof/>
                <w:webHidden/>
              </w:rPr>
              <w:instrText xml:space="preserve"> PAGEREF _Toc26439473 \h </w:instrText>
            </w:r>
            <w:r>
              <w:rPr>
                <w:noProof/>
                <w:webHidden/>
              </w:rPr>
            </w:r>
            <w:r>
              <w:rPr>
                <w:noProof/>
                <w:webHidden/>
              </w:rPr>
              <w:fldChar w:fldCharType="separate"/>
            </w:r>
            <w:r>
              <w:rPr>
                <w:noProof/>
                <w:webHidden/>
              </w:rPr>
              <w:t>7</w:t>
            </w:r>
            <w:r>
              <w:rPr>
                <w:noProof/>
                <w:webHidden/>
              </w:rPr>
              <w:fldChar w:fldCharType="end"/>
            </w:r>
          </w:hyperlink>
        </w:p>
        <w:p w14:paraId="48E62009" w14:textId="1445731A" w:rsidR="00533313" w:rsidRDefault="00533313">
          <w:pPr>
            <w:pStyle w:val="TOC2"/>
            <w:rPr>
              <w:rFonts w:asciiTheme="minorHAnsi" w:eastAsiaTheme="minorEastAsia" w:hAnsiTheme="minorHAnsi" w:cstheme="minorBidi"/>
              <w:b w:val="0"/>
              <w:noProof/>
              <w:sz w:val="22"/>
              <w:lang w:eastAsia="en-AU"/>
            </w:rPr>
          </w:pPr>
          <w:hyperlink w:anchor="_Toc26439474" w:history="1">
            <w:r w:rsidRPr="00DD5548">
              <w:rPr>
                <w:rStyle w:val="Hyperlink"/>
                <w:noProof/>
              </w:rPr>
              <w:t>II. Registration timeline</w:t>
            </w:r>
            <w:r>
              <w:rPr>
                <w:noProof/>
                <w:webHidden/>
              </w:rPr>
              <w:tab/>
            </w:r>
            <w:r>
              <w:rPr>
                <w:noProof/>
                <w:webHidden/>
              </w:rPr>
              <w:fldChar w:fldCharType="begin"/>
            </w:r>
            <w:r>
              <w:rPr>
                <w:noProof/>
                <w:webHidden/>
              </w:rPr>
              <w:instrText xml:space="preserve"> PAGEREF _Toc26439474 \h </w:instrText>
            </w:r>
            <w:r>
              <w:rPr>
                <w:noProof/>
                <w:webHidden/>
              </w:rPr>
            </w:r>
            <w:r>
              <w:rPr>
                <w:noProof/>
                <w:webHidden/>
              </w:rPr>
              <w:fldChar w:fldCharType="separate"/>
            </w:r>
            <w:r>
              <w:rPr>
                <w:noProof/>
                <w:webHidden/>
              </w:rPr>
              <w:t>7</w:t>
            </w:r>
            <w:r>
              <w:rPr>
                <w:noProof/>
                <w:webHidden/>
              </w:rPr>
              <w:fldChar w:fldCharType="end"/>
            </w:r>
          </w:hyperlink>
        </w:p>
        <w:p w14:paraId="3F67D31C" w14:textId="1E9A1C78" w:rsidR="00533313" w:rsidRDefault="00533313">
          <w:pPr>
            <w:pStyle w:val="TOC2"/>
            <w:rPr>
              <w:rFonts w:asciiTheme="minorHAnsi" w:eastAsiaTheme="minorEastAsia" w:hAnsiTheme="minorHAnsi" w:cstheme="minorBidi"/>
              <w:b w:val="0"/>
              <w:noProof/>
              <w:sz w:val="22"/>
              <w:lang w:eastAsia="en-AU"/>
            </w:rPr>
          </w:pPr>
          <w:hyperlink w:anchor="_Toc26439475" w:history="1">
            <w:r w:rsidRPr="00DD5548">
              <w:rPr>
                <w:rStyle w:val="Hyperlink"/>
                <w:noProof/>
              </w:rPr>
              <w:t>III. Submission overview and risk/benefit assessment</w:t>
            </w:r>
            <w:r>
              <w:rPr>
                <w:noProof/>
                <w:webHidden/>
              </w:rPr>
              <w:tab/>
            </w:r>
            <w:r>
              <w:rPr>
                <w:noProof/>
                <w:webHidden/>
              </w:rPr>
              <w:fldChar w:fldCharType="begin"/>
            </w:r>
            <w:r>
              <w:rPr>
                <w:noProof/>
                <w:webHidden/>
              </w:rPr>
              <w:instrText xml:space="preserve"> PAGEREF _Toc26439475 \h </w:instrText>
            </w:r>
            <w:r>
              <w:rPr>
                <w:noProof/>
                <w:webHidden/>
              </w:rPr>
            </w:r>
            <w:r>
              <w:rPr>
                <w:noProof/>
                <w:webHidden/>
              </w:rPr>
              <w:fldChar w:fldCharType="separate"/>
            </w:r>
            <w:r>
              <w:rPr>
                <w:noProof/>
                <w:webHidden/>
              </w:rPr>
              <w:t>8</w:t>
            </w:r>
            <w:r>
              <w:rPr>
                <w:noProof/>
                <w:webHidden/>
              </w:rPr>
              <w:fldChar w:fldCharType="end"/>
            </w:r>
          </w:hyperlink>
        </w:p>
        <w:p w14:paraId="0D1AAAD9" w14:textId="5611834D" w:rsidR="00533313" w:rsidRDefault="00533313">
          <w:pPr>
            <w:pStyle w:val="TOC3"/>
            <w:rPr>
              <w:rFonts w:asciiTheme="minorHAnsi" w:eastAsiaTheme="minorEastAsia" w:hAnsiTheme="minorHAnsi" w:cstheme="minorBidi"/>
              <w:noProof/>
              <w:lang w:eastAsia="en-AU"/>
            </w:rPr>
          </w:pPr>
          <w:hyperlink w:anchor="_Toc26439476" w:history="1">
            <w:r w:rsidRPr="00DD5548">
              <w:rPr>
                <w:rStyle w:val="Hyperlink"/>
                <w:noProof/>
              </w:rPr>
              <w:t>Quality</w:t>
            </w:r>
            <w:r>
              <w:rPr>
                <w:noProof/>
                <w:webHidden/>
              </w:rPr>
              <w:tab/>
            </w:r>
            <w:r>
              <w:rPr>
                <w:noProof/>
                <w:webHidden/>
              </w:rPr>
              <w:fldChar w:fldCharType="begin"/>
            </w:r>
            <w:r>
              <w:rPr>
                <w:noProof/>
                <w:webHidden/>
              </w:rPr>
              <w:instrText xml:space="preserve"> PAGEREF _Toc26439476 \h </w:instrText>
            </w:r>
            <w:r>
              <w:rPr>
                <w:noProof/>
                <w:webHidden/>
              </w:rPr>
            </w:r>
            <w:r>
              <w:rPr>
                <w:noProof/>
                <w:webHidden/>
              </w:rPr>
              <w:fldChar w:fldCharType="separate"/>
            </w:r>
            <w:r>
              <w:rPr>
                <w:noProof/>
                <w:webHidden/>
              </w:rPr>
              <w:t>8</w:t>
            </w:r>
            <w:r>
              <w:rPr>
                <w:noProof/>
                <w:webHidden/>
              </w:rPr>
              <w:fldChar w:fldCharType="end"/>
            </w:r>
          </w:hyperlink>
        </w:p>
        <w:p w14:paraId="5318F9DB" w14:textId="04168B90" w:rsidR="00533313" w:rsidRDefault="00533313">
          <w:pPr>
            <w:pStyle w:val="TOC3"/>
            <w:rPr>
              <w:rFonts w:asciiTheme="minorHAnsi" w:eastAsiaTheme="minorEastAsia" w:hAnsiTheme="minorHAnsi" w:cstheme="minorBidi"/>
              <w:noProof/>
              <w:lang w:eastAsia="en-AU"/>
            </w:rPr>
          </w:pPr>
          <w:hyperlink w:anchor="_Toc26439477" w:history="1">
            <w:r w:rsidRPr="00DD5548">
              <w:rPr>
                <w:rStyle w:val="Hyperlink"/>
                <w:noProof/>
              </w:rPr>
              <w:t>Nonclinical</w:t>
            </w:r>
            <w:r>
              <w:rPr>
                <w:noProof/>
                <w:webHidden/>
              </w:rPr>
              <w:tab/>
            </w:r>
            <w:r>
              <w:rPr>
                <w:noProof/>
                <w:webHidden/>
              </w:rPr>
              <w:fldChar w:fldCharType="begin"/>
            </w:r>
            <w:r>
              <w:rPr>
                <w:noProof/>
                <w:webHidden/>
              </w:rPr>
              <w:instrText xml:space="preserve"> PAGEREF _Toc26439477 \h </w:instrText>
            </w:r>
            <w:r>
              <w:rPr>
                <w:noProof/>
                <w:webHidden/>
              </w:rPr>
            </w:r>
            <w:r>
              <w:rPr>
                <w:noProof/>
                <w:webHidden/>
              </w:rPr>
              <w:fldChar w:fldCharType="separate"/>
            </w:r>
            <w:r>
              <w:rPr>
                <w:noProof/>
                <w:webHidden/>
              </w:rPr>
              <w:t>9</w:t>
            </w:r>
            <w:r>
              <w:rPr>
                <w:noProof/>
                <w:webHidden/>
              </w:rPr>
              <w:fldChar w:fldCharType="end"/>
            </w:r>
          </w:hyperlink>
        </w:p>
        <w:p w14:paraId="00363B27" w14:textId="46E79E4E" w:rsidR="00533313" w:rsidRDefault="00533313">
          <w:pPr>
            <w:pStyle w:val="TOC3"/>
            <w:rPr>
              <w:rFonts w:asciiTheme="minorHAnsi" w:eastAsiaTheme="minorEastAsia" w:hAnsiTheme="minorHAnsi" w:cstheme="minorBidi"/>
              <w:noProof/>
              <w:lang w:eastAsia="en-AU"/>
            </w:rPr>
          </w:pPr>
          <w:hyperlink w:anchor="_Toc26439478" w:history="1">
            <w:r w:rsidRPr="00DD5548">
              <w:rPr>
                <w:rStyle w:val="Hyperlink"/>
                <w:noProof/>
              </w:rPr>
              <w:t>Clinical</w:t>
            </w:r>
            <w:r>
              <w:rPr>
                <w:noProof/>
                <w:webHidden/>
              </w:rPr>
              <w:tab/>
            </w:r>
            <w:r>
              <w:rPr>
                <w:noProof/>
                <w:webHidden/>
              </w:rPr>
              <w:fldChar w:fldCharType="begin"/>
            </w:r>
            <w:r>
              <w:rPr>
                <w:noProof/>
                <w:webHidden/>
              </w:rPr>
              <w:instrText xml:space="preserve"> PAGEREF _Toc26439478 \h </w:instrText>
            </w:r>
            <w:r>
              <w:rPr>
                <w:noProof/>
                <w:webHidden/>
              </w:rPr>
            </w:r>
            <w:r>
              <w:rPr>
                <w:noProof/>
                <w:webHidden/>
              </w:rPr>
              <w:fldChar w:fldCharType="separate"/>
            </w:r>
            <w:r>
              <w:rPr>
                <w:noProof/>
                <w:webHidden/>
              </w:rPr>
              <w:t>10</w:t>
            </w:r>
            <w:r>
              <w:rPr>
                <w:noProof/>
                <w:webHidden/>
              </w:rPr>
              <w:fldChar w:fldCharType="end"/>
            </w:r>
          </w:hyperlink>
        </w:p>
        <w:p w14:paraId="3B87EC8F" w14:textId="6D503A20" w:rsidR="00533313" w:rsidRDefault="00533313">
          <w:pPr>
            <w:pStyle w:val="TOC3"/>
            <w:rPr>
              <w:rFonts w:asciiTheme="minorHAnsi" w:eastAsiaTheme="minorEastAsia" w:hAnsiTheme="minorHAnsi" w:cstheme="minorBidi"/>
              <w:noProof/>
              <w:lang w:eastAsia="en-AU"/>
            </w:rPr>
          </w:pPr>
          <w:hyperlink w:anchor="_Toc26439479" w:history="1">
            <w:r w:rsidRPr="00DD5548">
              <w:rPr>
                <w:rStyle w:val="Hyperlink"/>
                <w:noProof/>
              </w:rPr>
              <w:t>Risk management plan</w:t>
            </w:r>
            <w:r>
              <w:rPr>
                <w:noProof/>
                <w:webHidden/>
              </w:rPr>
              <w:tab/>
            </w:r>
            <w:r>
              <w:rPr>
                <w:noProof/>
                <w:webHidden/>
              </w:rPr>
              <w:fldChar w:fldCharType="begin"/>
            </w:r>
            <w:r>
              <w:rPr>
                <w:noProof/>
                <w:webHidden/>
              </w:rPr>
              <w:instrText xml:space="preserve"> PAGEREF _Toc26439479 \h </w:instrText>
            </w:r>
            <w:r>
              <w:rPr>
                <w:noProof/>
                <w:webHidden/>
              </w:rPr>
            </w:r>
            <w:r>
              <w:rPr>
                <w:noProof/>
                <w:webHidden/>
              </w:rPr>
              <w:fldChar w:fldCharType="separate"/>
            </w:r>
            <w:r>
              <w:rPr>
                <w:noProof/>
                <w:webHidden/>
              </w:rPr>
              <w:t>16</w:t>
            </w:r>
            <w:r>
              <w:rPr>
                <w:noProof/>
                <w:webHidden/>
              </w:rPr>
              <w:fldChar w:fldCharType="end"/>
            </w:r>
          </w:hyperlink>
        </w:p>
        <w:p w14:paraId="688AF5ED" w14:textId="6D3DFC81" w:rsidR="00533313" w:rsidRDefault="00533313">
          <w:pPr>
            <w:pStyle w:val="TOC3"/>
            <w:rPr>
              <w:rFonts w:asciiTheme="minorHAnsi" w:eastAsiaTheme="minorEastAsia" w:hAnsiTheme="minorHAnsi" w:cstheme="minorBidi"/>
              <w:noProof/>
              <w:lang w:eastAsia="en-AU"/>
            </w:rPr>
          </w:pPr>
          <w:hyperlink w:anchor="_Toc26439480" w:history="1">
            <w:r w:rsidRPr="00DD5548">
              <w:rPr>
                <w:rStyle w:val="Hyperlink"/>
                <w:noProof/>
              </w:rPr>
              <w:t>Risk-benefit analysis</w:t>
            </w:r>
            <w:r>
              <w:rPr>
                <w:noProof/>
                <w:webHidden/>
              </w:rPr>
              <w:tab/>
            </w:r>
            <w:r>
              <w:rPr>
                <w:noProof/>
                <w:webHidden/>
              </w:rPr>
              <w:fldChar w:fldCharType="begin"/>
            </w:r>
            <w:r>
              <w:rPr>
                <w:noProof/>
                <w:webHidden/>
              </w:rPr>
              <w:instrText xml:space="preserve"> PAGEREF _Toc26439480 \h </w:instrText>
            </w:r>
            <w:r>
              <w:rPr>
                <w:noProof/>
                <w:webHidden/>
              </w:rPr>
            </w:r>
            <w:r>
              <w:rPr>
                <w:noProof/>
                <w:webHidden/>
              </w:rPr>
              <w:fldChar w:fldCharType="separate"/>
            </w:r>
            <w:r>
              <w:rPr>
                <w:noProof/>
                <w:webHidden/>
              </w:rPr>
              <w:t>18</w:t>
            </w:r>
            <w:r>
              <w:rPr>
                <w:noProof/>
                <w:webHidden/>
              </w:rPr>
              <w:fldChar w:fldCharType="end"/>
            </w:r>
          </w:hyperlink>
        </w:p>
        <w:p w14:paraId="3609745E" w14:textId="6F47DB3E" w:rsidR="00533313" w:rsidRDefault="00533313">
          <w:pPr>
            <w:pStyle w:val="TOC3"/>
            <w:rPr>
              <w:rFonts w:asciiTheme="minorHAnsi" w:eastAsiaTheme="minorEastAsia" w:hAnsiTheme="minorHAnsi" w:cstheme="minorBidi"/>
              <w:noProof/>
              <w:lang w:eastAsia="en-AU"/>
            </w:rPr>
          </w:pPr>
          <w:hyperlink w:anchor="_Toc26439481" w:history="1">
            <w:r w:rsidRPr="00DD5548">
              <w:rPr>
                <w:rStyle w:val="Hyperlink"/>
                <w:noProof/>
              </w:rPr>
              <w:t>Outcome</w:t>
            </w:r>
            <w:r>
              <w:rPr>
                <w:noProof/>
                <w:webHidden/>
              </w:rPr>
              <w:tab/>
            </w:r>
            <w:r>
              <w:rPr>
                <w:noProof/>
                <w:webHidden/>
              </w:rPr>
              <w:fldChar w:fldCharType="begin"/>
            </w:r>
            <w:r>
              <w:rPr>
                <w:noProof/>
                <w:webHidden/>
              </w:rPr>
              <w:instrText xml:space="preserve"> PAGEREF _Toc26439481 \h </w:instrText>
            </w:r>
            <w:r>
              <w:rPr>
                <w:noProof/>
                <w:webHidden/>
              </w:rPr>
            </w:r>
            <w:r>
              <w:rPr>
                <w:noProof/>
                <w:webHidden/>
              </w:rPr>
              <w:fldChar w:fldCharType="separate"/>
            </w:r>
            <w:r>
              <w:rPr>
                <w:noProof/>
                <w:webHidden/>
              </w:rPr>
              <w:t>22</w:t>
            </w:r>
            <w:r>
              <w:rPr>
                <w:noProof/>
                <w:webHidden/>
              </w:rPr>
              <w:fldChar w:fldCharType="end"/>
            </w:r>
          </w:hyperlink>
        </w:p>
        <w:p w14:paraId="23C209E0" w14:textId="12853710" w:rsidR="00533313" w:rsidRDefault="00533313">
          <w:pPr>
            <w:pStyle w:val="TOC2"/>
            <w:rPr>
              <w:rFonts w:asciiTheme="minorHAnsi" w:eastAsiaTheme="minorEastAsia" w:hAnsiTheme="minorHAnsi" w:cstheme="minorBidi"/>
              <w:b w:val="0"/>
              <w:noProof/>
              <w:sz w:val="22"/>
              <w:lang w:eastAsia="en-AU"/>
            </w:rPr>
          </w:pPr>
          <w:hyperlink w:anchor="_Toc26439482" w:history="1">
            <w:r w:rsidRPr="00DD5548">
              <w:rPr>
                <w:rStyle w:val="Hyperlink"/>
                <w:noProof/>
              </w:rPr>
              <w:t>Attachment 1. Product Information</w:t>
            </w:r>
            <w:r>
              <w:rPr>
                <w:noProof/>
                <w:webHidden/>
              </w:rPr>
              <w:tab/>
            </w:r>
            <w:r>
              <w:rPr>
                <w:noProof/>
                <w:webHidden/>
              </w:rPr>
              <w:fldChar w:fldCharType="begin"/>
            </w:r>
            <w:r>
              <w:rPr>
                <w:noProof/>
                <w:webHidden/>
              </w:rPr>
              <w:instrText xml:space="preserve"> PAGEREF _Toc26439482 \h </w:instrText>
            </w:r>
            <w:r>
              <w:rPr>
                <w:noProof/>
                <w:webHidden/>
              </w:rPr>
            </w:r>
            <w:r>
              <w:rPr>
                <w:noProof/>
                <w:webHidden/>
              </w:rPr>
              <w:fldChar w:fldCharType="separate"/>
            </w:r>
            <w:r>
              <w:rPr>
                <w:noProof/>
                <w:webHidden/>
              </w:rPr>
              <w:t>23</w:t>
            </w:r>
            <w:r>
              <w:rPr>
                <w:noProof/>
                <w:webHidden/>
              </w:rPr>
              <w:fldChar w:fldCharType="end"/>
            </w:r>
          </w:hyperlink>
        </w:p>
        <w:p w14:paraId="5996B34F" w14:textId="39686375" w:rsidR="003A7F6C" w:rsidRPr="00B811C6" w:rsidRDefault="00DB6124" w:rsidP="00B811C6">
          <w:pPr>
            <w:pStyle w:val="TOC2"/>
          </w:pPr>
          <w:r>
            <w:fldChar w:fldCharType="end"/>
          </w:r>
        </w:p>
      </w:sdtContent>
    </w:sdt>
    <w:bookmarkStart w:id="3" w:name="_Toc314842482" w:displacedByCustomXml="prev"/>
    <w:p w14:paraId="4603202A" w14:textId="77777777" w:rsidR="00FD119B" w:rsidRDefault="00441C3F" w:rsidP="0092687F">
      <w:pPr>
        <w:pStyle w:val="Heading2"/>
        <w:pageBreakBefore/>
        <w:spacing w:before="0"/>
      </w:pPr>
      <w:bookmarkStart w:id="4" w:name="_Toc351716269"/>
      <w:bookmarkStart w:id="5" w:name="_Toc351718881"/>
      <w:bookmarkStart w:id="6" w:name="_Toc355338616"/>
      <w:bookmarkStart w:id="7" w:name="_Toc356306144"/>
      <w:bookmarkStart w:id="8" w:name="_Toc26439468"/>
      <w:r>
        <w:lastRenderedPageBreak/>
        <w:t>Common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951"/>
        <w:gridCol w:w="6543"/>
      </w:tblGrid>
      <w:tr w:rsidR="002F2CDD" w:rsidRPr="002F2CDD" w14:paraId="1028FA61" w14:textId="77777777" w:rsidTr="0092687F">
        <w:trPr>
          <w:cnfStyle w:val="100000000000" w:firstRow="1" w:lastRow="0" w:firstColumn="0" w:lastColumn="0" w:oddVBand="0" w:evenVBand="0" w:oddHBand="0" w:evenHBand="0" w:firstRowFirstColumn="0" w:firstRowLastColumn="0" w:lastRowFirstColumn="0" w:lastRowLastColumn="0"/>
        </w:trPr>
        <w:tc>
          <w:tcPr>
            <w:tcW w:w="1951" w:type="dxa"/>
          </w:tcPr>
          <w:p w14:paraId="00F5BFB5" w14:textId="77777777" w:rsidR="002F2CDD" w:rsidRPr="002F2CDD" w:rsidRDefault="002F2CDD" w:rsidP="00FE41B1">
            <w:r>
              <w:t>Abbreviation</w:t>
            </w:r>
          </w:p>
        </w:tc>
        <w:tc>
          <w:tcPr>
            <w:tcW w:w="6543" w:type="dxa"/>
          </w:tcPr>
          <w:p w14:paraId="6EC82B10" w14:textId="77777777" w:rsidR="002F2CDD" w:rsidRPr="002F2CDD" w:rsidRDefault="002F2CDD" w:rsidP="00FE41B1">
            <w:r>
              <w:t>Meaning</w:t>
            </w:r>
          </w:p>
        </w:tc>
      </w:tr>
      <w:tr w:rsidR="005C6122" w:rsidRPr="002F2CDD" w14:paraId="30D934B4" w14:textId="77777777" w:rsidTr="0092687F">
        <w:tc>
          <w:tcPr>
            <w:tcW w:w="1951" w:type="dxa"/>
          </w:tcPr>
          <w:p w14:paraId="520106BC" w14:textId="17C7AA92" w:rsidR="005C6122" w:rsidRPr="002F2CDD" w:rsidRDefault="005C6122" w:rsidP="00FE41B1">
            <w:r>
              <w:t>ACV</w:t>
            </w:r>
          </w:p>
        </w:tc>
        <w:tc>
          <w:tcPr>
            <w:tcW w:w="6543" w:type="dxa"/>
          </w:tcPr>
          <w:p w14:paraId="0C6C467F" w14:textId="61E759F6" w:rsidR="005C6122" w:rsidRPr="002F2CDD" w:rsidRDefault="005C6122" w:rsidP="006A159E">
            <w:r>
              <w:t>Advisory Committee on Vaccines</w:t>
            </w:r>
          </w:p>
        </w:tc>
      </w:tr>
      <w:tr w:rsidR="002F2CDD" w:rsidRPr="002F2CDD" w14:paraId="757F14EF" w14:textId="77777777" w:rsidTr="0092687F">
        <w:tc>
          <w:tcPr>
            <w:tcW w:w="1951" w:type="dxa"/>
          </w:tcPr>
          <w:p w14:paraId="0F1A1A1B" w14:textId="77777777" w:rsidR="002F2CDD" w:rsidRPr="002F2CDD" w:rsidRDefault="002F2CDD" w:rsidP="00FE41B1">
            <w:r w:rsidRPr="002F2CDD">
              <w:t>AE</w:t>
            </w:r>
          </w:p>
        </w:tc>
        <w:tc>
          <w:tcPr>
            <w:tcW w:w="6543" w:type="dxa"/>
          </w:tcPr>
          <w:p w14:paraId="7768407E" w14:textId="771C7D23" w:rsidR="002F2CDD" w:rsidRPr="002F2CDD" w:rsidRDefault="00FE41B1" w:rsidP="006A159E">
            <w:r w:rsidRPr="002F2CDD">
              <w:t xml:space="preserve">Adverse </w:t>
            </w:r>
            <w:r w:rsidR="006A159E">
              <w:t>e</w:t>
            </w:r>
            <w:r w:rsidR="006A159E" w:rsidRPr="002F2CDD">
              <w:t>vent</w:t>
            </w:r>
          </w:p>
        </w:tc>
      </w:tr>
      <w:tr w:rsidR="002F2CDD" w:rsidRPr="002F2CDD" w14:paraId="5DACFBF6" w14:textId="77777777" w:rsidTr="0092687F">
        <w:tc>
          <w:tcPr>
            <w:tcW w:w="1951" w:type="dxa"/>
          </w:tcPr>
          <w:p w14:paraId="27531C12" w14:textId="77777777" w:rsidR="002F2CDD" w:rsidRPr="002F2CDD" w:rsidRDefault="002F2CDD" w:rsidP="00FE41B1">
            <w:r w:rsidRPr="002F2CDD">
              <w:t>AESI</w:t>
            </w:r>
          </w:p>
        </w:tc>
        <w:tc>
          <w:tcPr>
            <w:tcW w:w="6543" w:type="dxa"/>
          </w:tcPr>
          <w:p w14:paraId="3A68B322" w14:textId="1AF9A7B2" w:rsidR="002F2CDD" w:rsidRPr="002F2CDD" w:rsidRDefault="00FE41B1" w:rsidP="006A159E">
            <w:r>
              <w:t xml:space="preserve">Adverse </w:t>
            </w:r>
            <w:r w:rsidR="006A159E">
              <w:t xml:space="preserve">event </w:t>
            </w:r>
            <w:r>
              <w:t>o</w:t>
            </w:r>
            <w:r w:rsidRPr="002F2CDD">
              <w:t xml:space="preserve">f </w:t>
            </w:r>
            <w:r w:rsidR="006A159E" w:rsidRPr="002F2CDD">
              <w:t>special interest</w:t>
            </w:r>
          </w:p>
        </w:tc>
      </w:tr>
      <w:tr w:rsidR="006A159E" w:rsidRPr="002F2CDD" w14:paraId="24A5580D" w14:textId="77777777" w:rsidTr="0092687F">
        <w:tc>
          <w:tcPr>
            <w:tcW w:w="1951" w:type="dxa"/>
          </w:tcPr>
          <w:p w14:paraId="63ACBD42" w14:textId="762FA563" w:rsidR="006A159E" w:rsidRPr="002F2CDD" w:rsidRDefault="006A159E" w:rsidP="00FE41B1">
            <w:r>
              <w:t>AICV</w:t>
            </w:r>
          </w:p>
        </w:tc>
        <w:tc>
          <w:tcPr>
            <w:tcW w:w="6543" w:type="dxa"/>
          </w:tcPr>
          <w:p w14:paraId="74E58828" w14:textId="2A781F6C" w:rsidR="006A159E" w:rsidRDefault="006A159E" w:rsidP="006A159E">
            <w:r>
              <w:t>Australian Influenza Vaccine Committee</w:t>
            </w:r>
          </w:p>
        </w:tc>
      </w:tr>
      <w:tr w:rsidR="002F2CDD" w:rsidRPr="002F2CDD" w14:paraId="76A6F90E" w14:textId="77777777" w:rsidTr="0092687F">
        <w:tc>
          <w:tcPr>
            <w:tcW w:w="1951" w:type="dxa"/>
          </w:tcPr>
          <w:p w14:paraId="504AF9B0" w14:textId="77777777" w:rsidR="002F2CDD" w:rsidRPr="002F2CDD" w:rsidRDefault="002F2CDD" w:rsidP="00FE41B1">
            <w:proofErr w:type="spellStart"/>
            <w:r w:rsidRPr="002F2CDD">
              <w:t>aQIV</w:t>
            </w:r>
            <w:proofErr w:type="spellEnd"/>
          </w:p>
        </w:tc>
        <w:tc>
          <w:tcPr>
            <w:tcW w:w="6543" w:type="dxa"/>
          </w:tcPr>
          <w:p w14:paraId="6759AF4D" w14:textId="7FB92C2F" w:rsidR="002F2CDD" w:rsidRPr="002F2CDD" w:rsidRDefault="006A159E" w:rsidP="006A159E">
            <w:proofErr w:type="spellStart"/>
            <w:r>
              <w:t>A</w:t>
            </w:r>
            <w:r w:rsidRPr="002F2CDD">
              <w:t>djuvanted</w:t>
            </w:r>
            <w:proofErr w:type="spellEnd"/>
            <w:r w:rsidRPr="002F2CDD">
              <w:t xml:space="preserve"> </w:t>
            </w:r>
            <w:proofErr w:type="spellStart"/>
            <w:r>
              <w:t>q</w:t>
            </w:r>
            <w:r w:rsidRPr="002F2CDD">
              <w:t>uadrivalent</w:t>
            </w:r>
            <w:proofErr w:type="spellEnd"/>
            <w:r w:rsidRPr="002F2CDD">
              <w:t xml:space="preserve"> </w:t>
            </w:r>
            <w:r>
              <w:t>i</w:t>
            </w:r>
            <w:r w:rsidRPr="002F2CDD">
              <w:t xml:space="preserve">nfluenza </w:t>
            </w:r>
            <w:r>
              <w:t>v</w:t>
            </w:r>
            <w:r w:rsidRPr="002F2CDD">
              <w:t>accine</w:t>
            </w:r>
          </w:p>
        </w:tc>
      </w:tr>
      <w:tr w:rsidR="006A159E" w:rsidRPr="002F2CDD" w14:paraId="280ABD36" w14:textId="77777777" w:rsidTr="0092687F">
        <w:tc>
          <w:tcPr>
            <w:tcW w:w="1951" w:type="dxa"/>
          </w:tcPr>
          <w:p w14:paraId="5FA1F53C" w14:textId="3F097717" w:rsidR="006A159E" w:rsidRPr="002F2CDD" w:rsidRDefault="006A159E" w:rsidP="00FE41B1">
            <w:r>
              <w:t>ARTG</w:t>
            </w:r>
          </w:p>
        </w:tc>
        <w:tc>
          <w:tcPr>
            <w:tcW w:w="6543" w:type="dxa"/>
          </w:tcPr>
          <w:p w14:paraId="6349FA0D" w14:textId="692A8937" w:rsidR="006A159E" w:rsidRPr="002F2CDD" w:rsidDel="006A159E" w:rsidRDefault="006A159E" w:rsidP="006A159E">
            <w:r>
              <w:t>Australian Register of Therapeutic Goods</w:t>
            </w:r>
          </w:p>
        </w:tc>
      </w:tr>
      <w:tr w:rsidR="001F0BA9" w:rsidRPr="002F2CDD" w14:paraId="6ABA495F" w14:textId="77777777" w:rsidTr="0092687F">
        <w:tc>
          <w:tcPr>
            <w:tcW w:w="1951" w:type="dxa"/>
          </w:tcPr>
          <w:p w14:paraId="0CBF7CE8" w14:textId="079DBA3A" w:rsidR="001F0BA9" w:rsidRDefault="001F0BA9" w:rsidP="00FE41B1">
            <w:r>
              <w:t>ASA</w:t>
            </w:r>
          </w:p>
        </w:tc>
        <w:tc>
          <w:tcPr>
            <w:tcW w:w="6543" w:type="dxa"/>
          </w:tcPr>
          <w:p w14:paraId="29277B84" w14:textId="48FDE816" w:rsidR="001F0BA9" w:rsidRDefault="001F0BA9" w:rsidP="006A159E">
            <w:r>
              <w:t>Australian Specific Annex</w:t>
            </w:r>
          </w:p>
        </w:tc>
      </w:tr>
      <w:tr w:rsidR="002F2CDD" w:rsidRPr="002F2CDD" w14:paraId="28A3F3D3" w14:textId="77777777" w:rsidTr="0092687F">
        <w:tc>
          <w:tcPr>
            <w:tcW w:w="1951" w:type="dxa"/>
          </w:tcPr>
          <w:p w14:paraId="7EAD975A" w14:textId="77777777" w:rsidR="002F2CDD" w:rsidRPr="002F2CDD" w:rsidRDefault="002F2CDD" w:rsidP="00FE41B1">
            <w:proofErr w:type="spellStart"/>
            <w:r w:rsidRPr="002F2CDD">
              <w:t>aTIV</w:t>
            </w:r>
            <w:proofErr w:type="spellEnd"/>
          </w:p>
        </w:tc>
        <w:tc>
          <w:tcPr>
            <w:tcW w:w="6543" w:type="dxa"/>
          </w:tcPr>
          <w:p w14:paraId="64944EE8" w14:textId="7DE1089F" w:rsidR="002F2CDD" w:rsidRPr="002F2CDD" w:rsidRDefault="006A159E" w:rsidP="00FE41B1">
            <w:proofErr w:type="spellStart"/>
            <w:r>
              <w:t>A</w:t>
            </w:r>
            <w:r w:rsidRPr="002F2CDD">
              <w:t>djuvanted</w:t>
            </w:r>
            <w:proofErr w:type="spellEnd"/>
            <w:r w:rsidRPr="002F2CDD">
              <w:t xml:space="preserve"> trivalent influenza vaccine</w:t>
            </w:r>
          </w:p>
        </w:tc>
      </w:tr>
      <w:tr w:rsidR="002F2CDD" w:rsidRPr="002F2CDD" w14:paraId="5474F765" w14:textId="77777777" w:rsidTr="0092687F">
        <w:tc>
          <w:tcPr>
            <w:tcW w:w="1951" w:type="dxa"/>
          </w:tcPr>
          <w:p w14:paraId="34CD9B74" w14:textId="77777777" w:rsidR="002F2CDD" w:rsidRPr="002F2CDD" w:rsidRDefault="002F2CDD" w:rsidP="00FE41B1">
            <w:r w:rsidRPr="002F2CDD">
              <w:t>CBER</w:t>
            </w:r>
          </w:p>
        </w:tc>
        <w:tc>
          <w:tcPr>
            <w:tcW w:w="6543" w:type="dxa"/>
          </w:tcPr>
          <w:p w14:paraId="4ED174A7" w14:textId="42C6A983" w:rsidR="002F2CDD" w:rsidRPr="002F2CDD" w:rsidRDefault="002F2CDD" w:rsidP="00FE41B1">
            <w:proofErr w:type="spellStart"/>
            <w:r w:rsidRPr="002F2CDD">
              <w:t>Center</w:t>
            </w:r>
            <w:proofErr w:type="spellEnd"/>
            <w:r w:rsidRPr="002F2CDD">
              <w:t xml:space="preserve"> for Biological Evaluation and Research</w:t>
            </w:r>
            <w:r w:rsidR="00DB49CE">
              <w:t xml:space="preserve"> (</w:t>
            </w:r>
            <w:r w:rsidR="006A159E">
              <w:t>USA)</w:t>
            </w:r>
          </w:p>
        </w:tc>
      </w:tr>
      <w:tr w:rsidR="002F2CDD" w:rsidRPr="002F2CDD" w14:paraId="75F70EA7" w14:textId="77777777" w:rsidTr="0092687F">
        <w:tc>
          <w:tcPr>
            <w:tcW w:w="1951" w:type="dxa"/>
          </w:tcPr>
          <w:p w14:paraId="2643B788" w14:textId="77777777" w:rsidR="002F2CDD" w:rsidRPr="002F2CDD" w:rsidRDefault="002F2CDD" w:rsidP="00FE41B1">
            <w:r w:rsidRPr="002F2CDD">
              <w:t>CHMP</w:t>
            </w:r>
          </w:p>
        </w:tc>
        <w:tc>
          <w:tcPr>
            <w:tcW w:w="6543" w:type="dxa"/>
          </w:tcPr>
          <w:p w14:paraId="0EE4AE15" w14:textId="499F9F2C" w:rsidR="002F2CDD" w:rsidRPr="002F2CDD" w:rsidRDefault="002F2CDD" w:rsidP="00FE41B1">
            <w:r w:rsidRPr="002F2CDD">
              <w:t>Committee for Medicinal Products for Human Use</w:t>
            </w:r>
            <w:r w:rsidR="00DB49CE">
              <w:t xml:space="preserve"> (</w:t>
            </w:r>
            <w:r w:rsidR="006A159E">
              <w:t>EU)</w:t>
            </w:r>
          </w:p>
        </w:tc>
      </w:tr>
      <w:tr w:rsidR="002F2CDD" w:rsidRPr="002F2CDD" w14:paraId="4B44BDE9" w14:textId="77777777" w:rsidTr="0092687F">
        <w:tc>
          <w:tcPr>
            <w:tcW w:w="1951" w:type="dxa"/>
          </w:tcPr>
          <w:p w14:paraId="21FA1142" w14:textId="77777777" w:rsidR="002F2CDD" w:rsidRPr="002F2CDD" w:rsidRDefault="002F2CDD" w:rsidP="00FE41B1">
            <w:r w:rsidRPr="002F2CDD">
              <w:t>CI</w:t>
            </w:r>
          </w:p>
        </w:tc>
        <w:tc>
          <w:tcPr>
            <w:tcW w:w="6543" w:type="dxa"/>
          </w:tcPr>
          <w:p w14:paraId="1174DCBB" w14:textId="3D14BE36" w:rsidR="002F2CDD" w:rsidRPr="002F2CDD" w:rsidRDefault="00FE41B1" w:rsidP="00FE41B1">
            <w:r w:rsidRPr="002F2CDD">
              <w:t xml:space="preserve">Confidence </w:t>
            </w:r>
            <w:r w:rsidR="006A159E">
              <w:t>i</w:t>
            </w:r>
            <w:r w:rsidRPr="002F2CDD">
              <w:t>nterval</w:t>
            </w:r>
          </w:p>
        </w:tc>
      </w:tr>
      <w:tr w:rsidR="002F2CDD" w:rsidRPr="002F2CDD" w14:paraId="67C3F0F4" w14:textId="77777777" w:rsidTr="0092687F">
        <w:tc>
          <w:tcPr>
            <w:tcW w:w="1951" w:type="dxa"/>
          </w:tcPr>
          <w:p w14:paraId="27367487" w14:textId="77777777" w:rsidR="002F2CDD" w:rsidRPr="002F2CDD" w:rsidRDefault="002F2CDD" w:rsidP="00FE41B1">
            <w:r w:rsidRPr="002F2CDD">
              <w:t>CMI</w:t>
            </w:r>
          </w:p>
        </w:tc>
        <w:tc>
          <w:tcPr>
            <w:tcW w:w="6543" w:type="dxa"/>
          </w:tcPr>
          <w:p w14:paraId="6F21338F" w14:textId="5FD20099" w:rsidR="002F2CDD" w:rsidRPr="002F2CDD" w:rsidRDefault="00F62A6C" w:rsidP="00FE41B1">
            <w:r>
              <w:t>Consumer Medicine Information</w:t>
            </w:r>
          </w:p>
        </w:tc>
      </w:tr>
      <w:tr w:rsidR="001F0BA9" w:rsidRPr="002F2CDD" w14:paraId="40A6D802" w14:textId="77777777" w:rsidTr="0092687F">
        <w:tc>
          <w:tcPr>
            <w:tcW w:w="1951" w:type="dxa"/>
          </w:tcPr>
          <w:p w14:paraId="3A002AF1" w14:textId="5BB99918" w:rsidR="001F0BA9" w:rsidRPr="002F2CDD" w:rsidRDefault="001F0BA9" w:rsidP="00FE41B1">
            <w:r>
              <w:t>DRIVE</w:t>
            </w:r>
          </w:p>
        </w:tc>
        <w:tc>
          <w:tcPr>
            <w:tcW w:w="6543" w:type="dxa"/>
          </w:tcPr>
          <w:p w14:paraId="337C3FC3" w14:textId="196E78ED" w:rsidR="001F0BA9" w:rsidRPr="002F2CDD" w:rsidDel="00F62A6C" w:rsidRDefault="001F0BA9" w:rsidP="00FE41B1">
            <w:r w:rsidRPr="001F0BA9">
              <w:t>Development of Robust and Innovative Vaccine Effectiveness</w:t>
            </w:r>
            <w:r>
              <w:t xml:space="preserve"> project</w:t>
            </w:r>
          </w:p>
        </w:tc>
      </w:tr>
      <w:tr w:rsidR="002F2CDD" w:rsidRPr="002F2CDD" w14:paraId="0D415BE7" w14:textId="77777777" w:rsidTr="0092687F">
        <w:tc>
          <w:tcPr>
            <w:tcW w:w="1951" w:type="dxa"/>
          </w:tcPr>
          <w:p w14:paraId="62FFB228" w14:textId="77777777" w:rsidR="002F2CDD" w:rsidRPr="002F2CDD" w:rsidRDefault="002F2CDD" w:rsidP="00FE41B1">
            <w:r w:rsidRPr="002F2CDD">
              <w:t>EMA</w:t>
            </w:r>
          </w:p>
        </w:tc>
        <w:tc>
          <w:tcPr>
            <w:tcW w:w="6543" w:type="dxa"/>
          </w:tcPr>
          <w:p w14:paraId="0662897E" w14:textId="2113919A" w:rsidR="002F2CDD" w:rsidRPr="002F2CDD" w:rsidRDefault="002F2CDD" w:rsidP="00FE41B1">
            <w:r w:rsidRPr="002F2CDD">
              <w:t>European Medicines Agency</w:t>
            </w:r>
            <w:r w:rsidR="006A159E">
              <w:t xml:space="preserve"> (EU)</w:t>
            </w:r>
          </w:p>
        </w:tc>
      </w:tr>
      <w:tr w:rsidR="002F2CDD" w:rsidRPr="002F2CDD" w14:paraId="5244E34F" w14:textId="77777777" w:rsidTr="0092687F">
        <w:tc>
          <w:tcPr>
            <w:tcW w:w="1951" w:type="dxa"/>
          </w:tcPr>
          <w:p w14:paraId="1F6F5814" w14:textId="77777777" w:rsidR="002F2CDD" w:rsidRPr="002F2CDD" w:rsidRDefault="002F2CDD" w:rsidP="00FE41B1">
            <w:r w:rsidRPr="002F2CDD">
              <w:t>EU</w:t>
            </w:r>
          </w:p>
        </w:tc>
        <w:tc>
          <w:tcPr>
            <w:tcW w:w="6543" w:type="dxa"/>
          </w:tcPr>
          <w:p w14:paraId="0D92C2B9" w14:textId="77777777" w:rsidR="002F2CDD" w:rsidRPr="002F2CDD" w:rsidRDefault="002F2CDD" w:rsidP="00FE41B1">
            <w:r w:rsidRPr="002F2CDD">
              <w:t>European Union</w:t>
            </w:r>
          </w:p>
        </w:tc>
      </w:tr>
      <w:tr w:rsidR="005F5E35" w:rsidRPr="002F2CDD" w14:paraId="5A519095" w14:textId="77777777" w:rsidTr="0092687F">
        <w:tc>
          <w:tcPr>
            <w:tcW w:w="1951" w:type="dxa"/>
          </w:tcPr>
          <w:p w14:paraId="61E2C190" w14:textId="7D04202A" w:rsidR="005F5E35" w:rsidRPr="002F2CDD" w:rsidRDefault="005F5E35" w:rsidP="00FE41B1">
            <w:r>
              <w:t>FAS</w:t>
            </w:r>
          </w:p>
        </w:tc>
        <w:tc>
          <w:tcPr>
            <w:tcW w:w="6543" w:type="dxa"/>
          </w:tcPr>
          <w:p w14:paraId="5328ABBF" w14:textId="0C3AAF67" w:rsidR="005F5E35" w:rsidRPr="002F2CDD" w:rsidRDefault="005F5E35" w:rsidP="006A159E">
            <w:r>
              <w:t xml:space="preserve">Full </w:t>
            </w:r>
            <w:r w:rsidR="006A159E">
              <w:t>a</w:t>
            </w:r>
            <w:r>
              <w:t xml:space="preserve">nalysis </w:t>
            </w:r>
            <w:r w:rsidR="006A159E">
              <w:t>s</w:t>
            </w:r>
            <w:r>
              <w:t>et</w:t>
            </w:r>
          </w:p>
        </w:tc>
      </w:tr>
      <w:tr w:rsidR="002F2CDD" w:rsidRPr="002F2CDD" w14:paraId="07915BE6" w14:textId="77777777" w:rsidTr="0092687F">
        <w:tc>
          <w:tcPr>
            <w:tcW w:w="1951" w:type="dxa"/>
          </w:tcPr>
          <w:p w14:paraId="37D13F11" w14:textId="77777777" w:rsidR="002F2CDD" w:rsidRPr="002F2CDD" w:rsidRDefault="002F2CDD" w:rsidP="00FE41B1">
            <w:r w:rsidRPr="002F2CDD">
              <w:t>FDA</w:t>
            </w:r>
          </w:p>
        </w:tc>
        <w:tc>
          <w:tcPr>
            <w:tcW w:w="6543" w:type="dxa"/>
          </w:tcPr>
          <w:p w14:paraId="716D4232" w14:textId="5D52460B" w:rsidR="002F2CDD" w:rsidRPr="002F2CDD" w:rsidRDefault="002F2CDD" w:rsidP="00FE41B1">
            <w:r w:rsidRPr="002F2CDD">
              <w:t>Food and Drug Administration</w:t>
            </w:r>
            <w:r w:rsidR="006A159E">
              <w:t xml:space="preserve"> (USA)</w:t>
            </w:r>
          </w:p>
        </w:tc>
      </w:tr>
      <w:tr w:rsidR="002F2CDD" w:rsidRPr="002F2CDD" w14:paraId="4887626D" w14:textId="77777777" w:rsidTr="0092687F">
        <w:tc>
          <w:tcPr>
            <w:tcW w:w="1951" w:type="dxa"/>
          </w:tcPr>
          <w:p w14:paraId="6E7F3109" w14:textId="77777777" w:rsidR="002F2CDD" w:rsidRPr="002F2CDD" w:rsidRDefault="002F2CDD" w:rsidP="00FE41B1">
            <w:r w:rsidRPr="002F2CDD">
              <w:t>GMT</w:t>
            </w:r>
          </w:p>
        </w:tc>
        <w:tc>
          <w:tcPr>
            <w:tcW w:w="6543" w:type="dxa"/>
          </w:tcPr>
          <w:p w14:paraId="20892619" w14:textId="183C5754" w:rsidR="002F2CDD" w:rsidRPr="002F2CDD" w:rsidRDefault="00FE41B1" w:rsidP="00FE41B1">
            <w:r w:rsidRPr="002F2CDD">
              <w:t xml:space="preserve">Geometric </w:t>
            </w:r>
            <w:r w:rsidR="006A159E" w:rsidRPr="002F2CDD">
              <w:t>mean titre</w:t>
            </w:r>
          </w:p>
        </w:tc>
      </w:tr>
      <w:tr w:rsidR="002F2CDD" w:rsidRPr="002F2CDD" w14:paraId="27DBD20C" w14:textId="77777777" w:rsidTr="0092687F">
        <w:tc>
          <w:tcPr>
            <w:tcW w:w="1951" w:type="dxa"/>
          </w:tcPr>
          <w:p w14:paraId="0CD7C52B" w14:textId="77777777" w:rsidR="002F2CDD" w:rsidRPr="002F2CDD" w:rsidRDefault="002F2CDD" w:rsidP="00FE41B1">
            <w:r w:rsidRPr="002F2CDD">
              <w:t>GMR</w:t>
            </w:r>
          </w:p>
        </w:tc>
        <w:tc>
          <w:tcPr>
            <w:tcW w:w="6543" w:type="dxa"/>
          </w:tcPr>
          <w:p w14:paraId="4CB3C6BB" w14:textId="7E527F77" w:rsidR="002F2CDD" w:rsidRPr="002F2CDD" w:rsidRDefault="00FE41B1" w:rsidP="00FE41B1">
            <w:r w:rsidRPr="002F2CDD">
              <w:t xml:space="preserve">Geometric </w:t>
            </w:r>
            <w:r w:rsidR="006A159E" w:rsidRPr="002F2CDD">
              <w:t xml:space="preserve">mean </w:t>
            </w:r>
            <w:r w:rsidR="006A159E">
              <w:t xml:space="preserve">titre </w:t>
            </w:r>
            <w:r w:rsidR="006A159E" w:rsidRPr="002F2CDD">
              <w:t>ratio</w:t>
            </w:r>
          </w:p>
        </w:tc>
      </w:tr>
      <w:tr w:rsidR="002F2CDD" w:rsidRPr="002F2CDD" w14:paraId="746ACC06" w14:textId="77777777" w:rsidTr="0092687F">
        <w:tc>
          <w:tcPr>
            <w:tcW w:w="1951" w:type="dxa"/>
          </w:tcPr>
          <w:p w14:paraId="3715CF3B" w14:textId="77777777" w:rsidR="002F2CDD" w:rsidRPr="002F2CDD" w:rsidRDefault="002F2CDD" w:rsidP="00FE41B1">
            <w:r w:rsidRPr="002F2CDD">
              <w:t>HA</w:t>
            </w:r>
          </w:p>
        </w:tc>
        <w:tc>
          <w:tcPr>
            <w:tcW w:w="6543" w:type="dxa"/>
          </w:tcPr>
          <w:p w14:paraId="5ABBDF1A" w14:textId="77777777" w:rsidR="002F2CDD" w:rsidRPr="002F2CDD" w:rsidRDefault="00FE41B1" w:rsidP="00FE41B1">
            <w:proofErr w:type="spellStart"/>
            <w:r>
              <w:t>Ha</w:t>
            </w:r>
            <w:r w:rsidR="002F2CDD" w:rsidRPr="002F2CDD">
              <w:t>emagglutinin</w:t>
            </w:r>
            <w:proofErr w:type="spellEnd"/>
          </w:p>
        </w:tc>
      </w:tr>
      <w:tr w:rsidR="002F2CDD" w:rsidRPr="002F2CDD" w14:paraId="3EF7C963" w14:textId="77777777" w:rsidTr="0092687F">
        <w:tc>
          <w:tcPr>
            <w:tcW w:w="1951" w:type="dxa"/>
          </w:tcPr>
          <w:p w14:paraId="4021EB61" w14:textId="62C3B5AC" w:rsidR="002F2CDD" w:rsidRPr="002F2CDD" w:rsidRDefault="002F2CDD" w:rsidP="00FE41B1">
            <w:r w:rsidRPr="002F2CDD">
              <w:t>HI</w:t>
            </w:r>
          </w:p>
        </w:tc>
        <w:tc>
          <w:tcPr>
            <w:tcW w:w="6543" w:type="dxa"/>
          </w:tcPr>
          <w:p w14:paraId="704FC2F9" w14:textId="4267B19F" w:rsidR="002F2CDD" w:rsidRPr="002F2CDD" w:rsidRDefault="00FE41B1" w:rsidP="00FE41B1">
            <w:proofErr w:type="spellStart"/>
            <w:r w:rsidRPr="002F2CDD">
              <w:t>H</w:t>
            </w:r>
            <w:r w:rsidR="009D2F0C">
              <w:t>a</w:t>
            </w:r>
            <w:r w:rsidRPr="002F2CDD">
              <w:t>emagglutination</w:t>
            </w:r>
            <w:proofErr w:type="spellEnd"/>
            <w:r w:rsidRPr="002F2CDD">
              <w:t xml:space="preserve"> </w:t>
            </w:r>
            <w:r w:rsidR="006A159E">
              <w:t>i</w:t>
            </w:r>
            <w:r w:rsidRPr="002F2CDD">
              <w:t>nhibition</w:t>
            </w:r>
          </w:p>
        </w:tc>
      </w:tr>
      <w:tr w:rsidR="0016100F" w:rsidRPr="002F2CDD" w14:paraId="7FD716D6" w14:textId="77777777" w:rsidTr="0092687F">
        <w:tc>
          <w:tcPr>
            <w:tcW w:w="1951" w:type="dxa"/>
          </w:tcPr>
          <w:p w14:paraId="3F5B6C52" w14:textId="79941EB4" w:rsidR="0016100F" w:rsidRPr="002F2CDD" w:rsidRDefault="0016100F" w:rsidP="00FE41B1">
            <w:r>
              <w:t>ILI</w:t>
            </w:r>
          </w:p>
        </w:tc>
        <w:tc>
          <w:tcPr>
            <w:tcW w:w="6543" w:type="dxa"/>
          </w:tcPr>
          <w:p w14:paraId="31575EA8" w14:textId="426ACF1C" w:rsidR="0016100F" w:rsidRPr="002F2CDD" w:rsidRDefault="0016100F" w:rsidP="00FE41B1">
            <w:r>
              <w:t>Influenza like illness</w:t>
            </w:r>
          </w:p>
        </w:tc>
      </w:tr>
      <w:tr w:rsidR="002F2CDD" w:rsidRPr="002F2CDD" w14:paraId="411EB93C" w14:textId="77777777" w:rsidTr="0092687F">
        <w:tc>
          <w:tcPr>
            <w:tcW w:w="1951" w:type="dxa"/>
          </w:tcPr>
          <w:p w14:paraId="42F5A96A" w14:textId="77777777" w:rsidR="002F2CDD" w:rsidRPr="002F2CDD" w:rsidRDefault="002F2CDD" w:rsidP="00FE41B1">
            <w:r w:rsidRPr="002F2CDD">
              <w:t>IM</w:t>
            </w:r>
          </w:p>
        </w:tc>
        <w:tc>
          <w:tcPr>
            <w:tcW w:w="6543" w:type="dxa"/>
          </w:tcPr>
          <w:p w14:paraId="6571282A" w14:textId="77777777" w:rsidR="002F2CDD" w:rsidRPr="002F2CDD" w:rsidRDefault="00FE41B1" w:rsidP="00FE41B1">
            <w:r>
              <w:t>I</w:t>
            </w:r>
            <w:r w:rsidR="002F2CDD" w:rsidRPr="002F2CDD">
              <w:t>ntramuscular</w:t>
            </w:r>
          </w:p>
        </w:tc>
      </w:tr>
      <w:tr w:rsidR="009D2F0C" w:rsidRPr="002F2CDD" w14:paraId="68967C76" w14:textId="77777777" w:rsidTr="0092687F">
        <w:tc>
          <w:tcPr>
            <w:tcW w:w="1951" w:type="dxa"/>
          </w:tcPr>
          <w:p w14:paraId="49B51C1A" w14:textId="7031A723" w:rsidR="009D2F0C" w:rsidRPr="002F2CDD" w:rsidRDefault="009D2F0C" w:rsidP="00FE41B1">
            <w:r>
              <w:t>LL</w:t>
            </w:r>
          </w:p>
        </w:tc>
        <w:tc>
          <w:tcPr>
            <w:tcW w:w="6543" w:type="dxa"/>
          </w:tcPr>
          <w:p w14:paraId="44040090" w14:textId="7B40B116" w:rsidR="009D2F0C" w:rsidRDefault="009D2F0C" w:rsidP="00FE41B1">
            <w:r>
              <w:t>Lower limit</w:t>
            </w:r>
          </w:p>
        </w:tc>
      </w:tr>
      <w:tr w:rsidR="002F2CDD" w:rsidRPr="002F2CDD" w14:paraId="00E7E5F1" w14:textId="77777777" w:rsidTr="0092687F">
        <w:tc>
          <w:tcPr>
            <w:tcW w:w="1951" w:type="dxa"/>
          </w:tcPr>
          <w:p w14:paraId="52B514CD" w14:textId="77777777" w:rsidR="002F2CDD" w:rsidRPr="002F2CDD" w:rsidRDefault="002F2CDD" w:rsidP="00FE41B1">
            <w:r w:rsidRPr="002F2CDD">
              <w:lastRenderedPageBreak/>
              <w:t>MF59</w:t>
            </w:r>
          </w:p>
        </w:tc>
        <w:tc>
          <w:tcPr>
            <w:tcW w:w="6543" w:type="dxa"/>
          </w:tcPr>
          <w:p w14:paraId="07EBECCB" w14:textId="77777777" w:rsidR="002F2CDD" w:rsidRPr="002F2CDD" w:rsidRDefault="002F2CDD" w:rsidP="00FE41B1">
            <w:r w:rsidRPr="002F2CDD">
              <w:t>MF59 adjuvant</w:t>
            </w:r>
          </w:p>
        </w:tc>
      </w:tr>
      <w:tr w:rsidR="0016100F" w:rsidRPr="002F2CDD" w14:paraId="748F8151" w14:textId="77777777" w:rsidTr="0092687F">
        <w:tc>
          <w:tcPr>
            <w:tcW w:w="1951" w:type="dxa"/>
          </w:tcPr>
          <w:p w14:paraId="01121C9E" w14:textId="4060F73A" w:rsidR="0016100F" w:rsidRPr="002F2CDD" w:rsidRDefault="0016100F" w:rsidP="00FE41B1">
            <w:r>
              <w:t>MHRA</w:t>
            </w:r>
          </w:p>
        </w:tc>
        <w:tc>
          <w:tcPr>
            <w:tcW w:w="6543" w:type="dxa"/>
          </w:tcPr>
          <w:p w14:paraId="2EE07905" w14:textId="4673F086" w:rsidR="0016100F" w:rsidRPr="002F2CDD" w:rsidRDefault="0016100F" w:rsidP="00FE41B1">
            <w:r w:rsidRPr="0016100F">
              <w:t>Medicines and Healthcare products Regulatory Agency</w:t>
            </w:r>
            <w:r>
              <w:t xml:space="preserve"> (UK)</w:t>
            </w:r>
          </w:p>
        </w:tc>
      </w:tr>
      <w:tr w:rsidR="002F2CDD" w:rsidRPr="002F2CDD" w14:paraId="5CE62764" w14:textId="77777777" w:rsidTr="0092687F">
        <w:tc>
          <w:tcPr>
            <w:tcW w:w="1951" w:type="dxa"/>
          </w:tcPr>
          <w:p w14:paraId="7BB86153" w14:textId="77777777" w:rsidR="002F2CDD" w:rsidRPr="002F2CDD" w:rsidRDefault="002F2CDD" w:rsidP="00FE41B1">
            <w:r w:rsidRPr="002F2CDD">
              <w:t>NOCD</w:t>
            </w:r>
          </w:p>
        </w:tc>
        <w:tc>
          <w:tcPr>
            <w:tcW w:w="6543" w:type="dxa"/>
          </w:tcPr>
          <w:p w14:paraId="6B7AB106" w14:textId="1F756690" w:rsidR="002F2CDD" w:rsidRPr="002F2CDD" w:rsidRDefault="00FE41B1" w:rsidP="00FE41B1">
            <w:r w:rsidRPr="002F2CDD">
              <w:t xml:space="preserve">New </w:t>
            </w:r>
            <w:r w:rsidR="006A159E" w:rsidRPr="002F2CDD">
              <w:t>onset of chronic disease</w:t>
            </w:r>
          </w:p>
        </w:tc>
      </w:tr>
      <w:tr w:rsidR="002F2CDD" w:rsidRPr="002F2CDD" w14:paraId="4F2B15F6" w14:textId="77777777" w:rsidTr="0092687F">
        <w:tc>
          <w:tcPr>
            <w:tcW w:w="1951" w:type="dxa"/>
          </w:tcPr>
          <w:p w14:paraId="04821D0B" w14:textId="77777777" w:rsidR="002F2CDD" w:rsidRPr="002F2CDD" w:rsidRDefault="002F2CDD" w:rsidP="00FE41B1">
            <w:r w:rsidRPr="002F2CDD">
              <w:t>PCR</w:t>
            </w:r>
          </w:p>
        </w:tc>
        <w:tc>
          <w:tcPr>
            <w:tcW w:w="6543" w:type="dxa"/>
          </w:tcPr>
          <w:p w14:paraId="0EA0F030" w14:textId="05699BE1" w:rsidR="002F2CDD" w:rsidRPr="002F2CDD" w:rsidRDefault="00FE41B1" w:rsidP="00FE41B1">
            <w:r w:rsidRPr="002F2CDD">
              <w:t xml:space="preserve">Polymerase </w:t>
            </w:r>
            <w:r w:rsidR="006A159E">
              <w:t>c</w:t>
            </w:r>
            <w:r w:rsidRPr="002F2CDD">
              <w:t xml:space="preserve">hain </w:t>
            </w:r>
            <w:r w:rsidR="006A159E">
              <w:t>r</w:t>
            </w:r>
            <w:r w:rsidRPr="002F2CDD">
              <w:t>eaction</w:t>
            </w:r>
          </w:p>
        </w:tc>
      </w:tr>
      <w:tr w:rsidR="002F2CDD" w:rsidRPr="002F2CDD" w14:paraId="16DA1FCE" w14:textId="77777777" w:rsidTr="0092687F">
        <w:tc>
          <w:tcPr>
            <w:tcW w:w="1951" w:type="dxa"/>
          </w:tcPr>
          <w:p w14:paraId="726D8C72" w14:textId="77777777" w:rsidR="002F2CDD" w:rsidRPr="002F2CDD" w:rsidRDefault="002F2CDD" w:rsidP="00FE41B1">
            <w:r w:rsidRPr="002F2CDD">
              <w:t>PPS</w:t>
            </w:r>
          </w:p>
        </w:tc>
        <w:tc>
          <w:tcPr>
            <w:tcW w:w="6543" w:type="dxa"/>
          </w:tcPr>
          <w:p w14:paraId="6FB1E63A" w14:textId="41E3E662" w:rsidR="002F2CDD" w:rsidRPr="002F2CDD" w:rsidRDefault="002F2CDD" w:rsidP="00FE41B1">
            <w:r w:rsidRPr="002F2CDD">
              <w:t>Per</w:t>
            </w:r>
            <w:r w:rsidR="005F5E35">
              <w:t xml:space="preserve"> </w:t>
            </w:r>
            <w:r w:rsidR="006A159E">
              <w:t>p</w:t>
            </w:r>
            <w:r w:rsidRPr="002F2CDD">
              <w:t xml:space="preserve">rotocol </w:t>
            </w:r>
            <w:r w:rsidR="006A159E">
              <w:t>s</w:t>
            </w:r>
            <w:r w:rsidRPr="002F2CDD">
              <w:t>et</w:t>
            </w:r>
          </w:p>
        </w:tc>
      </w:tr>
      <w:tr w:rsidR="001F0BA9" w:rsidRPr="002F2CDD" w14:paraId="1985AA02" w14:textId="77777777" w:rsidTr="0092687F">
        <w:tc>
          <w:tcPr>
            <w:tcW w:w="1951" w:type="dxa"/>
          </w:tcPr>
          <w:p w14:paraId="2BC043C8" w14:textId="37D7BD1C" w:rsidR="001F0BA9" w:rsidRPr="002F2CDD" w:rsidRDefault="001F0BA9" w:rsidP="00FE41B1">
            <w:r>
              <w:t>PSUR</w:t>
            </w:r>
          </w:p>
        </w:tc>
        <w:tc>
          <w:tcPr>
            <w:tcW w:w="6543" w:type="dxa"/>
          </w:tcPr>
          <w:p w14:paraId="09F51079" w14:textId="70019CBE" w:rsidR="001F0BA9" w:rsidRPr="002F2CDD" w:rsidRDefault="001F0BA9" w:rsidP="00FE41B1">
            <w:r w:rsidRPr="001F0BA9">
              <w:t>Periodic Safety Update Report</w:t>
            </w:r>
          </w:p>
        </w:tc>
      </w:tr>
      <w:tr w:rsidR="001F0BA9" w:rsidRPr="002F2CDD" w14:paraId="50EF60D7" w14:textId="77777777" w:rsidTr="0092687F">
        <w:tc>
          <w:tcPr>
            <w:tcW w:w="1951" w:type="dxa"/>
          </w:tcPr>
          <w:p w14:paraId="1900C02F" w14:textId="10F42212" w:rsidR="001F0BA9" w:rsidRDefault="001F0BA9" w:rsidP="00FE41B1">
            <w:r>
              <w:t>RMP</w:t>
            </w:r>
          </w:p>
        </w:tc>
        <w:tc>
          <w:tcPr>
            <w:tcW w:w="6543" w:type="dxa"/>
          </w:tcPr>
          <w:p w14:paraId="4CD98C7C" w14:textId="00CBD573" w:rsidR="001F0BA9" w:rsidRPr="001F0BA9" w:rsidRDefault="001F0BA9" w:rsidP="00FE41B1">
            <w:r>
              <w:t>Risk management plan</w:t>
            </w:r>
          </w:p>
        </w:tc>
      </w:tr>
      <w:tr w:rsidR="0016100F" w:rsidRPr="002F2CDD" w14:paraId="13A2AF5D" w14:textId="77777777" w:rsidTr="0092687F">
        <w:tc>
          <w:tcPr>
            <w:tcW w:w="1951" w:type="dxa"/>
          </w:tcPr>
          <w:p w14:paraId="1E781822" w14:textId="1E08277E" w:rsidR="0016100F" w:rsidRPr="002F2CDD" w:rsidRDefault="0016100F" w:rsidP="00FE41B1">
            <w:r w:rsidRPr="0016100F">
              <w:t>RT-PCR</w:t>
            </w:r>
          </w:p>
        </w:tc>
        <w:tc>
          <w:tcPr>
            <w:tcW w:w="6543" w:type="dxa"/>
          </w:tcPr>
          <w:p w14:paraId="00428987" w14:textId="647FF5AC" w:rsidR="0016100F" w:rsidRPr="002F2CDD" w:rsidRDefault="0016100F" w:rsidP="0016100F">
            <w:r>
              <w:t xml:space="preserve">Reverse transcription </w:t>
            </w:r>
            <w:r w:rsidRPr="0016100F">
              <w:t xml:space="preserve">polymerase chain </w:t>
            </w:r>
            <w:r>
              <w:t>reaction</w:t>
            </w:r>
          </w:p>
        </w:tc>
      </w:tr>
      <w:tr w:rsidR="002F2CDD" w:rsidRPr="002F2CDD" w14:paraId="3DA3FCB2" w14:textId="77777777" w:rsidTr="0092687F">
        <w:tc>
          <w:tcPr>
            <w:tcW w:w="1951" w:type="dxa"/>
          </w:tcPr>
          <w:p w14:paraId="4902E87E" w14:textId="77777777" w:rsidR="002F2CDD" w:rsidRPr="002F2CDD" w:rsidRDefault="002F2CDD" w:rsidP="00FE41B1">
            <w:r w:rsidRPr="002F2CDD">
              <w:t>SAE</w:t>
            </w:r>
          </w:p>
        </w:tc>
        <w:tc>
          <w:tcPr>
            <w:tcW w:w="6543" w:type="dxa"/>
          </w:tcPr>
          <w:p w14:paraId="0F9E0EA1" w14:textId="1E831AA2" w:rsidR="002F2CDD" w:rsidRPr="002F2CDD" w:rsidRDefault="00FE41B1" w:rsidP="00FE41B1">
            <w:r w:rsidRPr="002F2CDD">
              <w:t xml:space="preserve">Serious </w:t>
            </w:r>
            <w:r w:rsidR="006A159E">
              <w:t>a</w:t>
            </w:r>
            <w:r w:rsidRPr="002F2CDD">
              <w:t xml:space="preserve">dverse </w:t>
            </w:r>
            <w:r w:rsidR="006A159E">
              <w:t>e</w:t>
            </w:r>
            <w:r w:rsidRPr="002F2CDD">
              <w:t>vent</w:t>
            </w:r>
          </w:p>
        </w:tc>
      </w:tr>
      <w:tr w:rsidR="002F2CDD" w:rsidRPr="002F2CDD" w14:paraId="3C45181E" w14:textId="77777777" w:rsidTr="0092687F">
        <w:tc>
          <w:tcPr>
            <w:tcW w:w="1951" w:type="dxa"/>
          </w:tcPr>
          <w:p w14:paraId="57221A12" w14:textId="77777777" w:rsidR="002F2CDD" w:rsidRPr="002F2CDD" w:rsidRDefault="002F2CDD" w:rsidP="00FE41B1">
            <w:r w:rsidRPr="002F2CDD">
              <w:t xml:space="preserve">SCR </w:t>
            </w:r>
          </w:p>
        </w:tc>
        <w:tc>
          <w:tcPr>
            <w:tcW w:w="6543" w:type="dxa"/>
          </w:tcPr>
          <w:p w14:paraId="524F0379" w14:textId="26A185BB" w:rsidR="002F2CDD" w:rsidRPr="002F2CDD" w:rsidRDefault="00FE41B1" w:rsidP="00FE41B1">
            <w:r>
              <w:t>Se</w:t>
            </w:r>
            <w:r w:rsidRPr="002F2CDD">
              <w:t xml:space="preserve">roconversion </w:t>
            </w:r>
            <w:r w:rsidR="006A159E">
              <w:t>r</w:t>
            </w:r>
            <w:r w:rsidRPr="002F2CDD">
              <w:t>ate</w:t>
            </w:r>
          </w:p>
        </w:tc>
      </w:tr>
      <w:tr w:rsidR="002F2CDD" w:rsidRPr="002F2CDD" w14:paraId="728437FA" w14:textId="77777777" w:rsidTr="0092687F">
        <w:tc>
          <w:tcPr>
            <w:tcW w:w="1951" w:type="dxa"/>
          </w:tcPr>
          <w:p w14:paraId="41BB0499" w14:textId="77777777" w:rsidR="002F2CDD" w:rsidRPr="002F2CDD" w:rsidRDefault="002F2CDD" w:rsidP="00FE41B1">
            <w:r w:rsidRPr="002F2CDD">
              <w:t>SH</w:t>
            </w:r>
          </w:p>
        </w:tc>
        <w:tc>
          <w:tcPr>
            <w:tcW w:w="6543" w:type="dxa"/>
          </w:tcPr>
          <w:p w14:paraId="3EAC4948" w14:textId="3C67B850" w:rsidR="002F2CDD" w:rsidRPr="002F2CDD" w:rsidRDefault="002F2CDD" w:rsidP="0016100F">
            <w:r w:rsidRPr="002F2CDD">
              <w:t>Southern Hemisphere</w:t>
            </w:r>
          </w:p>
        </w:tc>
      </w:tr>
      <w:tr w:rsidR="0016100F" w:rsidRPr="002F2CDD" w14:paraId="12A1A51D" w14:textId="77777777" w:rsidTr="0092687F">
        <w:tc>
          <w:tcPr>
            <w:tcW w:w="1951" w:type="dxa"/>
          </w:tcPr>
          <w:p w14:paraId="1C50BA5F" w14:textId="5E480600" w:rsidR="0016100F" w:rsidRPr="002F2CDD" w:rsidRDefault="0016100F" w:rsidP="00FE41B1">
            <w:proofErr w:type="spellStart"/>
            <w:r>
              <w:t>SmPC</w:t>
            </w:r>
            <w:proofErr w:type="spellEnd"/>
          </w:p>
        </w:tc>
        <w:tc>
          <w:tcPr>
            <w:tcW w:w="6543" w:type="dxa"/>
          </w:tcPr>
          <w:p w14:paraId="600A9FCF" w14:textId="1B4EF91D" w:rsidR="0016100F" w:rsidRPr="002F2CDD" w:rsidRDefault="0016100F" w:rsidP="0016100F">
            <w:r>
              <w:t>Summary of Product Characteristics</w:t>
            </w:r>
            <w:r w:rsidR="00DB49CE">
              <w:t xml:space="preserve"> (UK/EU)</w:t>
            </w:r>
          </w:p>
        </w:tc>
      </w:tr>
      <w:tr w:rsidR="002F2CDD" w:rsidRPr="002F2CDD" w14:paraId="71FD06C6" w14:textId="77777777" w:rsidTr="0092687F">
        <w:tc>
          <w:tcPr>
            <w:tcW w:w="1951" w:type="dxa"/>
          </w:tcPr>
          <w:p w14:paraId="5C4D7576" w14:textId="77777777" w:rsidR="002F2CDD" w:rsidRPr="002F2CDD" w:rsidRDefault="002F2CDD" w:rsidP="00FE41B1">
            <w:r w:rsidRPr="002F2CDD">
              <w:t>TIV</w:t>
            </w:r>
          </w:p>
        </w:tc>
        <w:tc>
          <w:tcPr>
            <w:tcW w:w="6543" w:type="dxa"/>
          </w:tcPr>
          <w:p w14:paraId="22A012C6" w14:textId="7830BD5D" w:rsidR="002F2CDD" w:rsidRPr="002F2CDD" w:rsidRDefault="002F2CDD" w:rsidP="00FE41B1">
            <w:r w:rsidRPr="002F2CDD">
              <w:t xml:space="preserve">Trivalent </w:t>
            </w:r>
            <w:r w:rsidR="006A159E">
              <w:t>i</w:t>
            </w:r>
            <w:r w:rsidRPr="002F2CDD">
              <w:t xml:space="preserve">nfluenza </w:t>
            </w:r>
            <w:r w:rsidR="006A159E">
              <w:t>v</w:t>
            </w:r>
            <w:r w:rsidRPr="002F2CDD">
              <w:t>accine</w:t>
            </w:r>
          </w:p>
        </w:tc>
      </w:tr>
      <w:tr w:rsidR="0016100F" w:rsidRPr="002F2CDD" w14:paraId="6C204ED8" w14:textId="77777777" w:rsidTr="0092687F">
        <w:tc>
          <w:tcPr>
            <w:tcW w:w="1951" w:type="dxa"/>
          </w:tcPr>
          <w:p w14:paraId="48947C6D" w14:textId="2E7DB366" w:rsidR="0016100F" w:rsidRPr="002F2CDD" w:rsidRDefault="0016100F" w:rsidP="00FE41B1">
            <w:r>
              <w:t>UK</w:t>
            </w:r>
          </w:p>
        </w:tc>
        <w:tc>
          <w:tcPr>
            <w:tcW w:w="6543" w:type="dxa"/>
          </w:tcPr>
          <w:p w14:paraId="03764ACD" w14:textId="5B7D806F" w:rsidR="0016100F" w:rsidRPr="002F2CDD" w:rsidRDefault="0016100F" w:rsidP="00FE41B1">
            <w:r>
              <w:t>United Kingdom</w:t>
            </w:r>
          </w:p>
        </w:tc>
      </w:tr>
      <w:tr w:rsidR="002F2CDD" w:rsidRPr="002F2CDD" w14:paraId="740F99DB" w14:textId="77777777" w:rsidTr="0092687F">
        <w:tc>
          <w:tcPr>
            <w:tcW w:w="1951" w:type="dxa"/>
          </w:tcPr>
          <w:p w14:paraId="12F9D9C3" w14:textId="26854380" w:rsidR="002F2CDD" w:rsidRPr="002F2CDD" w:rsidRDefault="002F2CDD" w:rsidP="00FE41B1">
            <w:r w:rsidRPr="002F2CDD">
              <w:t>US</w:t>
            </w:r>
            <w:r w:rsidR="006A159E">
              <w:t>(A)</w:t>
            </w:r>
          </w:p>
        </w:tc>
        <w:tc>
          <w:tcPr>
            <w:tcW w:w="6543" w:type="dxa"/>
          </w:tcPr>
          <w:p w14:paraId="1623BCD3" w14:textId="617B500D" w:rsidR="002F2CDD" w:rsidRPr="002F2CDD" w:rsidRDefault="002F2CDD" w:rsidP="00FE41B1">
            <w:r w:rsidRPr="002F2CDD">
              <w:t>United States</w:t>
            </w:r>
            <w:r w:rsidR="006A159E">
              <w:t xml:space="preserve"> (of America)</w:t>
            </w:r>
          </w:p>
        </w:tc>
      </w:tr>
      <w:tr w:rsidR="002F2CDD" w14:paraId="733D1E8E" w14:textId="77777777" w:rsidTr="0092687F">
        <w:tc>
          <w:tcPr>
            <w:tcW w:w="1951" w:type="dxa"/>
          </w:tcPr>
          <w:p w14:paraId="158E5109" w14:textId="77777777" w:rsidR="002F2CDD" w:rsidRPr="002F2CDD" w:rsidRDefault="002F2CDD" w:rsidP="00FE41B1">
            <w:r w:rsidRPr="002F2CDD">
              <w:t>WHO</w:t>
            </w:r>
          </w:p>
        </w:tc>
        <w:tc>
          <w:tcPr>
            <w:tcW w:w="6543" w:type="dxa"/>
          </w:tcPr>
          <w:p w14:paraId="0FC77E18" w14:textId="77777777" w:rsidR="002F2CDD" w:rsidRDefault="002F2CDD" w:rsidP="00FE41B1">
            <w:r w:rsidRPr="002F2CDD">
              <w:t>World Health Organization</w:t>
            </w:r>
          </w:p>
        </w:tc>
      </w:tr>
    </w:tbl>
    <w:p w14:paraId="07E7002B" w14:textId="77777777" w:rsidR="008E7846" w:rsidRDefault="00F53C07" w:rsidP="007C455C">
      <w:pPr>
        <w:pStyle w:val="Heading2"/>
        <w:pageBreakBefore/>
        <w:spacing w:before="0"/>
      </w:pPr>
      <w:bookmarkStart w:id="9" w:name="_Toc26439469"/>
      <w:r>
        <w:lastRenderedPageBreak/>
        <w:t>I.</w:t>
      </w:r>
      <w:r w:rsidR="008E7846">
        <w:t xml:space="preserve"> Introduction to product submission</w:t>
      </w:r>
      <w:bookmarkEnd w:id="0"/>
      <w:bookmarkEnd w:id="3"/>
      <w:bookmarkEnd w:id="9"/>
    </w:p>
    <w:p w14:paraId="43FE37E7" w14:textId="77777777" w:rsidR="008E7846" w:rsidRDefault="008E7846" w:rsidP="008E7846">
      <w:pPr>
        <w:pStyle w:val="Heading3"/>
        <w:rPr>
          <w:lang w:eastAsia="en-AU"/>
        </w:rPr>
      </w:pPr>
      <w:bookmarkStart w:id="10" w:name="_Toc247691502"/>
      <w:bookmarkStart w:id="11" w:name="_Toc314842483"/>
      <w:bookmarkStart w:id="12" w:name="_Toc26439470"/>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14:paraId="328D1FFC" w14:textId="77777777" w:rsidTr="003735BC">
        <w:tc>
          <w:tcPr>
            <w:tcW w:w="2907" w:type="dxa"/>
          </w:tcPr>
          <w:p w14:paraId="0AB3814C"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2373F510" w14:textId="77777777" w:rsidR="008E7846" w:rsidRPr="003D1E62" w:rsidRDefault="008E7846" w:rsidP="001E23A2">
            <w:r w:rsidRPr="003D1E62">
              <w:t xml:space="preserve">New </w:t>
            </w:r>
            <w:r w:rsidR="001B5C90">
              <w:t>c</w:t>
            </w:r>
            <w:r w:rsidRPr="003D1E62">
              <w:t xml:space="preserve">hemical </w:t>
            </w:r>
            <w:r w:rsidR="001B5C90">
              <w:t>e</w:t>
            </w:r>
            <w:r w:rsidR="001E23A2">
              <w:t>ntity</w:t>
            </w:r>
          </w:p>
        </w:tc>
      </w:tr>
      <w:tr w:rsidR="008E7846" w:rsidRPr="003D1E62" w14:paraId="2D1E5E88" w14:textId="77777777" w:rsidTr="003735BC">
        <w:tc>
          <w:tcPr>
            <w:tcW w:w="2907" w:type="dxa"/>
          </w:tcPr>
          <w:p w14:paraId="6B10D0B9" w14:textId="77777777" w:rsidR="008E7846" w:rsidRPr="003D1E62" w:rsidRDefault="008E7846" w:rsidP="003D1E62">
            <w:r w:rsidRPr="003D1E62">
              <w:rPr>
                <w:i/>
              </w:rPr>
              <w:t>Decision</w:t>
            </w:r>
            <w:r w:rsidRPr="003D1E62">
              <w:t>:</w:t>
            </w:r>
          </w:p>
        </w:tc>
        <w:tc>
          <w:tcPr>
            <w:tcW w:w="6307" w:type="dxa"/>
          </w:tcPr>
          <w:p w14:paraId="7F2442AA" w14:textId="77777777" w:rsidR="008E7846" w:rsidRPr="003D1E62" w:rsidRDefault="001E23A2" w:rsidP="001E23A2">
            <w:r>
              <w:t>Approved</w:t>
            </w:r>
          </w:p>
        </w:tc>
      </w:tr>
      <w:tr w:rsidR="008E7846" w:rsidRPr="003D1E62" w14:paraId="5D247F4E" w14:textId="77777777" w:rsidTr="003735BC">
        <w:tc>
          <w:tcPr>
            <w:tcW w:w="2907" w:type="dxa"/>
          </w:tcPr>
          <w:p w14:paraId="011D5B1B"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5E3CCA29" w14:textId="77777777" w:rsidR="008E7846" w:rsidRPr="003D1E62" w:rsidRDefault="001E23A2" w:rsidP="001E23A2">
            <w:r w:rsidRPr="008F429D">
              <w:t>24 September 2019</w:t>
            </w:r>
          </w:p>
        </w:tc>
      </w:tr>
      <w:tr w:rsidR="00ED2922" w:rsidRPr="003D1E62" w14:paraId="481F1B46" w14:textId="77777777" w:rsidTr="003735BC">
        <w:tc>
          <w:tcPr>
            <w:tcW w:w="2907" w:type="dxa"/>
          </w:tcPr>
          <w:p w14:paraId="5C34B4AB" w14:textId="77777777" w:rsidR="00ED2922" w:rsidRPr="00441C3F" w:rsidRDefault="00ED2922" w:rsidP="001B5C90">
            <w:pPr>
              <w:rPr>
                <w:i/>
              </w:rPr>
            </w:pPr>
            <w:r w:rsidRPr="00441C3F">
              <w:rPr>
                <w:i/>
              </w:rPr>
              <w:t>Date of entry onto ARTG</w:t>
            </w:r>
            <w:r w:rsidR="00500337">
              <w:rPr>
                <w:i/>
              </w:rPr>
              <w:t>:</w:t>
            </w:r>
          </w:p>
        </w:tc>
        <w:tc>
          <w:tcPr>
            <w:tcW w:w="6307" w:type="dxa"/>
          </w:tcPr>
          <w:p w14:paraId="6D03DC16" w14:textId="77777777" w:rsidR="00ED2922" w:rsidRPr="00441C3F" w:rsidRDefault="001E23A2" w:rsidP="001E23A2">
            <w:pPr>
              <w:rPr>
                <w:i/>
              </w:rPr>
            </w:pPr>
            <w:r w:rsidRPr="00EA4C1B">
              <w:t>1 October 2019</w:t>
            </w:r>
          </w:p>
        </w:tc>
      </w:tr>
      <w:tr w:rsidR="00500337" w:rsidRPr="003D1E62" w14:paraId="411BE033" w14:textId="77777777" w:rsidTr="003735BC">
        <w:tc>
          <w:tcPr>
            <w:tcW w:w="2907" w:type="dxa"/>
          </w:tcPr>
          <w:p w14:paraId="6C6619D4" w14:textId="6AE283DD" w:rsidR="00500337" w:rsidRPr="00441C3F" w:rsidRDefault="00500337" w:rsidP="001B5C90">
            <w:pPr>
              <w:rPr>
                <w:i/>
              </w:rPr>
            </w:pPr>
            <w:r>
              <w:rPr>
                <w:i/>
              </w:rPr>
              <w:t>ARTG numbers:</w:t>
            </w:r>
          </w:p>
        </w:tc>
        <w:tc>
          <w:tcPr>
            <w:tcW w:w="6307" w:type="dxa"/>
          </w:tcPr>
          <w:p w14:paraId="23F9CC35" w14:textId="77777777" w:rsidR="00500337" w:rsidRPr="00441C3F" w:rsidRDefault="001E23A2" w:rsidP="001E23A2">
            <w:r w:rsidRPr="00EA4C1B">
              <w:t>316323, 313724</w:t>
            </w:r>
          </w:p>
        </w:tc>
      </w:tr>
      <w:tr w:rsidR="003735BC" w:rsidRPr="003D1E62" w14:paraId="519EAC6A" w14:textId="77777777" w:rsidTr="003735BC">
        <w:tc>
          <w:tcPr>
            <w:tcW w:w="2907" w:type="dxa"/>
          </w:tcPr>
          <w:p w14:paraId="6574E149"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p>
        </w:tc>
        <w:tc>
          <w:tcPr>
            <w:tcW w:w="6307" w:type="dxa"/>
          </w:tcPr>
          <w:p w14:paraId="4FF3A8C7" w14:textId="77777777" w:rsidR="003735BC" w:rsidRPr="00487162" w:rsidRDefault="001E23A2" w:rsidP="001E23A2">
            <w:r>
              <w:t>No</w:t>
            </w:r>
          </w:p>
        </w:tc>
      </w:tr>
      <w:tr w:rsidR="008E7846" w:rsidRPr="00487162" w14:paraId="27530B62" w14:textId="77777777" w:rsidTr="00BF1190">
        <w:tc>
          <w:tcPr>
            <w:tcW w:w="2907" w:type="dxa"/>
          </w:tcPr>
          <w:p w14:paraId="4F493B58" w14:textId="0EE9AEF9" w:rsidR="008E7846" w:rsidRPr="00487162" w:rsidRDefault="001B5C90" w:rsidP="00E45619">
            <w:pPr>
              <w:rPr>
                <w:i/>
              </w:rPr>
            </w:pPr>
            <w:r>
              <w:rPr>
                <w:i/>
              </w:rPr>
              <w:t>Active ingredient:</w:t>
            </w:r>
          </w:p>
        </w:tc>
        <w:tc>
          <w:tcPr>
            <w:tcW w:w="6307" w:type="dxa"/>
          </w:tcPr>
          <w:p w14:paraId="47767AD5" w14:textId="35EA3956" w:rsidR="008E7846" w:rsidRPr="00487162" w:rsidRDefault="001F69C1" w:rsidP="001F69C1">
            <w:r>
              <w:rPr>
                <w:lang w:eastAsia="en-AU"/>
              </w:rPr>
              <w:t xml:space="preserve">Influenza virus </w:t>
            </w:r>
            <w:proofErr w:type="spellStart"/>
            <w:r>
              <w:rPr>
                <w:lang w:eastAsia="en-AU"/>
              </w:rPr>
              <w:t>haemagglutinin</w:t>
            </w:r>
            <w:proofErr w:type="spellEnd"/>
          </w:p>
        </w:tc>
      </w:tr>
      <w:tr w:rsidR="008E7846" w:rsidRPr="00487162" w14:paraId="3EFEEFA8" w14:textId="77777777" w:rsidTr="00BF1190">
        <w:tc>
          <w:tcPr>
            <w:tcW w:w="2907" w:type="dxa"/>
          </w:tcPr>
          <w:p w14:paraId="37E86573" w14:textId="75A65887" w:rsidR="008E7846" w:rsidRPr="00487162" w:rsidRDefault="008E7846" w:rsidP="001B5C90">
            <w:pPr>
              <w:rPr>
                <w:i/>
              </w:rPr>
            </w:pPr>
            <w:r w:rsidRPr="00487162">
              <w:rPr>
                <w:i/>
              </w:rPr>
              <w:t>Product</w:t>
            </w:r>
            <w:r w:rsidR="001B5C90">
              <w:rPr>
                <w:i/>
              </w:rPr>
              <w:t xml:space="preserve"> name:</w:t>
            </w:r>
          </w:p>
        </w:tc>
        <w:tc>
          <w:tcPr>
            <w:tcW w:w="6307" w:type="dxa"/>
          </w:tcPr>
          <w:p w14:paraId="6988C51E" w14:textId="40A29716" w:rsidR="008E7846" w:rsidRPr="00487162" w:rsidRDefault="001E23A2" w:rsidP="001F69C1">
            <w:proofErr w:type="spellStart"/>
            <w:r>
              <w:t>Fluad</w:t>
            </w:r>
            <w:proofErr w:type="spellEnd"/>
            <w:r w:rsidR="001F69C1" w:rsidRPr="001F69C1">
              <w:rPr>
                <w:vertAlign w:val="superscript"/>
              </w:rPr>
              <w:t>®</w:t>
            </w:r>
            <w:r>
              <w:t xml:space="preserve"> Quad</w:t>
            </w:r>
            <w:r w:rsidR="001F69C1">
              <w:t xml:space="preserve"> </w:t>
            </w:r>
            <w:r w:rsidR="001F69C1" w:rsidRPr="001F69C1">
              <w:t xml:space="preserve">inactivated </w:t>
            </w:r>
            <w:proofErr w:type="spellStart"/>
            <w:r w:rsidR="001F69C1" w:rsidRPr="001F69C1">
              <w:t>quadrivalent</w:t>
            </w:r>
            <w:proofErr w:type="spellEnd"/>
            <w:r w:rsidR="001F69C1" w:rsidRPr="001F69C1">
              <w:t xml:space="preserve"> influenza vaccine (surface antigen) </w:t>
            </w:r>
            <w:proofErr w:type="spellStart"/>
            <w:r w:rsidR="001F69C1" w:rsidRPr="001F69C1">
              <w:t>adjuvanted</w:t>
            </w:r>
            <w:proofErr w:type="spellEnd"/>
          </w:p>
        </w:tc>
      </w:tr>
      <w:tr w:rsidR="008E7846" w:rsidRPr="00487162" w14:paraId="783EA325" w14:textId="77777777" w:rsidTr="00BF1190">
        <w:tc>
          <w:tcPr>
            <w:tcW w:w="2907" w:type="dxa"/>
          </w:tcPr>
          <w:p w14:paraId="553CDF1D"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1B4848A2" w14:textId="77777777" w:rsidR="001E23A2" w:rsidRPr="009239B8" w:rsidRDefault="001E23A2" w:rsidP="001E23A2">
            <w:pPr>
              <w:rPr>
                <w:lang w:val="es-ES"/>
              </w:rPr>
            </w:pPr>
            <w:proofErr w:type="spellStart"/>
            <w:r w:rsidRPr="009239B8">
              <w:rPr>
                <w:lang w:val="es-ES"/>
              </w:rPr>
              <w:t>Seqirus</w:t>
            </w:r>
            <w:proofErr w:type="spellEnd"/>
            <w:r w:rsidRPr="009239B8">
              <w:rPr>
                <w:lang w:val="es-ES"/>
              </w:rPr>
              <w:t xml:space="preserve"> </w:t>
            </w:r>
            <w:proofErr w:type="spellStart"/>
            <w:r w:rsidRPr="009239B8">
              <w:rPr>
                <w:lang w:val="es-ES"/>
              </w:rPr>
              <w:t>Pty</w:t>
            </w:r>
            <w:proofErr w:type="spellEnd"/>
            <w:r w:rsidRPr="009239B8">
              <w:rPr>
                <w:lang w:val="es-ES"/>
              </w:rPr>
              <w:t xml:space="preserve"> </w:t>
            </w:r>
            <w:proofErr w:type="spellStart"/>
            <w:r w:rsidRPr="009239B8">
              <w:rPr>
                <w:lang w:val="es-ES"/>
              </w:rPr>
              <w:t>Ltd</w:t>
            </w:r>
            <w:proofErr w:type="spellEnd"/>
            <w:r w:rsidRPr="009239B8">
              <w:rPr>
                <w:lang w:val="es-ES"/>
              </w:rPr>
              <w:t xml:space="preserve"> (Australia)</w:t>
            </w:r>
          </w:p>
          <w:p w14:paraId="3F17344F" w14:textId="77777777" w:rsidR="008E7846" w:rsidRPr="00487162" w:rsidRDefault="001E23A2" w:rsidP="001E23A2">
            <w:r w:rsidRPr="009239B8">
              <w:rPr>
                <w:lang w:val="es-ES"/>
              </w:rPr>
              <w:t xml:space="preserve">63 </w:t>
            </w:r>
            <w:proofErr w:type="spellStart"/>
            <w:r w:rsidRPr="009239B8">
              <w:rPr>
                <w:lang w:val="es-ES"/>
              </w:rPr>
              <w:t>Poplar</w:t>
            </w:r>
            <w:proofErr w:type="spellEnd"/>
            <w:r w:rsidRPr="009239B8">
              <w:rPr>
                <w:lang w:val="es-ES"/>
              </w:rPr>
              <w:t xml:space="preserve"> </w:t>
            </w:r>
            <w:proofErr w:type="spellStart"/>
            <w:r w:rsidRPr="009239B8">
              <w:rPr>
                <w:lang w:val="es-ES"/>
              </w:rPr>
              <w:t>R</w:t>
            </w:r>
            <w:r>
              <w:rPr>
                <w:lang w:val="es-ES"/>
              </w:rPr>
              <w:t>d</w:t>
            </w:r>
            <w:proofErr w:type="spellEnd"/>
            <w:r>
              <w:rPr>
                <w:lang w:val="es-ES"/>
              </w:rPr>
              <w:t xml:space="preserve">, </w:t>
            </w:r>
            <w:proofErr w:type="spellStart"/>
            <w:r w:rsidRPr="009239B8">
              <w:rPr>
                <w:lang w:val="es-ES"/>
              </w:rPr>
              <w:t>Parkville</w:t>
            </w:r>
            <w:proofErr w:type="spellEnd"/>
            <w:r w:rsidRPr="009239B8">
              <w:rPr>
                <w:lang w:val="es-ES"/>
              </w:rPr>
              <w:t xml:space="preserve"> VIC 3052</w:t>
            </w:r>
          </w:p>
        </w:tc>
      </w:tr>
      <w:tr w:rsidR="008E7846" w:rsidRPr="00487162" w14:paraId="7C53E9B4" w14:textId="77777777" w:rsidTr="00BF1190">
        <w:tc>
          <w:tcPr>
            <w:tcW w:w="2907" w:type="dxa"/>
          </w:tcPr>
          <w:p w14:paraId="1605CA97" w14:textId="099F2D68" w:rsidR="008E7846" w:rsidRPr="00487162" w:rsidRDefault="001B5C90" w:rsidP="00E45619">
            <w:pPr>
              <w:rPr>
                <w:i/>
              </w:rPr>
            </w:pPr>
            <w:r>
              <w:rPr>
                <w:i/>
              </w:rPr>
              <w:t>Dose form:</w:t>
            </w:r>
          </w:p>
        </w:tc>
        <w:tc>
          <w:tcPr>
            <w:tcW w:w="6307" w:type="dxa"/>
          </w:tcPr>
          <w:p w14:paraId="7739B7FA" w14:textId="77777777" w:rsidR="008E7846" w:rsidRPr="00487162" w:rsidRDefault="001E23A2" w:rsidP="00E45619">
            <w:r w:rsidRPr="009239B8">
              <w:t>Injection, suspension</w:t>
            </w:r>
          </w:p>
        </w:tc>
      </w:tr>
      <w:tr w:rsidR="008E7846" w:rsidRPr="00487162" w14:paraId="2DC3BF15" w14:textId="77777777" w:rsidTr="00BF1190">
        <w:tc>
          <w:tcPr>
            <w:tcW w:w="2907" w:type="dxa"/>
          </w:tcPr>
          <w:p w14:paraId="3A399035" w14:textId="3A9D93B9" w:rsidR="008E7846" w:rsidRPr="00487162" w:rsidRDefault="008E7846" w:rsidP="00E45619">
            <w:pPr>
              <w:rPr>
                <w:i/>
              </w:rPr>
            </w:pPr>
            <w:r w:rsidRPr="00487162">
              <w:rPr>
                <w:i/>
              </w:rPr>
              <w:t xml:space="preserve">Strength: </w:t>
            </w:r>
          </w:p>
        </w:tc>
        <w:tc>
          <w:tcPr>
            <w:tcW w:w="6307" w:type="dxa"/>
          </w:tcPr>
          <w:p w14:paraId="4D5E17CC" w14:textId="77777777" w:rsidR="008E7846" w:rsidRPr="00487162" w:rsidRDefault="001E23A2" w:rsidP="00E45619">
            <w:r w:rsidRPr="009239B8">
              <w:t xml:space="preserve">60 µg </w:t>
            </w:r>
            <w:proofErr w:type="spellStart"/>
            <w:r w:rsidRPr="00247B43">
              <w:t>haemagglutinin</w:t>
            </w:r>
            <w:proofErr w:type="spellEnd"/>
            <w:r>
              <w:t xml:space="preserve"> (HA)/</w:t>
            </w:r>
            <w:r w:rsidRPr="009239B8">
              <w:t>0.5 mL</w:t>
            </w:r>
          </w:p>
        </w:tc>
      </w:tr>
      <w:tr w:rsidR="008E7846" w:rsidRPr="00487162" w14:paraId="326A110F" w14:textId="77777777" w:rsidTr="00BF1190">
        <w:tc>
          <w:tcPr>
            <w:tcW w:w="2907" w:type="dxa"/>
          </w:tcPr>
          <w:p w14:paraId="49865787" w14:textId="04456DE9" w:rsidR="008E7846" w:rsidRPr="00487162" w:rsidRDefault="008E7846" w:rsidP="00E45619">
            <w:pPr>
              <w:rPr>
                <w:i/>
              </w:rPr>
            </w:pPr>
            <w:r w:rsidRPr="00487162">
              <w:rPr>
                <w:i/>
              </w:rPr>
              <w:t>Containers:</w:t>
            </w:r>
          </w:p>
        </w:tc>
        <w:tc>
          <w:tcPr>
            <w:tcW w:w="6307" w:type="dxa"/>
          </w:tcPr>
          <w:p w14:paraId="41D8BA26" w14:textId="76962F8D" w:rsidR="008E7846" w:rsidRPr="00487162" w:rsidRDefault="001E23A2" w:rsidP="00E45619">
            <w:r w:rsidRPr="009239B8">
              <w:t>Pre</w:t>
            </w:r>
            <w:r w:rsidR="00935837">
              <w:t>-</w:t>
            </w:r>
            <w:r w:rsidRPr="009239B8">
              <w:t xml:space="preserve">filled syringe </w:t>
            </w:r>
            <w:r>
              <w:t>(</w:t>
            </w:r>
            <w:r w:rsidRPr="009239B8">
              <w:t>needle</w:t>
            </w:r>
            <w:r w:rsidR="00935837">
              <w:t>-</w:t>
            </w:r>
            <w:r w:rsidRPr="009239B8">
              <w:t>free</w:t>
            </w:r>
            <w:r>
              <w:t>) and pre</w:t>
            </w:r>
            <w:r w:rsidR="00935837">
              <w:t>-</w:t>
            </w:r>
            <w:r>
              <w:t>filled syringe (with attached needle)</w:t>
            </w:r>
          </w:p>
        </w:tc>
      </w:tr>
      <w:tr w:rsidR="008E7846" w:rsidRPr="00487162" w14:paraId="3A5315C2" w14:textId="77777777" w:rsidTr="00BF1190">
        <w:tc>
          <w:tcPr>
            <w:tcW w:w="2907" w:type="dxa"/>
          </w:tcPr>
          <w:p w14:paraId="2A1D2A57" w14:textId="11D0F056" w:rsidR="008E7846" w:rsidRPr="00487162" w:rsidRDefault="008E7846" w:rsidP="00E45619">
            <w:pPr>
              <w:rPr>
                <w:i/>
              </w:rPr>
            </w:pPr>
            <w:r w:rsidRPr="00487162">
              <w:rPr>
                <w:i/>
              </w:rPr>
              <w:t>Pack sizes:</w:t>
            </w:r>
          </w:p>
        </w:tc>
        <w:tc>
          <w:tcPr>
            <w:tcW w:w="6307" w:type="dxa"/>
          </w:tcPr>
          <w:p w14:paraId="3BEE26CB" w14:textId="77777777" w:rsidR="008E7846" w:rsidRPr="00487162" w:rsidRDefault="00790834" w:rsidP="00E45619">
            <w:r>
              <w:t>1 and 10</w:t>
            </w:r>
          </w:p>
        </w:tc>
      </w:tr>
      <w:tr w:rsidR="008E7846" w:rsidRPr="00487162" w14:paraId="6D60E368" w14:textId="77777777" w:rsidTr="00BF1190">
        <w:tc>
          <w:tcPr>
            <w:tcW w:w="2907" w:type="dxa"/>
          </w:tcPr>
          <w:p w14:paraId="20768F6A"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7F68AA79" w14:textId="77777777" w:rsidR="008E7846" w:rsidRPr="00790834" w:rsidRDefault="00790834" w:rsidP="00790834">
            <w:pPr>
              <w:rPr>
                <w:i/>
              </w:rPr>
            </w:pPr>
            <w:r w:rsidRPr="008F429D">
              <w:rPr>
                <w:i/>
              </w:rPr>
              <w:t>Active immunisation against influenza in persons 65 years of age and older.</w:t>
            </w:r>
          </w:p>
        </w:tc>
      </w:tr>
      <w:tr w:rsidR="008E7846" w:rsidRPr="00487162" w14:paraId="726AE022" w14:textId="77777777" w:rsidTr="00BF1190">
        <w:tc>
          <w:tcPr>
            <w:tcW w:w="2907" w:type="dxa"/>
          </w:tcPr>
          <w:p w14:paraId="39010BEF" w14:textId="17A0C2AD" w:rsidR="008E7846" w:rsidRPr="00487162" w:rsidRDefault="008E7846" w:rsidP="00E45619">
            <w:pPr>
              <w:rPr>
                <w:i/>
              </w:rPr>
            </w:pPr>
            <w:r w:rsidRPr="00487162">
              <w:rPr>
                <w:i/>
              </w:rPr>
              <w:t>Route of administration:</w:t>
            </w:r>
          </w:p>
        </w:tc>
        <w:tc>
          <w:tcPr>
            <w:tcW w:w="6307" w:type="dxa"/>
          </w:tcPr>
          <w:p w14:paraId="7833B31A" w14:textId="77777777" w:rsidR="008E7846" w:rsidRPr="00487162" w:rsidRDefault="00790834" w:rsidP="00E45619">
            <w:r w:rsidRPr="009239B8">
              <w:t>Intramuscular</w:t>
            </w:r>
            <w:r>
              <w:t xml:space="preserve"> (IM)</w:t>
            </w:r>
          </w:p>
        </w:tc>
      </w:tr>
      <w:tr w:rsidR="008E7846" w:rsidRPr="00487162" w14:paraId="17935D41" w14:textId="77777777" w:rsidTr="00BF1190">
        <w:tc>
          <w:tcPr>
            <w:tcW w:w="2907" w:type="dxa"/>
          </w:tcPr>
          <w:p w14:paraId="09256394" w14:textId="77777777" w:rsidR="008E7846" w:rsidRPr="00487162" w:rsidRDefault="008E7846" w:rsidP="00E45619">
            <w:pPr>
              <w:rPr>
                <w:i/>
              </w:rPr>
            </w:pPr>
            <w:r w:rsidRPr="00487162">
              <w:rPr>
                <w:i/>
              </w:rPr>
              <w:t>Dosage:</w:t>
            </w:r>
          </w:p>
        </w:tc>
        <w:tc>
          <w:tcPr>
            <w:tcW w:w="6307" w:type="dxa"/>
          </w:tcPr>
          <w:p w14:paraId="7A69D58A" w14:textId="77777777" w:rsidR="00790834" w:rsidRDefault="00790834" w:rsidP="00790834">
            <w:r>
              <w:t>A single 0.5 mL dose should be administered by intramuscular injection, preferably into the deltoid muscle of the upper arm.</w:t>
            </w:r>
          </w:p>
          <w:p w14:paraId="493218DA" w14:textId="77777777" w:rsidR="00790834" w:rsidRDefault="00790834" w:rsidP="00790834">
            <w:r>
              <w:t>Annual revaccination is recommended because immunity declines during the year after vaccination and circulating strains of influenza virus change from year to year.</w:t>
            </w:r>
          </w:p>
          <w:p w14:paraId="21F037A4" w14:textId="6DCD992C" w:rsidR="008E7846" w:rsidRPr="00487162" w:rsidRDefault="00790834" w:rsidP="00790834">
            <w:r>
              <w:t xml:space="preserve">For </w:t>
            </w:r>
            <w:r w:rsidRPr="007473D5">
              <w:t>further information refer to the Product Information</w:t>
            </w:r>
            <w:r w:rsidR="006A159E">
              <w:t xml:space="preserve"> (PI)</w:t>
            </w:r>
            <w:r w:rsidRPr="007473D5">
              <w:t>.</w:t>
            </w:r>
          </w:p>
        </w:tc>
      </w:tr>
    </w:tbl>
    <w:p w14:paraId="0B6D55D1" w14:textId="77777777" w:rsidR="008E7846" w:rsidRDefault="008E7846" w:rsidP="008E7846">
      <w:pPr>
        <w:pStyle w:val="Heading3"/>
      </w:pPr>
      <w:bookmarkStart w:id="13" w:name="_Toc247691503"/>
      <w:bookmarkStart w:id="14" w:name="_Toc314842484"/>
      <w:bookmarkStart w:id="15" w:name="_Toc26439471"/>
      <w:r>
        <w:t>Product background</w:t>
      </w:r>
      <w:bookmarkEnd w:id="13"/>
      <w:bookmarkEnd w:id="14"/>
      <w:bookmarkEnd w:id="15"/>
    </w:p>
    <w:p w14:paraId="7C81E62C" w14:textId="77777777" w:rsidR="008E7846" w:rsidRDefault="00940A89" w:rsidP="00940A89">
      <w:r w:rsidRPr="00940A89">
        <w:t xml:space="preserve">This </w:t>
      </w:r>
      <w:proofErr w:type="spellStart"/>
      <w:r w:rsidRPr="00940A89">
        <w:t>AusPAR</w:t>
      </w:r>
      <w:proofErr w:type="spellEnd"/>
      <w:r w:rsidRPr="00940A89">
        <w:t xml:space="preserve"> describes the application by the sponsor</w:t>
      </w:r>
      <w:r w:rsidR="00FE41B1">
        <w:t xml:space="preserve">, </w:t>
      </w:r>
      <w:proofErr w:type="spellStart"/>
      <w:r w:rsidR="00FE41B1">
        <w:t>Seqirus</w:t>
      </w:r>
      <w:proofErr w:type="spellEnd"/>
      <w:r w:rsidR="00FE41B1">
        <w:t xml:space="preserve"> Pty Ltd (Australia),</w:t>
      </w:r>
      <w:r w:rsidRPr="00940A89">
        <w:t xml:space="preserve"> to register</w:t>
      </w:r>
      <w:r w:rsidR="00FE41B1">
        <w:rPr>
          <w:rFonts w:eastAsiaTheme="minorHAnsi" w:cs="Cambria"/>
        </w:rPr>
        <w:t xml:space="preserve"> an </w:t>
      </w:r>
      <w:proofErr w:type="spellStart"/>
      <w:r w:rsidR="00682F0F">
        <w:rPr>
          <w:rFonts w:eastAsiaTheme="minorHAnsi" w:cs="Cambria"/>
        </w:rPr>
        <w:t>adjuvanted</w:t>
      </w:r>
      <w:proofErr w:type="spellEnd"/>
      <w:r w:rsidR="00FE41B1">
        <w:rPr>
          <w:rFonts w:eastAsiaTheme="minorHAnsi" w:cs="Cambria"/>
        </w:rPr>
        <w:t xml:space="preserve"> inactivated </w:t>
      </w:r>
      <w:proofErr w:type="spellStart"/>
      <w:r w:rsidR="00FE41B1">
        <w:rPr>
          <w:rFonts w:eastAsiaTheme="minorHAnsi" w:cs="Cambria"/>
        </w:rPr>
        <w:t>quadrivalent</w:t>
      </w:r>
      <w:proofErr w:type="spellEnd"/>
      <w:r w:rsidR="00FE41B1">
        <w:rPr>
          <w:rFonts w:eastAsiaTheme="minorHAnsi" w:cs="Cambria"/>
        </w:rPr>
        <w:t xml:space="preserve"> influenza vaccine (</w:t>
      </w:r>
      <w:proofErr w:type="spellStart"/>
      <w:r w:rsidR="00FE41B1">
        <w:rPr>
          <w:rFonts w:eastAsiaTheme="minorHAnsi" w:cs="Cambria"/>
        </w:rPr>
        <w:t>aQIV</w:t>
      </w:r>
      <w:proofErr w:type="spellEnd"/>
      <w:r w:rsidR="00FE41B1">
        <w:rPr>
          <w:rFonts w:eastAsiaTheme="minorHAnsi" w:cs="Cambria"/>
        </w:rPr>
        <w:t xml:space="preserve">) </w:t>
      </w:r>
      <w:r w:rsidR="00DE11AE">
        <w:rPr>
          <w:rFonts w:eastAsiaTheme="minorHAnsi" w:cs="Cambria"/>
        </w:rPr>
        <w:t>as</w:t>
      </w:r>
      <w:r w:rsidR="00FE41B1">
        <w:rPr>
          <w:rFonts w:eastAsiaTheme="minorHAnsi" w:cs="Cambria"/>
        </w:rPr>
        <w:t xml:space="preserve"> </w:t>
      </w:r>
      <w:proofErr w:type="spellStart"/>
      <w:r w:rsidR="00FE41B1">
        <w:t>Fluad</w:t>
      </w:r>
      <w:proofErr w:type="spellEnd"/>
      <w:r w:rsidR="00FE41B1">
        <w:t xml:space="preserve"> Quad</w:t>
      </w:r>
      <w:r w:rsidR="00FE41B1" w:rsidRPr="00940A89">
        <w:t xml:space="preserve"> </w:t>
      </w:r>
      <w:r w:rsidR="00FE41B1">
        <w:rPr>
          <w:rFonts w:eastAsiaTheme="minorHAnsi" w:cs="Cambria"/>
        </w:rPr>
        <w:t>for active immunisation</w:t>
      </w:r>
      <w:r w:rsidR="00FE41B1">
        <w:t xml:space="preserve"> with the</w:t>
      </w:r>
      <w:r w:rsidRPr="00940A89">
        <w:t xml:space="preserve"> following indication</w:t>
      </w:r>
      <w:r w:rsidR="00FE41B1">
        <w:t>:</w:t>
      </w:r>
    </w:p>
    <w:p w14:paraId="1E682F7B" w14:textId="77777777" w:rsidR="00195614" w:rsidRPr="00FE41B1" w:rsidRDefault="00195614" w:rsidP="00FE41B1">
      <w:pPr>
        <w:autoSpaceDE w:val="0"/>
        <w:autoSpaceDN w:val="0"/>
        <w:adjustRightInd w:val="0"/>
        <w:spacing w:before="0" w:after="0" w:line="240" w:lineRule="auto"/>
        <w:ind w:firstLine="720"/>
        <w:rPr>
          <w:rFonts w:eastAsiaTheme="minorHAnsi" w:cs="Cambria"/>
          <w:i/>
        </w:rPr>
      </w:pPr>
      <w:r w:rsidRPr="00FE41B1">
        <w:rPr>
          <w:rFonts w:eastAsiaTheme="minorHAnsi" w:cs="Cambria"/>
          <w:i/>
        </w:rPr>
        <w:t>Active immunisation against influenza in persons 65 years of age and older.</w:t>
      </w:r>
    </w:p>
    <w:p w14:paraId="1DF24126" w14:textId="77777777" w:rsidR="00FE41B1" w:rsidRDefault="00FE41B1" w:rsidP="00CA4CC8">
      <w:r>
        <w:lastRenderedPageBreak/>
        <w:t xml:space="preserve">The sponsor has proposed </w:t>
      </w:r>
      <w:r w:rsidRPr="006A159E">
        <w:t>the</w:t>
      </w:r>
      <w:r>
        <w:t xml:space="preserve"> following dosing a</w:t>
      </w:r>
      <w:r w:rsidR="00DF10BC">
        <w:t>nd administration instructions:</w:t>
      </w:r>
    </w:p>
    <w:p w14:paraId="71BA22DF" w14:textId="77777777" w:rsidR="00195614" w:rsidRPr="00CA4CC8" w:rsidRDefault="00195614" w:rsidP="00CA4CC8">
      <w:pPr>
        <w:ind w:left="720"/>
        <w:rPr>
          <w:i/>
        </w:rPr>
      </w:pPr>
      <w:r w:rsidRPr="00CA4CC8">
        <w:rPr>
          <w:i/>
        </w:rPr>
        <w:t>A single 0.5 mL dose should be administered by intramuscular injection, preferably into the deltoid muscle of the upper arm.</w:t>
      </w:r>
    </w:p>
    <w:p w14:paraId="0CD8BD93" w14:textId="77777777" w:rsidR="00195614" w:rsidRPr="00CA4CC8" w:rsidRDefault="00195614" w:rsidP="00CA4CC8">
      <w:pPr>
        <w:ind w:left="720"/>
        <w:rPr>
          <w:i/>
        </w:rPr>
      </w:pPr>
      <w:r w:rsidRPr="00CA4CC8">
        <w:rPr>
          <w:i/>
        </w:rPr>
        <w:t>Annual revaccination is recommended because immunity declines during the year after vaccination and circulating strains of influenza virus change from year to year.</w:t>
      </w:r>
    </w:p>
    <w:p w14:paraId="71ED6DEA" w14:textId="2511298D" w:rsidR="00FE41B1" w:rsidRPr="00B91FC0" w:rsidRDefault="00FE41B1" w:rsidP="00FE41B1">
      <w:r w:rsidRPr="00B91FC0">
        <w:t xml:space="preserve">Each dose (0.5 mL) </w:t>
      </w:r>
      <w:r w:rsidR="00DF10BC">
        <w:t xml:space="preserve">of </w:t>
      </w:r>
      <w:proofErr w:type="spellStart"/>
      <w:r w:rsidR="00DF10BC">
        <w:t>Fluad</w:t>
      </w:r>
      <w:proofErr w:type="spellEnd"/>
      <w:r w:rsidR="00DF10BC">
        <w:t xml:space="preserve"> Quad </w:t>
      </w:r>
      <w:r w:rsidRPr="00B91FC0">
        <w:t xml:space="preserve">contains 15 </w:t>
      </w:r>
      <w:r w:rsidR="00B91FC0">
        <w:t>µ</w:t>
      </w:r>
      <w:r w:rsidRPr="00B91FC0">
        <w:t xml:space="preserve">g </w:t>
      </w:r>
      <w:proofErr w:type="spellStart"/>
      <w:r w:rsidR="00B91FC0">
        <w:t>haemagglutinin</w:t>
      </w:r>
      <w:proofErr w:type="spellEnd"/>
      <w:r w:rsidR="00B91FC0">
        <w:t xml:space="preserve"> (</w:t>
      </w:r>
      <w:r w:rsidRPr="00B91FC0">
        <w:t>HA</w:t>
      </w:r>
      <w:r w:rsidR="00B91FC0">
        <w:t>)</w:t>
      </w:r>
      <w:r w:rsidRPr="00B91FC0">
        <w:t xml:space="preserve"> of each four strains (2 x ‘A’</w:t>
      </w:r>
      <w:r w:rsidR="006A159E">
        <w:t xml:space="preserve"> strains</w:t>
      </w:r>
      <w:r w:rsidRPr="00B91FC0">
        <w:t>; 2 x ‘B’</w:t>
      </w:r>
      <w:r w:rsidR="006A159E">
        <w:t xml:space="preserve"> strains</w:t>
      </w:r>
      <w:r w:rsidRPr="00B91FC0">
        <w:t>) of influenza virus antigen a</w:t>
      </w:r>
      <w:r w:rsidR="00DF10BC">
        <w:t>s well as</w:t>
      </w:r>
      <w:r w:rsidRPr="00B91FC0">
        <w:t xml:space="preserve"> the adjuvant MF59. The four </w:t>
      </w:r>
      <w:r w:rsidR="001F69C1">
        <w:t>influenza</w:t>
      </w:r>
      <w:r w:rsidR="001F69C1" w:rsidRPr="00B91FC0">
        <w:t xml:space="preserve"> </w:t>
      </w:r>
      <w:r w:rsidRPr="00B91FC0">
        <w:t xml:space="preserve">strains for the </w:t>
      </w:r>
      <w:r w:rsidR="006A159E">
        <w:t>S</w:t>
      </w:r>
      <w:r w:rsidR="006A159E" w:rsidRPr="00B91FC0">
        <w:t xml:space="preserve">outhern </w:t>
      </w:r>
      <w:r w:rsidR="006A159E">
        <w:t>H</w:t>
      </w:r>
      <w:r w:rsidRPr="00B91FC0">
        <w:t xml:space="preserve">emisphere influenza season will be selected according to the recommendations of the </w:t>
      </w:r>
      <w:r w:rsidR="00B91FC0">
        <w:t>World Health Organization (</w:t>
      </w:r>
      <w:r w:rsidRPr="00B91FC0">
        <w:t>WHO</w:t>
      </w:r>
      <w:r w:rsidR="00B91FC0">
        <w:t>)</w:t>
      </w:r>
      <w:r w:rsidRPr="00B91FC0">
        <w:t xml:space="preserve"> and the </w:t>
      </w:r>
      <w:r w:rsidR="00A42EC6">
        <w:t>Australian Influenza Vaccine Committee.</w:t>
      </w:r>
      <w:r w:rsidR="00A42EC6" w:rsidRPr="00B91FC0">
        <w:t xml:space="preserve"> </w:t>
      </w:r>
      <w:r w:rsidR="00B91FC0" w:rsidRPr="00B91FC0">
        <w:t>(</w:t>
      </w:r>
      <w:r w:rsidRPr="00B91FC0">
        <w:t>AICV</w:t>
      </w:r>
      <w:r w:rsidR="00B91FC0" w:rsidRPr="00B91FC0">
        <w:t>)</w:t>
      </w:r>
      <w:r w:rsidRPr="00B91FC0">
        <w:t xml:space="preserve"> for th</w:t>
      </w:r>
      <w:r w:rsidR="00DF10BC">
        <w:t>e</w:t>
      </w:r>
      <w:r w:rsidRPr="00B91FC0">
        <w:t xml:space="preserve"> season.</w:t>
      </w:r>
    </w:p>
    <w:p w14:paraId="3C9EAF15" w14:textId="77777777" w:rsidR="00790834" w:rsidRPr="006864D9" w:rsidRDefault="00790834" w:rsidP="00FE41B1">
      <w:proofErr w:type="spellStart"/>
      <w:r>
        <w:t>Fluad</w:t>
      </w:r>
      <w:proofErr w:type="spellEnd"/>
      <w:r w:rsidRPr="006864D9">
        <w:t xml:space="preserve"> Quad has been shown to evoke antibody responses to </w:t>
      </w:r>
      <w:r w:rsidR="00FE41B1">
        <w:t>the viral surface glycoproteins</w:t>
      </w:r>
      <w:r w:rsidRPr="006864D9">
        <w:t xml:space="preserve"> </w:t>
      </w:r>
      <w:r w:rsidR="00B91FC0">
        <w:t>HA</w:t>
      </w:r>
      <w:r w:rsidRPr="006864D9">
        <w:t xml:space="preserve"> and neuraminidase. These antibodies provide protection against clinical illness in a high pro</w:t>
      </w:r>
      <w:r>
        <w:t>portion of vaccine recipients.</w:t>
      </w:r>
      <w:r w:rsidR="00B91FC0">
        <w:t xml:space="preserve"> </w:t>
      </w:r>
      <w:r>
        <w:t xml:space="preserve">The antibody response to </w:t>
      </w:r>
      <w:proofErr w:type="spellStart"/>
      <w:r>
        <w:t>Fluad</w:t>
      </w:r>
      <w:proofErr w:type="spellEnd"/>
      <w:r>
        <w:t xml:space="preserve"> Quad is similar to </w:t>
      </w:r>
      <w:proofErr w:type="spellStart"/>
      <w:r w:rsidR="00B91FC0" w:rsidRPr="00B91FC0">
        <w:t>Fluad</w:t>
      </w:r>
      <w:proofErr w:type="spellEnd"/>
      <w:r w:rsidR="00B91FC0" w:rsidRPr="00B91FC0">
        <w:t xml:space="preserve">, the </w:t>
      </w:r>
      <w:r w:rsidR="00E00A59">
        <w:t xml:space="preserve">latter being the </w:t>
      </w:r>
      <w:proofErr w:type="spellStart"/>
      <w:r w:rsidR="00682F0F" w:rsidRPr="00B91FC0">
        <w:t>adjuvanted</w:t>
      </w:r>
      <w:proofErr w:type="spellEnd"/>
      <w:r w:rsidR="00B91FC0" w:rsidRPr="00B91FC0">
        <w:t xml:space="preserve"> trivalent influenza vaccine (</w:t>
      </w:r>
      <w:proofErr w:type="spellStart"/>
      <w:r w:rsidR="00B91FC0" w:rsidRPr="00B91FC0">
        <w:t>aTIV</w:t>
      </w:r>
      <w:proofErr w:type="spellEnd"/>
      <w:r w:rsidR="00B91FC0" w:rsidRPr="00B91FC0">
        <w:t>) from the same sponsor</w:t>
      </w:r>
      <w:r w:rsidR="00DF10BC">
        <w:t xml:space="preserve">. </w:t>
      </w:r>
      <w:r w:rsidR="00DF10BC" w:rsidRPr="00B91FC0">
        <w:t xml:space="preserve">The difference </w:t>
      </w:r>
      <w:r w:rsidR="00E00A59">
        <w:t xml:space="preserve">between the two vaccines </w:t>
      </w:r>
      <w:r w:rsidR="00DF10BC" w:rsidRPr="00B91FC0">
        <w:t xml:space="preserve">is the addition of a B strain from the alternate lineage to </w:t>
      </w:r>
      <w:proofErr w:type="spellStart"/>
      <w:r w:rsidR="00DF10BC">
        <w:t>Fluad</w:t>
      </w:r>
      <w:proofErr w:type="spellEnd"/>
      <w:r w:rsidR="00DF10BC">
        <w:t xml:space="preserve"> Quad</w:t>
      </w:r>
      <w:r w:rsidR="00E00A59">
        <w:t>.</w:t>
      </w:r>
    </w:p>
    <w:p w14:paraId="2EAF82E2" w14:textId="77777777" w:rsidR="00790834" w:rsidRPr="00B91FC0" w:rsidRDefault="00790834" w:rsidP="00B91FC0">
      <w:r w:rsidRPr="006864D9">
        <w:t xml:space="preserve">The </w:t>
      </w:r>
      <w:proofErr w:type="spellStart"/>
      <w:r w:rsidR="00E00A59">
        <w:t>Fluad</w:t>
      </w:r>
      <w:proofErr w:type="spellEnd"/>
      <w:r w:rsidR="00E00A59">
        <w:t xml:space="preserve"> Quad </w:t>
      </w:r>
      <w:r w:rsidRPr="006864D9">
        <w:t xml:space="preserve">adjuvant MF59 broadens the overall immune response allowing the vaccine to offer greater protection against heterologous strains of the virus. This may be important when there is a mismatch between the virus strains included in the vaccine and the strains circulating in the community. The antibody response is increased when compared to the </w:t>
      </w:r>
      <w:r w:rsidRPr="00B91FC0">
        <w:t>response to non</w:t>
      </w:r>
      <w:r w:rsidR="00956A07">
        <w:t xml:space="preserve"> </w:t>
      </w:r>
      <w:proofErr w:type="spellStart"/>
      <w:r w:rsidR="00956A07">
        <w:t>adjuvanted</w:t>
      </w:r>
      <w:proofErr w:type="spellEnd"/>
      <w:r w:rsidRPr="00B91FC0">
        <w:t xml:space="preserve"> inactivated influenza vaccine. This increased response is seen particularly in elderly subjects </w:t>
      </w:r>
      <w:r w:rsidR="00DF10BC">
        <w:t>(</w:t>
      </w:r>
      <w:r w:rsidR="00DF10BC" w:rsidRPr="006864D9">
        <w:t>subjects 65 years of age and older</w:t>
      </w:r>
      <w:r w:rsidR="00DF10BC">
        <w:t xml:space="preserve">) </w:t>
      </w:r>
      <w:r w:rsidRPr="00B91FC0">
        <w:t>with low pre-immunisation titres and/or with underlying diseases (diabetes, cardiovascular and respiratory diseases) who are at increased risk of complications of influenza infection.</w:t>
      </w:r>
    </w:p>
    <w:p w14:paraId="1E3CF22B" w14:textId="77777777" w:rsidR="00195614" w:rsidRPr="00B91FC0" w:rsidRDefault="00E00A59" w:rsidP="00B91FC0">
      <w:proofErr w:type="spellStart"/>
      <w:r>
        <w:t>Fluad</w:t>
      </w:r>
      <w:proofErr w:type="spellEnd"/>
      <w:r>
        <w:t xml:space="preserve"> Quad</w:t>
      </w:r>
      <w:r w:rsidR="00195614" w:rsidRPr="00B91FC0">
        <w:t xml:space="preserve"> is produced using the same manufacturing platform as the licensed </w:t>
      </w:r>
      <w:proofErr w:type="spellStart"/>
      <w:r w:rsidR="00B91FC0">
        <w:t>Fluad</w:t>
      </w:r>
      <w:proofErr w:type="spellEnd"/>
      <w:r w:rsidR="00195614" w:rsidRPr="00B91FC0">
        <w:t xml:space="preserve">. The dose and concentration of MF59 and HA per strain used in </w:t>
      </w:r>
      <w:proofErr w:type="spellStart"/>
      <w:r>
        <w:t>Fluad</w:t>
      </w:r>
      <w:proofErr w:type="spellEnd"/>
      <w:r>
        <w:t xml:space="preserve"> Quad</w:t>
      </w:r>
      <w:r w:rsidR="00682F0F">
        <w:t xml:space="preserve"> </w:t>
      </w:r>
      <w:r w:rsidR="00195614" w:rsidRPr="00B91FC0">
        <w:t xml:space="preserve">are </w:t>
      </w:r>
      <w:r w:rsidR="00DF10BC">
        <w:t xml:space="preserve">also </w:t>
      </w:r>
      <w:r w:rsidR="00195614" w:rsidRPr="00B91FC0">
        <w:t xml:space="preserve">similar to </w:t>
      </w:r>
      <w:proofErr w:type="spellStart"/>
      <w:r w:rsidR="00DF10BC">
        <w:t>Fluad</w:t>
      </w:r>
      <w:proofErr w:type="spellEnd"/>
      <w:r w:rsidR="00195614" w:rsidRPr="00B91FC0">
        <w:t>.</w:t>
      </w:r>
    </w:p>
    <w:p w14:paraId="23231BD6" w14:textId="77777777" w:rsidR="008E7846" w:rsidRPr="003F31A2" w:rsidRDefault="00386150" w:rsidP="007C455C">
      <w:pPr>
        <w:pStyle w:val="Heading3"/>
      </w:pPr>
      <w:bookmarkStart w:id="16" w:name="_Toc314842485"/>
      <w:bookmarkStart w:id="17" w:name="_Toc247691504"/>
      <w:bookmarkStart w:id="18" w:name="_Toc26439472"/>
      <w:r>
        <w:t>Regulatory s</w:t>
      </w:r>
      <w:r w:rsidR="008E7846">
        <w:t>tatus</w:t>
      </w:r>
      <w:bookmarkEnd w:id="16"/>
      <w:bookmarkEnd w:id="17"/>
      <w:bookmarkEnd w:id="18"/>
    </w:p>
    <w:p w14:paraId="14EFADC5" w14:textId="77777777" w:rsidR="00B91FC0" w:rsidRDefault="00B91FC0" w:rsidP="00B91FC0">
      <w:bookmarkStart w:id="19" w:name="_Toc247691505"/>
      <w:bookmarkStart w:id="20" w:name="_Toc314842486"/>
      <w:r>
        <w:t xml:space="preserve">This is an application to register a new chemical entity for Australian regulatory purposes. </w:t>
      </w:r>
      <w:proofErr w:type="spellStart"/>
      <w:r w:rsidRPr="00B91FC0">
        <w:t>Fluad</w:t>
      </w:r>
      <w:proofErr w:type="spellEnd"/>
      <w:r w:rsidRPr="00B91FC0">
        <w:t xml:space="preserve">, the </w:t>
      </w:r>
      <w:proofErr w:type="spellStart"/>
      <w:r w:rsidR="00682F0F" w:rsidRPr="00B91FC0">
        <w:t>adjuvanted</w:t>
      </w:r>
      <w:proofErr w:type="spellEnd"/>
      <w:r w:rsidRPr="00B91FC0">
        <w:t xml:space="preserve"> trivalent influenza vaccine (</w:t>
      </w:r>
      <w:proofErr w:type="spellStart"/>
      <w:r w:rsidRPr="00B91FC0">
        <w:t>aTIV</w:t>
      </w:r>
      <w:proofErr w:type="spellEnd"/>
      <w:r w:rsidRPr="00B91FC0">
        <w:t>) from the same sponsor, was registered i</w:t>
      </w:r>
      <w:r>
        <w:t>n Australia on 15 October 2002.</w:t>
      </w:r>
    </w:p>
    <w:p w14:paraId="49EA2DEA" w14:textId="242A34CB" w:rsidR="00B91FC0" w:rsidRPr="00B91FC0" w:rsidRDefault="00B91FC0" w:rsidP="00B91FC0">
      <w:r>
        <w:t xml:space="preserve">The </w:t>
      </w:r>
      <w:proofErr w:type="spellStart"/>
      <w:r>
        <w:t>a</w:t>
      </w:r>
      <w:r w:rsidRPr="00B91FC0">
        <w:t>TIV</w:t>
      </w:r>
      <w:proofErr w:type="spellEnd"/>
      <w:r w:rsidRPr="00B91FC0">
        <w:t xml:space="preserve"> is currently licensed for use in individuals ≥</w:t>
      </w:r>
      <w:r>
        <w:t xml:space="preserve"> </w:t>
      </w:r>
      <w:r w:rsidRPr="00B91FC0">
        <w:t>65 years of age in 29 countries worldwide, and for use in individuals 6 months to &lt;2 years of age in Canada.</w:t>
      </w:r>
    </w:p>
    <w:p w14:paraId="1975B5D7" w14:textId="0D0407A8" w:rsidR="008E7846" w:rsidRDefault="008E7846" w:rsidP="00940A89">
      <w:pPr>
        <w:pStyle w:val="Heading3"/>
      </w:pPr>
      <w:bookmarkStart w:id="21" w:name="_Toc26439473"/>
      <w:r>
        <w:t>Product Information</w:t>
      </w:r>
      <w:bookmarkEnd w:id="19"/>
      <w:bookmarkEnd w:id="20"/>
      <w:bookmarkEnd w:id="21"/>
    </w:p>
    <w:p w14:paraId="53CDB93E" w14:textId="77777777" w:rsidR="00940A89" w:rsidRDefault="006136D7" w:rsidP="00940A89">
      <w:bookmarkStart w:id="22" w:name="_Toc247691506"/>
      <w:bookmarkStart w:id="23" w:name="_Toc314842487"/>
      <w:r w:rsidRPr="00940A89">
        <w:t xml:space="preserve">The Product Information (PI) </w:t>
      </w:r>
      <w:r>
        <w:t xml:space="preserve">approved with the submission which is described in </w:t>
      </w:r>
      <w:r w:rsidRPr="00940A89">
        <w:t xml:space="preserve">this </w:t>
      </w:r>
      <w:proofErr w:type="spellStart"/>
      <w:r w:rsidRPr="00940A89">
        <w:t>AusPAR</w:t>
      </w:r>
      <w:proofErr w:type="spellEnd"/>
      <w:r w:rsidRPr="00940A89">
        <w:t xml:space="preserve"> can be found as Attachment 1. For the most recent </w:t>
      </w:r>
      <w:r>
        <w:t>PI,</w:t>
      </w:r>
      <w:r w:rsidRPr="00940A89">
        <w:t xml:space="preserve"> ple</w:t>
      </w:r>
      <w:r>
        <w:t>ase refer to the TGA website</w:t>
      </w:r>
      <w:r w:rsidRPr="00441C3F">
        <w:t xml:space="preserve"> at </w:t>
      </w:r>
      <w:r w:rsidR="00441C3F" w:rsidRPr="00441C3F">
        <w:t>&lt;</w:t>
      </w:r>
      <w:hyperlink r:id="rId13" w:history="1">
        <w:r w:rsidR="00441C3F" w:rsidRPr="00441C3F">
          <w:rPr>
            <w:rStyle w:val="Hyperlink"/>
          </w:rPr>
          <w:t>https://www.tga.gov.au/product-information-pi</w:t>
        </w:r>
      </w:hyperlink>
      <w:r w:rsidR="00441C3F">
        <w:t>&gt;</w:t>
      </w:r>
      <w:r w:rsidR="00940A89" w:rsidRPr="00940A89">
        <w:t>.</w:t>
      </w:r>
    </w:p>
    <w:p w14:paraId="16486BF3" w14:textId="2A358CF4" w:rsidR="00500337" w:rsidRDefault="00D33C17" w:rsidP="00500337">
      <w:pPr>
        <w:pStyle w:val="Heading2"/>
      </w:pPr>
      <w:bookmarkStart w:id="24" w:name="_Toc504480011"/>
      <w:bookmarkStart w:id="25" w:name="_Toc26439474"/>
      <w:r>
        <w:t>II. Registration time</w:t>
      </w:r>
      <w:r w:rsidR="00500337">
        <w:t>line</w:t>
      </w:r>
      <w:bookmarkEnd w:id="24"/>
      <w:bookmarkEnd w:id="25"/>
    </w:p>
    <w:p w14:paraId="7361F662" w14:textId="77777777" w:rsidR="00500337" w:rsidRDefault="00500337" w:rsidP="00500337">
      <w:r>
        <w:t>The following table captures the key steps and dates for this application.</w:t>
      </w:r>
    </w:p>
    <w:p w14:paraId="1035F4C8" w14:textId="6A595334" w:rsidR="006A58A8" w:rsidRDefault="006A58A8" w:rsidP="006A58A8">
      <w:pPr>
        <w:pStyle w:val="TableTitle"/>
      </w:pPr>
      <w:r w:rsidRPr="006A58A8">
        <w:lastRenderedPageBreak/>
        <w:t>Table 1</w:t>
      </w:r>
      <w:r w:rsidR="008E4658">
        <w:t>:</w:t>
      </w:r>
      <w:r w:rsidRPr="006A58A8">
        <w:t xml:space="preserve"> Timeline for Submission PM-201</w:t>
      </w:r>
      <w:r w:rsidR="00790834">
        <w:t>9</w:t>
      </w:r>
      <w:r w:rsidRPr="006A58A8">
        <w:t>-</w:t>
      </w:r>
      <w:r w:rsidR="00790834">
        <w:t>00120</w:t>
      </w:r>
      <w:r w:rsidRPr="006A58A8">
        <w:t>-1-</w:t>
      </w:r>
      <w:r w:rsidR="00790834">
        <w:t>2</w:t>
      </w:r>
    </w:p>
    <w:tbl>
      <w:tblPr>
        <w:tblStyle w:val="TableTGAblue"/>
        <w:tblW w:w="9039" w:type="dxa"/>
        <w:tblLook w:val="04A0" w:firstRow="1" w:lastRow="0" w:firstColumn="1" w:lastColumn="0" w:noHBand="0" w:noVBand="1"/>
      </w:tblPr>
      <w:tblGrid>
        <w:gridCol w:w="6629"/>
        <w:gridCol w:w="2410"/>
      </w:tblGrid>
      <w:tr w:rsidR="00790834" w:rsidRPr="00D75678" w14:paraId="0B8436CC" w14:textId="77777777" w:rsidTr="007C455C">
        <w:trPr>
          <w:cnfStyle w:val="100000000000" w:firstRow="1" w:lastRow="0" w:firstColumn="0" w:lastColumn="0" w:oddVBand="0" w:evenVBand="0" w:oddHBand="0" w:evenHBand="0" w:firstRowFirstColumn="0" w:firstRowLastColumn="0" w:lastRowFirstColumn="0" w:lastRowLastColumn="0"/>
        </w:trPr>
        <w:tc>
          <w:tcPr>
            <w:tcW w:w="6629" w:type="dxa"/>
          </w:tcPr>
          <w:p w14:paraId="00FC54C8" w14:textId="77777777" w:rsidR="00790834" w:rsidRPr="00D75678" w:rsidRDefault="00790834" w:rsidP="00DF10BC">
            <w:pPr>
              <w:spacing w:line="240" w:lineRule="auto"/>
            </w:pPr>
            <w:r w:rsidRPr="00D75678">
              <w:t>Description</w:t>
            </w:r>
          </w:p>
        </w:tc>
        <w:tc>
          <w:tcPr>
            <w:tcW w:w="2410" w:type="dxa"/>
          </w:tcPr>
          <w:p w14:paraId="6B4D3201" w14:textId="77777777" w:rsidR="00790834" w:rsidRPr="00D75678" w:rsidRDefault="00790834" w:rsidP="00DF10BC">
            <w:pPr>
              <w:spacing w:line="240" w:lineRule="auto"/>
            </w:pPr>
            <w:r w:rsidRPr="00D75678">
              <w:t>Date</w:t>
            </w:r>
          </w:p>
        </w:tc>
      </w:tr>
      <w:tr w:rsidR="00790834" w:rsidRPr="00D75678" w14:paraId="784D6DBB" w14:textId="77777777" w:rsidTr="007C455C">
        <w:tc>
          <w:tcPr>
            <w:tcW w:w="6629" w:type="dxa"/>
          </w:tcPr>
          <w:p w14:paraId="6A36D473" w14:textId="77777777" w:rsidR="00790834" w:rsidRPr="00D75678" w:rsidRDefault="00790834" w:rsidP="00DF10BC">
            <w:pPr>
              <w:spacing w:line="240" w:lineRule="auto"/>
            </w:pPr>
            <w:r w:rsidRPr="00D75678">
              <w:t>Submission dossier accepted and first round evaluation commenced</w:t>
            </w:r>
          </w:p>
        </w:tc>
        <w:tc>
          <w:tcPr>
            <w:tcW w:w="2410" w:type="dxa"/>
          </w:tcPr>
          <w:p w14:paraId="54811D49" w14:textId="77777777" w:rsidR="00790834" w:rsidRPr="00EA4C1B" w:rsidRDefault="00790834" w:rsidP="00DF10BC">
            <w:pPr>
              <w:spacing w:line="240" w:lineRule="auto"/>
              <w:rPr>
                <w:color w:val="auto"/>
              </w:rPr>
            </w:pPr>
            <w:r w:rsidRPr="00EA4C1B">
              <w:rPr>
                <w:color w:val="auto"/>
              </w:rPr>
              <w:t>1 March 2019</w:t>
            </w:r>
          </w:p>
        </w:tc>
      </w:tr>
      <w:tr w:rsidR="00790834" w:rsidRPr="00D75678" w14:paraId="2697C384" w14:textId="77777777" w:rsidTr="007C455C">
        <w:tc>
          <w:tcPr>
            <w:tcW w:w="6629" w:type="dxa"/>
          </w:tcPr>
          <w:p w14:paraId="4D779492" w14:textId="77777777" w:rsidR="00790834" w:rsidRPr="00D75678" w:rsidRDefault="00790834" w:rsidP="00DF10BC">
            <w:pPr>
              <w:spacing w:line="240" w:lineRule="auto"/>
            </w:pPr>
            <w:r>
              <w:t>E</w:t>
            </w:r>
            <w:r w:rsidRPr="00D75678">
              <w:t>valuation completed</w:t>
            </w:r>
          </w:p>
        </w:tc>
        <w:tc>
          <w:tcPr>
            <w:tcW w:w="2410" w:type="dxa"/>
          </w:tcPr>
          <w:p w14:paraId="7F8B85C5" w14:textId="77777777" w:rsidR="00790834" w:rsidRPr="00EA4C1B" w:rsidRDefault="00790834" w:rsidP="00DF10BC">
            <w:pPr>
              <w:spacing w:line="240" w:lineRule="auto"/>
              <w:rPr>
                <w:color w:val="auto"/>
              </w:rPr>
            </w:pPr>
            <w:r w:rsidRPr="00EA4C1B">
              <w:rPr>
                <w:color w:val="auto"/>
              </w:rPr>
              <w:t>29 July 2019</w:t>
            </w:r>
          </w:p>
        </w:tc>
      </w:tr>
      <w:tr w:rsidR="00790834" w:rsidRPr="007E1CF5" w14:paraId="043DA51F" w14:textId="77777777" w:rsidTr="007C455C">
        <w:tc>
          <w:tcPr>
            <w:tcW w:w="6629" w:type="dxa"/>
          </w:tcPr>
          <w:p w14:paraId="273456A0" w14:textId="77777777" w:rsidR="00790834" w:rsidRPr="00D75678" w:rsidRDefault="00790834" w:rsidP="00DF10BC">
            <w:pPr>
              <w:spacing w:line="240" w:lineRule="auto"/>
            </w:pPr>
            <w:r w:rsidRPr="00D75678">
              <w:t>Delegate’s Overall benefit-risk assessment and request for Advisory Committee advice</w:t>
            </w:r>
          </w:p>
        </w:tc>
        <w:tc>
          <w:tcPr>
            <w:tcW w:w="2410" w:type="dxa"/>
          </w:tcPr>
          <w:p w14:paraId="1DEC1065" w14:textId="77777777" w:rsidR="00790834" w:rsidRPr="00EA4C1B" w:rsidRDefault="00790834" w:rsidP="00DF10BC">
            <w:pPr>
              <w:spacing w:line="240" w:lineRule="auto"/>
              <w:rPr>
                <w:color w:val="auto"/>
                <w:highlight w:val="yellow"/>
              </w:rPr>
            </w:pPr>
            <w:r w:rsidRPr="00EA4C1B">
              <w:rPr>
                <w:color w:val="auto"/>
              </w:rPr>
              <w:t>31 July 2019</w:t>
            </w:r>
          </w:p>
        </w:tc>
      </w:tr>
      <w:tr w:rsidR="00790834" w:rsidRPr="007E1CF5" w14:paraId="6077AF9A" w14:textId="77777777" w:rsidTr="007C455C">
        <w:tc>
          <w:tcPr>
            <w:tcW w:w="6629" w:type="dxa"/>
          </w:tcPr>
          <w:p w14:paraId="4BF4531A" w14:textId="77777777" w:rsidR="00790834" w:rsidRPr="00D75678" w:rsidRDefault="00790834" w:rsidP="00DF10BC">
            <w:pPr>
              <w:spacing w:line="240" w:lineRule="auto"/>
            </w:pPr>
            <w:r w:rsidRPr="00D75678">
              <w:t>Sponsor’s pre-Advisory Committee response</w:t>
            </w:r>
          </w:p>
        </w:tc>
        <w:tc>
          <w:tcPr>
            <w:tcW w:w="2410" w:type="dxa"/>
          </w:tcPr>
          <w:p w14:paraId="7724F92A" w14:textId="77777777" w:rsidR="00790834" w:rsidRPr="00EA4C1B" w:rsidRDefault="00790834" w:rsidP="00DF10BC">
            <w:pPr>
              <w:spacing w:line="240" w:lineRule="auto"/>
              <w:rPr>
                <w:color w:val="auto"/>
              </w:rPr>
            </w:pPr>
            <w:r w:rsidRPr="00EA4C1B">
              <w:rPr>
                <w:color w:val="auto"/>
              </w:rPr>
              <w:t>6 August 2019</w:t>
            </w:r>
          </w:p>
        </w:tc>
      </w:tr>
      <w:tr w:rsidR="00790834" w:rsidRPr="007E1CF5" w14:paraId="669C8410" w14:textId="77777777" w:rsidTr="007C455C">
        <w:tc>
          <w:tcPr>
            <w:tcW w:w="6629" w:type="dxa"/>
          </w:tcPr>
          <w:p w14:paraId="6A987DC9" w14:textId="77777777" w:rsidR="00790834" w:rsidRPr="00D75678" w:rsidRDefault="00790834" w:rsidP="00DF10BC">
            <w:pPr>
              <w:spacing w:line="240" w:lineRule="auto"/>
            </w:pPr>
            <w:r w:rsidRPr="00D75678">
              <w:t>Advisory Committee meeting</w:t>
            </w:r>
          </w:p>
        </w:tc>
        <w:tc>
          <w:tcPr>
            <w:tcW w:w="2410" w:type="dxa"/>
          </w:tcPr>
          <w:p w14:paraId="771E75DD" w14:textId="77777777" w:rsidR="00790834" w:rsidRPr="00EA4C1B" w:rsidRDefault="00790834" w:rsidP="00DF10BC">
            <w:pPr>
              <w:spacing w:line="240" w:lineRule="auto"/>
              <w:rPr>
                <w:color w:val="auto"/>
                <w:highlight w:val="yellow"/>
              </w:rPr>
            </w:pPr>
            <w:r w:rsidRPr="00EA4C1B">
              <w:rPr>
                <w:color w:val="auto"/>
              </w:rPr>
              <w:t>20 August 2019</w:t>
            </w:r>
          </w:p>
        </w:tc>
      </w:tr>
      <w:tr w:rsidR="00790834" w:rsidRPr="007E1CF5" w14:paraId="3B08C0B8" w14:textId="77777777" w:rsidTr="007C455C">
        <w:tc>
          <w:tcPr>
            <w:tcW w:w="6629" w:type="dxa"/>
          </w:tcPr>
          <w:p w14:paraId="1D833F7E" w14:textId="77777777" w:rsidR="00790834" w:rsidRPr="00D75678" w:rsidRDefault="00790834" w:rsidP="00DF10BC">
            <w:pPr>
              <w:spacing w:line="240" w:lineRule="auto"/>
            </w:pPr>
            <w:r w:rsidRPr="00D75678">
              <w:t>Registration decision (Outcome)</w:t>
            </w:r>
          </w:p>
        </w:tc>
        <w:tc>
          <w:tcPr>
            <w:tcW w:w="2410" w:type="dxa"/>
          </w:tcPr>
          <w:p w14:paraId="4F278AE8" w14:textId="77777777" w:rsidR="00790834" w:rsidRPr="00EA4C1B" w:rsidRDefault="00790834" w:rsidP="00DF10BC">
            <w:pPr>
              <w:spacing w:line="240" w:lineRule="auto"/>
              <w:rPr>
                <w:color w:val="auto"/>
              </w:rPr>
            </w:pPr>
            <w:r w:rsidRPr="00EA4C1B">
              <w:rPr>
                <w:color w:val="auto"/>
              </w:rPr>
              <w:t>24 September 2019</w:t>
            </w:r>
          </w:p>
        </w:tc>
      </w:tr>
      <w:tr w:rsidR="00790834" w:rsidRPr="00D75678" w14:paraId="3B60B5D4" w14:textId="77777777" w:rsidTr="007C455C">
        <w:tc>
          <w:tcPr>
            <w:tcW w:w="6629" w:type="dxa"/>
          </w:tcPr>
          <w:p w14:paraId="59D635E6" w14:textId="77777777" w:rsidR="00790834" w:rsidRPr="00D75678" w:rsidRDefault="00790834" w:rsidP="00DF10BC">
            <w:pPr>
              <w:spacing w:line="240" w:lineRule="auto"/>
            </w:pPr>
            <w:r w:rsidRPr="00D75678">
              <w:t>Completion of administrative activities and registration on ARTG</w:t>
            </w:r>
          </w:p>
        </w:tc>
        <w:tc>
          <w:tcPr>
            <w:tcW w:w="2410" w:type="dxa"/>
          </w:tcPr>
          <w:p w14:paraId="09DE9758" w14:textId="77777777" w:rsidR="00790834" w:rsidRPr="00EA4C1B" w:rsidRDefault="00790834" w:rsidP="00DF10BC">
            <w:pPr>
              <w:spacing w:line="240" w:lineRule="auto"/>
              <w:rPr>
                <w:color w:val="auto"/>
              </w:rPr>
            </w:pPr>
            <w:r w:rsidRPr="00EA4C1B">
              <w:rPr>
                <w:color w:val="auto"/>
              </w:rPr>
              <w:t>1 October 2019</w:t>
            </w:r>
          </w:p>
        </w:tc>
      </w:tr>
      <w:tr w:rsidR="00790834" w:rsidRPr="007E1CF5" w14:paraId="6887FC82" w14:textId="77777777" w:rsidTr="007C455C">
        <w:tc>
          <w:tcPr>
            <w:tcW w:w="6629" w:type="dxa"/>
          </w:tcPr>
          <w:p w14:paraId="082C5BF6" w14:textId="77777777" w:rsidR="00790834" w:rsidRPr="00D75678" w:rsidRDefault="00790834" w:rsidP="00DF10BC">
            <w:pPr>
              <w:spacing w:line="240" w:lineRule="auto"/>
            </w:pPr>
            <w:r w:rsidRPr="00D75678">
              <w:t>Number of working days from submission dossier acceptance to registration decision*</w:t>
            </w:r>
          </w:p>
        </w:tc>
        <w:tc>
          <w:tcPr>
            <w:tcW w:w="2410" w:type="dxa"/>
          </w:tcPr>
          <w:p w14:paraId="28D0ACF5" w14:textId="77777777" w:rsidR="00790834" w:rsidRPr="00EA4C1B" w:rsidRDefault="00790834" w:rsidP="00DF10BC">
            <w:pPr>
              <w:spacing w:line="240" w:lineRule="auto"/>
              <w:rPr>
                <w:color w:val="auto"/>
              </w:rPr>
            </w:pPr>
            <w:r w:rsidRPr="00EA4C1B">
              <w:rPr>
                <w:color w:val="auto"/>
              </w:rPr>
              <w:t>123</w:t>
            </w:r>
          </w:p>
        </w:tc>
      </w:tr>
    </w:tbl>
    <w:p w14:paraId="43EEE855" w14:textId="77777777" w:rsidR="00790834" w:rsidRPr="006A58A8" w:rsidRDefault="00790834" w:rsidP="00790834">
      <w:pPr>
        <w:pStyle w:val="TableDescription"/>
      </w:pPr>
      <w:r>
        <w:t>*Target timeframe for priority applications is 150 working days from acceptance for evaluation to the decision.</w:t>
      </w:r>
    </w:p>
    <w:p w14:paraId="3F53EE4E" w14:textId="29018CCB" w:rsidR="008E7846" w:rsidRPr="00792A32" w:rsidRDefault="00456765" w:rsidP="007C455C">
      <w:pPr>
        <w:pStyle w:val="Heading2"/>
      </w:pPr>
      <w:bookmarkStart w:id="26" w:name="_Toc196046504"/>
      <w:bookmarkStart w:id="27" w:name="_Toc247691527"/>
      <w:bookmarkStart w:id="28" w:name="_Toc314842510"/>
      <w:bookmarkStart w:id="29" w:name="_Toc163441390"/>
      <w:bookmarkStart w:id="30" w:name="_Toc26439475"/>
      <w:bookmarkEnd w:id="22"/>
      <w:bookmarkEnd w:id="23"/>
      <w:bookmarkEnd w:id="1"/>
      <w:r>
        <w:t>I</w:t>
      </w:r>
      <w:r w:rsidR="00DA64CB">
        <w:t>I</w:t>
      </w:r>
      <w:r w:rsidR="008E7846">
        <w:t xml:space="preserve">I. </w:t>
      </w:r>
      <w:r w:rsidR="00D33C17">
        <w:t>Submission overview</w:t>
      </w:r>
      <w:r w:rsidR="008E7846" w:rsidRPr="00792A32">
        <w:t xml:space="preserve"> and </w:t>
      </w:r>
      <w:r w:rsidR="008E7846">
        <w:t>r</w:t>
      </w:r>
      <w:r w:rsidR="008E7846" w:rsidRPr="00792A32">
        <w:t>isk/</w:t>
      </w:r>
      <w:r w:rsidR="008E7846">
        <w:t>b</w:t>
      </w:r>
      <w:r w:rsidR="008E7846" w:rsidRPr="00792A32">
        <w:t xml:space="preserve">enefit </w:t>
      </w:r>
      <w:r w:rsidR="008E7846">
        <w:t>a</w:t>
      </w:r>
      <w:r w:rsidR="008E7846" w:rsidRPr="00792A32">
        <w:t>ssessment</w:t>
      </w:r>
      <w:bookmarkEnd w:id="26"/>
      <w:bookmarkEnd w:id="27"/>
      <w:bookmarkEnd w:id="28"/>
      <w:bookmarkEnd w:id="30"/>
    </w:p>
    <w:p w14:paraId="11E9EF9E" w14:textId="2C8A8B28" w:rsidR="008E7846" w:rsidRDefault="008E7846" w:rsidP="008E7846">
      <w:bookmarkStart w:id="31" w:name="_Toc247691528"/>
      <w:r>
        <w:t xml:space="preserve">The submission was summarised in the following </w:t>
      </w:r>
      <w:r w:rsidRPr="00EF5C48">
        <w:t xml:space="preserve">Delegate’s </w:t>
      </w:r>
      <w:r>
        <w:t>overview</w:t>
      </w:r>
      <w:r w:rsidRPr="00EF5C48">
        <w:t xml:space="preserve"> and recommendation</w:t>
      </w:r>
      <w:r>
        <w:t>s</w:t>
      </w:r>
      <w:r w:rsidR="00E27AA7">
        <w:t>.</w:t>
      </w:r>
    </w:p>
    <w:p w14:paraId="569A4C99" w14:textId="77777777" w:rsidR="008E7846" w:rsidRDefault="008E7846" w:rsidP="007C455C">
      <w:pPr>
        <w:pStyle w:val="Heading3"/>
      </w:pPr>
      <w:bookmarkStart w:id="32" w:name="_Toc314842511"/>
      <w:bookmarkStart w:id="33" w:name="_Toc26439476"/>
      <w:r>
        <w:t>Quality</w:t>
      </w:r>
      <w:bookmarkEnd w:id="31"/>
      <w:bookmarkEnd w:id="32"/>
      <w:bookmarkEnd w:id="33"/>
    </w:p>
    <w:p w14:paraId="78797F5E" w14:textId="77777777" w:rsidR="00DE11AE" w:rsidRDefault="00195614" w:rsidP="00B91FC0">
      <w:r w:rsidRPr="004467D0">
        <w:t>There are no issues from the quality evaluation that would indicate the pr</w:t>
      </w:r>
      <w:r w:rsidR="00DE11AE">
        <w:t>oduct should not be registered.</w:t>
      </w:r>
    </w:p>
    <w:p w14:paraId="681827AA" w14:textId="51EBEF25" w:rsidR="00195614" w:rsidRDefault="00DE11AE" w:rsidP="00B91FC0">
      <w:r>
        <w:t xml:space="preserve">There are however </w:t>
      </w:r>
      <w:r w:rsidR="00AF4FCF">
        <w:t>items</w:t>
      </w:r>
      <w:r w:rsidR="00AF4FCF" w:rsidRPr="004467D0">
        <w:t xml:space="preserve"> </w:t>
      </w:r>
      <w:r>
        <w:t xml:space="preserve">that </w:t>
      </w:r>
      <w:r w:rsidR="00195614" w:rsidRPr="004467D0">
        <w:t xml:space="preserve">need to be </w:t>
      </w:r>
      <w:r w:rsidR="00510323">
        <w:t xml:space="preserve">provided </w:t>
      </w:r>
      <w:r w:rsidR="00195614" w:rsidRPr="004467D0">
        <w:t xml:space="preserve">before it is possible to provide assurances that the product is able to meet all of the requirements of the Therapeutics Goods Act 1989 and its associated instruments. </w:t>
      </w:r>
      <w:r w:rsidR="00A67A4F" w:rsidRPr="004467D0">
        <w:t>Q</w:t>
      </w:r>
      <w:r w:rsidR="00195614" w:rsidRPr="004467D0">
        <w:t>uality conditions have been proposed to ensure the product is fully compliant with all of the previously mentioned instruments before release into the market</w:t>
      </w:r>
      <w:r w:rsidR="004467D0" w:rsidRPr="004467D0">
        <w:t xml:space="preserve"> and these include</w:t>
      </w:r>
      <w:r w:rsidR="00E27AA7">
        <w:t xml:space="preserve"> the following items.</w:t>
      </w:r>
    </w:p>
    <w:p w14:paraId="01B6A1F8" w14:textId="4F2A748B" w:rsidR="00195614" w:rsidRPr="00072E9B" w:rsidRDefault="00195614" w:rsidP="00A70F7D">
      <w:pPr>
        <w:pStyle w:val="Heading5"/>
        <w:rPr>
          <w:rFonts w:eastAsia="MS Mincho"/>
          <w:lang w:eastAsia="ja-JP"/>
        </w:rPr>
      </w:pPr>
      <w:r w:rsidRPr="00072E9B">
        <w:rPr>
          <w:rFonts w:eastAsia="MS Mincho"/>
          <w:lang w:eastAsia="ja-JP"/>
        </w:rPr>
        <w:t xml:space="preserve">Batch </w:t>
      </w:r>
      <w:r w:rsidR="00E27AA7" w:rsidRPr="00072E9B">
        <w:rPr>
          <w:rFonts w:eastAsia="MS Mincho"/>
          <w:lang w:eastAsia="ja-JP"/>
        </w:rPr>
        <w:t xml:space="preserve">release testing and compliance with the </w:t>
      </w:r>
      <w:r w:rsidR="00E27AA7">
        <w:rPr>
          <w:rFonts w:eastAsia="MS Mincho"/>
          <w:lang w:eastAsia="ja-JP"/>
        </w:rPr>
        <w:t>C</w:t>
      </w:r>
      <w:r w:rsidR="00E27AA7" w:rsidRPr="00072E9B">
        <w:rPr>
          <w:rFonts w:eastAsia="MS Mincho"/>
          <w:lang w:eastAsia="ja-JP"/>
        </w:rPr>
        <w:t xml:space="preserve">ertified </w:t>
      </w:r>
      <w:r w:rsidR="00E27AA7">
        <w:rPr>
          <w:rFonts w:eastAsia="MS Mincho"/>
          <w:lang w:eastAsia="ja-JP"/>
        </w:rPr>
        <w:t>P</w:t>
      </w:r>
      <w:r w:rsidR="00E27AA7" w:rsidRPr="00072E9B">
        <w:rPr>
          <w:rFonts w:eastAsia="MS Mincho"/>
          <w:lang w:eastAsia="ja-JP"/>
        </w:rPr>
        <w:t xml:space="preserve">roduct </w:t>
      </w:r>
      <w:r w:rsidR="00E27AA7">
        <w:rPr>
          <w:rFonts w:eastAsia="MS Mincho"/>
          <w:lang w:eastAsia="ja-JP"/>
        </w:rPr>
        <w:t>D</w:t>
      </w:r>
      <w:r w:rsidR="00E27AA7" w:rsidRPr="00072E9B">
        <w:rPr>
          <w:rFonts w:eastAsia="MS Mincho"/>
          <w:lang w:eastAsia="ja-JP"/>
        </w:rPr>
        <w:t>etails</w:t>
      </w:r>
    </w:p>
    <w:p w14:paraId="56704836" w14:textId="77777777" w:rsidR="00195614" w:rsidRPr="00C76B98" w:rsidRDefault="00195614" w:rsidP="00A70F7D">
      <w:r w:rsidRPr="00C76B98">
        <w:t xml:space="preserve">It is a condition of registration that all independent batches of </w:t>
      </w:r>
      <w:proofErr w:type="spellStart"/>
      <w:r w:rsidRPr="00C76B98">
        <w:rPr>
          <w:bCs/>
        </w:rPr>
        <w:t>Fluad</w:t>
      </w:r>
      <w:proofErr w:type="spellEnd"/>
      <w:r w:rsidRPr="00C76B98">
        <w:rPr>
          <w:bCs/>
        </w:rPr>
        <w:t xml:space="preserve"> Quad </w:t>
      </w:r>
      <w:r w:rsidRPr="00C76B98">
        <w:t>imported into Australia are not released for sale until samples and the manufacturer’s release data have been assessed and you have received notification acknowledging release from the Laboratories Branch, TGA.</w:t>
      </w:r>
    </w:p>
    <w:p w14:paraId="2C8F2466" w14:textId="2AC5DBA1" w:rsidR="00195614" w:rsidRPr="00C76B98" w:rsidRDefault="00195614" w:rsidP="00A70F7D">
      <w:r w:rsidRPr="00C76B98">
        <w:t xml:space="preserve">For each independent batch of the product imported into Australia, the </w:t>
      </w:r>
      <w:r w:rsidR="00E27AA7">
        <w:t>s</w:t>
      </w:r>
      <w:r w:rsidRPr="00C76B98">
        <w:t>ponsor must supply the following:</w:t>
      </w:r>
    </w:p>
    <w:p w14:paraId="0A74334D" w14:textId="5831F4DA" w:rsidR="00195614" w:rsidRPr="00E27AA7" w:rsidRDefault="00195614" w:rsidP="0092687F">
      <w:pPr>
        <w:pStyle w:val="ListBullet"/>
      </w:pPr>
      <w:r w:rsidRPr="00E27AA7">
        <w:t xml:space="preserve">A completed Request for Release Form, available from </w:t>
      </w:r>
      <w:hyperlink r:id="rId14" w:history="1">
        <w:r w:rsidR="007C455C">
          <w:rPr>
            <w:rStyle w:val="Hyperlink"/>
          </w:rPr>
          <w:t>vaccines@health.gov.au</w:t>
        </w:r>
      </w:hyperlink>
      <w:r w:rsidRPr="00E27AA7">
        <w:t>.</w:t>
      </w:r>
    </w:p>
    <w:p w14:paraId="26E0C713" w14:textId="5C9C11B6" w:rsidR="00195614" w:rsidRPr="00E27AA7" w:rsidRDefault="00195614" w:rsidP="0092687F">
      <w:pPr>
        <w:pStyle w:val="ListBullet"/>
      </w:pPr>
      <w:r w:rsidRPr="00E27AA7">
        <w:lastRenderedPageBreak/>
        <w:t xml:space="preserve">Complete summary protocols for manufacture and </w:t>
      </w:r>
      <w:r w:rsidR="00E27AA7">
        <w:t>quality control</w:t>
      </w:r>
      <w:r w:rsidRPr="00E27AA7">
        <w:t>, including all steps in production.</w:t>
      </w:r>
    </w:p>
    <w:p w14:paraId="1841DCED" w14:textId="77777777" w:rsidR="00195614" w:rsidRPr="00E27AA7" w:rsidRDefault="00195614" w:rsidP="0092687F">
      <w:pPr>
        <w:pStyle w:val="ListBullet"/>
      </w:pPr>
      <w:r w:rsidRPr="00E27AA7">
        <w:t xml:space="preserve">At least 20 (twenty) doses of the first consignment of each batch of </w:t>
      </w:r>
      <w:proofErr w:type="spellStart"/>
      <w:r w:rsidRPr="00544153">
        <w:t>Fluad</w:t>
      </w:r>
      <w:proofErr w:type="spellEnd"/>
      <w:r w:rsidRPr="00544153">
        <w:t xml:space="preserve"> Quad </w:t>
      </w:r>
      <w:r w:rsidRPr="00E27AA7">
        <w:t>with the Australian ap</w:t>
      </w:r>
      <w:r w:rsidR="00A70F7D" w:rsidRPr="00E27AA7">
        <w:t>proved labels, PI and packaging</w:t>
      </w:r>
      <w:r w:rsidRPr="00E27AA7">
        <w:t>.</w:t>
      </w:r>
    </w:p>
    <w:p w14:paraId="31C52C57" w14:textId="77777777" w:rsidR="00195614" w:rsidRPr="00E27AA7" w:rsidRDefault="00195614" w:rsidP="007C455C">
      <w:pPr>
        <w:pStyle w:val="ListBullet"/>
      </w:pPr>
      <w:r w:rsidRPr="00E27AA7">
        <w:t xml:space="preserve">At least 10 (ten) doses of any further consignment of each batch of </w:t>
      </w:r>
      <w:proofErr w:type="spellStart"/>
      <w:r w:rsidRPr="00E27AA7">
        <w:t>Fluad</w:t>
      </w:r>
      <w:proofErr w:type="spellEnd"/>
      <w:r w:rsidRPr="00E27AA7">
        <w:t xml:space="preserve"> Quad with the Australian approved labels, PI and packaging and at least 20 (twenty) doses of any further consignment of each batch of </w:t>
      </w:r>
      <w:proofErr w:type="spellStart"/>
      <w:r w:rsidRPr="00E27AA7">
        <w:t>Fluad</w:t>
      </w:r>
      <w:proofErr w:type="spellEnd"/>
      <w:r w:rsidRPr="00E27AA7">
        <w:t xml:space="preserve"> Quad with the Australian approved labels, PI and packaging.</w:t>
      </w:r>
    </w:p>
    <w:p w14:paraId="7442E0F1" w14:textId="638F787F" w:rsidR="00195614" w:rsidRPr="00E27AA7" w:rsidRDefault="00195614" w:rsidP="0092687F">
      <w:pPr>
        <w:pStyle w:val="ListBullet"/>
      </w:pPr>
      <w:r w:rsidRPr="00E27AA7">
        <w:t xml:space="preserve">Certificate of Release from a regulatory agency acting for the country of origin such as an </w:t>
      </w:r>
      <w:r w:rsidR="00E27AA7">
        <w:t>official medicines control laboratory (</w:t>
      </w:r>
      <w:r w:rsidRPr="00E27AA7">
        <w:t>OMCL</w:t>
      </w:r>
      <w:r w:rsidR="00E27AA7">
        <w:t>)</w:t>
      </w:r>
      <w:r w:rsidRPr="00E27AA7">
        <w:t xml:space="preserve"> (if available). </w:t>
      </w:r>
    </w:p>
    <w:p w14:paraId="44BC6780" w14:textId="77777777" w:rsidR="00195614" w:rsidRPr="00E27AA7" w:rsidRDefault="00195614" w:rsidP="0092687F">
      <w:pPr>
        <w:pStyle w:val="ListBullet"/>
      </w:pPr>
      <w:r w:rsidRPr="00E27AA7">
        <w:t>Any reagents, reference material and standards required to undertake testing, as requested by Laboratories Branch, TGA.</w:t>
      </w:r>
    </w:p>
    <w:p w14:paraId="0ADB6D59" w14:textId="77777777" w:rsidR="00195614" w:rsidRPr="00544153" w:rsidRDefault="00195614" w:rsidP="007C455C">
      <w:r w:rsidRPr="00544153">
        <w:t>Distribution of each shipment of each batch of vaccine is conditional upon fulfilment of these conditions and receipt of a letter from the Laboratorie</w:t>
      </w:r>
      <w:r w:rsidR="00A70F7D" w:rsidRPr="00544153">
        <w:t>s Branch acknowledging release.</w:t>
      </w:r>
    </w:p>
    <w:p w14:paraId="1EFEACA0" w14:textId="77777777" w:rsidR="00195614" w:rsidRPr="00544153" w:rsidRDefault="00195614" w:rsidP="007C455C">
      <w:r w:rsidRPr="00544153">
        <w:t>Samples and data should be forwarded to the Biomedicines and Influenza Vaccines Section, Laboratories Branch before release of each batch and with sufficient lead time to allow for Laboratories Branch testing. The address for courier delivery is:</w:t>
      </w:r>
    </w:p>
    <w:p w14:paraId="2B313FEE" w14:textId="77777777" w:rsidR="00195614" w:rsidRPr="00544153" w:rsidRDefault="00195614" w:rsidP="00544153">
      <w:pPr>
        <w:ind w:left="720"/>
      </w:pPr>
      <w:r w:rsidRPr="00544153">
        <w:t>Influenza Unit,</w:t>
      </w:r>
      <w:r w:rsidR="00DE11AE" w:rsidRPr="00544153">
        <w:t xml:space="preserve"> </w:t>
      </w:r>
      <w:r w:rsidRPr="00544153">
        <w:t>Biomedicines and Influenza Vaccines Section</w:t>
      </w:r>
    </w:p>
    <w:p w14:paraId="1B6E6415" w14:textId="77777777" w:rsidR="00195614" w:rsidRPr="00544153" w:rsidRDefault="00195614" w:rsidP="00544153">
      <w:pPr>
        <w:ind w:left="720"/>
      </w:pPr>
      <w:r w:rsidRPr="00544153">
        <w:t>Laboratories Branch</w:t>
      </w:r>
      <w:r w:rsidR="00DE11AE" w:rsidRPr="00544153">
        <w:t>, T</w:t>
      </w:r>
      <w:r w:rsidRPr="00544153">
        <w:t>herapeutic Goods Administration</w:t>
      </w:r>
    </w:p>
    <w:p w14:paraId="75022C34" w14:textId="77777777" w:rsidR="00195614" w:rsidRPr="00544153" w:rsidRDefault="00195614" w:rsidP="00544153">
      <w:pPr>
        <w:ind w:left="720"/>
      </w:pPr>
      <w:r w:rsidRPr="00544153">
        <w:t>136 Narrabundah Lane</w:t>
      </w:r>
      <w:r w:rsidR="00DE11AE" w:rsidRPr="00544153">
        <w:t xml:space="preserve">, </w:t>
      </w:r>
      <w:r w:rsidRPr="00544153">
        <w:t>Symonston, ACT 2609.</w:t>
      </w:r>
    </w:p>
    <w:p w14:paraId="6F66B808" w14:textId="77777777" w:rsidR="00195614" w:rsidRPr="00C76B98" w:rsidRDefault="00195614" w:rsidP="00544153">
      <w:pPr>
        <w:rPr>
          <w:lang w:eastAsia="ja-JP"/>
        </w:rPr>
      </w:pPr>
      <w:r w:rsidRPr="00C76B98">
        <w:rPr>
          <w:lang w:eastAsia="ja-JP"/>
        </w:rPr>
        <w:t>All shipments (including reagents) must be s</w:t>
      </w:r>
      <w:r w:rsidR="00A70F7D">
        <w:rPr>
          <w:lang w:eastAsia="ja-JP"/>
        </w:rPr>
        <w:t>ent to TGA from the Australian s</w:t>
      </w:r>
      <w:r w:rsidRPr="00C76B98">
        <w:rPr>
          <w:lang w:eastAsia="ja-JP"/>
        </w:rPr>
        <w:t>ponsor/</w:t>
      </w:r>
      <w:r w:rsidR="00A70F7D">
        <w:rPr>
          <w:lang w:eastAsia="ja-JP"/>
        </w:rPr>
        <w:t>a</w:t>
      </w:r>
      <w:r w:rsidRPr="00C76B98">
        <w:rPr>
          <w:lang w:eastAsia="ja-JP"/>
        </w:rPr>
        <w:t>gent who will be required to facilitate the import and customs clearance process.</w:t>
      </w:r>
    </w:p>
    <w:p w14:paraId="52AEEF89" w14:textId="77777777" w:rsidR="00195614" w:rsidRPr="00072E9B" w:rsidRDefault="00195614" w:rsidP="00A70F7D">
      <w:pPr>
        <w:pStyle w:val="Heading5"/>
      </w:pPr>
      <w:r w:rsidRPr="00072E9B">
        <w:t>Certified Product Details</w:t>
      </w:r>
    </w:p>
    <w:p w14:paraId="1C283283" w14:textId="0D3E301E" w:rsidR="00195614" w:rsidRPr="00544153" w:rsidRDefault="00195614" w:rsidP="007C455C">
      <w:r w:rsidRPr="00544153">
        <w:t xml:space="preserve">An electronic copy of the Certified Product Details (CPD) as described in Guidance 7: Certified Product Details of the Australian Regulatory Guidelines for Prescription Medicines (ARGPM) </w:t>
      </w:r>
      <w:r w:rsidR="00E27AA7" w:rsidRPr="00544153">
        <w:t>https://www.tga.gov.au/guidance-7-certified-product-details</w:t>
      </w:r>
      <w:r w:rsidRPr="00544153">
        <w:t xml:space="preserve"> should be provided upon registration of the therapeutic good. In addition, an updated CPD, for the above products incorporating the approved changes is to be provided within one month of the date of approval letter. A template for preparation of CPD for biological prescription medicines and Vaccines can be obtained from the TGA website </w:t>
      </w:r>
      <w:r w:rsidR="00E27AA7" w:rsidRPr="00544153">
        <w:t>https://www.tga.gov.au/form/certified-product-details-cpd-biological-prescription-medicines</w:t>
      </w:r>
      <w:r w:rsidRPr="00544153">
        <w:t>]. The CPD should be sent as a single bookmarked PDF document to vaccines@health.gov.au as soon as possible after registration/approval of the product or any subsequent changes as indicated above.</w:t>
      </w:r>
    </w:p>
    <w:p w14:paraId="4D2699F7" w14:textId="77777777" w:rsidR="008E7846" w:rsidRDefault="008E7846" w:rsidP="007C455C">
      <w:pPr>
        <w:pStyle w:val="Heading3"/>
      </w:pPr>
      <w:bookmarkStart w:id="34" w:name="_Toc314842512"/>
      <w:bookmarkStart w:id="35" w:name="_Toc26439477"/>
      <w:r>
        <w:t>Nonclinical</w:t>
      </w:r>
      <w:bookmarkEnd w:id="34"/>
      <w:bookmarkEnd w:id="35"/>
    </w:p>
    <w:p w14:paraId="5CED726B" w14:textId="26CF3D64" w:rsidR="00195614" w:rsidRDefault="00195614" w:rsidP="00A70F7D">
      <w:pPr>
        <w:rPr>
          <w:rFonts w:ascii="Times New Roman" w:hAnsi="Times New Roman"/>
        </w:rPr>
      </w:pPr>
      <w:r>
        <w:t>The evaluator state</w:t>
      </w:r>
      <w:r w:rsidR="00956A07">
        <w:t>s</w:t>
      </w:r>
      <w:r>
        <w:t xml:space="preserve"> that only two new non-clinical studies were submitted: one immunogenicity study in mice with a </w:t>
      </w:r>
      <w:proofErr w:type="spellStart"/>
      <w:r>
        <w:t>quadrivalent</w:t>
      </w:r>
      <w:proofErr w:type="spellEnd"/>
      <w:r>
        <w:t xml:space="preserve"> vaccine (containing the adjuvant, MF59) and one fertility, </w:t>
      </w:r>
      <w:proofErr w:type="spellStart"/>
      <w:r>
        <w:t>embryofetal</w:t>
      </w:r>
      <w:proofErr w:type="spellEnd"/>
      <w:r>
        <w:t xml:space="preserve"> and early postnatal development study in rabbits with the trivalent vaccine </w:t>
      </w:r>
      <w:proofErr w:type="spellStart"/>
      <w:r w:rsidR="00A70F7D" w:rsidRPr="00A70F7D">
        <w:t>Fluad</w:t>
      </w:r>
      <w:proofErr w:type="spellEnd"/>
      <w:r>
        <w:t>. The non-clinical evaluator provided the following r</w:t>
      </w:r>
      <w:r w:rsidR="007C455C">
        <w:t>ecommendations to the Delegate:</w:t>
      </w:r>
    </w:p>
    <w:p w14:paraId="1C4B5CF9" w14:textId="04B5C56E" w:rsidR="00195614" w:rsidRDefault="00195614" w:rsidP="007C455C">
      <w:pPr>
        <w:pStyle w:val="ListBullet"/>
      </w:pPr>
      <w:r>
        <w:t xml:space="preserve">Immunogenicity of the </w:t>
      </w:r>
      <w:proofErr w:type="spellStart"/>
      <w:r>
        <w:t>aQIV</w:t>
      </w:r>
      <w:proofErr w:type="spellEnd"/>
      <w:r>
        <w:t xml:space="preserve"> was demonstrated in mice, although the </w:t>
      </w:r>
      <w:proofErr w:type="spellStart"/>
      <w:r>
        <w:t>quadrivalent</w:t>
      </w:r>
      <w:proofErr w:type="spellEnd"/>
      <w:r>
        <w:t xml:space="preserve"> formulation was less immunogenic than monovalent formulations o</w:t>
      </w:r>
      <w:r w:rsidR="007C455C">
        <w:t>f individual influenza strains.</w:t>
      </w:r>
    </w:p>
    <w:p w14:paraId="123A77BA" w14:textId="12639B90" w:rsidR="00195614" w:rsidRDefault="00195614" w:rsidP="0092687F">
      <w:pPr>
        <w:pStyle w:val="ListBullet"/>
      </w:pPr>
      <w:r>
        <w:lastRenderedPageBreak/>
        <w:t xml:space="preserve">Previously evaluated </w:t>
      </w:r>
      <w:r w:rsidRPr="00E27AA7">
        <w:t>repeat</w:t>
      </w:r>
      <w:r>
        <w:t xml:space="preserve">-dose toxicity studies with an </w:t>
      </w:r>
      <w:proofErr w:type="spellStart"/>
      <w:r>
        <w:t>aTIV</w:t>
      </w:r>
      <w:proofErr w:type="spellEnd"/>
      <w:r>
        <w:t xml:space="preserve"> at total HA doses higher than the clinical dose showed only slight local reactions and slight systemic effects of a transient response to the adjuvant or an immune re</w:t>
      </w:r>
      <w:r w:rsidR="007C455C">
        <w:t>sponse to the vaccine antigens.</w:t>
      </w:r>
    </w:p>
    <w:p w14:paraId="680FE80B" w14:textId="46A23466" w:rsidR="00195614" w:rsidRDefault="00195614" w:rsidP="0092687F">
      <w:pPr>
        <w:pStyle w:val="ListBullet"/>
      </w:pPr>
      <w:r>
        <w:t xml:space="preserve">No effects on female fertility, </w:t>
      </w:r>
      <w:proofErr w:type="spellStart"/>
      <w:r>
        <w:t>embryofetal</w:t>
      </w:r>
      <w:proofErr w:type="spellEnd"/>
      <w:r>
        <w:t xml:space="preserve"> and early postnatal development with </w:t>
      </w:r>
      <w:proofErr w:type="spellStart"/>
      <w:r>
        <w:t>aTIV</w:t>
      </w:r>
      <w:proofErr w:type="spellEnd"/>
      <w:r>
        <w:t xml:space="preserve"> </w:t>
      </w:r>
      <w:proofErr w:type="spellStart"/>
      <w:r>
        <w:t>F</w:t>
      </w:r>
      <w:r w:rsidR="00E00A59">
        <w:t>luad</w:t>
      </w:r>
      <w:proofErr w:type="spellEnd"/>
      <w:r>
        <w:t xml:space="preserve"> were observed in </w:t>
      </w:r>
      <w:r w:rsidR="00455ABF">
        <w:t>rabbits</w:t>
      </w:r>
      <w:r w:rsidR="007C455C">
        <w:t>.</w:t>
      </w:r>
    </w:p>
    <w:p w14:paraId="4545E728" w14:textId="74D021C3" w:rsidR="00195614" w:rsidRDefault="00195614" w:rsidP="0092687F">
      <w:pPr>
        <w:pStyle w:val="ListBullet"/>
      </w:pPr>
      <w:r>
        <w:t xml:space="preserve">There are no nonclinical objections to registration of </w:t>
      </w:r>
      <w:proofErr w:type="spellStart"/>
      <w:r w:rsidR="00A70F7D">
        <w:t>Fluad</w:t>
      </w:r>
      <w:proofErr w:type="spellEnd"/>
      <w:r w:rsidR="00A70F7D">
        <w:t xml:space="preserve"> Quad</w:t>
      </w:r>
      <w:r w:rsidR="00A70F7D">
        <w:rPr>
          <w:vertAlign w:val="superscript"/>
        </w:rPr>
        <w:t xml:space="preserve"> </w:t>
      </w:r>
      <w:r>
        <w:t>vaccine for the active immunisation against influenza in persons 65 years of age</w:t>
      </w:r>
      <w:r w:rsidR="00455ABF">
        <w:t xml:space="preserve"> and older</w:t>
      </w:r>
      <w:r w:rsidR="007C455C">
        <w:t>.</w:t>
      </w:r>
    </w:p>
    <w:p w14:paraId="25C1B85C" w14:textId="45A64395" w:rsidR="00195614" w:rsidRDefault="00A70F7D" w:rsidP="0092687F">
      <w:pPr>
        <w:pStyle w:val="ListBullet"/>
        <w:rPr>
          <w:rFonts w:ascii="Times New Roman" w:hAnsi="Times New Roman"/>
        </w:rPr>
      </w:pPr>
      <w:r>
        <w:t xml:space="preserve">Amendments to the </w:t>
      </w:r>
      <w:r w:rsidR="00195614">
        <w:t xml:space="preserve">draft </w:t>
      </w:r>
      <w:r w:rsidR="00E27AA7">
        <w:t>PI</w:t>
      </w:r>
      <w:r w:rsidR="00195614">
        <w:t xml:space="preserve"> </w:t>
      </w:r>
      <w:r>
        <w:t>were recommended but these are bey</w:t>
      </w:r>
      <w:r w:rsidR="00DE11AE">
        <w:t>o</w:t>
      </w:r>
      <w:r>
        <w:t xml:space="preserve">nd the scope of this </w:t>
      </w:r>
      <w:proofErr w:type="spellStart"/>
      <w:r>
        <w:t>AusPAR</w:t>
      </w:r>
      <w:proofErr w:type="spellEnd"/>
      <w:r>
        <w:t>.</w:t>
      </w:r>
    </w:p>
    <w:p w14:paraId="13CA5833" w14:textId="77777777" w:rsidR="008E7846" w:rsidRDefault="008E7846" w:rsidP="007C455C">
      <w:pPr>
        <w:pStyle w:val="Heading3"/>
      </w:pPr>
      <w:bookmarkStart w:id="36" w:name="_Toc247691530"/>
      <w:bookmarkStart w:id="37" w:name="_Toc314842513"/>
      <w:bookmarkStart w:id="38" w:name="_Toc26439478"/>
      <w:r>
        <w:t>Clinical</w:t>
      </w:r>
      <w:bookmarkEnd w:id="36"/>
      <w:bookmarkEnd w:id="37"/>
      <w:bookmarkEnd w:id="38"/>
    </w:p>
    <w:p w14:paraId="54A64789" w14:textId="77777777" w:rsidR="00E97057" w:rsidRDefault="00E97057" w:rsidP="00956A07">
      <w:pPr>
        <w:rPr>
          <w:lang w:eastAsia="zh-CN"/>
        </w:rPr>
      </w:pPr>
      <w:bookmarkStart w:id="39" w:name="_Toc314842514"/>
      <w:r>
        <w:rPr>
          <w:lang w:eastAsia="zh-CN"/>
        </w:rPr>
        <w:t xml:space="preserve">The clinical data to support the registration of </w:t>
      </w:r>
      <w:proofErr w:type="spellStart"/>
      <w:r w:rsidRPr="001663AC">
        <w:rPr>
          <w:lang w:eastAsia="zh-CN"/>
        </w:rPr>
        <w:t>aQIV</w:t>
      </w:r>
      <w:proofErr w:type="spellEnd"/>
      <w:r w:rsidRPr="001663AC">
        <w:rPr>
          <w:lang w:eastAsia="zh-CN"/>
        </w:rPr>
        <w:t xml:space="preserve"> is primarily based on the results of the pivotal </w:t>
      </w:r>
      <w:proofErr w:type="spellStart"/>
      <w:r w:rsidRPr="001663AC">
        <w:rPr>
          <w:lang w:eastAsia="zh-CN"/>
        </w:rPr>
        <w:t>aQIV</w:t>
      </w:r>
      <w:proofErr w:type="spellEnd"/>
      <w:r w:rsidRPr="001663AC">
        <w:rPr>
          <w:lang w:eastAsia="zh-CN"/>
        </w:rPr>
        <w:t xml:space="preserve"> immunogenicity and safety study</w:t>
      </w:r>
      <w:r w:rsidRPr="001663AC">
        <w:t xml:space="preserve"> </w:t>
      </w:r>
      <w:r>
        <w:t xml:space="preserve">(Study </w:t>
      </w:r>
      <w:r w:rsidRPr="001663AC">
        <w:rPr>
          <w:lang w:eastAsia="zh-CN"/>
        </w:rPr>
        <w:t>V118_20</w:t>
      </w:r>
      <w:r>
        <w:rPr>
          <w:lang w:eastAsia="zh-CN"/>
        </w:rPr>
        <w:t>)</w:t>
      </w:r>
      <w:r w:rsidRPr="001663AC">
        <w:rPr>
          <w:lang w:eastAsia="zh-CN"/>
        </w:rPr>
        <w:t>.</w:t>
      </w:r>
      <w:r w:rsidR="00956A07">
        <w:rPr>
          <w:lang w:eastAsia="zh-CN"/>
        </w:rPr>
        <w:t xml:space="preserve"> </w:t>
      </w:r>
      <w:r>
        <w:rPr>
          <w:lang w:eastAsia="zh-CN"/>
        </w:rPr>
        <w:t xml:space="preserve">A number of </w:t>
      </w:r>
      <w:proofErr w:type="spellStart"/>
      <w:r>
        <w:rPr>
          <w:lang w:eastAsia="zh-CN"/>
        </w:rPr>
        <w:t>aTIV</w:t>
      </w:r>
      <w:proofErr w:type="spellEnd"/>
      <w:r>
        <w:rPr>
          <w:lang w:eastAsia="zh-CN"/>
        </w:rPr>
        <w:t xml:space="preserve"> studies were also submitted as supportive evidence </w:t>
      </w:r>
      <w:r w:rsidR="00DE11AE">
        <w:rPr>
          <w:lang w:eastAsia="zh-CN"/>
        </w:rPr>
        <w:t>as follows</w:t>
      </w:r>
      <w:r w:rsidR="00956A07">
        <w:rPr>
          <w:lang w:eastAsia="zh-CN"/>
        </w:rPr>
        <w:t>:</w:t>
      </w:r>
    </w:p>
    <w:p w14:paraId="0A1336A7" w14:textId="73967E37" w:rsidR="00E97057" w:rsidRPr="00956A07" w:rsidRDefault="00956A07" w:rsidP="0092687F">
      <w:pPr>
        <w:pStyle w:val="ListBullet"/>
      </w:pPr>
      <w:r w:rsidRPr="00956A07">
        <w:t>O</w:t>
      </w:r>
      <w:r w:rsidR="00E97057" w:rsidRPr="00956A07">
        <w:t xml:space="preserve">ne new key supportive </w:t>
      </w:r>
      <w:proofErr w:type="spellStart"/>
      <w:r w:rsidR="00E97057" w:rsidRPr="00956A07">
        <w:t>aTIV</w:t>
      </w:r>
      <w:proofErr w:type="spellEnd"/>
      <w:r w:rsidR="00E97057" w:rsidRPr="00956A07">
        <w:t xml:space="preserve"> study: Study</w:t>
      </w:r>
      <w:r w:rsidR="00044619">
        <w:t xml:space="preserve"> </w:t>
      </w:r>
      <w:r w:rsidR="00E97057" w:rsidRPr="00956A07">
        <w:t>V70_27</w:t>
      </w:r>
    </w:p>
    <w:p w14:paraId="1E245D04" w14:textId="0BB81231" w:rsidR="00E97057" w:rsidRPr="00956A07" w:rsidRDefault="00E97057" w:rsidP="0092687F">
      <w:pPr>
        <w:pStyle w:val="ListBullet"/>
      </w:pPr>
      <w:r w:rsidRPr="00956A07">
        <w:t xml:space="preserve">A number of </w:t>
      </w:r>
      <w:proofErr w:type="spellStart"/>
      <w:r w:rsidRPr="00956A07">
        <w:t>aTIV</w:t>
      </w:r>
      <w:proofErr w:type="spellEnd"/>
      <w:r w:rsidRPr="00956A07">
        <w:t xml:space="preserve"> studies (most previously evaluated by </w:t>
      </w:r>
      <w:r w:rsidR="00E27AA7">
        <w:t xml:space="preserve">the </w:t>
      </w:r>
      <w:r w:rsidRPr="00956A07">
        <w:t>TGA):</w:t>
      </w:r>
    </w:p>
    <w:p w14:paraId="74112CB4" w14:textId="36373EFD" w:rsidR="00E97057" w:rsidRPr="00956A07" w:rsidRDefault="00E97057" w:rsidP="00956A07">
      <w:pPr>
        <w:pStyle w:val="ListBullet2"/>
      </w:pPr>
      <w:r w:rsidRPr="00956A07">
        <w:t xml:space="preserve">Studies V7P3, V7P5, V7P7, V7P8, V7P25, </w:t>
      </w:r>
      <w:r w:rsidR="00B018E6">
        <w:t xml:space="preserve">V7P31, V7P34, </w:t>
      </w:r>
      <w:r w:rsidRPr="00956A07">
        <w:t xml:space="preserve">V7P35, </w:t>
      </w:r>
      <w:r w:rsidR="00B018E6">
        <w:t>V63P1, V70P1</w:t>
      </w:r>
      <w:r w:rsidR="00E27AA7">
        <w:t xml:space="preserve"> and</w:t>
      </w:r>
      <w:r w:rsidR="00B018E6">
        <w:t xml:space="preserve"> </w:t>
      </w:r>
      <w:r w:rsidRPr="00956A07">
        <w:t>V104P3</w:t>
      </w:r>
    </w:p>
    <w:p w14:paraId="51ECF5D1" w14:textId="0078306D" w:rsidR="00E97057" w:rsidRPr="00956A07" w:rsidRDefault="00E97057" w:rsidP="00956A07">
      <w:pPr>
        <w:pStyle w:val="ListBullet2"/>
      </w:pPr>
      <w:r w:rsidRPr="00956A07">
        <w:t xml:space="preserve">Revaccination studies: </w:t>
      </w:r>
      <w:r w:rsidR="00E27AA7">
        <w:t xml:space="preserve">Studies </w:t>
      </w:r>
      <w:r w:rsidRPr="00956A07">
        <w:t>V7P3X1, V7P3X2, V7P5X1, V7P5X2, V7P7X1, V7P8X1</w:t>
      </w:r>
      <w:r w:rsidR="00E27AA7">
        <w:t xml:space="preserve"> and</w:t>
      </w:r>
      <w:r w:rsidRPr="00956A07">
        <w:t xml:space="preserve"> V7P25X1</w:t>
      </w:r>
    </w:p>
    <w:p w14:paraId="0A9F39A8" w14:textId="40A2D351" w:rsidR="00E97057" w:rsidRPr="00956A07" w:rsidRDefault="00E97057" w:rsidP="00956A07">
      <w:pPr>
        <w:pStyle w:val="ListBullet2"/>
      </w:pPr>
      <w:r w:rsidRPr="00956A07">
        <w:t xml:space="preserve">Two </w:t>
      </w:r>
      <w:proofErr w:type="spellStart"/>
      <w:r w:rsidRPr="00956A07">
        <w:t>aTIV</w:t>
      </w:r>
      <w:proofErr w:type="spellEnd"/>
      <w:r w:rsidRPr="00956A07">
        <w:t xml:space="preserve"> effectiveness studies</w:t>
      </w:r>
      <w:r w:rsidR="00E27AA7">
        <w:t>: Studies</w:t>
      </w:r>
      <w:r w:rsidRPr="00956A07">
        <w:t>C70P1</w:t>
      </w:r>
      <w:r w:rsidR="00E27AA7">
        <w:t xml:space="preserve"> and</w:t>
      </w:r>
      <w:r w:rsidRPr="00956A07">
        <w:t xml:space="preserve"> V70_49OBTP</w:t>
      </w:r>
    </w:p>
    <w:p w14:paraId="197396A2" w14:textId="0B9563A3" w:rsidR="00956A07" w:rsidRDefault="00E97057" w:rsidP="007C455C">
      <w:pPr>
        <w:pStyle w:val="ListBullet2"/>
      </w:pPr>
      <w:r w:rsidRPr="00956A07">
        <w:t>Studies V104P3 and V7P38 were two dose-ranging studies. These studies evaluated the effect of various antigen and MF59 dose lev</w:t>
      </w:r>
      <w:r w:rsidR="00956A07">
        <w:t xml:space="preserve">els on immune response to </w:t>
      </w:r>
      <w:proofErr w:type="spellStart"/>
      <w:r w:rsidR="00956A07">
        <w:t>aTIV</w:t>
      </w:r>
      <w:proofErr w:type="spellEnd"/>
      <w:r w:rsidR="00956A07">
        <w:t>.</w:t>
      </w:r>
    </w:p>
    <w:p w14:paraId="02668BF6" w14:textId="77777777" w:rsidR="00E97057" w:rsidRDefault="00E97057" w:rsidP="007C455C">
      <w:r w:rsidRPr="00956A07">
        <w:t xml:space="preserve">The choice of the current </w:t>
      </w:r>
      <w:proofErr w:type="spellStart"/>
      <w:r w:rsidRPr="00956A07">
        <w:t>aQIV</w:t>
      </w:r>
      <w:proofErr w:type="spellEnd"/>
      <w:r w:rsidRPr="00956A07">
        <w:t xml:space="preserve"> form</w:t>
      </w:r>
      <w:r w:rsidRPr="007C455C">
        <w:t xml:space="preserve">ulation is supported by these studies. Dose for the second B antigen was same as previously approved dose of B antigen in </w:t>
      </w:r>
      <w:proofErr w:type="spellStart"/>
      <w:r w:rsidRPr="007C455C">
        <w:t>aTIV</w:t>
      </w:r>
      <w:proofErr w:type="spellEnd"/>
      <w:r w:rsidRPr="00D94CFD">
        <w:rPr>
          <w:color w:val="000000"/>
        </w:rPr>
        <w:t>.</w:t>
      </w:r>
    </w:p>
    <w:p w14:paraId="33141E4E" w14:textId="7D1C0ED8" w:rsidR="00E97057" w:rsidRDefault="00E97057" w:rsidP="00A70F7D">
      <w:pPr>
        <w:pStyle w:val="Heading4"/>
      </w:pPr>
      <w:r>
        <w:t>Efficacy/</w:t>
      </w:r>
      <w:r w:rsidR="009D2F0C">
        <w:t>i</w:t>
      </w:r>
      <w:r>
        <w:t>mmunogenicity</w:t>
      </w:r>
    </w:p>
    <w:p w14:paraId="25DB6A2F" w14:textId="77777777" w:rsidR="00E97057" w:rsidRPr="005632DC" w:rsidRDefault="00A70F7D" w:rsidP="00A70F7D">
      <w:pPr>
        <w:pStyle w:val="Heading5"/>
      </w:pPr>
      <w:r>
        <w:t xml:space="preserve">Pivotal </w:t>
      </w:r>
      <w:r w:rsidR="00E97057">
        <w:t xml:space="preserve">Study </w:t>
      </w:r>
      <w:r w:rsidR="00E97057" w:rsidRPr="009042C0">
        <w:t>V118_20</w:t>
      </w:r>
    </w:p>
    <w:p w14:paraId="6D85615E" w14:textId="1880A1F5" w:rsidR="00E97057" w:rsidRDefault="00E97057" w:rsidP="00E97057">
      <w:pPr>
        <w:rPr>
          <w:rFonts w:eastAsia="Times New Roman"/>
          <w:bCs/>
        </w:rPr>
      </w:pPr>
      <w:r>
        <w:t xml:space="preserve">This is a Phase </w:t>
      </w:r>
      <w:r w:rsidR="00956A07">
        <w:t>III, randomis</w:t>
      </w:r>
      <w:r>
        <w:t>ed, double</w:t>
      </w:r>
      <w:r w:rsidR="009D2F0C">
        <w:t xml:space="preserve"> </w:t>
      </w:r>
      <w:r>
        <w:t>blind, controlled, multicentre s</w:t>
      </w:r>
      <w:r w:rsidRPr="00720241">
        <w:t>tudy</w:t>
      </w:r>
      <w:r>
        <w:t>. The study evaluated the safety and immunogenicity of a MF59</w:t>
      </w:r>
      <w:r w:rsidR="00956A07">
        <w:t xml:space="preserve"> </w:t>
      </w:r>
      <w:proofErr w:type="spellStart"/>
      <w:r w:rsidR="00956A07">
        <w:t>adjuvanted</w:t>
      </w:r>
      <w:proofErr w:type="spellEnd"/>
      <w:r>
        <w:t xml:space="preserve"> </w:t>
      </w:r>
      <w:proofErr w:type="spellStart"/>
      <w:r>
        <w:t>q</w:t>
      </w:r>
      <w:r w:rsidRPr="00720241">
        <w:t>uadrivalent</w:t>
      </w:r>
      <w:proofErr w:type="spellEnd"/>
      <w:r>
        <w:t xml:space="preserve"> influenza vaccine (</w:t>
      </w:r>
      <w:proofErr w:type="spellStart"/>
      <w:r>
        <w:t>aQIV</w:t>
      </w:r>
      <w:proofErr w:type="spellEnd"/>
      <w:r>
        <w:t>), in comparison with an MF59</w:t>
      </w:r>
      <w:r w:rsidR="00956A07">
        <w:t xml:space="preserve"> </w:t>
      </w:r>
      <w:proofErr w:type="spellStart"/>
      <w:r w:rsidR="00956A07">
        <w:t>adjuvanted</w:t>
      </w:r>
      <w:proofErr w:type="spellEnd"/>
      <w:r>
        <w:t xml:space="preserve"> trivalent</w:t>
      </w:r>
      <w:r w:rsidR="00956A07">
        <w:t xml:space="preserve"> </w:t>
      </w:r>
      <w:r>
        <w:t>influenza</w:t>
      </w:r>
      <w:r w:rsidR="00956A07">
        <w:t xml:space="preserve"> </w:t>
      </w:r>
      <w:r>
        <w:t>v</w:t>
      </w:r>
      <w:r w:rsidRPr="00720241">
        <w:t>accine</w:t>
      </w:r>
      <w:r w:rsidR="00956A07">
        <w:t xml:space="preserve"> </w:t>
      </w:r>
      <w:r>
        <w:t>(</w:t>
      </w:r>
      <w:proofErr w:type="spellStart"/>
      <w:r>
        <w:t>aTIV</w:t>
      </w:r>
      <w:proofErr w:type="spellEnd"/>
      <w:r>
        <w:t>) and</w:t>
      </w:r>
      <w:r w:rsidR="00956A07">
        <w:t xml:space="preserve"> </w:t>
      </w:r>
      <w:r>
        <w:t>an</w:t>
      </w:r>
      <w:r w:rsidR="00956A07">
        <w:t xml:space="preserve"> </w:t>
      </w:r>
      <w:r>
        <w:t>MF59</w:t>
      </w:r>
      <w:r w:rsidR="00956A07">
        <w:t xml:space="preserve"> </w:t>
      </w:r>
      <w:proofErr w:type="spellStart"/>
      <w:r w:rsidR="00956A07">
        <w:t>adjuvanted</w:t>
      </w:r>
      <w:proofErr w:type="spellEnd"/>
      <w:r w:rsidRPr="00720241">
        <w:t xml:space="preserve"> T</w:t>
      </w:r>
      <w:r>
        <w:t>IV</w:t>
      </w:r>
      <w:r w:rsidR="00956A07">
        <w:t xml:space="preserve"> </w:t>
      </w:r>
      <w:r>
        <w:t>c</w:t>
      </w:r>
      <w:r w:rsidRPr="00720241">
        <w:t>ontaining</w:t>
      </w:r>
      <w:r w:rsidR="00956A07">
        <w:t xml:space="preserve"> </w:t>
      </w:r>
      <w:r w:rsidRPr="00720241">
        <w:t>t</w:t>
      </w:r>
      <w:r>
        <w:t>he</w:t>
      </w:r>
      <w:r w:rsidR="00956A07">
        <w:t xml:space="preserve"> </w:t>
      </w:r>
      <w:r>
        <w:t>alternate</w:t>
      </w:r>
      <w:r w:rsidR="00956A07">
        <w:t xml:space="preserve"> </w:t>
      </w:r>
      <w:r>
        <w:t>B</w:t>
      </w:r>
      <w:r w:rsidR="00956A07">
        <w:t xml:space="preserve"> </w:t>
      </w:r>
      <w:r>
        <w:t>strain,</w:t>
      </w:r>
      <w:r w:rsidR="00956A07">
        <w:t xml:space="preserve"> </w:t>
      </w:r>
      <w:r>
        <w:t>in</w:t>
      </w:r>
      <w:r w:rsidR="00956A07">
        <w:t xml:space="preserve"> </w:t>
      </w:r>
      <w:r>
        <w:t>adults</w:t>
      </w:r>
      <w:r w:rsidR="00956A07">
        <w:t xml:space="preserve"> </w:t>
      </w:r>
      <w:r>
        <w:t>aged</w:t>
      </w:r>
      <w:r w:rsidR="00956A07">
        <w:t xml:space="preserve"> </w:t>
      </w:r>
      <w:r>
        <w:t>65 y</w:t>
      </w:r>
      <w:r w:rsidRPr="00720241">
        <w:t>ears</w:t>
      </w:r>
      <w:r w:rsidR="00956A07">
        <w:t xml:space="preserve"> </w:t>
      </w:r>
      <w:r w:rsidRPr="00720241">
        <w:t>and above.</w:t>
      </w:r>
      <w:r>
        <w:t xml:space="preserve"> </w:t>
      </w:r>
      <w:r>
        <w:rPr>
          <w:rFonts w:eastAsia="Times New Roman"/>
          <w:bCs/>
        </w:rPr>
        <w:t>The co-primary immunogenicity o</w:t>
      </w:r>
      <w:r w:rsidRPr="0037557C">
        <w:rPr>
          <w:rFonts w:eastAsia="Times New Roman"/>
          <w:bCs/>
        </w:rPr>
        <w:t>bjectives were:</w:t>
      </w:r>
    </w:p>
    <w:p w14:paraId="30F53A40" w14:textId="19D1EB3B" w:rsidR="00E97057" w:rsidRPr="00956A07" w:rsidRDefault="00E97057" w:rsidP="0092687F">
      <w:pPr>
        <w:pStyle w:val="ListBullet"/>
      </w:pPr>
      <w:r w:rsidRPr="00956A07">
        <w:t xml:space="preserve">to demonstrate that vaccination with </w:t>
      </w:r>
      <w:proofErr w:type="spellStart"/>
      <w:r w:rsidRPr="00956A07">
        <w:t>aQIV</w:t>
      </w:r>
      <w:proofErr w:type="spellEnd"/>
      <w:r w:rsidRPr="00956A07">
        <w:t xml:space="preserve"> elicits an immune response that is not inferior to that of an </w:t>
      </w:r>
      <w:proofErr w:type="spellStart"/>
      <w:r w:rsidRPr="00956A07">
        <w:t>aTIV</w:t>
      </w:r>
      <w:proofErr w:type="spellEnd"/>
      <w:r w:rsidRPr="00956A07">
        <w:t xml:space="preserve"> containing the same virus strains as the licensed </w:t>
      </w:r>
      <w:proofErr w:type="spellStart"/>
      <w:r w:rsidRPr="00956A07">
        <w:t>adjuvanted</w:t>
      </w:r>
      <w:proofErr w:type="spellEnd"/>
      <w:r w:rsidRPr="00956A07">
        <w:t xml:space="preserve"> TIV (FLUAD, aTIV-1), and an </w:t>
      </w:r>
      <w:proofErr w:type="spellStart"/>
      <w:r w:rsidRPr="00956A07">
        <w:t>aTIV</w:t>
      </w:r>
      <w:proofErr w:type="spellEnd"/>
      <w:r w:rsidRPr="00956A07">
        <w:t xml:space="preserve"> containing the alternate B strain (aTIV-2) among adults 65 years of age</w:t>
      </w:r>
      <w:r w:rsidR="009D2F0C">
        <w:t>; and</w:t>
      </w:r>
    </w:p>
    <w:p w14:paraId="4AC880B1" w14:textId="2539E4E4" w:rsidR="00E97057" w:rsidRPr="00956A07" w:rsidRDefault="00E97057" w:rsidP="0092687F">
      <w:pPr>
        <w:pStyle w:val="ListBullet"/>
      </w:pPr>
      <w:r w:rsidRPr="00956A07">
        <w:t xml:space="preserve">to assess the immunogenicity of </w:t>
      </w:r>
      <w:proofErr w:type="spellStart"/>
      <w:r w:rsidRPr="00956A07">
        <w:t>aQIV</w:t>
      </w:r>
      <w:proofErr w:type="spellEnd"/>
      <w:r w:rsidRPr="00956A07">
        <w:t xml:space="preserve"> in adults ≥65 years of age based on the CBER (</w:t>
      </w:r>
      <w:proofErr w:type="spellStart"/>
      <w:r w:rsidRPr="00956A07">
        <w:t>Center</w:t>
      </w:r>
      <w:proofErr w:type="spellEnd"/>
      <w:r w:rsidRPr="00956A07">
        <w:t xml:space="preserve"> for Biologics Evaluation and Research) </w:t>
      </w:r>
      <w:r w:rsidR="00455ABF">
        <w:t>criteria</w:t>
      </w:r>
      <w:r w:rsidRPr="00956A07">
        <w:t>.</w:t>
      </w:r>
    </w:p>
    <w:p w14:paraId="08FDDF2B" w14:textId="0D4C113E" w:rsidR="00E97057" w:rsidRDefault="00E97057" w:rsidP="00FA7D2E">
      <w:r>
        <w:t xml:space="preserve">Overall, a total of 1778 subjects </w:t>
      </w:r>
      <w:r w:rsidRPr="00B47ECD">
        <w:t>enrolled in the study</w:t>
      </w:r>
      <w:r>
        <w:t xml:space="preserve"> and 1776</w:t>
      </w:r>
      <w:r w:rsidRPr="00DB6389">
        <w:t xml:space="preserve"> subjects (99.9%) received </w:t>
      </w:r>
      <w:r w:rsidR="00947203">
        <w:t>vaccination</w:t>
      </w:r>
      <w:r w:rsidR="00947203" w:rsidRPr="00DB6389">
        <w:t>.</w:t>
      </w:r>
      <w:r>
        <w:t xml:space="preserve"> Five subjects </w:t>
      </w:r>
      <w:r w:rsidRPr="00B47ECD">
        <w:t>were early terminated prior to Day 22</w:t>
      </w:r>
      <w:r w:rsidR="00FA7D2E">
        <w:t xml:space="preserve"> and o</w:t>
      </w:r>
      <w:r w:rsidRPr="00B47ECD">
        <w:t>ne su</w:t>
      </w:r>
      <w:r>
        <w:t xml:space="preserve">bject from </w:t>
      </w:r>
      <w:proofErr w:type="spellStart"/>
      <w:r>
        <w:t>aQIV</w:t>
      </w:r>
      <w:proofErr w:type="spellEnd"/>
      <w:r>
        <w:t xml:space="preserve"> group </w:t>
      </w:r>
      <w:r w:rsidRPr="00B47ECD">
        <w:t xml:space="preserve">did not provide evaluable blood sample at Day 22. These 6 subjects were excluded from the </w:t>
      </w:r>
      <w:r w:rsidR="009D2F0C">
        <w:t xml:space="preserve">full analysis set </w:t>
      </w:r>
      <w:r w:rsidR="00FA7D2E">
        <w:t>(</w:t>
      </w:r>
      <w:r w:rsidRPr="00B47ECD">
        <w:t>FAS</w:t>
      </w:r>
      <w:r w:rsidR="00FA7D2E">
        <w:t>)</w:t>
      </w:r>
      <w:r w:rsidRPr="00B47ECD">
        <w:t xml:space="preserve"> </w:t>
      </w:r>
      <w:r w:rsidR="009D2F0C">
        <w:t>i</w:t>
      </w:r>
      <w:r w:rsidRPr="00B47ECD">
        <w:t>mmunogenicity</w:t>
      </w:r>
      <w:r w:rsidR="009D2F0C">
        <w:t xml:space="preserve"> set</w:t>
      </w:r>
      <w:r w:rsidRPr="00B47ECD">
        <w:t xml:space="preserve">. In total, 1770 subjects were </w:t>
      </w:r>
      <w:r w:rsidRPr="00B47ECD">
        <w:lastRenderedPageBreak/>
        <w:t>included in the FAS.</w:t>
      </w:r>
      <w:r>
        <w:t xml:space="preserve"> </w:t>
      </w:r>
      <w:r w:rsidRPr="007859E9">
        <w:t>The median overall age of subjects was 71 years; the minimum age was 65 years, and the maximum was 90 to 97 years. A majority of subjects (56.6%) were female</w:t>
      </w:r>
      <w:r w:rsidR="00FA7D2E">
        <w:t xml:space="preserve"> versus </w:t>
      </w:r>
      <w:r w:rsidRPr="007859E9">
        <w:t>43.4% male.</w:t>
      </w:r>
    </w:p>
    <w:p w14:paraId="0E67386F" w14:textId="5D845381" w:rsidR="00E97057" w:rsidRDefault="00E97057" w:rsidP="00FA7D2E">
      <w:pPr>
        <w:rPr>
          <w:rFonts w:eastAsia="Times New Roman"/>
          <w:bCs/>
        </w:rPr>
      </w:pPr>
      <w:r w:rsidRPr="00AB00CC">
        <w:rPr>
          <w:rFonts w:eastAsia="Times New Roman"/>
          <w:bCs/>
        </w:rPr>
        <w:t xml:space="preserve">Analysis of immunogenicity was performed on the </w:t>
      </w:r>
      <w:r w:rsidR="009D2F0C">
        <w:rPr>
          <w:rFonts w:eastAsia="Times New Roman"/>
          <w:bCs/>
        </w:rPr>
        <w:t xml:space="preserve">per protocol set </w:t>
      </w:r>
      <w:r w:rsidR="00FA7D2E">
        <w:rPr>
          <w:rFonts w:eastAsia="Times New Roman"/>
          <w:bCs/>
        </w:rPr>
        <w:t>(</w:t>
      </w:r>
      <w:r w:rsidRPr="00AB00CC">
        <w:rPr>
          <w:rFonts w:eastAsia="Times New Roman"/>
          <w:bCs/>
        </w:rPr>
        <w:t>PPS</w:t>
      </w:r>
      <w:r w:rsidR="00FA7D2E">
        <w:rPr>
          <w:rFonts w:eastAsia="Times New Roman"/>
          <w:bCs/>
        </w:rPr>
        <w:t>)</w:t>
      </w:r>
      <w:r w:rsidRPr="00AB00CC">
        <w:rPr>
          <w:rFonts w:eastAsia="Times New Roman"/>
          <w:bCs/>
        </w:rPr>
        <w:t xml:space="preserve"> Immunogenicity (primary analysis) and on the FAS </w:t>
      </w:r>
      <w:r w:rsidR="009D2F0C">
        <w:rPr>
          <w:rFonts w:eastAsia="Times New Roman"/>
          <w:bCs/>
        </w:rPr>
        <w:t>i</w:t>
      </w:r>
      <w:r w:rsidRPr="00AB00CC">
        <w:rPr>
          <w:rFonts w:eastAsia="Times New Roman"/>
          <w:bCs/>
        </w:rPr>
        <w:t xml:space="preserve">mmunogenicity </w:t>
      </w:r>
      <w:r w:rsidR="00FA7D2E">
        <w:rPr>
          <w:rFonts w:eastAsia="Times New Roman"/>
          <w:bCs/>
        </w:rPr>
        <w:t>set</w:t>
      </w:r>
      <w:r>
        <w:rPr>
          <w:rFonts w:eastAsia="Times New Roman"/>
          <w:bCs/>
        </w:rPr>
        <w:t>.</w:t>
      </w:r>
      <w:r w:rsidRPr="00AB00CC">
        <w:rPr>
          <w:rFonts w:eastAsia="Times New Roman"/>
          <w:bCs/>
        </w:rPr>
        <w:t xml:space="preserve"> The primary analysis of immunological superiority for the B strains (secondary objective 2) was based on the FAS with supportiv</w:t>
      </w:r>
      <w:r>
        <w:rPr>
          <w:rFonts w:eastAsia="Times New Roman"/>
          <w:bCs/>
        </w:rPr>
        <w:t>e analysis performed on the PPS.</w:t>
      </w:r>
    </w:p>
    <w:p w14:paraId="28ECBC90" w14:textId="38845F98" w:rsidR="00E97057" w:rsidRPr="00234868" w:rsidRDefault="00E97057" w:rsidP="005A37A7">
      <w:pPr>
        <w:pStyle w:val="Heading6"/>
      </w:pPr>
      <w:r>
        <w:t xml:space="preserve">Primary </w:t>
      </w:r>
      <w:r w:rsidR="009D2F0C">
        <w:t>o</w:t>
      </w:r>
      <w:r w:rsidRPr="00234868">
        <w:t>bjective</w:t>
      </w:r>
    </w:p>
    <w:p w14:paraId="1D0AA9AB" w14:textId="04E9DE83" w:rsidR="00E97057" w:rsidRPr="00F425D3" w:rsidRDefault="00E97057" w:rsidP="005A37A7">
      <w:pPr>
        <w:pStyle w:val="Heading7"/>
      </w:pPr>
      <w:r w:rsidRPr="00F425D3">
        <w:t xml:space="preserve">First </w:t>
      </w:r>
      <w:r w:rsidR="009D2F0C" w:rsidRPr="00F425D3">
        <w:t>co-primary immunogenicity</w:t>
      </w:r>
      <w:r w:rsidR="009D2F0C" w:rsidRPr="00F425D3">
        <w:rPr>
          <w:rFonts w:asciiTheme="majorHAnsi" w:hAnsiTheme="majorHAnsi" w:cs="TimesNewRoman"/>
          <w:lang w:eastAsia="zh-CN"/>
        </w:rPr>
        <w:t xml:space="preserve"> </w:t>
      </w:r>
      <w:r w:rsidR="005A37A7">
        <w:rPr>
          <w:rFonts w:cs="TimesNewRoman"/>
          <w:lang w:eastAsia="zh-CN"/>
        </w:rPr>
        <w:t>objective</w:t>
      </w:r>
    </w:p>
    <w:p w14:paraId="3D1BD84B" w14:textId="73A1B73E" w:rsidR="00FA7D2E" w:rsidRDefault="00E97057" w:rsidP="005A37A7">
      <w:r>
        <w:t xml:space="preserve">The immunogenicity results in </w:t>
      </w:r>
      <w:r w:rsidR="009D2F0C">
        <w:t xml:space="preserve">the </w:t>
      </w:r>
      <w:r>
        <w:t>PPS are presented in the table below</w:t>
      </w:r>
      <w:r w:rsidR="00FA7D2E">
        <w:t>.</w:t>
      </w:r>
    </w:p>
    <w:p w14:paraId="7045808C" w14:textId="5E48BF5B" w:rsidR="00E97057" w:rsidRPr="007B2A5D" w:rsidRDefault="00FA7D2E" w:rsidP="00FA7D2E">
      <w:pPr>
        <w:pStyle w:val="TableTitle"/>
      </w:pPr>
      <w:r>
        <w:t xml:space="preserve">Table 2: </w:t>
      </w:r>
      <w:r w:rsidR="00E97057" w:rsidRPr="007B2A5D">
        <w:t xml:space="preserve">Immunological non-inferiority of </w:t>
      </w:r>
      <w:proofErr w:type="spellStart"/>
      <w:r w:rsidR="00E97057" w:rsidRPr="007B2A5D">
        <w:t>aQIV</w:t>
      </w:r>
      <w:proofErr w:type="spellEnd"/>
      <w:r w:rsidR="00E97057" w:rsidRPr="007B2A5D">
        <w:t xml:space="preserve"> versus </w:t>
      </w:r>
      <w:proofErr w:type="spellStart"/>
      <w:r w:rsidR="00E97057" w:rsidRPr="007B2A5D">
        <w:t>aTIV</w:t>
      </w:r>
      <w:proofErr w:type="spellEnd"/>
      <w:r w:rsidR="00E97057" w:rsidRPr="007B2A5D">
        <w:t xml:space="preserve"> comparators against homologous strains (</w:t>
      </w:r>
      <w:r w:rsidR="009D2F0C">
        <w:t>per protocol set</w:t>
      </w:r>
      <w:r w:rsidR="00E97057" w:rsidRPr="007B2A5D">
        <w:t>)</w:t>
      </w:r>
    </w:p>
    <w:p w14:paraId="356169C1" w14:textId="77777777" w:rsidR="00E97057" w:rsidRPr="007859E9" w:rsidRDefault="00E97057" w:rsidP="00E97057">
      <w:pPr>
        <w:jc w:val="both"/>
      </w:pPr>
      <w:r w:rsidRPr="007B2A5D">
        <w:rPr>
          <w:noProof/>
          <w:sz w:val="20"/>
          <w:szCs w:val="20"/>
          <w:lang w:eastAsia="en-AU"/>
        </w:rPr>
        <w:drawing>
          <wp:inline distT="0" distB="0" distL="0" distR="0" wp14:anchorId="695E5A84" wp14:editId="63C35E5B">
            <wp:extent cx="5193612" cy="2589288"/>
            <wp:effectExtent l="0" t="0" r="7620" b="1905"/>
            <wp:docPr id="2" name="Picture 2" descr="Immunological non-inferiority of aQIV versus aTIV comparators against homologous strains (PPT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lum bright="-20000" contrast="40000"/>
                      <a:extLst>
                        <a:ext uri="{28A0092B-C50C-407E-A947-70E740481C1C}">
                          <a14:useLocalDpi xmlns:a14="http://schemas.microsoft.com/office/drawing/2010/main" val="0"/>
                        </a:ext>
                      </a:extLst>
                    </a:blip>
                    <a:srcRect l="1327" r="3042" b="5276"/>
                    <a:stretch/>
                  </pic:blipFill>
                  <pic:spPr bwMode="auto">
                    <a:xfrm>
                      <a:off x="0" y="0"/>
                      <a:ext cx="5195137" cy="2590049"/>
                    </a:xfrm>
                    <a:prstGeom prst="rect">
                      <a:avLst/>
                    </a:prstGeom>
                    <a:noFill/>
                    <a:ln>
                      <a:noFill/>
                    </a:ln>
                    <a:extLst>
                      <a:ext uri="{53640926-AAD7-44D8-BBD7-CCE9431645EC}">
                        <a14:shadowObscured xmlns:a14="http://schemas.microsoft.com/office/drawing/2010/main"/>
                      </a:ext>
                    </a:extLst>
                  </pic:spPr>
                </pic:pic>
              </a:graphicData>
            </a:graphic>
          </wp:inline>
        </w:drawing>
      </w:r>
    </w:p>
    <w:p w14:paraId="7522E45B" w14:textId="77777777" w:rsidR="00E97057" w:rsidRPr="0068722D" w:rsidRDefault="00E97057" w:rsidP="00E97057">
      <w:pPr>
        <w:rPr>
          <w:rFonts w:eastAsia="Times New Roman" w:cs="TimesNewRoman"/>
          <w:color w:val="000000"/>
          <w:lang w:eastAsia="zh-CN"/>
        </w:rPr>
      </w:pPr>
      <w:r w:rsidRPr="00FA7D2E">
        <w:rPr>
          <w:rFonts w:eastAsia="Times New Roman" w:cs="TimesNewRoman"/>
          <w:i/>
          <w:color w:val="000000"/>
          <w:lang w:eastAsia="zh-CN"/>
        </w:rPr>
        <w:t>GMT</w:t>
      </w:r>
      <w:r w:rsidR="00FA7D2E">
        <w:rPr>
          <w:rFonts w:eastAsia="Times New Roman" w:cs="TimesNewRoman"/>
          <w:color w:val="000000"/>
          <w:lang w:eastAsia="zh-CN"/>
        </w:rPr>
        <w:t>: T</w:t>
      </w:r>
      <w:r w:rsidRPr="0068722D">
        <w:rPr>
          <w:rFonts w:eastAsia="Times New Roman" w:cs="TimesNewRoman"/>
          <w:color w:val="000000"/>
          <w:lang w:eastAsia="zh-CN"/>
        </w:rPr>
        <w:t>he pre</w:t>
      </w:r>
      <w:r>
        <w:rPr>
          <w:rFonts w:eastAsia="Times New Roman" w:cs="TimesNewRoman"/>
          <w:color w:val="000000"/>
          <w:lang w:eastAsia="zh-CN"/>
        </w:rPr>
        <w:t>-</w:t>
      </w:r>
      <w:r w:rsidRPr="0068722D">
        <w:rPr>
          <w:rFonts w:eastAsia="Times New Roman" w:cs="TimesNewRoman"/>
          <w:color w:val="000000"/>
          <w:lang w:eastAsia="zh-CN"/>
        </w:rPr>
        <w:t>specified non</w:t>
      </w:r>
      <w:r>
        <w:rPr>
          <w:rFonts w:eastAsia="Times New Roman" w:cs="TimesNewRoman"/>
          <w:color w:val="000000"/>
          <w:lang w:eastAsia="zh-CN"/>
        </w:rPr>
        <w:t>-</w:t>
      </w:r>
      <w:r w:rsidRPr="0068722D">
        <w:rPr>
          <w:rFonts w:eastAsia="Times New Roman" w:cs="TimesNewRoman"/>
          <w:color w:val="000000"/>
          <w:lang w:eastAsia="zh-CN"/>
        </w:rPr>
        <w:t>inferiority criteri</w:t>
      </w:r>
      <w:r>
        <w:rPr>
          <w:rFonts w:eastAsia="Times New Roman" w:cs="TimesNewRoman"/>
          <w:color w:val="000000"/>
          <w:lang w:eastAsia="zh-CN"/>
        </w:rPr>
        <w:t xml:space="preserve">a for the adjusted </w:t>
      </w:r>
      <w:r w:rsidR="00FA7D2E">
        <w:rPr>
          <w:rFonts w:eastAsia="Times New Roman" w:cs="TimesNewRoman"/>
          <w:color w:val="000000"/>
          <w:lang w:eastAsia="zh-CN"/>
        </w:rPr>
        <w:t>geometric mean titre (</w:t>
      </w:r>
      <w:r>
        <w:rPr>
          <w:rFonts w:eastAsia="Times New Roman" w:cs="TimesNewRoman"/>
          <w:color w:val="000000"/>
          <w:lang w:eastAsia="zh-CN"/>
        </w:rPr>
        <w:t>GMT</w:t>
      </w:r>
      <w:r w:rsidR="00FA7D2E">
        <w:rPr>
          <w:rFonts w:eastAsia="Times New Roman" w:cs="TimesNewRoman"/>
          <w:color w:val="000000"/>
          <w:lang w:eastAsia="zh-CN"/>
        </w:rPr>
        <w:t>)</w:t>
      </w:r>
      <w:r>
        <w:rPr>
          <w:rFonts w:eastAsia="Times New Roman" w:cs="TimesNewRoman"/>
          <w:color w:val="000000"/>
          <w:lang w:eastAsia="zh-CN"/>
        </w:rPr>
        <w:t xml:space="preserve"> on Day 22</w:t>
      </w:r>
      <w:r w:rsidRPr="0068722D">
        <w:rPr>
          <w:rFonts w:eastAsia="Times New Roman" w:cs="TimesNewRoman"/>
          <w:color w:val="000000"/>
          <w:lang w:eastAsia="zh-CN"/>
        </w:rPr>
        <w:t xml:space="preserve"> were met for all 4 homologous strains. The upper bounds of the two</w:t>
      </w:r>
      <w:r>
        <w:rPr>
          <w:rFonts w:eastAsia="Times New Roman" w:cs="TimesNewRoman"/>
          <w:color w:val="000000"/>
          <w:lang w:eastAsia="zh-CN"/>
        </w:rPr>
        <w:t xml:space="preserve">-sided 95% </w:t>
      </w:r>
      <w:r w:rsidR="00FA7D2E">
        <w:rPr>
          <w:rFonts w:eastAsia="Times New Roman" w:cs="TimesNewRoman"/>
          <w:color w:val="000000"/>
          <w:lang w:eastAsia="zh-CN"/>
        </w:rPr>
        <w:t>confidence interval (</w:t>
      </w:r>
      <w:r>
        <w:rPr>
          <w:rFonts w:eastAsia="Times New Roman" w:cs="TimesNewRoman"/>
          <w:color w:val="000000"/>
          <w:lang w:eastAsia="zh-CN"/>
        </w:rPr>
        <w:t>CI</w:t>
      </w:r>
      <w:r w:rsidR="00FA7D2E">
        <w:rPr>
          <w:rFonts w:eastAsia="Times New Roman" w:cs="TimesNewRoman"/>
          <w:color w:val="000000"/>
          <w:lang w:eastAsia="zh-CN"/>
        </w:rPr>
        <w:t>)</w:t>
      </w:r>
      <w:r w:rsidRPr="0068722D">
        <w:rPr>
          <w:rFonts w:eastAsia="Times New Roman" w:cs="TimesNewRoman"/>
          <w:color w:val="000000"/>
          <w:lang w:eastAsia="zh-CN"/>
        </w:rPr>
        <w:t xml:space="preserve"> for the GMT ratios (</w:t>
      </w:r>
      <w:proofErr w:type="spellStart"/>
      <w:r w:rsidRPr="0068722D">
        <w:rPr>
          <w:rFonts w:eastAsia="Times New Roman" w:cs="TimesNewRoman"/>
          <w:color w:val="000000"/>
          <w:lang w:eastAsia="zh-CN"/>
        </w:rPr>
        <w:t>aTIV</w:t>
      </w:r>
      <w:proofErr w:type="spellEnd"/>
      <w:r w:rsidRPr="0068722D">
        <w:rPr>
          <w:rFonts w:eastAsia="Times New Roman" w:cs="TimesNewRoman"/>
          <w:color w:val="000000"/>
          <w:lang w:eastAsia="zh-CN"/>
        </w:rPr>
        <w:t>/</w:t>
      </w:r>
      <w:proofErr w:type="spellStart"/>
      <w:r w:rsidRPr="0068722D">
        <w:rPr>
          <w:rFonts w:eastAsia="Times New Roman" w:cs="TimesNewRoman"/>
          <w:color w:val="000000"/>
          <w:lang w:eastAsia="zh-CN"/>
        </w:rPr>
        <w:t>aQIV</w:t>
      </w:r>
      <w:proofErr w:type="spellEnd"/>
      <w:r w:rsidRPr="0068722D">
        <w:rPr>
          <w:rFonts w:eastAsia="Times New Roman" w:cs="TimesNewRoman"/>
          <w:color w:val="000000"/>
          <w:lang w:eastAsia="zh-CN"/>
        </w:rPr>
        <w:t>) for all homologous strains did not exceed the non</w:t>
      </w:r>
      <w:r>
        <w:rPr>
          <w:rFonts w:eastAsia="Times New Roman" w:cs="TimesNewRoman"/>
          <w:color w:val="000000"/>
          <w:lang w:eastAsia="zh-CN"/>
        </w:rPr>
        <w:t>-</w:t>
      </w:r>
      <w:r w:rsidRPr="0068722D">
        <w:rPr>
          <w:rFonts w:eastAsia="Times New Roman" w:cs="TimesNewRoman"/>
          <w:color w:val="000000"/>
          <w:lang w:eastAsia="zh-CN"/>
        </w:rPr>
        <w:t>inferior</w:t>
      </w:r>
      <w:r>
        <w:rPr>
          <w:rFonts w:eastAsia="Times New Roman" w:cs="TimesNewRoman"/>
          <w:color w:val="000000"/>
          <w:lang w:eastAsia="zh-CN"/>
        </w:rPr>
        <w:t>ity margin of 1.5</w:t>
      </w:r>
      <w:r w:rsidRPr="0068722D">
        <w:rPr>
          <w:rFonts w:eastAsia="Times New Roman" w:cs="TimesNewRoman"/>
          <w:color w:val="000000"/>
          <w:lang w:eastAsia="zh-CN"/>
        </w:rPr>
        <w:t>. The results for the FAS were comparable to the PPS.</w:t>
      </w:r>
    </w:p>
    <w:p w14:paraId="569F6FB1" w14:textId="1F128C93" w:rsidR="00E97057" w:rsidRDefault="00E97057" w:rsidP="00E97057">
      <w:pPr>
        <w:rPr>
          <w:rFonts w:eastAsia="Times New Roman" w:cs="TimesNewRoman"/>
          <w:color w:val="000000"/>
          <w:lang w:eastAsia="zh-CN"/>
        </w:rPr>
      </w:pPr>
      <w:r w:rsidRPr="00FA7D2E">
        <w:rPr>
          <w:rFonts w:eastAsia="Times New Roman" w:cs="TimesNewRoman"/>
          <w:i/>
          <w:color w:val="000000"/>
          <w:lang w:eastAsia="zh-CN"/>
        </w:rPr>
        <w:t>SCR</w:t>
      </w:r>
      <w:r w:rsidRPr="0068722D">
        <w:rPr>
          <w:rFonts w:eastAsia="Times New Roman" w:cs="TimesNewRoman"/>
          <w:color w:val="000000"/>
          <w:lang w:eastAsia="zh-CN"/>
        </w:rPr>
        <w:t xml:space="preserve">: </w:t>
      </w:r>
      <w:r w:rsidR="00FA7D2E">
        <w:rPr>
          <w:rFonts w:eastAsia="Times New Roman" w:cs="TimesNewRoman"/>
          <w:color w:val="000000"/>
          <w:lang w:eastAsia="zh-CN"/>
        </w:rPr>
        <w:t>T</w:t>
      </w:r>
      <w:r w:rsidRPr="0068722D">
        <w:rPr>
          <w:rFonts w:eastAsia="Times New Roman" w:cs="TimesNewRoman"/>
          <w:color w:val="000000"/>
          <w:lang w:eastAsia="zh-CN"/>
        </w:rPr>
        <w:t>he pre</w:t>
      </w:r>
      <w:r>
        <w:rPr>
          <w:rFonts w:eastAsia="Times New Roman" w:cs="TimesNewRoman"/>
          <w:color w:val="000000"/>
          <w:lang w:eastAsia="zh-CN"/>
        </w:rPr>
        <w:t>-</w:t>
      </w:r>
      <w:r w:rsidRPr="0068722D">
        <w:rPr>
          <w:rFonts w:eastAsia="Times New Roman" w:cs="TimesNewRoman"/>
          <w:color w:val="000000"/>
          <w:lang w:eastAsia="zh-CN"/>
        </w:rPr>
        <w:t>specified non</w:t>
      </w:r>
      <w:r>
        <w:rPr>
          <w:rFonts w:eastAsia="Times New Roman" w:cs="TimesNewRoman"/>
          <w:color w:val="000000"/>
          <w:lang w:eastAsia="zh-CN"/>
        </w:rPr>
        <w:t>-</w:t>
      </w:r>
      <w:r w:rsidRPr="0068722D">
        <w:rPr>
          <w:rFonts w:eastAsia="Times New Roman" w:cs="TimesNewRoman"/>
          <w:color w:val="000000"/>
          <w:lang w:eastAsia="zh-CN"/>
        </w:rPr>
        <w:t xml:space="preserve">inferiority criteria for the difference in </w:t>
      </w:r>
      <w:r w:rsidR="009D2F0C">
        <w:t>se</w:t>
      </w:r>
      <w:r w:rsidR="009D2F0C" w:rsidRPr="002F2CDD">
        <w:t xml:space="preserve">roconversion </w:t>
      </w:r>
      <w:r w:rsidR="009D2F0C">
        <w:t>r</w:t>
      </w:r>
      <w:r w:rsidR="009D2F0C" w:rsidRPr="002F2CDD">
        <w:t>ate</w:t>
      </w:r>
      <w:r w:rsidR="009D2F0C" w:rsidRPr="0068722D">
        <w:rPr>
          <w:rFonts w:eastAsia="Times New Roman" w:cs="TimesNewRoman"/>
          <w:color w:val="000000"/>
          <w:lang w:eastAsia="zh-CN"/>
        </w:rPr>
        <w:t xml:space="preserve"> </w:t>
      </w:r>
      <w:r w:rsidR="00FA7D2E">
        <w:rPr>
          <w:rFonts w:eastAsia="Times New Roman" w:cs="TimesNewRoman"/>
          <w:color w:val="000000"/>
          <w:lang w:eastAsia="zh-CN"/>
        </w:rPr>
        <w:t>(</w:t>
      </w:r>
      <w:r w:rsidRPr="0068722D">
        <w:rPr>
          <w:rFonts w:eastAsia="Times New Roman" w:cs="TimesNewRoman"/>
          <w:color w:val="000000"/>
          <w:lang w:eastAsia="zh-CN"/>
        </w:rPr>
        <w:t>SCR</w:t>
      </w:r>
      <w:r w:rsidR="00FA7D2E">
        <w:rPr>
          <w:rFonts w:eastAsia="Times New Roman" w:cs="TimesNewRoman"/>
          <w:color w:val="000000"/>
          <w:lang w:eastAsia="zh-CN"/>
        </w:rPr>
        <w:t>)</w:t>
      </w:r>
      <w:r w:rsidRPr="0068722D">
        <w:rPr>
          <w:rFonts w:eastAsia="Times New Roman" w:cs="TimesNewRoman"/>
          <w:color w:val="000000"/>
          <w:lang w:eastAsia="zh-CN"/>
        </w:rPr>
        <w:t xml:space="preserve"> between </w:t>
      </w:r>
      <w:proofErr w:type="spellStart"/>
      <w:r w:rsidRPr="0068722D">
        <w:rPr>
          <w:rFonts w:eastAsia="Times New Roman" w:cs="TimesNewRoman"/>
          <w:color w:val="000000"/>
          <w:lang w:eastAsia="zh-CN"/>
        </w:rPr>
        <w:t>aTIV</w:t>
      </w:r>
      <w:proofErr w:type="spellEnd"/>
      <w:r w:rsidRPr="0068722D">
        <w:rPr>
          <w:rFonts w:eastAsia="Times New Roman" w:cs="TimesNewRoman"/>
          <w:color w:val="000000"/>
          <w:lang w:eastAsia="zh-CN"/>
        </w:rPr>
        <w:t xml:space="preserve"> and</w:t>
      </w:r>
      <w:r>
        <w:rPr>
          <w:rFonts w:eastAsia="Times New Roman" w:cs="TimesNewRoman"/>
          <w:color w:val="000000"/>
          <w:lang w:eastAsia="zh-CN"/>
        </w:rPr>
        <w:t xml:space="preserve"> </w:t>
      </w:r>
      <w:proofErr w:type="spellStart"/>
      <w:r>
        <w:rPr>
          <w:rFonts w:eastAsia="Times New Roman" w:cs="TimesNewRoman"/>
          <w:color w:val="000000"/>
          <w:lang w:eastAsia="zh-CN"/>
        </w:rPr>
        <w:t>aQIV</w:t>
      </w:r>
      <w:proofErr w:type="spellEnd"/>
      <w:r>
        <w:rPr>
          <w:rFonts w:eastAsia="Times New Roman" w:cs="TimesNewRoman"/>
          <w:color w:val="000000"/>
          <w:lang w:eastAsia="zh-CN"/>
        </w:rPr>
        <w:t xml:space="preserve"> </w:t>
      </w:r>
      <w:r w:rsidRPr="0068722D">
        <w:rPr>
          <w:rFonts w:eastAsia="Times New Roman" w:cs="TimesNewRoman"/>
          <w:color w:val="000000"/>
          <w:lang w:eastAsia="zh-CN"/>
        </w:rPr>
        <w:t>were met for all 4 homologous strains. The upper bounds of the 95% CI of the intergroup difference for SCR (</w:t>
      </w:r>
      <w:proofErr w:type="spellStart"/>
      <w:r w:rsidRPr="0068722D">
        <w:rPr>
          <w:rFonts w:eastAsia="Times New Roman" w:cs="TimesNewRoman"/>
          <w:color w:val="000000"/>
          <w:lang w:eastAsia="zh-CN"/>
        </w:rPr>
        <w:t>aTIV</w:t>
      </w:r>
      <w:proofErr w:type="spellEnd"/>
      <w:r w:rsidRPr="0068722D">
        <w:rPr>
          <w:rFonts w:eastAsia="Times New Roman" w:cs="TimesNewRoman"/>
          <w:color w:val="000000"/>
          <w:lang w:eastAsia="zh-CN"/>
        </w:rPr>
        <w:t xml:space="preserve"> minus </w:t>
      </w:r>
      <w:proofErr w:type="spellStart"/>
      <w:r w:rsidRPr="0068722D">
        <w:rPr>
          <w:rFonts w:eastAsia="Times New Roman" w:cs="TimesNewRoman"/>
          <w:color w:val="000000"/>
          <w:lang w:eastAsia="zh-CN"/>
        </w:rPr>
        <w:t>aQIV</w:t>
      </w:r>
      <w:proofErr w:type="spellEnd"/>
      <w:r w:rsidRPr="0068722D">
        <w:rPr>
          <w:rFonts w:eastAsia="Times New Roman" w:cs="TimesNewRoman"/>
          <w:color w:val="000000"/>
          <w:lang w:eastAsia="zh-CN"/>
        </w:rPr>
        <w:t>) did not exceed the non</w:t>
      </w:r>
      <w:r>
        <w:rPr>
          <w:rFonts w:eastAsia="Times New Roman" w:cs="TimesNewRoman"/>
          <w:color w:val="000000"/>
          <w:lang w:eastAsia="zh-CN"/>
        </w:rPr>
        <w:t>-</w:t>
      </w:r>
      <w:r w:rsidRPr="0068722D">
        <w:rPr>
          <w:rFonts w:eastAsia="Times New Roman" w:cs="TimesNewRoman"/>
          <w:color w:val="000000"/>
          <w:lang w:eastAsia="zh-CN"/>
        </w:rPr>
        <w:t xml:space="preserve">inferiority margin of 10% </w:t>
      </w:r>
      <w:r>
        <w:rPr>
          <w:rFonts w:eastAsia="Times New Roman" w:cs="TimesNewRoman"/>
          <w:color w:val="000000"/>
          <w:lang w:eastAsia="zh-CN"/>
        </w:rPr>
        <w:t>for all 4 strains</w:t>
      </w:r>
      <w:r w:rsidRPr="0068722D">
        <w:rPr>
          <w:rFonts w:eastAsia="Times New Roman" w:cs="TimesNewRoman"/>
          <w:color w:val="000000"/>
          <w:lang w:eastAsia="zh-CN"/>
        </w:rPr>
        <w:t>. The results for the FAS were comparable to the PPS.</w:t>
      </w:r>
    </w:p>
    <w:p w14:paraId="3D8CC439" w14:textId="5627E603" w:rsidR="00E97057" w:rsidRPr="00C029A3" w:rsidRDefault="00E97057" w:rsidP="005A37A7">
      <w:pPr>
        <w:pStyle w:val="Heading6"/>
        <w:rPr>
          <w:lang w:eastAsia="zh-CN"/>
        </w:rPr>
      </w:pPr>
      <w:r w:rsidRPr="00C029A3">
        <w:rPr>
          <w:lang w:eastAsia="zh-CN"/>
        </w:rPr>
        <w:t xml:space="preserve">Second </w:t>
      </w:r>
      <w:r w:rsidR="009D2F0C" w:rsidRPr="00C029A3">
        <w:rPr>
          <w:lang w:eastAsia="zh-CN"/>
        </w:rPr>
        <w:t xml:space="preserve">co-primary immunogenicity objective </w:t>
      </w:r>
      <w:r w:rsidRPr="00C029A3">
        <w:rPr>
          <w:lang w:eastAsia="zh-CN"/>
        </w:rPr>
        <w:t>(according to CBER</w:t>
      </w:r>
      <w:r w:rsidR="00FA7D2E">
        <w:rPr>
          <w:rStyle w:val="FootnoteReference"/>
          <w:lang w:eastAsia="zh-CN"/>
        </w:rPr>
        <w:footnoteReference w:id="1"/>
      </w:r>
      <w:r w:rsidRPr="00C029A3">
        <w:rPr>
          <w:lang w:eastAsia="zh-CN"/>
        </w:rPr>
        <w:t xml:space="preserve"> Criteria)</w:t>
      </w:r>
    </w:p>
    <w:p w14:paraId="5C50A043" w14:textId="25A7A87D" w:rsidR="00E97057" w:rsidRPr="0068722D" w:rsidRDefault="00E97057" w:rsidP="00A70F7D">
      <w:pPr>
        <w:rPr>
          <w:lang w:eastAsia="zh-CN"/>
        </w:rPr>
      </w:pPr>
      <w:r w:rsidRPr="0068722D">
        <w:rPr>
          <w:lang w:eastAsia="zh-CN"/>
        </w:rPr>
        <w:t>The lower limit of the two-sided 95% CI for the pro</w:t>
      </w:r>
      <w:r>
        <w:rPr>
          <w:lang w:eastAsia="zh-CN"/>
        </w:rPr>
        <w:t xml:space="preserve">portion of subjects achieving a </w:t>
      </w:r>
      <w:r w:rsidRPr="0068722D">
        <w:rPr>
          <w:lang w:eastAsia="zh-CN"/>
        </w:rPr>
        <w:t>post</w:t>
      </w:r>
      <w:r w:rsidR="009D2F0C">
        <w:rPr>
          <w:lang w:eastAsia="zh-CN"/>
        </w:rPr>
        <w:noBreakHyphen/>
      </w:r>
      <w:r w:rsidRPr="0068722D">
        <w:rPr>
          <w:lang w:eastAsia="zh-CN"/>
        </w:rPr>
        <w:t xml:space="preserve">vaccination HI </w:t>
      </w:r>
      <w:r w:rsidR="00682F0F" w:rsidRPr="0068722D">
        <w:rPr>
          <w:lang w:eastAsia="zh-CN"/>
        </w:rPr>
        <w:t>titre</w:t>
      </w:r>
      <w:r w:rsidR="00F52A9E">
        <w:rPr>
          <w:rStyle w:val="FootnoteReference"/>
          <w:lang w:eastAsia="zh-CN"/>
        </w:rPr>
        <w:footnoteReference w:id="2"/>
      </w:r>
      <w:r w:rsidRPr="0068722D">
        <w:rPr>
          <w:lang w:eastAsia="zh-CN"/>
        </w:rPr>
        <w:t xml:space="preserve"> ≥</w:t>
      </w:r>
      <w:r w:rsidR="00DE11AE">
        <w:rPr>
          <w:lang w:eastAsia="zh-CN"/>
        </w:rPr>
        <w:t xml:space="preserve"> </w:t>
      </w:r>
      <w:r w:rsidRPr="0068722D">
        <w:rPr>
          <w:lang w:eastAsia="zh-CN"/>
        </w:rPr>
        <w:t xml:space="preserve">1:40 for A/H1N1 and </w:t>
      </w:r>
      <w:r>
        <w:rPr>
          <w:lang w:eastAsia="zh-CN"/>
        </w:rPr>
        <w:t xml:space="preserve">A/H3N2 strains were above 60%, </w:t>
      </w:r>
      <w:r w:rsidRPr="0068722D">
        <w:rPr>
          <w:lang w:eastAsia="zh-CN"/>
        </w:rPr>
        <w:t>but were below 60% for both B strains; therefore</w:t>
      </w:r>
      <w:r>
        <w:rPr>
          <w:lang w:eastAsia="zh-CN"/>
        </w:rPr>
        <w:t xml:space="preserve">, the CBER success criteria for </w:t>
      </w:r>
      <w:r w:rsidRPr="0068722D">
        <w:rPr>
          <w:lang w:eastAsia="zh-CN"/>
        </w:rPr>
        <w:t xml:space="preserve">proportion of subjects with HI </w:t>
      </w:r>
      <w:r w:rsidR="00682F0F" w:rsidRPr="0068722D">
        <w:rPr>
          <w:lang w:eastAsia="zh-CN"/>
        </w:rPr>
        <w:t>titre</w:t>
      </w:r>
      <w:r w:rsidRPr="0068722D">
        <w:rPr>
          <w:lang w:eastAsia="zh-CN"/>
        </w:rPr>
        <w:t xml:space="preserve"> ≥</w:t>
      </w:r>
      <w:r w:rsidR="00DE11AE">
        <w:rPr>
          <w:lang w:eastAsia="zh-CN"/>
        </w:rPr>
        <w:t xml:space="preserve"> </w:t>
      </w:r>
      <w:r w:rsidRPr="0068722D">
        <w:rPr>
          <w:lang w:eastAsia="zh-CN"/>
        </w:rPr>
        <w:t>1:40 were m</w:t>
      </w:r>
      <w:r>
        <w:rPr>
          <w:lang w:eastAsia="zh-CN"/>
        </w:rPr>
        <w:t>et for A strains, but not for B strains</w:t>
      </w:r>
      <w:r w:rsidRPr="0068722D">
        <w:rPr>
          <w:lang w:eastAsia="zh-CN"/>
        </w:rPr>
        <w:t xml:space="preserve">. The proportion of subjects with HI </w:t>
      </w:r>
      <w:r w:rsidR="00682F0F" w:rsidRPr="0068722D">
        <w:rPr>
          <w:lang w:eastAsia="zh-CN"/>
        </w:rPr>
        <w:t>titre</w:t>
      </w:r>
      <w:r w:rsidRPr="0068722D">
        <w:rPr>
          <w:lang w:eastAsia="zh-CN"/>
        </w:rPr>
        <w:t xml:space="preserve"> ≥</w:t>
      </w:r>
      <w:r w:rsidR="00DE11AE">
        <w:rPr>
          <w:lang w:eastAsia="zh-CN"/>
        </w:rPr>
        <w:t xml:space="preserve"> </w:t>
      </w:r>
      <w:r>
        <w:rPr>
          <w:lang w:eastAsia="zh-CN"/>
        </w:rPr>
        <w:t xml:space="preserve">1:40 </w:t>
      </w:r>
      <w:r w:rsidRPr="0068722D">
        <w:rPr>
          <w:lang w:eastAsia="zh-CN"/>
        </w:rPr>
        <w:t>against B strains in the aTIV-1 and aTIV-2 groups</w:t>
      </w:r>
      <w:r>
        <w:rPr>
          <w:lang w:eastAsia="zh-CN"/>
        </w:rPr>
        <w:t xml:space="preserve"> were similar to those obtained </w:t>
      </w:r>
      <w:r w:rsidRPr="0068722D">
        <w:rPr>
          <w:lang w:eastAsia="zh-CN"/>
        </w:rPr>
        <w:t xml:space="preserve">for </w:t>
      </w:r>
      <w:proofErr w:type="spellStart"/>
      <w:r w:rsidRPr="0068722D">
        <w:rPr>
          <w:lang w:eastAsia="zh-CN"/>
        </w:rPr>
        <w:t>aQIV</w:t>
      </w:r>
      <w:proofErr w:type="spellEnd"/>
      <w:r w:rsidRPr="0068722D">
        <w:rPr>
          <w:lang w:eastAsia="zh-CN"/>
        </w:rPr>
        <w:t xml:space="preserve"> (lower limit</w:t>
      </w:r>
      <w:r>
        <w:rPr>
          <w:lang w:eastAsia="zh-CN"/>
        </w:rPr>
        <w:t>s of the 95% CI were below 60%)</w:t>
      </w:r>
      <w:r w:rsidRPr="0068722D">
        <w:rPr>
          <w:lang w:eastAsia="zh-CN"/>
        </w:rPr>
        <w:t>. Results for the FAS were comparable to the PPS.</w:t>
      </w:r>
    </w:p>
    <w:p w14:paraId="1C211737" w14:textId="77777777" w:rsidR="00E97057" w:rsidRDefault="00E97057" w:rsidP="00A70F7D">
      <w:pPr>
        <w:rPr>
          <w:lang w:eastAsia="zh-CN"/>
        </w:rPr>
      </w:pPr>
      <w:r w:rsidRPr="0068722D">
        <w:rPr>
          <w:lang w:eastAsia="zh-CN"/>
        </w:rPr>
        <w:lastRenderedPageBreak/>
        <w:t>The lower limit of the two-sided 95% CI for the p</w:t>
      </w:r>
      <w:r>
        <w:rPr>
          <w:lang w:eastAsia="zh-CN"/>
        </w:rPr>
        <w:t>roportion of subjects achieving SCR</w:t>
      </w:r>
      <w:r w:rsidRPr="0068722D">
        <w:rPr>
          <w:lang w:eastAsia="zh-CN"/>
        </w:rPr>
        <w:t xml:space="preserve"> for HI antibody for A/H1NI and</w:t>
      </w:r>
      <w:r>
        <w:rPr>
          <w:lang w:eastAsia="zh-CN"/>
        </w:rPr>
        <w:t xml:space="preserve"> A/H3N2 strains were above 30%, </w:t>
      </w:r>
      <w:r w:rsidRPr="0068722D">
        <w:rPr>
          <w:lang w:eastAsia="zh-CN"/>
        </w:rPr>
        <w:t>but were below 30% for both B strains (B/Yamag</w:t>
      </w:r>
      <w:r>
        <w:rPr>
          <w:lang w:eastAsia="zh-CN"/>
        </w:rPr>
        <w:t xml:space="preserve">ata and B/Victoria). Therefore, </w:t>
      </w:r>
      <w:r w:rsidRPr="0068722D">
        <w:rPr>
          <w:lang w:eastAsia="zh-CN"/>
        </w:rPr>
        <w:t xml:space="preserve">the CBER success criteria for </w:t>
      </w:r>
      <w:r>
        <w:rPr>
          <w:lang w:eastAsia="zh-CN"/>
        </w:rPr>
        <w:t>SCR</w:t>
      </w:r>
      <w:r w:rsidRPr="0068722D">
        <w:rPr>
          <w:lang w:eastAsia="zh-CN"/>
        </w:rPr>
        <w:t xml:space="preserve"> were m</w:t>
      </w:r>
      <w:r>
        <w:rPr>
          <w:lang w:eastAsia="zh-CN"/>
        </w:rPr>
        <w:t xml:space="preserve">et for A strains, but not for B strains. </w:t>
      </w:r>
      <w:r w:rsidRPr="0068722D">
        <w:rPr>
          <w:lang w:eastAsia="zh-CN"/>
        </w:rPr>
        <w:t>S</w:t>
      </w:r>
      <w:r>
        <w:rPr>
          <w:lang w:eastAsia="zh-CN"/>
        </w:rPr>
        <w:t>CR</w:t>
      </w:r>
      <w:r w:rsidRPr="0068722D">
        <w:rPr>
          <w:lang w:eastAsia="zh-CN"/>
        </w:rPr>
        <w:t xml:space="preserve"> rates for B strains in the aTIV-1and aTIV-2 groups were similar to those obtaine</w:t>
      </w:r>
      <w:r>
        <w:rPr>
          <w:lang w:eastAsia="zh-CN"/>
        </w:rPr>
        <w:t xml:space="preserve">d for </w:t>
      </w:r>
      <w:proofErr w:type="spellStart"/>
      <w:r>
        <w:rPr>
          <w:lang w:eastAsia="zh-CN"/>
        </w:rPr>
        <w:t>aQIV</w:t>
      </w:r>
      <w:proofErr w:type="spellEnd"/>
      <w:r>
        <w:rPr>
          <w:lang w:eastAsia="zh-CN"/>
        </w:rPr>
        <w:t xml:space="preserve"> (lower limits of the </w:t>
      </w:r>
      <w:r w:rsidRPr="0068722D">
        <w:rPr>
          <w:lang w:eastAsia="zh-CN"/>
        </w:rPr>
        <w:t>95% C</w:t>
      </w:r>
      <w:r>
        <w:rPr>
          <w:lang w:eastAsia="zh-CN"/>
        </w:rPr>
        <w:t>I were below 30%)</w:t>
      </w:r>
      <w:r w:rsidRPr="0068722D">
        <w:rPr>
          <w:lang w:eastAsia="zh-CN"/>
        </w:rPr>
        <w:t>. R</w:t>
      </w:r>
      <w:r>
        <w:rPr>
          <w:lang w:eastAsia="zh-CN"/>
        </w:rPr>
        <w:t xml:space="preserve">esults for the FAS </w:t>
      </w:r>
      <w:r w:rsidRPr="0068722D">
        <w:rPr>
          <w:lang w:eastAsia="zh-CN"/>
        </w:rPr>
        <w:t>were comparable to the PPS.</w:t>
      </w:r>
    </w:p>
    <w:p w14:paraId="3C844989" w14:textId="1F34DFE8" w:rsidR="00E97057" w:rsidRPr="00234868" w:rsidRDefault="00E97057" w:rsidP="00F52A9E">
      <w:pPr>
        <w:pStyle w:val="Heading6"/>
      </w:pPr>
      <w:r w:rsidRPr="00234868">
        <w:t xml:space="preserve">Secondary </w:t>
      </w:r>
      <w:r w:rsidR="009D2F0C">
        <w:t>o</w:t>
      </w:r>
      <w:r w:rsidR="009D2F0C" w:rsidRPr="00234868">
        <w:t>bjectives</w:t>
      </w:r>
    </w:p>
    <w:p w14:paraId="03ADE6E7" w14:textId="4A7E89F8" w:rsidR="004942EB" w:rsidRDefault="00E97057" w:rsidP="00A70F7D">
      <w:r>
        <w:t xml:space="preserve">The secondary </w:t>
      </w:r>
      <w:r w:rsidRPr="00AB00CC">
        <w:t>objective for</w:t>
      </w:r>
      <w:r>
        <w:t xml:space="preserve"> immunological superiority (SCR </w:t>
      </w:r>
      <w:r w:rsidRPr="00AB00CC">
        <w:t xml:space="preserve">difference and GMT ratio) of </w:t>
      </w:r>
      <w:proofErr w:type="spellStart"/>
      <w:r w:rsidRPr="00AB00CC">
        <w:t>aQIV</w:t>
      </w:r>
      <w:proofErr w:type="spellEnd"/>
      <w:r w:rsidRPr="00AB00CC">
        <w:t xml:space="preserve"> compared </w:t>
      </w:r>
      <w:r w:rsidRPr="00F52A9E">
        <w:t>to aTIV-1 and aTIV-2 for the alternate B strain was met.</w:t>
      </w:r>
    </w:p>
    <w:p w14:paraId="3A05DB38" w14:textId="518D20C3" w:rsidR="00E97057" w:rsidRPr="00F52A9E" w:rsidRDefault="00E97057" w:rsidP="00A70F7D">
      <w:r w:rsidRPr="00F52A9E">
        <w:t>Additional secondary immunogenicity endpoints including the percentage of subjects with a HI titr</w:t>
      </w:r>
      <w:r w:rsidR="00DE11AE">
        <w:t>e</w:t>
      </w:r>
      <w:r w:rsidRPr="00F52A9E">
        <w:t xml:space="preserve"> ≥1:40, SCRs, and </w:t>
      </w:r>
      <w:r w:rsidR="00F52A9E" w:rsidRPr="00F52A9E">
        <w:t>GMRs</w:t>
      </w:r>
      <w:r w:rsidRPr="00F52A9E">
        <w:t xml:space="preserve"> were analysed. Overall across all endpoints, immunogenicity results were similar between </w:t>
      </w:r>
      <w:proofErr w:type="spellStart"/>
      <w:r w:rsidRPr="00F52A9E">
        <w:t>aQIV</w:t>
      </w:r>
      <w:proofErr w:type="spellEnd"/>
      <w:r w:rsidRPr="00F52A9E">
        <w:t xml:space="preserve"> and </w:t>
      </w:r>
      <w:proofErr w:type="spellStart"/>
      <w:r w:rsidRPr="00F52A9E">
        <w:t>aTIV</w:t>
      </w:r>
      <w:proofErr w:type="spellEnd"/>
      <w:r w:rsidRPr="00F52A9E">
        <w:t xml:space="preserve"> vaccines for A strains and respective B strains.</w:t>
      </w:r>
    </w:p>
    <w:p w14:paraId="0DB7D401" w14:textId="77777777" w:rsidR="00E97057" w:rsidRPr="00AB00CC" w:rsidRDefault="00E97057" w:rsidP="00A70F7D">
      <w:r w:rsidRPr="00AB00CC">
        <w:t xml:space="preserve">The subgroup analyses confirmed similar immunogenicity of </w:t>
      </w:r>
      <w:proofErr w:type="spellStart"/>
      <w:r w:rsidRPr="00AB00CC">
        <w:t>aQIV</w:t>
      </w:r>
      <w:proofErr w:type="spellEnd"/>
      <w:r w:rsidRPr="00AB00CC">
        <w:t xml:space="preserve"> and </w:t>
      </w:r>
      <w:proofErr w:type="spellStart"/>
      <w:r w:rsidRPr="00AB00CC">
        <w:t>aTIV</w:t>
      </w:r>
      <w:proofErr w:type="spellEnd"/>
      <w:r w:rsidRPr="00AB00CC">
        <w:t xml:space="preserve"> in subjects of different age groups (</w:t>
      </w:r>
      <w:r w:rsidRPr="00F52A9E">
        <w:t>≥</w:t>
      </w:r>
      <w:r w:rsidR="00F52A9E">
        <w:t xml:space="preserve"> </w:t>
      </w:r>
      <w:r w:rsidRPr="00AB00CC">
        <w:t>65 to 74, ≥</w:t>
      </w:r>
      <w:r w:rsidR="00F52A9E">
        <w:t xml:space="preserve"> </w:t>
      </w:r>
      <w:r w:rsidRPr="00AB00CC">
        <w:t>75 to 84, and ≥</w:t>
      </w:r>
      <w:r w:rsidR="00F52A9E">
        <w:t xml:space="preserve"> </w:t>
      </w:r>
      <w:r w:rsidRPr="00AB00CC">
        <w:t>85 years), gender, race, comorbidity status and previous influenza vaccination history.</w:t>
      </w:r>
    </w:p>
    <w:p w14:paraId="604CE9FA" w14:textId="77777777" w:rsidR="00E97057" w:rsidRPr="00DF7DF7" w:rsidRDefault="00F52A9E" w:rsidP="005A37A7">
      <w:pPr>
        <w:pStyle w:val="Heading5"/>
      </w:pPr>
      <w:r>
        <w:t xml:space="preserve">Study </w:t>
      </w:r>
      <w:r w:rsidRPr="009042C0">
        <w:t>V</w:t>
      </w:r>
      <w:r>
        <w:t xml:space="preserve">70_27 </w:t>
      </w:r>
      <w:r w:rsidR="00E97057">
        <w:t xml:space="preserve">Key </w:t>
      </w:r>
      <w:r>
        <w:t xml:space="preserve">supportive </w:t>
      </w:r>
      <w:proofErr w:type="spellStart"/>
      <w:r>
        <w:t>aTIV</w:t>
      </w:r>
      <w:proofErr w:type="spellEnd"/>
      <w:r>
        <w:t xml:space="preserve"> study</w:t>
      </w:r>
    </w:p>
    <w:p w14:paraId="01B8FDD5" w14:textId="532FF05C" w:rsidR="00E97057" w:rsidRPr="004C147B" w:rsidRDefault="00E97057" w:rsidP="00A70F7D">
      <w:r w:rsidRPr="004C147B">
        <w:t>Study V70</w:t>
      </w:r>
      <w:r w:rsidR="002F19B8">
        <w:t>_</w:t>
      </w:r>
      <w:r w:rsidRPr="004C147B">
        <w:t xml:space="preserve">27 has not been submitted to TGA previously. It is noted that this study had been evaluated by the FDA at the time when </w:t>
      </w:r>
      <w:proofErr w:type="spellStart"/>
      <w:r w:rsidRPr="004C147B">
        <w:t>aTIV</w:t>
      </w:r>
      <w:proofErr w:type="spellEnd"/>
      <w:r w:rsidRPr="004C147B">
        <w:t xml:space="preserve"> (</w:t>
      </w:r>
      <w:proofErr w:type="spellStart"/>
      <w:r w:rsidRPr="004C147B">
        <w:t>Fluad</w:t>
      </w:r>
      <w:proofErr w:type="spellEnd"/>
      <w:r w:rsidRPr="004C147B">
        <w:t>) was a</w:t>
      </w:r>
      <w:r w:rsidR="00F52A9E">
        <w:t>ssessed for licensure in the US</w:t>
      </w:r>
      <w:r w:rsidRPr="004C147B">
        <w:t>.</w:t>
      </w:r>
    </w:p>
    <w:p w14:paraId="30EE77F9" w14:textId="48A8DDBD" w:rsidR="00E97057" w:rsidRPr="004C147B" w:rsidRDefault="00E97057" w:rsidP="00A70F7D">
      <w:r w:rsidRPr="004C147B">
        <w:t xml:space="preserve">Study V70_27 is a Phase </w:t>
      </w:r>
      <w:r w:rsidR="00F52A9E">
        <w:t>III, randomis</w:t>
      </w:r>
      <w:r w:rsidRPr="004C147B">
        <w:t>ed, controlled, observer</w:t>
      </w:r>
      <w:r w:rsidR="009D2F0C">
        <w:t xml:space="preserve"> </w:t>
      </w:r>
      <w:r w:rsidRPr="004C147B">
        <w:t>blind, multicent</w:t>
      </w:r>
      <w:r w:rsidR="00682F0F">
        <w:t>re</w:t>
      </w:r>
      <w:r w:rsidRPr="004C147B">
        <w:t xml:space="preserve"> study. The study evaluated the lot consistency (3 </w:t>
      </w:r>
      <w:proofErr w:type="spellStart"/>
      <w:r w:rsidRPr="004C147B">
        <w:t>aTIV</w:t>
      </w:r>
      <w:proofErr w:type="spellEnd"/>
      <w:r w:rsidRPr="004C147B">
        <w:t xml:space="preserve"> lots) and also the immunogenicity, safety of </w:t>
      </w:r>
      <w:proofErr w:type="spellStart"/>
      <w:r w:rsidRPr="004C147B">
        <w:t>aTIV</w:t>
      </w:r>
      <w:proofErr w:type="spellEnd"/>
      <w:r w:rsidRPr="004C147B">
        <w:t xml:space="preserve"> in comparison to non</w:t>
      </w:r>
      <w:r w:rsidR="00956A07">
        <w:t xml:space="preserve"> </w:t>
      </w:r>
      <w:proofErr w:type="spellStart"/>
      <w:r w:rsidR="00956A07">
        <w:t>adjuvanted</w:t>
      </w:r>
      <w:proofErr w:type="spellEnd"/>
      <w:r w:rsidRPr="004C147B">
        <w:t xml:space="preserve"> vaccine (</w:t>
      </w:r>
      <w:proofErr w:type="spellStart"/>
      <w:r w:rsidRPr="004C147B">
        <w:t>Agriflu</w:t>
      </w:r>
      <w:proofErr w:type="spellEnd"/>
      <w:r w:rsidRPr="004C147B">
        <w:t xml:space="preserve">). The trial was performed </w:t>
      </w:r>
      <w:r w:rsidR="009D2F0C">
        <w:t>between</w:t>
      </w:r>
      <w:r w:rsidR="009D2F0C" w:rsidRPr="004C147B">
        <w:t xml:space="preserve"> </w:t>
      </w:r>
      <w:r w:rsidRPr="004C147B">
        <w:t>2010</w:t>
      </w:r>
      <w:r w:rsidR="009D2F0C">
        <w:t xml:space="preserve"> and</w:t>
      </w:r>
      <w:r w:rsidRPr="004C147B">
        <w:t xml:space="preserve">2011. </w:t>
      </w:r>
      <w:r w:rsidRPr="004C147B">
        <w:rPr>
          <w:rFonts w:cs="TimesNewRoman"/>
        </w:rPr>
        <w:t>The study was conducted in 7109 subjects ≥</w:t>
      </w:r>
      <w:r w:rsidR="00F52A9E">
        <w:rPr>
          <w:rFonts w:cs="TimesNewRoman"/>
        </w:rPr>
        <w:t xml:space="preserve"> </w:t>
      </w:r>
      <w:r w:rsidRPr="004C147B">
        <w:rPr>
          <w:rFonts w:cs="TimesNewRoman"/>
        </w:rPr>
        <w:t>65 years of age who were healthy or had comorbidities that increased their risk of complications from influenza infection. Subjects were stratified into 2 age cohorts (65 to 75 years and &gt;</w:t>
      </w:r>
      <w:r w:rsidR="009D2F0C">
        <w:rPr>
          <w:rFonts w:cs="TimesNewRoman"/>
        </w:rPr>
        <w:t> </w:t>
      </w:r>
      <w:r w:rsidRPr="004C147B">
        <w:rPr>
          <w:rFonts w:cs="TimesNewRoman"/>
        </w:rPr>
        <w:t>75</w:t>
      </w:r>
      <w:r w:rsidR="009D2F0C">
        <w:rPr>
          <w:rFonts w:cs="TimesNewRoman"/>
        </w:rPr>
        <w:t> </w:t>
      </w:r>
      <w:r w:rsidRPr="004C147B">
        <w:rPr>
          <w:rFonts w:cs="TimesNewRoman"/>
        </w:rPr>
        <w:t>years), and were rando</w:t>
      </w:r>
      <w:r w:rsidR="00F52A9E">
        <w:rPr>
          <w:rFonts w:cs="TimesNewRoman"/>
        </w:rPr>
        <w:t>mis</w:t>
      </w:r>
      <w:r w:rsidRPr="004C147B">
        <w:rPr>
          <w:rFonts w:cs="TimesNewRoman"/>
        </w:rPr>
        <w:t xml:space="preserve">ed within each age cohort in a 1:1:1:3 </w:t>
      </w:r>
      <w:proofErr w:type="gramStart"/>
      <w:r w:rsidRPr="004C147B">
        <w:rPr>
          <w:rFonts w:cs="TimesNewRoman"/>
        </w:rPr>
        <w:t>ratio</w:t>
      </w:r>
      <w:proofErr w:type="gramEnd"/>
      <w:r w:rsidRPr="004C147B">
        <w:rPr>
          <w:rFonts w:cs="TimesNewRoman"/>
        </w:rPr>
        <w:t xml:space="preserve"> </w:t>
      </w:r>
      <w:r w:rsidRPr="004C147B">
        <w:t xml:space="preserve">to receive 1 of the 3 consecutive lots of </w:t>
      </w:r>
      <w:proofErr w:type="spellStart"/>
      <w:r w:rsidRPr="004C147B">
        <w:t>aTIV</w:t>
      </w:r>
      <w:proofErr w:type="spellEnd"/>
      <w:r w:rsidRPr="004C147B">
        <w:t xml:space="preserve"> or a single lot of a non</w:t>
      </w:r>
      <w:r w:rsidR="00956A07">
        <w:t xml:space="preserve"> </w:t>
      </w:r>
      <w:proofErr w:type="spellStart"/>
      <w:r w:rsidR="00956A07">
        <w:t>adjuvanted</w:t>
      </w:r>
      <w:proofErr w:type="spellEnd"/>
      <w:r w:rsidRPr="004C147B">
        <w:t xml:space="preserve"> TIV </w:t>
      </w:r>
      <w:r w:rsidRPr="004C147B">
        <w:rPr>
          <w:rFonts w:cs="TimesNewRoman"/>
        </w:rPr>
        <w:t>(</w:t>
      </w:r>
      <w:proofErr w:type="spellStart"/>
      <w:r w:rsidRPr="004C147B">
        <w:rPr>
          <w:rFonts w:cs="TimesNewRoman"/>
        </w:rPr>
        <w:t>Agriflu</w:t>
      </w:r>
      <w:proofErr w:type="spellEnd"/>
      <w:r w:rsidRPr="004C147B">
        <w:rPr>
          <w:rFonts w:cs="TimesNewRoman"/>
        </w:rPr>
        <w:t>), respectively. Importantly, all 4 vaccine products contained the identical antigens for the 3</w:t>
      </w:r>
      <w:r w:rsidR="009D2F0C">
        <w:rPr>
          <w:rFonts w:cs="TimesNewRoman"/>
        </w:rPr>
        <w:t> </w:t>
      </w:r>
      <w:r w:rsidRPr="004C147B">
        <w:rPr>
          <w:rFonts w:cs="TimesNewRoman"/>
        </w:rPr>
        <w:t>influenza strains</w:t>
      </w:r>
      <w:r w:rsidRPr="004C147B">
        <w:t xml:space="preserve">. All subjects were followed for approximately one year </w:t>
      </w:r>
      <w:r w:rsidR="00F52A9E">
        <w:t xml:space="preserve">after </w:t>
      </w:r>
      <w:r w:rsidRPr="004C147B">
        <w:t>vaccination.</w:t>
      </w:r>
    </w:p>
    <w:p w14:paraId="477D49A6" w14:textId="7BA9490B" w:rsidR="00E97057" w:rsidRPr="000B20F1" w:rsidRDefault="00E97057" w:rsidP="00F52A9E">
      <w:pPr>
        <w:pStyle w:val="Heading6"/>
      </w:pPr>
      <w:r w:rsidRPr="000B20F1">
        <w:t>C</w:t>
      </w:r>
      <w:r>
        <w:t xml:space="preserve">o-primary </w:t>
      </w:r>
      <w:r w:rsidR="009D2F0C">
        <w:t>o</w:t>
      </w:r>
      <w:r w:rsidR="00F52A9E">
        <w:t>bjectives</w:t>
      </w:r>
    </w:p>
    <w:p w14:paraId="2C7F4D02" w14:textId="6C4CCEEB" w:rsidR="00E97057" w:rsidRPr="0050576F" w:rsidRDefault="00E97057" w:rsidP="00A70F7D">
      <w:r w:rsidRPr="00825CA8">
        <w:t xml:space="preserve">The study had 3 co-primary objectives that were evaluated in a stepwise fashion. The first co-primary objective of lot to lot consistency of the 3 </w:t>
      </w:r>
      <w:proofErr w:type="spellStart"/>
      <w:r w:rsidRPr="0050576F">
        <w:rPr>
          <w:rFonts w:cs="Arial"/>
          <w:color w:val="000000"/>
        </w:rPr>
        <w:t>aTIV</w:t>
      </w:r>
      <w:proofErr w:type="spellEnd"/>
      <w:r w:rsidRPr="0050576F">
        <w:t xml:space="preserve"> </w:t>
      </w:r>
      <w:r w:rsidRPr="00825CA8">
        <w:t>lots was met. The second co-primary objective of immunological non</w:t>
      </w:r>
      <w:r>
        <w:t>-</w:t>
      </w:r>
      <w:r w:rsidRPr="00825CA8">
        <w:t xml:space="preserve">inferiority relative to </w:t>
      </w:r>
      <w:proofErr w:type="spellStart"/>
      <w:r w:rsidRPr="00825CA8">
        <w:t>Agriflu</w:t>
      </w:r>
      <w:proofErr w:type="spellEnd"/>
      <w:r w:rsidRPr="00825CA8">
        <w:t xml:space="preserve"> was met against all homologous strains, but the </w:t>
      </w:r>
      <w:r w:rsidRPr="0050576F">
        <w:t xml:space="preserve">overall pre-specified superiority criteria </w:t>
      </w:r>
      <w:r w:rsidRPr="0050576F">
        <w:rPr>
          <w:color w:val="000000"/>
        </w:rPr>
        <w:t>for GMT ratio (</w:t>
      </w:r>
      <w:r w:rsidR="00F52A9E">
        <w:rPr>
          <w:color w:val="000000"/>
        </w:rPr>
        <w:t>lower limit (</w:t>
      </w:r>
      <w:r w:rsidRPr="0050576F">
        <w:rPr>
          <w:color w:val="000000"/>
        </w:rPr>
        <w:t>LL</w:t>
      </w:r>
      <w:r w:rsidR="00F52A9E">
        <w:rPr>
          <w:color w:val="000000"/>
        </w:rPr>
        <w:t>)</w:t>
      </w:r>
      <w:r w:rsidRPr="0050576F">
        <w:rPr>
          <w:color w:val="000000"/>
        </w:rPr>
        <w:t xml:space="preserve"> of the 95% CI &gt;1.5) and SCR difference (LL of the 95% CI &gt;10%) were not met</w:t>
      </w:r>
      <w:r w:rsidRPr="0050576F">
        <w:t xml:space="preserve"> </w:t>
      </w:r>
      <w:r w:rsidRPr="0050576F">
        <w:rPr>
          <w:rFonts w:cs="Arial"/>
          <w:color w:val="000000"/>
        </w:rPr>
        <w:t>for all homologous strains</w:t>
      </w:r>
      <w:r w:rsidRPr="0050576F">
        <w:t>.</w:t>
      </w:r>
      <w:r w:rsidRPr="0050576F">
        <w:rPr>
          <w:color w:val="000000"/>
        </w:rPr>
        <w:t xml:space="preserve"> The superiority threshold was achieved only for SCR differences against the A/H3N2 strain.</w:t>
      </w:r>
      <w:r w:rsidR="00956A07">
        <w:rPr>
          <w:color w:val="000000"/>
        </w:rPr>
        <w:t xml:space="preserve"> </w:t>
      </w:r>
      <w:r w:rsidRPr="0050576F">
        <w:t xml:space="preserve">The third co-primary objective </w:t>
      </w:r>
      <w:r>
        <w:t xml:space="preserve">of </w:t>
      </w:r>
      <w:r w:rsidRPr="0050576F">
        <w:t xml:space="preserve">immunogenicity of </w:t>
      </w:r>
      <w:proofErr w:type="spellStart"/>
      <w:r w:rsidRPr="0050576F">
        <w:t>aTIV</w:t>
      </w:r>
      <w:proofErr w:type="spellEnd"/>
      <w:r w:rsidRPr="0050576F">
        <w:t xml:space="preserve"> </w:t>
      </w:r>
      <w:r w:rsidR="00F52A9E">
        <w:t>according to the CHMP criteria</w:t>
      </w:r>
      <w:r w:rsidR="0016100F">
        <w:t>;</w:t>
      </w:r>
      <w:r w:rsidR="00F52A9E">
        <w:rPr>
          <w:rStyle w:val="FootnoteReference"/>
        </w:rPr>
        <w:footnoteReference w:id="3"/>
      </w:r>
      <w:r>
        <w:t xml:space="preserve"> </w:t>
      </w:r>
      <w:r w:rsidR="00B26B73">
        <w:t xml:space="preserve">current </w:t>
      </w:r>
      <w:r w:rsidR="00876D55">
        <w:t xml:space="preserve">at that time </w:t>
      </w:r>
      <w:r>
        <w:t xml:space="preserve">was met and at </w:t>
      </w:r>
      <w:r w:rsidRPr="0050576F">
        <w:t xml:space="preserve">Day 22, the </w:t>
      </w:r>
      <w:proofErr w:type="spellStart"/>
      <w:r w:rsidRPr="0050576F">
        <w:t>aTIV</w:t>
      </w:r>
      <w:proofErr w:type="spellEnd"/>
      <w:r w:rsidRPr="0050576F">
        <w:t xml:space="preserve"> group met all 3 of the CHMP criteria for each strain against both homol</w:t>
      </w:r>
      <w:r w:rsidR="00BB20FB">
        <w:t>ogous and heterologous strains.</w:t>
      </w:r>
    </w:p>
    <w:p w14:paraId="2ABA0831" w14:textId="286424C2" w:rsidR="00E97057" w:rsidRDefault="00E97057" w:rsidP="00A70F7D">
      <w:pPr>
        <w:rPr>
          <w:lang w:eastAsia="zh-CN"/>
        </w:rPr>
      </w:pPr>
      <w:r>
        <w:rPr>
          <w:lang w:eastAsia="zh-CN"/>
        </w:rPr>
        <w:t xml:space="preserve">The </w:t>
      </w:r>
      <w:r w:rsidRPr="00544153">
        <w:rPr>
          <w:i/>
          <w:lang w:eastAsia="zh-CN"/>
        </w:rPr>
        <w:t>post</w:t>
      </w:r>
      <w:r w:rsidR="005A145E" w:rsidRPr="00544153">
        <w:rPr>
          <w:i/>
          <w:lang w:eastAsia="zh-CN"/>
        </w:rPr>
        <w:t xml:space="preserve"> </w:t>
      </w:r>
      <w:r w:rsidRPr="00544153">
        <w:rPr>
          <w:i/>
          <w:lang w:eastAsia="zh-CN"/>
        </w:rPr>
        <w:t>hoc</w:t>
      </w:r>
      <w:r w:rsidRPr="00E91EE3">
        <w:rPr>
          <w:lang w:eastAsia="zh-CN"/>
        </w:rPr>
        <w:t xml:space="preserve"> analyses demonstrated that </w:t>
      </w:r>
      <w:proofErr w:type="spellStart"/>
      <w:r w:rsidRPr="00E91EE3">
        <w:rPr>
          <w:lang w:eastAsia="zh-CN"/>
        </w:rPr>
        <w:t>aTIV</w:t>
      </w:r>
      <w:proofErr w:type="spellEnd"/>
      <w:r w:rsidRPr="00E91EE3">
        <w:rPr>
          <w:lang w:eastAsia="zh-CN"/>
        </w:rPr>
        <w:t xml:space="preserve"> elicited significantly higher SCRs (LL of the 95% CI exceeded 0) and GMT levels (LL of the 95% CI exceeded 1) than TIV against all 3</w:t>
      </w:r>
      <w:r w:rsidR="0016100F">
        <w:rPr>
          <w:lang w:eastAsia="zh-CN"/>
        </w:rPr>
        <w:t> </w:t>
      </w:r>
      <w:r w:rsidRPr="00E91EE3">
        <w:rPr>
          <w:lang w:eastAsia="zh-CN"/>
        </w:rPr>
        <w:t>homologous strains, including after multiplicity adjustment.</w:t>
      </w:r>
    </w:p>
    <w:p w14:paraId="3DD8F7B3" w14:textId="56BBE602" w:rsidR="00E97057" w:rsidRPr="000B20F1" w:rsidRDefault="00E97057" w:rsidP="005A145E">
      <w:pPr>
        <w:pStyle w:val="Heading6"/>
        <w:rPr>
          <w:lang w:eastAsia="zh-CN"/>
        </w:rPr>
      </w:pPr>
      <w:r>
        <w:rPr>
          <w:lang w:eastAsia="zh-CN"/>
        </w:rPr>
        <w:lastRenderedPageBreak/>
        <w:t xml:space="preserve">Secondary </w:t>
      </w:r>
      <w:r w:rsidR="0016100F">
        <w:rPr>
          <w:lang w:eastAsia="zh-CN"/>
        </w:rPr>
        <w:t>o</w:t>
      </w:r>
      <w:r w:rsidRPr="000B20F1">
        <w:rPr>
          <w:lang w:eastAsia="zh-CN"/>
        </w:rPr>
        <w:t>bjectives</w:t>
      </w:r>
    </w:p>
    <w:p w14:paraId="47A354D6" w14:textId="23F00658" w:rsidR="00E97057" w:rsidRPr="00E34D1D" w:rsidRDefault="00E97057" w:rsidP="00A70F7D">
      <w:pPr>
        <w:rPr>
          <w:lang w:eastAsia="zh-CN"/>
        </w:rPr>
      </w:pPr>
      <w:r>
        <w:rPr>
          <w:lang w:eastAsia="zh-CN"/>
        </w:rPr>
        <w:t>T</w:t>
      </w:r>
      <w:r w:rsidRPr="00E34D1D">
        <w:rPr>
          <w:rFonts w:eastAsia="Times New Roman"/>
          <w:lang w:eastAsia="zh-CN"/>
        </w:rPr>
        <w:t>he</w:t>
      </w:r>
      <w:r w:rsidRPr="00E34D1D">
        <w:rPr>
          <w:lang w:eastAsia="zh-CN"/>
        </w:rPr>
        <w:t xml:space="preserve"> first of the secondary objectives was to evaluate immunological non</w:t>
      </w:r>
      <w:r>
        <w:rPr>
          <w:lang w:eastAsia="zh-CN"/>
        </w:rPr>
        <w:t>-</w:t>
      </w:r>
      <w:r w:rsidRPr="00E34D1D">
        <w:rPr>
          <w:lang w:eastAsia="zh-CN"/>
        </w:rPr>
        <w:t xml:space="preserve">inferiority and superiority of </w:t>
      </w:r>
      <w:proofErr w:type="spellStart"/>
      <w:r w:rsidRPr="00E34D1D">
        <w:rPr>
          <w:lang w:eastAsia="zh-CN"/>
        </w:rPr>
        <w:t>aTIV</w:t>
      </w:r>
      <w:proofErr w:type="spellEnd"/>
      <w:r w:rsidRPr="00E34D1D">
        <w:rPr>
          <w:lang w:eastAsia="zh-CN"/>
        </w:rPr>
        <w:t xml:space="preserve"> versus TIV for homologous strains in high-risk subjects with predefined comorbidities. Non</w:t>
      </w:r>
      <w:r>
        <w:rPr>
          <w:lang w:eastAsia="zh-CN"/>
        </w:rPr>
        <w:t>-</w:t>
      </w:r>
      <w:r w:rsidRPr="00E34D1D">
        <w:rPr>
          <w:lang w:eastAsia="zh-CN"/>
        </w:rPr>
        <w:t>inferiority was demonstrated first, followed by assessment of superiority. None of the strains met the criterion for superiority.</w:t>
      </w:r>
    </w:p>
    <w:p w14:paraId="5FFA622B" w14:textId="3D630BDC" w:rsidR="00E97057" w:rsidRPr="00E34D1D" w:rsidRDefault="00E97057" w:rsidP="00A70F7D">
      <w:pPr>
        <w:rPr>
          <w:lang w:eastAsia="zh-CN"/>
        </w:rPr>
      </w:pPr>
      <w:r w:rsidRPr="00E34D1D">
        <w:rPr>
          <w:lang w:eastAsia="zh-CN"/>
        </w:rPr>
        <w:t>The second of the secondary objectives was to evaluate immunological non</w:t>
      </w:r>
      <w:r>
        <w:rPr>
          <w:lang w:eastAsia="zh-CN"/>
        </w:rPr>
        <w:t>-</w:t>
      </w:r>
      <w:r w:rsidRPr="00E34D1D">
        <w:rPr>
          <w:lang w:eastAsia="zh-CN"/>
        </w:rPr>
        <w:t xml:space="preserve">inferiority and superiority of </w:t>
      </w:r>
      <w:proofErr w:type="spellStart"/>
      <w:r w:rsidRPr="00E34D1D">
        <w:rPr>
          <w:lang w:eastAsia="zh-CN"/>
        </w:rPr>
        <w:t>aTIV</w:t>
      </w:r>
      <w:proofErr w:type="spellEnd"/>
      <w:r w:rsidRPr="00E34D1D">
        <w:rPr>
          <w:lang w:eastAsia="zh-CN"/>
        </w:rPr>
        <w:t xml:space="preserve"> versus TIV for heterologous strains in all subjects and in high risk subjects. The </w:t>
      </w:r>
      <w:proofErr w:type="spellStart"/>
      <w:r w:rsidRPr="00E34D1D">
        <w:rPr>
          <w:lang w:eastAsia="zh-CN"/>
        </w:rPr>
        <w:t>aTIV</w:t>
      </w:r>
      <w:proofErr w:type="spellEnd"/>
      <w:r w:rsidRPr="00E34D1D">
        <w:rPr>
          <w:lang w:eastAsia="zh-CN"/>
        </w:rPr>
        <w:t xml:space="preserve"> was shown to be non</w:t>
      </w:r>
      <w:r>
        <w:rPr>
          <w:lang w:eastAsia="zh-CN"/>
        </w:rPr>
        <w:t>-</w:t>
      </w:r>
      <w:r w:rsidRPr="00E34D1D">
        <w:rPr>
          <w:lang w:eastAsia="zh-CN"/>
        </w:rPr>
        <w:t>inferior to TIV against the 3 heterologous strains in all subjects or among the high risk subgroup but the superiority criteria against the 3</w:t>
      </w:r>
      <w:r w:rsidR="0016100F">
        <w:rPr>
          <w:lang w:eastAsia="zh-CN"/>
        </w:rPr>
        <w:t> </w:t>
      </w:r>
      <w:r w:rsidRPr="00E34D1D">
        <w:rPr>
          <w:lang w:eastAsia="zh-CN"/>
        </w:rPr>
        <w:t>heterologous strains were not reached for the overall study population or among the high</w:t>
      </w:r>
      <w:r w:rsidR="0016100F">
        <w:rPr>
          <w:lang w:eastAsia="zh-CN"/>
        </w:rPr>
        <w:t> </w:t>
      </w:r>
      <w:r w:rsidRPr="00E34D1D">
        <w:rPr>
          <w:lang w:eastAsia="zh-CN"/>
        </w:rPr>
        <w:t>risk subgroup.</w:t>
      </w:r>
    </w:p>
    <w:p w14:paraId="2394EFF4" w14:textId="1BCAD868" w:rsidR="00E97057" w:rsidRDefault="00E97057" w:rsidP="00A70F7D">
      <w:pPr>
        <w:rPr>
          <w:rFonts w:ascii="TimesNewRoman" w:eastAsia="Times New Roman" w:hAnsiTheme="minorHAnsi"/>
          <w:sz w:val="24"/>
          <w:szCs w:val="24"/>
          <w:lang w:eastAsia="zh-CN"/>
        </w:rPr>
      </w:pPr>
      <w:r w:rsidRPr="00E34D1D">
        <w:t>Clinical efficacy against influenza</w:t>
      </w:r>
      <w:r w:rsidR="00BB20FB">
        <w:t xml:space="preserve"> </w:t>
      </w:r>
      <w:r w:rsidRPr="00E34D1D">
        <w:t>like illness</w:t>
      </w:r>
      <w:r w:rsidR="00BB20FB">
        <w:t xml:space="preserve"> (ILI)</w:t>
      </w:r>
      <w:r w:rsidRPr="00E34D1D">
        <w:t xml:space="preserve">, not microbiologically confirmed, was evaluated as another secondary endpoint. </w:t>
      </w:r>
      <w:r w:rsidRPr="00E34D1D">
        <w:rPr>
          <w:rFonts w:eastAsia="Times New Roman"/>
        </w:rPr>
        <w:t xml:space="preserve">There was no significant difference </w:t>
      </w:r>
      <w:r>
        <w:rPr>
          <w:rFonts w:eastAsia="Times New Roman"/>
        </w:rPr>
        <w:t xml:space="preserve">among the </w:t>
      </w:r>
      <w:r w:rsidRPr="00E34D1D">
        <w:rPr>
          <w:rFonts w:eastAsia="Times New Roman"/>
          <w:lang w:eastAsia="zh-CN"/>
        </w:rPr>
        <w:t>overall study population or among the high</w:t>
      </w:r>
      <w:r w:rsidR="005A145E">
        <w:rPr>
          <w:rFonts w:eastAsia="Times New Roman"/>
          <w:lang w:eastAsia="zh-CN"/>
        </w:rPr>
        <w:t xml:space="preserve"> </w:t>
      </w:r>
      <w:r w:rsidRPr="00E34D1D">
        <w:rPr>
          <w:rFonts w:eastAsia="Times New Roman"/>
          <w:lang w:eastAsia="zh-CN"/>
        </w:rPr>
        <w:t>risk subgroup</w:t>
      </w:r>
      <w:r w:rsidRPr="00E34D1D">
        <w:rPr>
          <w:rFonts w:eastAsia="Times New Roman"/>
        </w:rPr>
        <w:t xml:space="preserve"> in the </w:t>
      </w:r>
      <w:r w:rsidRPr="005A145E">
        <w:t xml:space="preserve">clinical effectiveness observed between the </w:t>
      </w:r>
      <w:proofErr w:type="spellStart"/>
      <w:r w:rsidRPr="005A145E">
        <w:t>aTIV</w:t>
      </w:r>
      <w:proofErr w:type="spellEnd"/>
      <w:r w:rsidRPr="005A145E">
        <w:t xml:space="preserve"> and the TIV groups in terms of the incidence of </w:t>
      </w:r>
      <w:r w:rsidR="005A145E" w:rsidRPr="005A145E">
        <w:t xml:space="preserve">ILI, </w:t>
      </w:r>
      <w:r w:rsidRPr="005A145E">
        <w:t>exacerbation of pre-existing chron</w:t>
      </w:r>
      <w:r w:rsidR="005A145E" w:rsidRPr="005A145E">
        <w:t>ic conditions, healthcare utilis</w:t>
      </w:r>
      <w:r w:rsidRPr="005A145E">
        <w:t>ation</w:t>
      </w:r>
      <w:r w:rsidRPr="00E34D1D">
        <w:rPr>
          <w:rFonts w:eastAsia="Times New Roman"/>
        </w:rPr>
        <w:t xml:space="preserve"> or mortality</w:t>
      </w:r>
      <w:r w:rsidRPr="00E34D1D">
        <w:t xml:space="preserve"> in the </w:t>
      </w:r>
      <w:proofErr w:type="gramStart"/>
      <w:r w:rsidRPr="00E34D1D">
        <w:t>12</w:t>
      </w:r>
      <w:r w:rsidR="0016100F">
        <w:t> </w:t>
      </w:r>
      <w:r w:rsidRPr="00E34D1D">
        <w:t>month</w:t>
      </w:r>
      <w:proofErr w:type="gramEnd"/>
      <w:r w:rsidRPr="00E34D1D">
        <w:t xml:space="preserve"> follow-up period</w:t>
      </w:r>
      <w:r w:rsidRPr="00E34D1D">
        <w:rPr>
          <w:rFonts w:eastAsia="Times New Roman"/>
        </w:rPr>
        <w:t>.</w:t>
      </w:r>
    </w:p>
    <w:p w14:paraId="23C61F6F" w14:textId="4FDCCD52" w:rsidR="00E97057" w:rsidRPr="00021EED" w:rsidRDefault="00E97057" w:rsidP="005A145E">
      <w:pPr>
        <w:pStyle w:val="Heading5"/>
        <w:rPr>
          <w:lang w:eastAsia="zh-CN"/>
        </w:rPr>
      </w:pPr>
      <w:r w:rsidRPr="00021EED">
        <w:rPr>
          <w:lang w:eastAsia="zh-CN"/>
        </w:rPr>
        <w:t xml:space="preserve">Supportive </w:t>
      </w:r>
      <w:proofErr w:type="spellStart"/>
      <w:r>
        <w:rPr>
          <w:lang w:eastAsia="zh-CN"/>
        </w:rPr>
        <w:t>Fluad</w:t>
      </w:r>
      <w:proofErr w:type="spellEnd"/>
      <w:r>
        <w:rPr>
          <w:lang w:eastAsia="zh-CN"/>
        </w:rPr>
        <w:t xml:space="preserve"> (</w:t>
      </w:r>
      <w:proofErr w:type="spellStart"/>
      <w:r w:rsidRPr="00021EED">
        <w:rPr>
          <w:lang w:eastAsia="zh-CN"/>
        </w:rPr>
        <w:t>aTIV</w:t>
      </w:r>
      <w:proofErr w:type="spellEnd"/>
      <w:r>
        <w:rPr>
          <w:lang w:eastAsia="zh-CN"/>
        </w:rPr>
        <w:t>)</w:t>
      </w:r>
      <w:r w:rsidRPr="00021EED">
        <w:rPr>
          <w:lang w:eastAsia="zh-CN"/>
        </w:rPr>
        <w:t xml:space="preserve"> </w:t>
      </w:r>
      <w:r w:rsidR="0016100F">
        <w:rPr>
          <w:lang w:eastAsia="zh-CN"/>
        </w:rPr>
        <w:t>s</w:t>
      </w:r>
      <w:r w:rsidRPr="00021EED">
        <w:rPr>
          <w:lang w:eastAsia="zh-CN"/>
        </w:rPr>
        <w:t>tudies</w:t>
      </w:r>
    </w:p>
    <w:p w14:paraId="02B0BD38" w14:textId="64D4F076" w:rsidR="00E97057" w:rsidRPr="00A70F7D" w:rsidRDefault="00E97057" w:rsidP="005A37A7">
      <w:r w:rsidRPr="00A70F7D">
        <w:t xml:space="preserve">Most of the supportive </w:t>
      </w:r>
      <w:proofErr w:type="spellStart"/>
      <w:r w:rsidRPr="00A70F7D">
        <w:t>aTIV</w:t>
      </w:r>
      <w:proofErr w:type="spellEnd"/>
      <w:r w:rsidRPr="00A70F7D">
        <w:t xml:space="preserve"> studies </w:t>
      </w:r>
      <w:r w:rsidR="005A145E">
        <w:t>were</w:t>
      </w:r>
      <w:r w:rsidRPr="00A70F7D">
        <w:t xml:space="preserve"> evaluated by the TGA at the time of </w:t>
      </w:r>
      <w:proofErr w:type="spellStart"/>
      <w:r w:rsidRPr="00A70F7D">
        <w:t>Fluad</w:t>
      </w:r>
      <w:proofErr w:type="spellEnd"/>
      <w:r w:rsidRPr="00A70F7D">
        <w:t xml:space="preserve"> registration assessment and are not discussed in detail here. Overall the results from supportive </w:t>
      </w:r>
      <w:proofErr w:type="spellStart"/>
      <w:r w:rsidRPr="00A70F7D">
        <w:t>aTIV</w:t>
      </w:r>
      <w:proofErr w:type="spellEnd"/>
      <w:r w:rsidRPr="00A70F7D">
        <w:t xml:space="preserve"> studies were generally consistent with what has been observed in Study</w:t>
      </w:r>
      <w:r w:rsidR="0016100F">
        <w:t> </w:t>
      </w:r>
      <w:r w:rsidRPr="00A70F7D">
        <w:t>V70_27.</w:t>
      </w:r>
      <w:r w:rsidR="00956A07">
        <w:t xml:space="preserve"> </w:t>
      </w:r>
      <w:r w:rsidRPr="00A70F7D">
        <w:t xml:space="preserve">The immune response to </w:t>
      </w:r>
      <w:proofErr w:type="spellStart"/>
      <w:r w:rsidRPr="00A70F7D">
        <w:t>aTIV</w:t>
      </w:r>
      <w:proofErr w:type="spellEnd"/>
      <w:r w:rsidRPr="00A70F7D">
        <w:t xml:space="preserve"> is increased when compared to the response after vaccination with non</w:t>
      </w:r>
      <w:r w:rsidR="00956A07">
        <w:t xml:space="preserve"> </w:t>
      </w:r>
      <w:proofErr w:type="spellStart"/>
      <w:r w:rsidR="00956A07">
        <w:t>adjuvanted</w:t>
      </w:r>
      <w:proofErr w:type="spellEnd"/>
      <w:r w:rsidRPr="00A70F7D">
        <w:t xml:space="preserve"> TIV and is most pronounced for B and A/H3N2 influenza antigens.</w:t>
      </w:r>
      <w:r w:rsidR="00956A07">
        <w:t xml:space="preserve"> </w:t>
      </w:r>
      <w:r w:rsidRPr="00A70F7D">
        <w:t xml:space="preserve">A similar immunogenicity profile has been noted after a second and third immunisation with </w:t>
      </w:r>
      <w:proofErr w:type="spellStart"/>
      <w:r w:rsidRPr="00A70F7D">
        <w:t>aTIV</w:t>
      </w:r>
      <w:proofErr w:type="spellEnd"/>
      <w:r w:rsidRPr="00A70F7D">
        <w:t xml:space="preserve">. Increased antibody rises after immunisation with </w:t>
      </w:r>
      <w:proofErr w:type="spellStart"/>
      <w:r w:rsidRPr="00A70F7D">
        <w:t>aTIV</w:t>
      </w:r>
      <w:proofErr w:type="spellEnd"/>
      <w:r w:rsidRPr="00A70F7D">
        <w:t xml:space="preserve"> have also been shown against </w:t>
      </w:r>
      <w:proofErr w:type="spellStart"/>
      <w:r w:rsidRPr="00A70F7D">
        <w:t>heterovariant</w:t>
      </w:r>
      <w:proofErr w:type="spellEnd"/>
      <w:r w:rsidRPr="00A70F7D">
        <w:t xml:space="preserve"> strains, antigenically different from those included in the vaccine.</w:t>
      </w:r>
    </w:p>
    <w:p w14:paraId="5157C34B" w14:textId="5819BB67" w:rsidR="00E97057" w:rsidRDefault="00E97057" w:rsidP="005A145E">
      <w:pPr>
        <w:pStyle w:val="Heading5"/>
        <w:rPr>
          <w:lang w:eastAsia="zh-CN"/>
        </w:rPr>
      </w:pPr>
      <w:proofErr w:type="spellStart"/>
      <w:r>
        <w:rPr>
          <w:lang w:eastAsia="zh-CN"/>
        </w:rPr>
        <w:t>Fluad</w:t>
      </w:r>
      <w:proofErr w:type="spellEnd"/>
      <w:r>
        <w:rPr>
          <w:lang w:eastAsia="zh-CN"/>
        </w:rPr>
        <w:t xml:space="preserve"> (</w:t>
      </w:r>
      <w:proofErr w:type="spellStart"/>
      <w:r>
        <w:rPr>
          <w:lang w:eastAsia="zh-CN"/>
        </w:rPr>
        <w:t>aTIV</w:t>
      </w:r>
      <w:proofErr w:type="spellEnd"/>
      <w:r>
        <w:rPr>
          <w:lang w:eastAsia="zh-CN"/>
        </w:rPr>
        <w:t>)</w:t>
      </w:r>
      <w:r w:rsidRPr="00163F73">
        <w:rPr>
          <w:lang w:eastAsia="zh-CN"/>
        </w:rPr>
        <w:t xml:space="preserve"> </w:t>
      </w:r>
      <w:r w:rsidR="0016100F">
        <w:rPr>
          <w:lang w:eastAsia="zh-CN"/>
        </w:rPr>
        <w:t>s</w:t>
      </w:r>
      <w:r w:rsidRPr="00163F73">
        <w:rPr>
          <w:lang w:eastAsia="zh-CN"/>
        </w:rPr>
        <w:t>tudies</w:t>
      </w:r>
      <w:r w:rsidRPr="00E96A30">
        <w:rPr>
          <w:lang w:eastAsia="zh-CN"/>
        </w:rPr>
        <w:t xml:space="preserve"> </w:t>
      </w:r>
      <w:r>
        <w:rPr>
          <w:lang w:eastAsia="zh-CN"/>
        </w:rPr>
        <w:t xml:space="preserve">assessing </w:t>
      </w:r>
      <w:r w:rsidR="005A145E">
        <w:rPr>
          <w:lang w:eastAsia="zh-CN"/>
        </w:rPr>
        <w:t>c</w:t>
      </w:r>
      <w:r>
        <w:rPr>
          <w:lang w:eastAsia="zh-CN"/>
        </w:rPr>
        <w:t xml:space="preserve">linical </w:t>
      </w:r>
      <w:r w:rsidR="005A145E">
        <w:rPr>
          <w:lang w:eastAsia="zh-CN"/>
        </w:rPr>
        <w:t>e</w:t>
      </w:r>
      <w:r>
        <w:rPr>
          <w:lang w:eastAsia="zh-CN"/>
        </w:rPr>
        <w:t>ffectiveness</w:t>
      </w:r>
    </w:p>
    <w:p w14:paraId="2EEBE5B2" w14:textId="77777777" w:rsidR="005A145E" w:rsidRDefault="005A145E" w:rsidP="005A37A7">
      <w:r>
        <w:t>The sponsor</w:t>
      </w:r>
      <w:r w:rsidR="00E97057" w:rsidRPr="00BE32F1">
        <w:t xml:space="preserve"> has provided two published </w:t>
      </w:r>
      <w:r w:rsidR="00E97057" w:rsidRPr="00BE32F1">
        <w:rPr>
          <w:lang w:eastAsia="zh-CN"/>
        </w:rPr>
        <w:t xml:space="preserve">non-interventional </w:t>
      </w:r>
      <w:r w:rsidR="00E97057" w:rsidRPr="00BE32F1">
        <w:t>studies</w:t>
      </w:r>
      <w:r>
        <w:t>:</w:t>
      </w:r>
    </w:p>
    <w:p w14:paraId="2AD7B927" w14:textId="4A777F04" w:rsidR="005A145E" w:rsidRPr="005A37A7" w:rsidRDefault="00E97057" w:rsidP="005A37A7">
      <w:pPr>
        <w:pStyle w:val="ListBullet"/>
      </w:pPr>
      <w:r w:rsidRPr="00BE32F1">
        <w:rPr>
          <w:lang w:eastAsia="zh-CN"/>
        </w:rPr>
        <w:t>Study C70P1</w:t>
      </w:r>
      <w:r w:rsidR="0016100F" w:rsidRPr="005A37A7">
        <w:t>;</w:t>
      </w:r>
      <w:r w:rsidRPr="005A37A7">
        <w:t xml:space="preserve"> and</w:t>
      </w:r>
    </w:p>
    <w:p w14:paraId="30E6DEB1" w14:textId="655091F2" w:rsidR="005A145E" w:rsidRDefault="0016100F" w:rsidP="005A37A7">
      <w:pPr>
        <w:pStyle w:val="ListBullet"/>
        <w:rPr>
          <w:lang w:eastAsia="zh-CN"/>
        </w:rPr>
      </w:pPr>
      <w:r w:rsidRPr="005A37A7">
        <w:t xml:space="preserve">Study </w:t>
      </w:r>
      <w:r w:rsidR="005A145E" w:rsidRPr="005A37A7">
        <w:t>V70_49OBTP</w:t>
      </w:r>
      <w:r w:rsidR="005A145E">
        <w:rPr>
          <w:lang w:eastAsia="zh-CN"/>
        </w:rPr>
        <w:t>.</w:t>
      </w:r>
    </w:p>
    <w:p w14:paraId="23F9F7C1" w14:textId="675847BD" w:rsidR="00E97057" w:rsidRPr="00BE32F1" w:rsidRDefault="00E97057" w:rsidP="00A70F7D">
      <w:pPr>
        <w:rPr>
          <w:lang w:eastAsia="zh-CN"/>
        </w:rPr>
      </w:pPr>
      <w:r w:rsidRPr="00BE32F1">
        <w:rPr>
          <w:lang w:eastAsia="zh-CN"/>
        </w:rPr>
        <w:t xml:space="preserve">In these </w:t>
      </w:r>
      <w:r w:rsidRPr="005A145E">
        <w:t xml:space="preserve">two studies, the effectiveness of </w:t>
      </w:r>
      <w:proofErr w:type="spellStart"/>
      <w:r w:rsidRPr="005A145E">
        <w:t>aTIV</w:t>
      </w:r>
      <w:proofErr w:type="spellEnd"/>
      <w:r w:rsidRPr="005A145E">
        <w:t xml:space="preserve"> has been assessed and compared to non</w:t>
      </w:r>
      <w:r w:rsidR="00956A07" w:rsidRPr="005A145E">
        <w:t xml:space="preserve"> </w:t>
      </w:r>
      <w:proofErr w:type="spellStart"/>
      <w:r w:rsidR="00956A07" w:rsidRPr="005A145E">
        <w:t>adjuvanted</w:t>
      </w:r>
      <w:proofErr w:type="spellEnd"/>
      <w:r w:rsidRPr="005A145E">
        <w:t xml:space="preserve"> TIV. It is noted that these two studies had been submitted to the </w:t>
      </w:r>
      <w:r w:rsidR="005A145E" w:rsidRPr="005A145E">
        <w:t xml:space="preserve">Medicines and Healthcare </w:t>
      </w:r>
      <w:proofErr w:type="gramStart"/>
      <w:r w:rsidR="005A145E">
        <w:t>p</w:t>
      </w:r>
      <w:r w:rsidR="005A145E" w:rsidRPr="005A145E">
        <w:t>roducts</w:t>
      </w:r>
      <w:proofErr w:type="gramEnd"/>
      <w:r w:rsidR="005A145E" w:rsidRPr="005A145E">
        <w:t xml:space="preserve"> Regulatory Agency (</w:t>
      </w:r>
      <w:r w:rsidRPr="005A145E">
        <w:t>MRHA</w:t>
      </w:r>
      <w:r w:rsidR="005A145E" w:rsidRPr="005A145E">
        <w:t>)</w:t>
      </w:r>
      <w:r w:rsidRPr="005A145E">
        <w:t xml:space="preserve"> and the brief summary of these two studies have been included in the </w:t>
      </w:r>
      <w:r w:rsidR="005A145E">
        <w:t>United Kingdom (</w:t>
      </w:r>
      <w:r w:rsidRPr="005A145E">
        <w:t>UK</w:t>
      </w:r>
      <w:r w:rsidR="005A145E">
        <w:t>)</w:t>
      </w:r>
      <w:r w:rsidRPr="005A145E">
        <w:t xml:space="preserve"> </w:t>
      </w:r>
      <w:r w:rsidR="005A145E" w:rsidRPr="005A145E">
        <w:t xml:space="preserve">Summary of Product </w:t>
      </w:r>
      <w:r w:rsidR="0016100F">
        <w:t>Characteristics</w:t>
      </w:r>
      <w:r w:rsidR="0016100F" w:rsidRPr="005A145E">
        <w:t xml:space="preserve"> </w:t>
      </w:r>
      <w:r w:rsidR="005A145E" w:rsidRPr="005A145E">
        <w:t>(</w:t>
      </w:r>
      <w:proofErr w:type="spellStart"/>
      <w:r w:rsidRPr="005A145E">
        <w:t>S</w:t>
      </w:r>
      <w:r w:rsidR="005A145E" w:rsidRPr="005A145E">
        <w:t>m</w:t>
      </w:r>
      <w:r w:rsidRPr="005A145E">
        <w:t>PC</w:t>
      </w:r>
      <w:proofErr w:type="spellEnd"/>
      <w:r w:rsidR="005A145E" w:rsidRPr="005A145E">
        <w:t>)</w:t>
      </w:r>
      <w:r w:rsidRPr="005A145E">
        <w:t xml:space="preserve"> for </w:t>
      </w:r>
      <w:proofErr w:type="spellStart"/>
      <w:r w:rsidRPr="005A145E">
        <w:t>Fluad</w:t>
      </w:r>
      <w:proofErr w:type="spellEnd"/>
      <w:r w:rsidRPr="005A145E">
        <w:t xml:space="preserve">. Brief summaries </w:t>
      </w:r>
      <w:r w:rsidR="005A145E">
        <w:t xml:space="preserve">of the two studies </w:t>
      </w:r>
      <w:r w:rsidRPr="005A145E">
        <w:t>are presented</w:t>
      </w:r>
      <w:r w:rsidRPr="00BE32F1">
        <w:rPr>
          <w:lang w:eastAsia="zh-CN"/>
        </w:rPr>
        <w:t xml:space="preserve"> </w:t>
      </w:r>
      <w:r>
        <w:rPr>
          <w:lang w:eastAsia="zh-CN"/>
        </w:rPr>
        <w:t>below.</w:t>
      </w:r>
    </w:p>
    <w:p w14:paraId="47A27D95" w14:textId="77777777" w:rsidR="005A145E" w:rsidRDefault="005A145E" w:rsidP="005A37A7">
      <w:pPr>
        <w:pStyle w:val="Heading6"/>
        <w:rPr>
          <w:lang w:eastAsia="zh-CN"/>
        </w:rPr>
      </w:pPr>
      <w:r w:rsidRPr="00A15594">
        <w:rPr>
          <w:lang w:eastAsia="zh-CN"/>
        </w:rPr>
        <w:t>Study C70P1</w:t>
      </w:r>
    </w:p>
    <w:p w14:paraId="3FB88822" w14:textId="6F36D117" w:rsidR="005A145E" w:rsidRDefault="005A145E" w:rsidP="00A70F7D">
      <w:pPr>
        <w:rPr>
          <w:rFonts w:cs="TimesNewRoman"/>
          <w:lang w:eastAsia="zh-CN"/>
        </w:rPr>
      </w:pPr>
      <w:r>
        <w:rPr>
          <w:rFonts w:cs="TimesNewRoman"/>
          <w:lang w:eastAsia="zh-CN"/>
        </w:rPr>
        <w:t>This was</w:t>
      </w:r>
      <w:r w:rsidR="00E97057" w:rsidRPr="00A15594">
        <w:rPr>
          <w:rFonts w:cs="TimesNewRoman"/>
          <w:lang w:eastAsia="zh-CN"/>
        </w:rPr>
        <w:t xml:space="preserve"> a non</w:t>
      </w:r>
      <w:r w:rsidR="00BB20FB">
        <w:rPr>
          <w:rFonts w:cs="TimesNewRoman"/>
          <w:lang w:eastAsia="zh-CN"/>
        </w:rPr>
        <w:t>-</w:t>
      </w:r>
      <w:r w:rsidR="00E97057" w:rsidRPr="00A15594">
        <w:rPr>
          <w:rFonts w:cs="TimesNewRoman"/>
          <w:lang w:eastAsia="zh-CN"/>
        </w:rPr>
        <w:t>interventional prospective cohort study</w:t>
      </w:r>
      <w:r w:rsidR="00E97057">
        <w:rPr>
          <w:rFonts w:cs="TimesNewRoman"/>
          <w:lang w:eastAsia="zh-CN"/>
        </w:rPr>
        <w:t xml:space="preserve">. This study was </w:t>
      </w:r>
      <w:r w:rsidR="00E97057" w:rsidRPr="00A15594">
        <w:rPr>
          <w:rFonts w:cs="TimesNewRoman"/>
          <w:lang w:eastAsia="zh-CN"/>
        </w:rPr>
        <w:t>conducted in the 5</w:t>
      </w:r>
      <w:r w:rsidR="00DB49CE">
        <w:rPr>
          <w:rFonts w:cs="TimesNewRoman"/>
          <w:lang w:eastAsia="zh-CN"/>
        </w:rPr>
        <w:t> </w:t>
      </w:r>
      <w:r w:rsidR="00E97057" w:rsidRPr="00A15594">
        <w:rPr>
          <w:rFonts w:cs="TimesNewRoman"/>
          <w:lang w:eastAsia="zh-CN"/>
        </w:rPr>
        <w:t>Northern Italian health districts during the 2006/2007, 2007/2008 and 2008/2009 influenza seasons</w:t>
      </w:r>
      <w:r w:rsidR="00E97057" w:rsidRPr="004C147B">
        <w:rPr>
          <w:rFonts w:cs="TimesNewRoman"/>
          <w:lang w:eastAsia="zh-CN"/>
        </w:rPr>
        <w:t>.</w:t>
      </w:r>
      <w:r w:rsidR="00A67A4F">
        <w:rPr>
          <w:rStyle w:val="FootnoteReference"/>
          <w:rFonts w:cs="TimesNewRoman"/>
          <w:lang w:eastAsia="zh-CN"/>
        </w:rPr>
        <w:footnoteReference w:id="4"/>
      </w:r>
      <w:r w:rsidR="00E97057" w:rsidRPr="004C147B">
        <w:rPr>
          <w:rFonts w:cs="TimesNewRoman"/>
          <w:lang w:eastAsia="zh-CN"/>
        </w:rPr>
        <w:t xml:space="preserve"> The study assessed </w:t>
      </w:r>
      <w:r>
        <w:rPr>
          <w:rFonts w:cs="TimesNewRoman"/>
          <w:lang w:eastAsia="zh-CN"/>
        </w:rPr>
        <w:t>the relative risk of hospitalis</w:t>
      </w:r>
      <w:r w:rsidR="00E97057" w:rsidRPr="004C147B">
        <w:rPr>
          <w:rFonts w:cs="TimesNewRoman"/>
          <w:lang w:eastAsia="zh-CN"/>
        </w:rPr>
        <w:t>ations due to influenza or pneumonia during the</w:t>
      </w:r>
      <w:r w:rsidR="00E97057" w:rsidRPr="00A15594">
        <w:rPr>
          <w:rFonts w:cs="TimesNewRoman"/>
          <w:lang w:eastAsia="zh-CN"/>
        </w:rPr>
        <w:t xml:space="preserve"> influenza season amongst subjects ≥</w:t>
      </w:r>
      <w:r>
        <w:rPr>
          <w:rFonts w:cs="TimesNewRoman"/>
          <w:lang w:eastAsia="zh-CN"/>
        </w:rPr>
        <w:t xml:space="preserve"> </w:t>
      </w:r>
      <w:r w:rsidR="00E97057" w:rsidRPr="00A15594">
        <w:rPr>
          <w:rFonts w:cs="TimesNewRoman"/>
          <w:lang w:eastAsia="zh-CN"/>
        </w:rPr>
        <w:t xml:space="preserve">65 years of age who received either </w:t>
      </w:r>
      <w:proofErr w:type="spellStart"/>
      <w:r w:rsidR="00E97057" w:rsidRPr="00A15594">
        <w:rPr>
          <w:rFonts w:cs="TimesNewRoman"/>
          <w:lang w:eastAsia="zh-CN"/>
        </w:rPr>
        <w:t>aTIV</w:t>
      </w:r>
      <w:proofErr w:type="spellEnd"/>
      <w:r w:rsidR="00E97057" w:rsidRPr="00A15594">
        <w:rPr>
          <w:rFonts w:cs="TimesNewRoman"/>
          <w:lang w:eastAsia="zh-CN"/>
        </w:rPr>
        <w:t xml:space="preserve"> </w:t>
      </w:r>
      <w:r w:rsidR="00E97057">
        <w:rPr>
          <w:rFonts w:cs="TimesNewRoman"/>
          <w:lang w:eastAsia="zh-CN"/>
        </w:rPr>
        <w:t>(</w:t>
      </w:r>
      <w:proofErr w:type="spellStart"/>
      <w:r w:rsidR="00E97057">
        <w:rPr>
          <w:rFonts w:cs="TimesNewRoman"/>
          <w:lang w:eastAsia="zh-CN"/>
        </w:rPr>
        <w:t>Fluad</w:t>
      </w:r>
      <w:proofErr w:type="spellEnd"/>
      <w:r w:rsidR="00E97057">
        <w:rPr>
          <w:rFonts w:cs="TimesNewRoman"/>
          <w:lang w:eastAsia="zh-CN"/>
        </w:rPr>
        <w:t xml:space="preserve">) </w:t>
      </w:r>
      <w:r w:rsidR="00E97057" w:rsidRPr="00A15594">
        <w:rPr>
          <w:rFonts w:cs="TimesNewRoman"/>
          <w:lang w:eastAsia="zh-CN"/>
        </w:rPr>
        <w:t>or non</w:t>
      </w:r>
      <w:r w:rsidR="00956A07">
        <w:rPr>
          <w:rFonts w:cs="TimesNewRoman"/>
          <w:lang w:eastAsia="zh-CN"/>
        </w:rPr>
        <w:t xml:space="preserve"> </w:t>
      </w:r>
      <w:proofErr w:type="spellStart"/>
      <w:r w:rsidR="00956A07">
        <w:rPr>
          <w:rFonts w:cs="TimesNewRoman"/>
          <w:lang w:eastAsia="zh-CN"/>
        </w:rPr>
        <w:t>adjuvanted</w:t>
      </w:r>
      <w:proofErr w:type="spellEnd"/>
      <w:r w:rsidR="00E97057" w:rsidRPr="00A15594">
        <w:rPr>
          <w:rFonts w:cs="TimesNewRoman"/>
          <w:lang w:eastAsia="zh-CN"/>
        </w:rPr>
        <w:t xml:space="preserve"> TIV</w:t>
      </w:r>
      <w:r w:rsidR="00E97057">
        <w:rPr>
          <w:rFonts w:cs="TimesNewRoman"/>
          <w:lang w:eastAsia="zh-CN"/>
        </w:rPr>
        <w:t xml:space="preserve"> </w:t>
      </w:r>
      <w:r w:rsidR="00E97057" w:rsidRPr="00E27164">
        <w:rPr>
          <w:rFonts w:cs="TimesNewRoman"/>
          <w:lang w:eastAsia="zh-CN"/>
        </w:rPr>
        <w:t>(</w:t>
      </w:r>
      <w:proofErr w:type="spellStart"/>
      <w:r w:rsidR="00E97057" w:rsidRPr="00E27164">
        <w:rPr>
          <w:rFonts w:cs="TimesNewRoman"/>
          <w:lang w:eastAsia="zh-CN"/>
        </w:rPr>
        <w:t>Agrippal</w:t>
      </w:r>
      <w:proofErr w:type="spellEnd"/>
      <w:r w:rsidR="00E97057" w:rsidRPr="00E27164">
        <w:rPr>
          <w:rFonts w:cs="TimesNewRoman"/>
          <w:lang w:eastAsia="zh-CN"/>
        </w:rPr>
        <w:t>)</w:t>
      </w:r>
      <w:r w:rsidR="00E97057" w:rsidRPr="00A15594">
        <w:rPr>
          <w:rFonts w:cs="TimesNewRoman"/>
          <w:lang w:eastAsia="zh-CN"/>
        </w:rPr>
        <w:t xml:space="preserve">. Study outcomes were identified through the automated administrative, multipurpose databases of the Italian National Healthcare System. The study outcome was defined as a hospital discharge </w:t>
      </w:r>
      <w:r w:rsidR="00E97057" w:rsidRPr="00A15594">
        <w:rPr>
          <w:rFonts w:cs="TimesNewRoman"/>
          <w:lang w:eastAsia="zh-CN"/>
        </w:rPr>
        <w:lastRenderedPageBreak/>
        <w:t>diagnoses for influenza or pneumonia at least 3 weeks following vaccination during defined periods of the influenza season based on the epidemic curves of the n</w:t>
      </w:r>
      <w:r>
        <w:rPr>
          <w:rFonts w:cs="TimesNewRoman"/>
          <w:lang w:eastAsia="zh-CN"/>
        </w:rPr>
        <w:t>ational influenza surveillance.</w:t>
      </w:r>
    </w:p>
    <w:p w14:paraId="254B5360" w14:textId="77777777" w:rsidR="005A145E" w:rsidRDefault="00E97057" w:rsidP="00A70F7D">
      <w:pPr>
        <w:rPr>
          <w:rFonts w:cs="TimesNewRoman"/>
          <w:lang w:eastAsia="zh-CN"/>
        </w:rPr>
      </w:pPr>
      <w:r w:rsidRPr="00A15594">
        <w:rPr>
          <w:rFonts w:cs="TimesNewRoman"/>
          <w:lang w:eastAsia="zh-CN"/>
        </w:rPr>
        <w:t>Over the 3 influenza seasons, the study enrolled 107,661 subjects of ≥</w:t>
      </w:r>
      <w:r w:rsidR="005A145E">
        <w:rPr>
          <w:rFonts w:cs="TimesNewRoman"/>
          <w:lang w:eastAsia="zh-CN"/>
        </w:rPr>
        <w:t xml:space="preserve"> </w:t>
      </w:r>
      <w:r w:rsidRPr="00A15594">
        <w:rPr>
          <w:rFonts w:cs="TimesNewRoman"/>
          <w:lang w:eastAsia="zh-CN"/>
        </w:rPr>
        <w:t xml:space="preserve">65 years of age, with 43,667 subjects participating for more than 1 year. Overall, 170,988 vaccinations were administered comprising of 88,449 doses of </w:t>
      </w:r>
      <w:proofErr w:type="spellStart"/>
      <w:r w:rsidRPr="00A15594">
        <w:rPr>
          <w:rFonts w:cs="TimesNewRoman"/>
          <w:lang w:eastAsia="zh-CN"/>
        </w:rPr>
        <w:t>aTIV</w:t>
      </w:r>
      <w:proofErr w:type="spellEnd"/>
      <w:r w:rsidRPr="00A15594">
        <w:rPr>
          <w:rFonts w:cs="TimesNewRoman"/>
          <w:lang w:eastAsia="zh-CN"/>
        </w:rPr>
        <w:t xml:space="preserve"> and 82,539 doses of TIV.</w:t>
      </w:r>
      <w:r w:rsidR="00956A07">
        <w:rPr>
          <w:rFonts w:cs="TimesNewRoman"/>
          <w:lang w:eastAsia="zh-CN"/>
        </w:rPr>
        <w:t xml:space="preserve"> </w:t>
      </w:r>
      <w:r w:rsidRPr="00A15594">
        <w:rPr>
          <w:rFonts w:cs="TimesNewRoman"/>
          <w:lang w:eastAsia="zh-CN"/>
        </w:rPr>
        <w:t xml:space="preserve">The primary analysis </w:t>
      </w:r>
      <w:r w:rsidR="005A145E">
        <w:rPr>
          <w:rFonts w:cs="Arial"/>
        </w:rPr>
        <w:t>(primary endpoint of hospitalis</w:t>
      </w:r>
      <w:r w:rsidRPr="00A15594">
        <w:rPr>
          <w:rFonts w:cs="Arial"/>
        </w:rPr>
        <w:t>ation due to influenza or pneumonia)</w:t>
      </w:r>
      <w:r w:rsidRPr="00A15594">
        <w:rPr>
          <w:rFonts w:cs="TimesNewRoman"/>
          <w:lang w:eastAsia="zh-CN"/>
        </w:rPr>
        <w:t xml:space="preserve"> was based on outcomes occurring during and including adjacent weeks to the peak of the inf</w:t>
      </w:r>
      <w:r>
        <w:rPr>
          <w:rFonts w:cs="TimesNewRoman"/>
          <w:lang w:eastAsia="zh-CN"/>
        </w:rPr>
        <w:t xml:space="preserve">luenza season. Laboratory </w:t>
      </w:r>
      <w:r w:rsidRPr="00A15594">
        <w:rPr>
          <w:rFonts w:cs="TimesNewRoman"/>
          <w:lang w:eastAsia="zh-CN"/>
        </w:rPr>
        <w:t xml:space="preserve">confirmation </w:t>
      </w:r>
      <w:r w:rsidR="005A145E">
        <w:rPr>
          <w:rFonts w:cs="TimesNewRoman"/>
          <w:lang w:eastAsia="zh-CN"/>
        </w:rPr>
        <w:t>of influenza was not available.</w:t>
      </w:r>
    </w:p>
    <w:p w14:paraId="55CA473E" w14:textId="134A0C0A" w:rsidR="00E97057" w:rsidRDefault="00E97057" w:rsidP="00A70F7D">
      <w:pPr>
        <w:rPr>
          <w:rFonts w:cs="TimesNewRoman"/>
          <w:lang w:eastAsia="zh-CN"/>
        </w:rPr>
      </w:pPr>
      <w:r w:rsidRPr="00A15594">
        <w:rPr>
          <w:rFonts w:cs="TimesNewRoman"/>
          <w:lang w:eastAsia="zh-CN"/>
        </w:rPr>
        <w:t xml:space="preserve">Due to local immunization policy, subjects who received </w:t>
      </w:r>
      <w:proofErr w:type="spellStart"/>
      <w:r w:rsidRPr="00A15594">
        <w:rPr>
          <w:rFonts w:cs="TimesNewRoman"/>
          <w:lang w:eastAsia="zh-CN"/>
        </w:rPr>
        <w:t>aTIV</w:t>
      </w:r>
      <w:proofErr w:type="spellEnd"/>
      <w:r w:rsidRPr="00A15594">
        <w:rPr>
          <w:rFonts w:cs="TimesNewRoman"/>
          <w:lang w:eastAsia="zh-CN"/>
        </w:rPr>
        <w:t xml:space="preserve"> had worse baseline health status than those subjects who received TIV. After adjusting for confounding variables (baseline health status,</w:t>
      </w:r>
      <w:r w:rsidR="005A145E">
        <w:rPr>
          <w:rFonts w:cs="TimesNewRoman"/>
          <w:lang w:eastAsia="zh-CN"/>
        </w:rPr>
        <w:t xml:space="preserve"> others), the risk of hospitalis</w:t>
      </w:r>
      <w:r w:rsidRPr="00A15594">
        <w:rPr>
          <w:rFonts w:cs="TimesNewRoman"/>
          <w:lang w:eastAsia="zh-CN"/>
        </w:rPr>
        <w:t xml:space="preserve">ation for influenza or pneumonia was 25% lower for </w:t>
      </w:r>
      <w:proofErr w:type="spellStart"/>
      <w:r w:rsidRPr="00A15594">
        <w:rPr>
          <w:rFonts w:cs="TimesNewRoman"/>
          <w:lang w:eastAsia="zh-CN"/>
        </w:rPr>
        <w:t>aTIV</w:t>
      </w:r>
      <w:proofErr w:type="spellEnd"/>
      <w:r w:rsidRPr="00A15594">
        <w:rPr>
          <w:rFonts w:cs="TimesNewRoman"/>
          <w:lang w:eastAsia="zh-CN"/>
        </w:rPr>
        <w:t xml:space="preserve"> </w:t>
      </w:r>
      <w:r>
        <w:rPr>
          <w:rFonts w:cs="TimesNewRoman"/>
          <w:lang w:eastAsia="zh-CN"/>
        </w:rPr>
        <w:t xml:space="preserve">recipients </w:t>
      </w:r>
      <w:r w:rsidRPr="00A15594">
        <w:rPr>
          <w:rFonts w:cs="TimesNewRoman"/>
          <w:lang w:eastAsia="zh-CN"/>
        </w:rPr>
        <w:t xml:space="preserve">relative to TIV </w:t>
      </w:r>
      <w:r w:rsidRPr="00E27164">
        <w:rPr>
          <w:rFonts w:cs="TimesNewRoman"/>
          <w:lang w:eastAsia="zh-CN"/>
        </w:rPr>
        <w:t xml:space="preserve">recipients </w:t>
      </w:r>
      <w:r w:rsidRPr="00A15594">
        <w:rPr>
          <w:rFonts w:cs="TimesNewRoman"/>
          <w:lang w:eastAsia="zh-CN"/>
        </w:rPr>
        <w:t>(relative risk = 0.75, 95% CI: 0.57</w:t>
      </w:r>
      <w:r w:rsidR="00DB49CE">
        <w:rPr>
          <w:rFonts w:cs="TimesNewRoman"/>
          <w:lang w:eastAsia="zh-CN"/>
        </w:rPr>
        <w:t xml:space="preserve"> to </w:t>
      </w:r>
      <w:r w:rsidRPr="00A15594">
        <w:rPr>
          <w:rFonts w:cs="TimesNewRoman"/>
          <w:lang w:eastAsia="zh-CN"/>
        </w:rPr>
        <w:t>0.98). Outside of the influenza season,</w:t>
      </w:r>
      <w:r w:rsidR="005A145E">
        <w:rPr>
          <w:rFonts w:cs="TimesNewRoman"/>
          <w:lang w:eastAsia="zh-CN"/>
        </w:rPr>
        <w:t xml:space="preserve"> the baseline risk of hospitalis</w:t>
      </w:r>
      <w:r w:rsidRPr="00A15594">
        <w:rPr>
          <w:rFonts w:cs="TimesNewRoman"/>
          <w:lang w:eastAsia="zh-CN"/>
        </w:rPr>
        <w:t xml:space="preserve">ation was higher for </w:t>
      </w:r>
      <w:proofErr w:type="spellStart"/>
      <w:r w:rsidRPr="00A15594">
        <w:rPr>
          <w:rFonts w:cs="TimesNewRoman"/>
          <w:lang w:eastAsia="zh-CN"/>
        </w:rPr>
        <w:t>aTIV</w:t>
      </w:r>
      <w:proofErr w:type="spellEnd"/>
      <w:r w:rsidRPr="00A15594">
        <w:rPr>
          <w:rFonts w:cs="TimesNewRoman"/>
          <w:lang w:eastAsia="zh-CN"/>
        </w:rPr>
        <w:t xml:space="preserve"> than for TIV recipients indicating that the analysis had not removed all confounding.</w:t>
      </w:r>
    </w:p>
    <w:p w14:paraId="4C1BE64C" w14:textId="77777777" w:rsidR="005A145E" w:rsidRDefault="005A145E" w:rsidP="005A145E">
      <w:pPr>
        <w:pStyle w:val="Heading6"/>
        <w:rPr>
          <w:lang w:eastAsia="zh-CN"/>
        </w:rPr>
      </w:pPr>
      <w:r w:rsidRPr="00626437">
        <w:rPr>
          <w:lang w:eastAsia="zh-CN"/>
        </w:rPr>
        <w:t>Study V70_49OBTP</w:t>
      </w:r>
    </w:p>
    <w:p w14:paraId="655EC41A" w14:textId="0968630A" w:rsidR="002466F9" w:rsidRDefault="005A145E" w:rsidP="00A70F7D">
      <w:pPr>
        <w:rPr>
          <w:lang w:eastAsia="zh-CN"/>
        </w:rPr>
      </w:pPr>
      <w:r>
        <w:rPr>
          <w:lang w:eastAsia="zh-CN"/>
        </w:rPr>
        <w:t>This</w:t>
      </w:r>
      <w:r w:rsidR="00E97057" w:rsidRPr="00626437">
        <w:rPr>
          <w:lang w:eastAsia="zh-CN"/>
        </w:rPr>
        <w:t xml:space="preserve"> was a </w:t>
      </w:r>
      <w:r w:rsidR="00E97057">
        <w:rPr>
          <w:lang w:eastAsia="zh-CN"/>
        </w:rPr>
        <w:t xml:space="preserve">small </w:t>
      </w:r>
      <w:r w:rsidR="00E97057" w:rsidRPr="00626437">
        <w:rPr>
          <w:rFonts w:cs="Arial"/>
        </w:rPr>
        <w:t xml:space="preserve">retrospective case-control </w:t>
      </w:r>
      <w:r w:rsidR="00E97057" w:rsidRPr="00626437">
        <w:rPr>
          <w:lang w:eastAsia="zh-CN"/>
        </w:rPr>
        <w:t xml:space="preserve">study </w:t>
      </w:r>
      <w:r w:rsidR="00E97057" w:rsidRPr="00626437">
        <w:rPr>
          <w:rFonts w:cs="TimesNewRomanPSMT"/>
          <w:lang w:eastAsia="zh-CN"/>
        </w:rPr>
        <w:t>conducted in 2011/2012 season. The study used</w:t>
      </w:r>
      <w:r w:rsidR="00E97057" w:rsidRPr="00626437">
        <w:rPr>
          <w:lang w:eastAsia="zh-CN"/>
        </w:rPr>
        <w:t xml:space="preserve"> a test-negative design to estimate vaccine effectiveness of </w:t>
      </w:r>
      <w:proofErr w:type="spellStart"/>
      <w:r w:rsidR="00E97057" w:rsidRPr="00626437">
        <w:rPr>
          <w:lang w:eastAsia="zh-CN"/>
        </w:rPr>
        <w:t>aTIV</w:t>
      </w:r>
      <w:proofErr w:type="spellEnd"/>
      <w:r w:rsidR="00E97057" w:rsidRPr="00626437">
        <w:rPr>
          <w:lang w:eastAsia="zh-CN"/>
        </w:rPr>
        <w:t xml:space="preserve"> versus a non</w:t>
      </w:r>
      <w:r w:rsidR="00956A07">
        <w:rPr>
          <w:lang w:eastAsia="zh-CN"/>
        </w:rPr>
        <w:t xml:space="preserve"> </w:t>
      </w:r>
      <w:proofErr w:type="spellStart"/>
      <w:r w:rsidR="00956A07">
        <w:rPr>
          <w:lang w:eastAsia="zh-CN"/>
        </w:rPr>
        <w:t>adjuvanted</w:t>
      </w:r>
      <w:proofErr w:type="spellEnd"/>
      <w:r w:rsidR="00E97057">
        <w:rPr>
          <w:lang w:eastAsia="zh-CN"/>
        </w:rPr>
        <w:t xml:space="preserve"> TIV (</w:t>
      </w:r>
      <w:r w:rsidR="00E97057" w:rsidRPr="00626437">
        <w:rPr>
          <w:lang w:eastAsia="zh-CN"/>
        </w:rPr>
        <w:t xml:space="preserve">predominantly </w:t>
      </w:r>
      <w:proofErr w:type="spellStart"/>
      <w:r w:rsidR="00E97057" w:rsidRPr="00626437">
        <w:rPr>
          <w:lang w:eastAsia="zh-CN"/>
        </w:rPr>
        <w:t>Fluviral</w:t>
      </w:r>
      <w:proofErr w:type="spellEnd"/>
      <w:r w:rsidR="00E97057" w:rsidRPr="00626437">
        <w:rPr>
          <w:lang w:eastAsia="zh-CN"/>
        </w:rPr>
        <w:t>), or no vaccination in subjects ≥</w:t>
      </w:r>
      <w:r>
        <w:rPr>
          <w:lang w:eastAsia="zh-CN"/>
        </w:rPr>
        <w:t xml:space="preserve"> </w:t>
      </w:r>
      <w:r w:rsidR="00E97057" w:rsidRPr="005A145E">
        <w:t>65 years of age i</w:t>
      </w:r>
      <w:r w:rsidR="00A67A4F">
        <w:t>n 3 Canadian Health Authorities</w:t>
      </w:r>
      <w:r w:rsidR="00E97057" w:rsidRPr="005A145E">
        <w:t>.</w:t>
      </w:r>
      <w:r w:rsidR="00A67A4F">
        <w:rPr>
          <w:rStyle w:val="FootnoteReference"/>
        </w:rPr>
        <w:footnoteReference w:id="5"/>
      </w:r>
      <w:r w:rsidR="00E97057" w:rsidRPr="005A145E">
        <w:t xml:space="preserve"> Cases were defined as </w:t>
      </w:r>
      <w:r w:rsidR="0016100F">
        <w:t>r</w:t>
      </w:r>
      <w:r w:rsidR="0016100F" w:rsidRPr="005A145E">
        <w:t xml:space="preserve">everse </w:t>
      </w:r>
      <w:r w:rsidR="0016100F">
        <w:t>t</w:t>
      </w:r>
      <w:r w:rsidR="0016100F" w:rsidRPr="005A145E">
        <w:t xml:space="preserve">ranscription </w:t>
      </w:r>
      <w:r w:rsidR="0016100F">
        <w:t>p</w:t>
      </w:r>
      <w:r w:rsidR="0016100F" w:rsidRPr="005A145E">
        <w:t xml:space="preserve">olymerase </w:t>
      </w:r>
      <w:r w:rsidR="0016100F">
        <w:t>chain r</w:t>
      </w:r>
      <w:r w:rsidR="0016100F" w:rsidRPr="005A145E">
        <w:t xml:space="preserve">eaction </w:t>
      </w:r>
      <w:r w:rsidRPr="005A145E">
        <w:t>(RT-PCR)</w:t>
      </w:r>
      <w:r w:rsidR="00E97057" w:rsidRPr="005A145E">
        <w:t xml:space="preserve"> confirmed influenza following onset of ILI and controls were defined as patients with ILI but who</w:t>
      </w:r>
      <w:r w:rsidR="00E97057" w:rsidRPr="00626437">
        <w:rPr>
          <w:lang w:eastAsia="zh-CN"/>
        </w:rPr>
        <w:t xml:space="preserve"> were influenza PCR-negative.</w:t>
      </w:r>
    </w:p>
    <w:p w14:paraId="7F96191F" w14:textId="4F6A3C7C" w:rsidR="00E97057" w:rsidRPr="00626437" w:rsidRDefault="00E97057" w:rsidP="00A70F7D">
      <w:pPr>
        <w:rPr>
          <w:rFonts w:cs="Arial"/>
        </w:rPr>
      </w:pPr>
      <w:r w:rsidRPr="00626437">
        <w:rPr>
          <w:lang w:eastAsia="zh-CN"/>
        </w:rPr>
        <w:t>In total, 282 subjects (84 cases and 198 controls) were enrolled among whom 227</w:t>
      </w:r>
      <w:r w:rsidR="0016100F">
        <w:rPr>
          <w:lang w:eastAsia="zh-CN"/>
        </w:rPr>
        <w:t> </w:t>
      </w:r>
      <w:r w:rsidRPr="00626437">
        <w:rPr>
          <w:lang w:eastAsia="zh-CN"/>
        </w:rPr>
        <w:t xml:space="preserve">subjects had received routine vaccination, comprising of 165 subjects vaccinated with </w:t>
      </w:r>
      <w:proofErr w:type="spellStart"/>
      <w:r w:rsidRPr="00626437">
        <w:rPr>
          <w:lang w:eastAsia="zh-CN"/>
        </w:rPr>
        <w:t>aTIV</w:t>
      </w:r>
      <w:proofErr w:type="spellEnd"/>
      <w:r w:rsidR="002466F9">
        <w:rPr>
          <w:lang w:eastAsia="zh-CN"/>
        </w:rPr>
        <w:t>;</w:t>
      </w:r>
      <w:r w:rsidRPr="00626437">
        <w:rPr>
          <w:lang w:eastAsia="zh-CN"/>
        </w:rPr>
        <w:t xml:space="preserve"> 62 with a non</w:t>
      </w:r>
      <w:r w:rsidR="00956A07">
        <w:rPr>
          <w:lang w:eastAsia="zh-CN"/>
        </w:rPr>
        <w:t xml:space="preserve"> </w:t>
      </w:r>
      <w:proofErr w:type="spellStart"/>
      <w:r w:rsidR="00956A07">
        <w:rPr>
          <w:lang w:eastAsia="zh-CN"/>
        </w:rPr>
        <w:t>adjuvanted</w:t>
      </w:r>
      <w:proofErr w:type="spellEnd"/>
      <w:r w:rsidRPr="00626437">
        <w:rPr>
          <w:lang w:eastAsia="zh-CN"/>
        </w:rPr>
        <w:t xml:space="preserve"> TIV and 55 non-vaccinated subjects. The majority of the participants reported at least a one chronic disease (89%).</w:t>
      </w:r>
      <w:r w:rsidRPr="00626437">
        <w:rPr>
          <w:rFonts w:cs="Arial"/>
        </w:rPr>
        <w:t xml:space="preserve"> </w:t>
      </w:r>
      <w:r w:rsidRPr="00626437">
        <w:rPr>
          <w:lang w:eastAsia="zh-CN"/>
        </w:rPr>
        <w:t xml:space="preserve">After adjustment for confounding variables (age, sex, residency in long-term care facility, chronic conditions, region and week of testing), the absolute vaccine effectiveness for </w:t>
      </w:r>
      <w:proofErr w:type="spellStart"/>
      <w:r w:rsidRPr="00626437">
        <w:rPr>
          <w:lang w:eastAsia="zh-CN"/>
        </w:rPr>
        <w:t>aTIV</w:t>
      </w:r>
      <w:proofErr w:type="spellEnd"/>
      <w:r w:rsidRPr="00626437">
        <w:rPr>
          <w:lang w:eastAsia="zh-CN"/>
        </w:rPr>
        <w:t xml:space="preserve"> was 58% (95%</w:t>
      </w:r>
      <w:r w:rsidR="0016100F">
        <w:rPr>
          <w:lang w:eastAsia="zh-CN"/>
        </w:rPr>
        <w:t> </w:t>
      </w:r>
      <w:r w:rsidRPr="00626437">
        <w:rPr>
          <w:lang w:eastAsia="zh-CN"/>
        </w:rPr>
        <w:t>CI:</w:t>
      </w:r>
      <w:r w:rsidR="0016100F">
        <w:rPr>
          <w:lang w:eastAsia="zh-CN"/>
        </w:rPr>
        <w:t> </w:t>
      </w:r>
      <w:r w:rsidRPr="00626437">
        <w:rPr>
          <w:lang w:eastAsia="zh-CN"/>
        </w:rPr>
        <w:t xml:space="preserve">5%, 82%; </w:t>
      </w:r>
      <w:r w:rsidRPr="002466F9">
        <w:rPr>
          <w:rFonts w:cs="TimesNewRoman,Italic"/>
          <w:iCs/>
          <w:lang w:eastAsia="zh-CN"/>
        </w:rPr>
        <w:t>P &lt; 0.04</w:t>
      </w:r>
      <w:r w:rsidRPr="00626437">
        <w:rPr>
          <w:lang w:eastAsia="zh-CN"/>
        </w:rPr>
        <w:t xml:space="preserve">) whereas </w:t>
      </w:r>
      <w:r w:rsidR="002466F9">
        <w:rPr>
          <w:lang w:eastAsia="zh-CN"/>
        </w:rPr>
        <w:t xml:space="preserve">the </w:t>
      </w:r>
      <w:r w:rsidRPr="00626437">
        <w:rPr>
          <w:lang w:eastAsia="zh-CN"/>
        </w:rPr>
        <w:t>non</w:t>
      </w:r>
      <w:r w:rsidR="00956A07">
        <w:rPr>
          <w:lang w:eastAsia="zh-CN"/>
        </w:rPr>
        <w:t xml:space="preserve"> </w:t>
      </w:r>
      <w:proofErr w:type="spellStart"/>
      <w:r w:rsidR="00956A07">
        <w:rPr>
          <w:lang w:eastAsia="zh-CN"/>
        </w:rPr>
        <w:t>adjuvanted</w:t>
      </w:r>
      <w:proofErr w:type="spellEnd"/>
      <w:r w:rsidRPr="00626437">
        <w:rPr>
          <w:lang w:eastAsia="zh-CN"/>
        </w:rPr>
        <w:t xml:space="preserve"> TIV was ineffective compared to no vaccination. The relative vaccine effectiveness for </w:t>
      </w:r>
      <w:proofErr w:type="spellStart"/>
      <w:r w:rsidRPr="00626437">
        <w:rPr>
          <w:lang w:eastAsia="zh-CN"/>
        </w:rPr>
        <w:t>aTIV</w:t>
      </w:r>
      <w:proofErr w:type="spellEnd"/>
      <w:r w:rsidRPr="00626437">
        <w:rPr>
          <w:lang w:eastAsia="zh-CN"/>
        </w:rPr>
        <w:t xml:space="preserve"> </w:t>
      </w:r>
      <w:r>
        <w:rPr>
          <w:lang w:eastAsia="zh-CN"/>
        </w:rPr>
        <w:t xml:space="preserve">to </w:t>
      </w:r>
      <w:r w:rsidRPr="00E27164">
        <w:rPr>
          <w:lang w:eastAsia="zh-CN"/>
        </w:rPr>
        <w:t>non</w:t>
      </w:r>
      <w:r w:rsidR="00956A07">
        <w:rPr>
          <w:lang w:eastAsia="zh-CN"/>
        </w:rPr>
        <w:t xml:space="preserve"> </w:t>
      </w:r>
      <w:proofErr w:type="spellStart"/>
      <w:r w:rsidR="00956A07">
        <w:rPr>
          <w:lang w:eastAsia="zh-CN"/>
        </w:rPr>
        <w:t>adjuvanted</w:t>
      </w:r>
      <w:proofErr w:type="spellEnd"/>
      <w:r w:rsidRPr="00E27164">
        <w:rPr>
          <w:lang w:eastAsia="zh-CN"/>
        </w:rPr>
        <w:t xml:space="preserve"> TIV</w:t>
      </w:r>
      <w:r>
        <w:rPr>
          <w:lang w:eastAsia="zh-CN"/>
        </w:rPr>
        <w:t xml:space="preserve"> </w:t>
      </w:r>
      <w:r w:rsidRPr="00626437">
        <w:rPr>
          <w:lang w:eastAsia="zh-CN"/>
        </w:rPr>
        <w:t>was 63% (95% CI: 4%, 86</w:t>
      </w:r>
      <w:r w:rsidRPr="002466F9">
        <w:rPr>
          <w:lang w:eastAsia="zh-CN"/>
        </w:rPr>
        <w:t xml:space="preserve">%; </w:t>
      </w:r>
      <w:r w:rsidRPr="002466F9">
        <w:rPr>
          <w:rFonts w:cs="TimesNewRoman,Italic"/>
          <w:iCs/>
          <w:lang w:eastAsia="zh-CN"/>
        </w:rPr>
        <w:t>P = 0.04</w:t>
      </w:r>
      <w:r w:rsidRPr="002466F9">
        <w:rPr>
          <w:lang w:eastAsia="zh-CN"/>
        </w:rPr>
        <w:t>). T</w:t>
      </w:r>
      <w:r>
        <w:rPr>
          <w:lang w:eastAsia="zh-CN"/>
        </w:rPr>
        <w:t>he limitation of this study include single season with low influenza activity and very small sample size.</w:t>
      </w:r>
    </w:p>
    <w:p w14:paraId="3C4EA7E2" w14:textId="77777777" w:rsidR="00E97057" w:rsidRDefault="002466F9" w:rsidP="00A70F7D">
      <w:pPr>
        <w:pStyle w:val="Heading4"/>
      </w:pPr>
      <w:r>
        <w:t>S</w:t>
      </w:r>
      <w:r w:rsidR="00E97057">
        <w:t>afety</w:t>
      </w:r>
    </w:p>
    <w:p w14:paraId="308B590D" w14:textId="46008741" w:rsidR="00E97057" w:rsidRPr="003D2607" w:rsidRDefault="00E97057" w:rsidP="00A70F7D">
      <w:pPr>
        <w:rPr>
          <w:lang w:eastAsia="zh-CN"/>
        </w:rPr>
      </w:pPr>
      <w:r w:rsidRPr="003D2607">
        <w:rPr>
          <w:lang w:eastAsia="zh-CN"/>
        </w:rPr>
        <w:t xml:space="preserve">The clinical safety database to support the licensure of </w:t>
      </w:r>
      <w:proofErr w:type="spellStart"/>
      <w:r w:rsidRPr="003D2607">
        <w:rPr>
          <w:lang w:eastAsia="zh-CN"/>
        </w:rPr>
        <w:t>aQIV</w:t>
      </w:r>
      <w:proofErr w:type="spellEnd"/>
      <w:r w:rsidRPr="003D2607">
        <w:rPr>
          <w:lang w:eastAsia="zh-CN"/>
        </w:rPr>
        <w:t xml:space="preserve"> in individuals ≥</w:t>
      </w:r>
      <w:r w:rsidR="002466F9">
        <w:rPr>
          <w:lang w:eastAsia="zh-CN"/>
        </w:rPr>
        <w:t xml:space="preserve"> </w:t>
      </w:r>
      <w:r w:rsidRPr="003D2607">
        <w:rPr>
          <w:lang w:eastAsia="zh-CN"/>
        </w:rPr>
        <w:t xml:space="preserve">65 years of age includes 888 subjects exposed to </w:t>
      </w:r>
      <w:proofErr w:type="spellStart"/>
      <w:r w:rsidRPr="003D2607">
        <w:rPr>
          <w:lang w:eastAsia="zh-CN"/>
        </w:rPr>
        <w:t>aQIV</w:t>
      </w:r>
      <w:proofErr w:type="spellEnd"/>
      <w:r w:rsidR="002466F9">
        <w:rPr>
          <w:lang w:eastAsia="zh-CN"/>
        </w:rPr>
        <w:t xml:space="preserve"> </w:t>
      </w:r>
      <w:r w:rsidRPr="003D2607">
        <w:rPr>
          <w:lang w:eastAsia="zh-CN"/>
        </w:rPr>
        <w:t xml:space="preserve">and 5146 subjects exposed to </w:t>
      </w:r>
      <w:proofErr w:type="spellStart"/>
      <w:r w:rsidRPr="003D2607">
        <w:rPr>
          <w:lang w:eastAsia="zh-CN"/>
        </w:rPr>
        <w:t>aTIV</w:t>
      </w:r>
      <w:proofErr w:type="spellEnd"/>
      <w:r w:rsidRPr="003D2607">
        <w:rPr>
          <w:lang w:eastAsia="zh-CN"/>
        </w:rPr>
        <w:t xml:space="preserve"> (aTIV-1) or aTI</w:t>
      </w:r>
      <w:r w:rsidR="00EA07B6">
        <w:rPr>
          <w:lang w:eastAsia="zh-CN"/>
        </w:rPr>
        <w:t>V-2.</w:t>
      </w:r>
    </w:p>
    <w:p w14:paraId="6CE41A4B" w14:textId="18465422" w:rsidR="002466F9" w:rsidRDefault="00E97057" w:rsidP="00A70F7D">
      <w:pPr>
        <w:rPr>
          <w:color w:val="000000"/>
          <w:lang w:eastAsia="zh-CN"/>
        </w:rPr>
      </w:pPr>
      <w:r>
        <w:rPr>
          <w:color w:val="000000"/>
          <w:lang w:eastAsia="zh-CN"/>
        </w:rPr>
        <w:t xml:space="preserve">In Study </w:t>
      </w:r>
      <w:r w:rsidRPr="009042C0">
        <w:t>V118_20</w:t>
      </w:r>
      <w:r>
        <w:rPr>
          <w:color w:val="000000"/>
          <w:lang w:eastAsia="zh-CN"/>
        </w:rPr>
        <w:t>, t</w:t>
      </w:r>
      <w:r w:rsidRPr="0037040D">
        <w:rPr>
          <w:color w:val="000000"/>
          <w:lang w:eastAsia="zh-CN"/>
        </w:rPr>
        <w:t xml:space="preserve">he </w:t>
      </w:r>
      <w:proofErr w:type="spellStart"/>
      <w:r w:rsidRPr="0037040D">
        <w:rPr>
          <w:color w:val="000000"/>
          <w:lang w:eastAsia="zh-CN"/>
        </w:rPr>
        <w:t>reactogenicity</w:t>
      </w:r>
      <w:proofErr w:type="spellEnd"/>
      <w:r w:rsidRPr="0037040D">
        <w:rPr>
          <w:color w:val="000000"/>
          <w:lang w:eastAsia="zh-CN"/>
        </w:rPr>
        <w:t xml:space="preserve"> profiles of </w:t>
      </w:r>
      <w:r>
        <w:rPr>
          <w:color w:val="000000"/>
          <w:lang w:eastAsia="zh-CN"/>
        </w:rPr>
        <w:t xml:space="preserve">the </w:t>
      </w:r>
      <w:proofErr w:type="spellStart"/>
      <w:r>
        <w:rPr>
          <w:color w:val="000000"/>
          <w:lang w:eastAsia="zh-CN"/>
        </w:rPr>
        <w:t>aQIV</w:t>
      </w:r>
      <w:proofErr w:type="spellEnd"/>
      <w:r>
        <w:rPr>
          <w:color w:val="000000"/>
          <w:lang w:eastAsia="zh-CN"/>
        </w:rPr>
        <w:t xml:space="preserve"> and </w:t>
      </w:r>
      <w:proofErr w:type="spellStart"/>
      <w:r>
        <w:rPr>
          <w:color w:val="000000"/>
          <w:lang w:eastAsia="zh-CN"/>
        </w:rPr>
        <w:t>aTIV</w:t>
      </w:r>
      <w:proofErr w:type="spellEnd"/>
      <w:r>
        <w:rPr>
          <w:color w:val="000000"/>
          <w:lang w:eastAsia="zh-CN"/>
        </w:rPr>
        <w:t xml:space="preserve"> vaccines were generally comparable</w:t>
      </w:r>
      <w:r w:rsidRPr="0037040D">
        <w:rPr>
          <w:color w:val="000000"/>
          <w:lang w:eastAsia="zh-CN"/>
        </w:rPr>
        <w:t>. The observed rates of soli</w:t>
      </w:r>
      <w:r>
        <w:rPr>
          <w:color w:val="000000"/>
          <w:lang w:eastAsia="zh-CN"/>
        </w:rPr>
        <w:t xml:space="preserve">cited local </w:t>
      </w:r>
      <w:r w:rsidR="002466F9">
        <w:rPr>
          <w:color w:val="000000"/>
          <w:lang w:eastAsia="zh-CN"/>
        </w:rPr>
        <w:t>adverse events (</w:t>
      </w:r>
      <w:r>
        <w:rPr>
          <w:color w:val="000000"/>
          <w:lang w:eastAsia="zh-CN"/>
        </w:rPr>
        <w:t>AE</w:t>
      </w:r>
      <w:r w:rsidR="002466F9">
        <w:rPr>
          <w:color w:val="000000"/>
          <w:lang w:eastAsia="zh-CN"/>
        </w:rPr>
        <w:t>)</w:t>
      </w:r>
      <w:r>
        <w:rPr>
          <w:color w:val="000000"/>
          <w:lang w:eastAsia="zh-CN"/>
        </w:rPr>
        <w:t xml:space="preserve"> were </w:t>
      </w:r>
      <w:r w:rsidRPr="0037040D">
        <w:rPr>
          <w:color w:val="000000"/>
          <w:lang w:eastAsia="zh-CN"/>
        </w:rPr>
        <w:t xml:space="preserve">slightly higher in the </w:t>
      </w:r>
      <w:proofErr w:type="spellStart"/>
      <w:r w:rsidRPr="0037040D">
        <w:rPr>
          <w:color w:val="000000"/>
          <w:lang w:eastAsia="zh-CN"/>
        </w:rPr>
        <w:t>aQIV</w:t>
      </w:r>
      <w:proofErr w:type="spellEnd"/>
      <w:r w:rsidRPr="0037040D">
        <w:rPr>
          <w:color w:val="000000"/>
          <w:lang w:eastAsia="zh-CN"/>
        </w:rPr>
        <w:t xml:space="preserve"> group compared to the </w:t>
      </w:r>
      <w:proofErr w:type="spellStart"/>
      <w:r w:rsidRPr="0037040D">
        <w:rPr>
          <w:color w:val="000000"/>
          <w:lang w:eastAsia="zh-CN"/>
        </w:rPr>
        <w:t>a</w:t>
      </w:r>
      <w:r>
        <w:rPr>
          <w:color w:val="000000"/>
          <w:lang w:eastAsia="zh-CN"/>
        </w:rPr>
        <w:t>TIV</w:t>
      </w:r>
      <w:proofErr w:type="spellEnd"/>
      <w:r>
        <w:rPr>
          <w:color w:val="000000"/>
          <w:lang w:eastAsia="zh-CN"/>
        </w:rPr>
        <w:t xml:space="preserve"> groups (aTIV-1 and aTIV-2)</w:t>
      </w:r>
      <w:r w:rsidRPr="0037040D">
        <w:rPr>
          <w:color w:val="000000"/>
          <w:lang w:eastAsia="zh-CN"/>
        </w:rPr>
        <w:t xml:space="preserve">. </w:t>
      </w:r>
      <w:r w:rsidR="002466F9">
        <w:rPr>
          <w:color w:val="000000"/>
          <w:lang w:eastAsia="zh-CN"/>
        </w:rPr>
        <w:t>The m</w:t>
      </w:r>
      <w:r w:rsidRPr="0037040D">
        <w:rPr>
          <w:color w:val="000000"/>
          <w:lang w:eastAsia="zh-CN"/>
        </w:rPr>
        <w:t>ajority of local rea</w:t>
      </w:r>
      <w:r>
        <w:rPr>
          <w:color w:val="000000"/>
          <w:lang w:eastAsia="zh-CN"/>
        </w:rPr>
        <w:t xml:space="preserve">ctions were of mild or moderate severity and </w:t>
      </w:r>
      <w:r w:rsidRPr="0037040D">
        <w:rPr>
          <w:color w:val="000000"/>
          <w:lang w:eastAsia="zh-CN"/>
        </w:rPr>
        <w:t>resolve</w:t>
      </w:r>
      <w:r w:rsidR="002466F9">
        <w:rPr>
          <w:color w:val="000000"/>
          <w:lang w:eastAsia="zh-CN"/>
        </w:rPr>
        <w:t>d within 3 days.</w:t>
      </w:r>
    </w:p>
    <w:p w14:paraId="05D18F88" w14:textId="7A7FF6C0" w:rsidR="002466F9" w:rsidRDefault="00E97057" w:rsidP="00A70F7D">
      <w:pPr>
        <w:rPr>
          <w:color w:val="000000"/>
          <w:lang w:eastAsia="zh-CN"/>
        </w:rPr>
      </w:pPr>
      <w:r>
        <w:rPr>
          <w:color w:val="000000"/>
          <w:lang w:eastAsia="zh-CN"/>
        </w:rPr>
        <w:t xml:space="preserve">The most </w:t>
      </w:r>
      <w:r w:rsidRPr="0037040D">
        <w:rPr>
          <w:color w:val="000000"/>
          <w:lang w:eastAsia="zh-CN"/>
        </w:rPr>
        <w:t>commonly reported local solicited AE was injec</w:t>
      </w:r>
      <w:r>
        <w:rPr>
          <w:color w:val="000000"/>
          <w:lang w:eastAsia="zh-CN"/>
        </w:rPr>
        <w:t xml:space="preserve">tion site pain. Severe pain was </w:t>
      </w:r>
      <w:r w:rsidRPr="0037040D">
        <w:rPr>
          <w:color w:val="000000"/>
          <w:lang w:eastAsia="zh-CN"/>
        </w:rPr>
        <w:t>reported by &lt;</w:t>
      </w:r>
      <w:r w:rsidR="001F0BA9">
        <w:rPr>
          <w:color w:val="000000"/>
          <w:lang w:eastAsia="zh-CN"/>
        </w:rPr>
        <w:t> </w:t>
      </w:r>
      <w:r w:rsidRPr="0037040D">
        <w:rPr>
          <w:color w:val="000000"/>
          <w:lang w:eastAsia="zh-CN"/>
        </w:rPr>
        <w:t>1</w:t>
      </w:r>
      <w:r>
        <w:rPr>
          <w:color w:val="000000"/>
          <w:lang w:eastAsia="zh-CN"/>
        </w:rPr>
        <w:t xml:space="preserve">% subjects in each study group. </w:t>
      </w:r>
      <w:r w:rsidRPr="0037040D">
        <w:rPr>
          <w:color w:val="000000"/>
          <w:lang w:eastAsia="zh-CN"/>
        </w:rPr>
        <w:t xml:space="preserve">The observed rates of solicited systemic AEs were </w:t>
      </w:r>
      <w:r>
        <w:rPr>
          <w:color w:val="000000"/>
          <w:lang w:eastAsia="zh-CN"/>
        </w:rPr>
        <w:t xml:space="preserve">also </w:t>
      </w:r>
      <w:r w:rsidRPr="0037040D">
        <w:rPr>
          <w:color w:val="000000"/>
          <w:lang w:eastAsia="zh-CN"/>
        </w:rPr>
        <w:t>sim</w:t>
      </w:r>
      <w:r>
        <w:rPr>
          <w:color w:val="000000"/>
          <w:lang w:eastAsia="zh-CN"/>
        </w:rPr>
        <w:t xml:space="preserve">ilar between the vaccine </w:t>
      </w:r>
      <w:r w:rsidRPr="0037040D">
        <w:rPr>
          <w:color w:val="000000"/>
          <w:lang w:eastAsia="zh-CN"/>
        </w:rPr>
        <w:t>groups</w:t>
      </w:r>
      <w:r>
        <w:rPr>
          <w:color w:val="000000"/>
          <w:lang w:eastAsia="zh-CN"/>
        </w:rPr>
        <w:t xml:space="preserve">. </w:t>
      </w:r>
      <w:r w:rsidRPr="0037040D">
        <w:rPr>
          <w:color w:val="000000"/>
          <w:lang w:eastAsia="zh-CN"/>
        </w:rPr>
        <w:t>The most commonly reported systemic solici</w:t>
      </w:r>
      <w:r>
        <w:rPr>
          <w:color w:val="000000"/>
          <w:lang w:eastAsia="zh-CN"/>
        </w:rPr>
        <w:t xml:space="preserve">ted AEs were </w:t>
      </w:r>
      <w:r w:rsidRPr="0037040D">
        <w:rPr>
          <w:color w:val="000000"/>
          <w:lang w:eastAsia="zh-CN"/>
        </w:rPr>
        <w:t>fatigue (&lt;</w:t>
      </w:r>
      <w:r w:rsidR="001F0BA9">
        <w:rPr>
          <w:color w:val="000000"/>
          <w:lang w:eastAsia="zh-CN"/>
        </w:rPr>
        <w:t> </w:t>
      </w:r>
      <w:r w:rsidRPr="0037040D">
        <w:rPr>
          <w:color w:val="000000"/>
          <w:lang w:eastAsia="zh-CN"/>
        </w:rPr>
        <w:t>17% of subjects), headach</w:t>
      </w:r>
      <w:r>
        <w:rPr>
          <w:color w:val="000000"/>
          <w:lang w:eastAsia="zh-CN"/>
        </w:rPr>
        <w:t>e (&lt;</w:t>
      </w:r>
      <w:r w:rsidR="001F0BA9">
        <w:rPr>
          <w:color w:val="000000"/>
          <w:lang w:eastAsia="zh-CN"/>
        </w:rPr>
        <w:t> </w:t>
      </w:r>
      <w:r>
        <w:rPr>
          <w:color w:val="000000"/>
          <w:lang w:eastAsia="zh-CN"/>
        </w:rPr>
        <w:t>13%), and arthralgia (&lt;</w:t>
      </w:r>
      <w:r w:rsidR="001F0BA9">
        <w:rPr>
          <w:color w:val="000000"/>
          <w:lang w:eastAsia="zh-CN"/>
        </w:rPr>
        <w:t> </w:t>
      </w:r>
      <w:r>
        <w:rPr>
          <w:color w:val="000000"/>
          <w:lang w:eastAsia="zh-CN"/>
        </w:rPr>
        <w:t>10%)</w:t>
      </w:r>
      <w:r w:rsidRPr="0037040D">
        <w:rPr>
          <w:color w:val="000000"/>
          <w:lang w:eastAsia="zh-CN"/>
        </w:rPr>
        <w:t>. Severe systemic sol</w:t>
      </w:r>
      <w:r>
        <w:rPr>
          <w:color w:val="000000"/>
          <w:lang w:eastAsia="zh-CN"/>
        </w:rPr>
        <w:t xml:space="preserve">icited AEs were uncommon in all </w:t>
      </w:r>
      <w:r w:rsidRPr="0037040D">
        <w:rPr>
          <w:color w:val="000000"/>
          <w:lang w:eastAsia="zh-CN"/>
        </w:rPr>
        <w:t xml:space="preserve">vaccine groups and varied from 0% </w:t>
      </w:r>
      <w:r w:rsidRPr="0037040D">
        <w:rPr>
          <w:color w:val="000000"/>
          <w:lang w:eastAsia="zh-CN"/>
        </w:rPr>
        <w:lastRenderedPageBreak/>
        <w:t>to 1.4% in study groups.</w:t>
      </w:r>
      <w:r>
        <w:rPr>
          <w:color w:val="000000"/>
          <w:lang w:eastAsia="zh-CN"/>
        </w:rPr>
        <w:t xml:space="preserve"> </w:t>
      </w:r>
      <w:r w:rsidRPr="005C0E08">
        <w:rPr>
          <w:color w:val="000000"/>
          <w:lang w:eastAsia="zh-CN"/>
        </w:rPr>
        <w:t>Most solicited reactions were reported as mild or moderate in intensity and resolved within 3 days.</w:t>
      </w:r>
      <w:r>
        <w:rPr>
          <w:color w:val="000000"/>
          <w:lang w:eastAsia="zh-CN"/>
        </w:rPr>
        <w:t xml:space="preserve"> </w:t>
      </w:r>
      <w:r w:rsidRPr="005C0E08">
        <w:rPr>
          <w:color w:val="000000"/>
          <w:lang w:eastAsia="zh-CN"/>
        </w:rPr>
        <w:t>The percentages of subjects reporting unsolicited AEs, including those assessed as possibly related to vaccination were comparable across study groups. No unsolicited AEs led to subject withdrawal from the study in any vaccine group.</w:t>
      </w:r>
    </w:p>
    <w:p w14:paraId="537C179E" w14:textId="547693D2" w:rsidR="00E97057" w:rsidRPr="00626437" w:rsidRDefault="00E97057" w:rsidP="00A70F7D">
      <w:pPr>
        <w:rPr>
          <w:color w:val="000000"/>
          <w:lang w:eastAsia="zh-CN"/>
        </w:rPr>
      </w:pPr>
      <w:r w:rsidRPr="00626437">
        <w:rPr>
          <w:rFonts w:cs="Arial"/>
          <w:lang w:eastAsia="zh-CN"/>
        </w:rPr>
        <w:t>No treatment</w:t>
      </w:r>
      <w:r w:rsidR="002466F9">
        <w:rPr>
          <w:rFonts w:cs="Arial"/>
          <w:lang w:eastAsia="zh-CN"/>
        </w:rPr>
        <w:t xml:space="preserve"> </w:t>
      </w:r>
      <w:r w:rsidRPr="00626437">
        <w:rPr>
          <w:rFonts w:cs="Arial"/>
          <w:lang w:eastAsia="zh-CN"/>
        </w:rPr>
        <w:t xml:space="preserve">related </w:t>
      </w:r>
      <w:r w:rsidR="002466F9">
        <w:rPr>
          <w:rFonts w:cs="Arial"/>
          <w:lang w:eastAsia="zh-CN"/>
        </w:rPr>
        <w:t xml:space="preserve">serious </w:t>
      </w:r>
      <w:r w:rsidR="001F0BA9">
        <w:rPr>
          <w:rFonts w:cs="Arial"/>
          <w:lang w:eastAsia="zh-CN"/>
        </w:rPr>
        <w:t xml:space="preserve">adverse events </w:t>
      </w:r>
      <w:r w:rsidR="002466F9">
        <w:rPr>
          <w:rFonts w:cs="Arial"/>
          <w:lang w:eastAsia="zh-CN"/>
        </w:rPr>
        <w:t>(</w:t>
      </w:r>
      <w:r w:rsidRPr="00626437">
        <w:rPr>
          <w:rFonts w:cs="Arial"/>
          <w:lang w:eastAsia="zh-CN"/>
        </w:rPr>
        <w:t>SAE</w:t>
      </w:r>
      <w:r w:rsidR="002466F9">
        <w:rPr>
          <w:rFonts w:cs="Arial"/>
          <w:lang w:eastAsia="zh-CN"/>
        </w:rPr>
        <w:t>)</w:t>
      </w:r>
      <w:r w:rsidRPr="00626437">
        <w:rPr>
          <w:rFonts w:cs="Arial"/>
          <w:lang w:eastAsia="zh-CN"/>
        </w:rPr>
        <w:t xml:space="preserve"> or deaths were reported in the study. Two </w:t>
      </w:r>
      <w:r w:rsidR="001F0BA9">
        <w:rPr>
          <w:rFonts w:cs="Arial"/>
          <w:lang w:eastAsia="zh-CN"/>
        </w:rPr>
        <w:t>adverse events of special interest (AESI)</w:t>
      </w:r>
      <w:r w:rsidRPr="00626437">
        <w:rPr>
          <w:rFonts w:cs="Arial"/>
          <w:lang w:eastAsia="zh-CN"/>
        </w:rPr>
        <w:t xml:space="preserve"> were reported during the study: one </w:t>
      </w:r>
      <w:r w:rsidRPr="002466F9">
        <w:t xml:space="preserve">in the </w:t>
      </w:r>
      <w:proofErr w:type="spellStart"/>
      <w:r w:rsidRPr="002466F9">
        <w:t>Fluad</w:t>
      </w:r>
      <w:proofErr w:type="spellEnd"/>
      <w:r w:rsidRPr="002466F9">
        <w:t xml:space="preserve"> group, and one in the </w:t>
      </w:r>
      <w:proofErr w:type="spellStart"/>
      <w:r w:rsidRPr="002466F9">
        <w:t>Fluad</w:t>
      </w:r>
      <w:proofErr w:type="spellEnd"/>
      <w:r w:rsidRPr="002466F9">
        <w:t xml:space="preserve"> Quad group. Neither of the</w:t>
      </w:r>
      <w:r w:rsidR="001F0BA9">
        <w:t xml:space="preserve"> </w:t>
      </w:r>
      <w:r w:rsidRPr="002466F9">
        <w:t xml:space="preserve">AESIs was considered to be related to study vaccine. The frequency of unsolicited events leading to </w:t>
      </w:r>
      <w:r w:rsidR="002466F9" w:rsidRPr="002466F9">
        <w:t>new onset chronic disease (</w:t>
      </w:r>
      <w:r w:rsidRPr="002466F9">
        <w:t>NOCD</w:t>
      </w:r>
      <w:r w:rsidR="002466F9" w:rsidRPr="002466F9">
        <w:t>)</w:t>
      </w:r>
      <w:r w:rsidRPr="002466F9">
        <w:t xml:space="preserve"> was similar across study groups: </w:t>
      </w:r>
      <w:proofErr w:type="spellStart"/>
      <w:r w:rsidRPr="002466F9">
        <w:t>Fluad</w:t>
      </w:r>
      <w:proofErr w:type="spellEnd"/>
      <w:r w:rsidRPr="002466F9">
        <w:t xml:space="preserve"> Quad (2.6%); </w:t>
      </w:r>
      <w:proofErr w:type="spellStart"/>
      <w:r w:rsidRPr="002466F9">
        <w:t>Fluad</w:t>
      </w:r>
      <w:proofErr w:type="spellEnd"/>
      <w:r w:rsidRPr="002466F9">
        <w:t xml:space="preserve"> (3.6%) and</w:t>
      </w:r>
      <w:r w:rsidRPr="00626437">
        <w:rPr>
          <w:rFonts w:cs="Arial"/>
          <w:lang w:eastAsia="zh-CN"/>
        </w:rPr>
        <w:t xml:space="preserve"> aTIV-2 (3.2%). NOCDs were heterogeneous in nature and</w:t>
      </w:r>
      <w:r>
        <w:rPr>
          <w:color w:val="000000"/>
          <w:lang w:eastAsia="zh-CN"/>
        </w:rPr>
        <w:t xml:space="preserve"> </w:t>
      </w:r>
      <w:r w:rsidRPr="00626437">
        <w:rPr>
          <w:rFonts w:cs="Arial"/>
          <w:lang w:eastAsia="zh-CN"/>
        </w:rPr>
        <w:t>consistent with the clinical conditions spontaneously occurring in subjects 65 years of age and</w:t>
      </w:r>
      <w:r>
        <w:rPr>
          <w:color w:val="000000"/>
          <w:lang w:eastAsia="zh-CN"/>
        </w:rPr>
        <w:t xml:space="preserve"> </w:t>
      </w:r>
      <w:r w:rsidRPr="00626437">
        <w:rPr>
          <w:rFonts w:cs="Arial"/>
          <w:lang w:eastAsia="zh-CN"/>
        </w:rPr>
        <w:t>older. No reported NOCDs were considered related to study vaccine.</w:t>
      </w:r>
    </w:p>
    <w:p w14:paraId="5AA2DF9D" w14:textId="66910CDA" w:rsidR="00E97057" w:rsidRPr="005C0E08" w:rsidRDefault="00E97057" w:rsidP="00A70F7D">
      <w:pPr>
        <w:rPr>
          <w:rFonts w:eastAsia="SymbolMT" w:cs="SymbolMT"/>
          <w:lang w:eastAsia="zh-CN"/>
        </w:rPr>
      </w:pPr>
      <w:r>
        <w:rPr>
          <w:lang w:eastAsia="zh-CN"/>
        </w:rPr>
        <w:t>In Study V70_27</w:t>
      </w:r>
      <w:r>
        <w:rPr>
          <w:rFonts w:eastAsia="SymbolMT" w:cs="SymbolMT"/>
          <w:lang w:eastAsia="zh-CN"/>
        </w:rPr>
        <w:t xml:space="preserve">, </w:t>
      </w:r>
      <w:r w:rsidRPr="0037040D">
        <w:rPr>
          <w:lang w:eastAsia="zh-CN"/>
        </w:rPr>
        <w:t xml:space="preserve">the </w:t>
      </w:r>
      <w:proofErr w:type="spellStart"/>
      <w:r w:rsidRPr="0037040D">
        <w:rPr>
          <w:lang w:eastAsia="zh-CN"/>
        </w:rPr>
        <w:t>reactogenicity</w:t>
      </w:r>
      <w:proofErr w:type="spellEnd"/>
      <w:r w:rsidRPr="0037040D">
        <w:rPr>
          <w:lang w:eastAsia="zh-CN"/>
        </w:rPr>
        <w:t xml:space="preserve"> profiles of </w:t>
      </w:r>
      <w:proofErr w:type="spellStart"/>
      <w:r w:rsidRPr="0037040D">
        <w:rPr>
          <w:lang w:eastAsia="zh-CN"/>
        </w:rPr>
        <w:t>aTIV</w:t>
      </w:r>
      <w:proofErr w:type="spellEnd"/>
      <w:r w:rsidRPr="0037040D">
        <w:rPr>
          <w:lang w:eastAsia="zh-CN"/>
        </w:rPr>
        <w:t xml:space="preserve"> a</w:t>
      </w:r>
      <w:r>
        <w:rPr>
          <w:lang w:eastAsia="zh-CN"/>
        </w:rPr>
        <w:t>nd TIV vaccines were generally comparable</w:t>
      </w:r>
      <w:r w:rsidRPr="0037040D">
        <w:rPr>
          <w:lang w:eastAsia="zh-CN"/>
        </w:rPr>
        <w:t>. The observed rates of solicited local AEs were higher in t</w:t>
      </w:r>
      <w:r>
        <w:rPr>
          <w:lang w:eastAsia="zh-CN"/>
        </w:rPr>
        <w:t xml:space="preserve">he </w:t>
      </w:r>
      <w:proofErr w:type="spellStart"/>
      <w:r w:rsidRPr="0037040D">
        <w:rPr>
          <w:lang w:eastAsia="zh-CN"/>
        </w:rPr>
        <w:t>aTIV</w:t>
      </w:r>
      <w:proofErr w:type="spellEnd"/>
      <w:r w:rsidRPr="0037040D">
        <w:rPr>
          <w:lang w:eastAsia="zh-CN"/>
        </w:rPr>
        <w:t xml:space="preserve"> group compared to the TIV group. </w:t>
      </w:r>
      <w:r>
        <w:rPr>
          <w:lang w:eastAsia="zh-CN"/>
        </w:rPr>
        <w:t xml:space="preserve">The majority of local reactions </w:t>
      </w:r>
      <w:r w:rsidRPr="0037040D">
        <w:rPr>
          <w:lang w:eastAsia="zh-CN"/>
        </w:rPr>
        <w:t xml:space="preserve">were of mild or moderate severity, and </w:t>
      </w:r>
      <w:r>
        <w:rPr>
          <w:lang w:eastAsia="zh-CN"/>
        </w:rPr>
        <w:t>of short duration</w:t>
      </w:r>
      <w:r w:rsidRPr="0037040D">
        <w:rPr>
          <w:lang w:eastAsia="zh-CN"/>
        </w:rPr>
        <w:t xml:space="preserve">. The most commonly </w:t>
      </w:r>
      <w:r>
        <w:rPr>
          <w:lang w:eastAsia="zh-CN"/>
        </w:rPr>
        <w:t xml:space="preserve">reported local solicited AE was </w:t>
      </w:r>
      <w:r w:rsidRPr="0037040D">
        <w:rPr>
          <w:lang w:eastAsia="zh-CN"/>
        </w:rPr>
        <w:t>injection site pain. Severe pain was reported by &lt;1% subjects in each study group.</w:t>
      </w:r>
      <w:r>
        <w:rPr>
          <w:rFonts w:eastAsia="SymbolMT" w:cs="SymbolMT"/>
          <w:lang w:eastAsia="zh-CN"/>
        </w:rPr>
        <w:t xml:space="preserve"> </w:t>
      </w:r>
      <w:r w:rsidRPr="0037040D">
        <w:rPr>
          <w:lang w:eastAsia="zh-CN"/>
        </w:rPr>
        <w:t xml:space="preserve">The observed rates of solicited systemic AEs were </w:t>
      </w:r>
      <w:r>
        <w:rPr>
          <w:lang w:eastAsia="zh-CN"/>
        </w:rPr>
        <w:t xml:space="preserve">also </w:t>
      </w:r>
      <w:r w:rsidRPr="0037040D">
        <w:rPr>
          <w:lang w:eastAsia="zh-CN"/>
        </w:rPr>
        <w:t>sl</w:t>
      </w:r>
      <w:r>
        <w:rPr>
          <w:lang w:eastAsia="zh-CN"/>
        </w:rPr>
        <w:t xml:space="preserve">ightly higher in the </w:t>
      </w:r>
      <w:proofErr w:type="spellStart"/>
      <w:r>
        <w:rPr>
          <w:lang w:eastAsia="zh-CN"/>
        </w:rPr>
        <w:t>aTIV</w:t>
      </w:r>
      <w:proofErr w:type="spellEnd"/>
      <w:r>
        <w:rPr>
          <w:lang w:eastAsia="zh-CN"/>
        </w:rPr>
        <w:t xml:space="preserve"> group </w:t>
      </w:r>
      <w:r w:rsidRPr="0037040D">
        <w:rPr>
          <w:lang w:eastAsia="zh-CN"/>
        </w:rPr>
        <w:t>compared to the TIV group</w:t>
      </w:r>
      <w:r>
        <w:rPr>
          <w:lang w:eastAsia="zh-CN"/>
        </w:rPr>
        <w:t xml:space="preserve"> (32% versus 26%).</w:t>
      </w:r>
      <w:r w:rsidR="00956A07">
        <w:rPr>
          <w:lang w:eastAsia="zh-CN"/>
        </w:rPr>
        <w:t xml:space="preserve"> </w:t>
      </w:r>
      <w:r w:rsidRPr="0037040D">
        <w:rPr>
          <w:lang w:eastAsia="zh-CN"/>
        </w:rPr>
        <w:t>The most commo</w:t>
      </w:r>
      <w:r>
        <w:rPr>
          <w:lang w:eastAsia="zh-CN"/>
        </w:rPr>
        <w:t xml:space="preserve">nly reported systemic solicited </w:t>
      </w:r>
      <w:r w:rsidRPr="0037040D">
        <w:rPr>
          <w:lang w:eastAsia="zh-CN"/>
        </w:rPr>
        <w:t xml:space="preserve">AE was myalgia (15% </w:t>
      </w:r>
      <w:proofErr w:type="spellStart"/>
      <w:r w:rsidRPr="0037040D">
        <w:rPr>
          <w:lang w:eastAsia="zh-CN"/>
        </w:rPr>
        <w:t>aTIV</w:t>
      </w:r>
      <w:proofErr w:type="spellEnd"/>
      <w:r w:rsidRPr="0037040D">
        <w:rPr>
          <w:lang w:eastAsia="zh-CN"/>
        </w:rPr>
        <w:t xml:space="preserve"> versus </w:t>
      </w:r>
      <w:r>
        <w:rPr>
          <w:lang w:eastAsia="zh-CN"/>
        </w:rPr>
        <w:t xml:space="preserve">10% TIV). Severe </w:t>
      </w:r>
      <w:r w:rsidRPr="0037040D">
        <w:rPr>
          <w:lang w:eastAsia="zh-CN"/>
        </w:rPr>
        <w:t>systemic solicited AEs were uncommon (&lt;1%) in both</w:t>
      </w:r>
      <w:r>
        <w:rPr>
          <w:lang w:eastAsia="zh-CN"/>
        </w:rPr>
        <w:t xml:space="preserve"> vaccine groups. Seven systemic </w:t>
      </w:r>
      <w:r w:rsidRPr="0037040D">
        <w:rPr>
          <w:lang w:eastAsia="zh-CN"/>
        </w:rPr>
        <w:t>AEs requiring em</w:t>
      </w:r>
      <w:r w:rsidR="002466F9">
        <w:rPr>
          <w:lang w:eastAsia="zh-CN"/>
        </w:rPr>
        <w:t>ergency room visit or hospitalis</w:t>
      </w:r>
      <w:r w:rsidRPr="0037040D">
        <w:rPr>
          <w:lang w:eastAsia="zh-CN"/>
        </w:rPr>
        <w:t>at</w:t>
      </w:r>
      <w:r>
        <w:rPr>
          <w:lang w:eastAsia="zh-CN"/>
        </w:rPr>
        <w:t xml:space="preserve">ion were reported by 5 subjects </w:t>
      </w:r>
      <w:r w:rsidRPr="0037040D">
        <w:rPr>
          <w:lang w:eastAsia="zh-CN"/>
        </w:rPr>
        <w:t xml:space="preserve">(2 subjects in the </w:t>
      </w:r>
      <w:proofErr w:type="spellStart"/>
      <w:r w:rsidRPr="0037040D">
        <w:rPr>
          <w:lang w:eastAsia="zh-CN"/>
        </w:rPr>
        <w:t>aTIV</w:t>
      </w:r>
      <w:proofErr w:type="spellEnd"/>
      <w:r w:rsidRPr="0037040D">
        <w:rPr>
          <w:lang w:eastAsia="zh-CN"/>
        </w:rPr>
        <w:t xml:space="preserve"> group versus 3</w:t>
      </w:r>
      <w:r w:rsidR="001F0BA9">
        <w:rPr>
          <w:lang w:eastAsia="zh-CN"/>
        </w:rPr>
        <w:t> </w:t>
      </w:r>
      <w:r w:rsidRPr="0037040D">
        <w:rPr>
          <w:lang w:eastAsia="zh-CN"/>
        </w:rPr>
        <w:t>subjects in the</w:t>
      </w:r>
      <w:r>
        <w:rPr>
          <w:lang w:eastAsia="zh-CN"/>
        </w:rPr>
        <w:t xml:space="preserve"> TIV group).</w:t>
      </w:r>
      <w:r w:rsidRPr="0037040D">
        <w:rPr>
          <w:color w:val="0000FF"/>
          <w:lang w:eastAsia="zh-CN"/>
        </w:rPr>
        <w:t xml:space="preserve"> </w:t>
      </w:r>
      <w:r w:rsidRPr="0037040D">
        <w:rPr>
          <w:lang w:eastAsia="zh-CN"/>
        </w:rPr>
        <w:t>Of the 5 s</w:t>
      </w:r>
      <w:r>
        <w:rPr>
          <w:lang w:eastAsia="zh-CN"/>
        </w:rPr>
        <w:t xml:space="preserve">ubjects, 4 subjects were either </w:t>
      </w:r>
      <w:r w:rsidRPr="0037040D">
        <w:rPr>
          <w:lang w:eastAsia="zh-CN"/>
        </w:rPr>
        <w:t>lost to follow up</w:t>
      </w:r>
      <w:r>
        <w:rPr>
          <w:lang w:eastAsia="zh-CN"/>
        </w:rPr>
        <w:t xml:space="preserve"> or withdrew consent, and for 1 </w:t>
      </w:r>
      <w:r w:rsidRPr="0037040D">
        <w:rPr>
          <w:lang w:eastAsia="zh-CN"/>
        </w:rPr>
        <w:t>su</w:t>
      </w:r>
      <w:r>
        <w:rPr>
          <w:lang w:eastAsia="zh-CN"/>
        </w:rPr>
        <w:t xml:space="preserve">bject the reactions subsided by </w:t>
      </w:r>
      <w:r w:rsidRPr="0037040D">
        <w:rPr>
          <w:lang w:eastAsia="zh-CN"/>
        </w:rPr>
        <w:t>Day 6.</w:t>
      </w:r>
      <w:r>
        <w:rPr>
          <w:rFonts w:eastAsia="SymbolMT" w:cs="SymbolMT"/>
          <w:lang w:eastAsia="zh-CN"/>
        </w:rPr>
        <w:t xml:space="preserve"> </w:t>
      </w:r>
      <w:r w:rsidRPr="0037040D">
        <w:rPr>
          <w:lang w:eastAsia="zh-CN"/>
        </w:rPr>
        <w:t>Overall,</w:t>
      </w:r>
      <w:r w:rsidRPr="005C0E08">
        <w:rPr>
          <w:lang w:eastAsia="zh-CN"/>
        </w:rPr>
        <w:t xml:space="preserve"> </w:t>
      </w:r>
      <w:r>
        <w:rPr>
          <w:lang w:eastAsia="zh-CN"/>
        </w:rPr>
        <w:t xml:space="preserve">this </w:t>
      </w:r>
      <w:r w:rsidRPr="005C0E08">
        <w:rPr>
          <w:lang w:eastAsia="zh-CN"/>
        </w:rPr>
        <w:t xml:space="preserve">key supportive </w:t>
      </w:r>
      <w:proofErr w:type="spellStart"/>
      <w:r w:rsidRPr="005C0E08">
        <w:rPr>
          <w:lang w:eastAsia="zh-CN"/>
        </w:rPr>
        <w:t>aTIV</w:t>
      </w:r>
      <w:proofErr w:type="spellEnd"/>
      <w:r w:rsidRPr="005C0E08">
        <w:rPr>
          <w:lang w:eastAsia="zh-CN"/>
        </w:rPr>
        <w:t xml:space="preserve"> study</w:t>
      </w:r>
      <w:r w:rsidRPr="0037040D">
        <w:rPr>
          <w:lang w:eastAsia="zh-CN"/>
        </w:rPr>
        <w:t xml:space="preserve"> </w:t>
      </w:r>
      <w:r w:rsidRPr="005C0E08">
        <w:rPr>
          <w:lang w:eastAsia="zh-CN"/>
        </w:rPr>
        <w:t xml:space="preserve">showed </w:t>
      </w:r>
      <w:r>
        <w:rPr>
          <w:lang w:eastAsia="zh-CN"/>
        </w:rPr>
        <w:t xml:space="preserve">that </w:t>
      </w:r>
      <w:r w:rsidRPr="005C0E08">
        <w:rPr>
          <w:lang w:eastAsia="zh-CN"/>
        </w:rPr>
        <w:t xml:space="preserve">that except for a mild increase in </w:t>
      </w:r>
      <w:proofErr w:type="spellStart"/>
      <w:r w:rsidRPr="005C0E08">
        <w:rPr>
          <w:lang w:eastAsia="zh-CN"/>
        </w:rPr>
        <w:t>reactogenicity</w:t>
      </w:r>
      <w:proofErr w:type="spellEnd"/>
      <w:r w:rsidRPr="005C0E08">
        <w:rPr>
          <w:lang w:eastAsia="zh-CN"/>
        </w:rPr>
        <w:t xml:space="preserve">, the safety profile of </w:t>
      </w:r>
      <w:proofErr w:type="spellStart"/>
      <w:r w:rsidRPr="005C0E08">
        <w:rPr>
          <w:lang w:eastAsia="zh-CN"/>
        </w:rPr>
        <w:t>aTIV</w:t>
      </w:r>
      <w:proofErr w:type="spellEnd"/>
      <w:r w:rsidRPr="005C0E08">
        <w:rPr>
          <w:lang w:eastAsia="zh-CN"/>
        </w:rPr>
        <w:t xml:space="preserve"> was similar to TIV. An increase in </w:t>
      </w:r>
      <w:proofErr w:type="spellStart"/>
      <w:r w:rsidRPr="005C0E08">
        <w:rPr>
          <w:lang w:eastAsia="zh-CN"/>
        </w:rPr>
        <w:t>reactogenicity</w:t>
      </w:r>
      <w:proofErr w:type="spellEnd"/>
      <w:r w:rsidRPr="005C0E08">
        <w:rPr>
          <w:lang w:eastAsia="zh-CN"/>
        </w:rPr>
        <w:t xml:space="preserve"> is expected with </w:t>
      </w:r>
      <w:proofErr w:type="spellStart"/>
      <w:r w:rsidRPr="005C0E08">
        <w:rPr>
          <w:lang w:eastAsia="zh-CN"/>
        </w:rPr>
        <w:t>adjuvanted</w:t>
      </w:r>
      <w:proofErr w:type="spellEnd"/>
      <w:r w:rsidRPr="005C0E08">
        <w:rPr>
          <w:lang w:eastAsia="zh-CN"/>
        </w:rPr>
        <w:t xml:space="preserve"> vaccines</w:t>
      </w:r>
      <w:r w:rsidR="001F0BA9">
        <w:rPr>
          <w:lang w:eastAsia="zh-CN"/>
        </w:rPr>
        <w:t>.</w:t>
      </w:r>
    </w:p>
    <w:p w14:paraId="3569745C" w14:textId="5B237B29" w:rsidR="00E97057" w:rsidRPr="001E251E" w:rsidRDefault="00E97057" w:rsidP="00A70F7D">
      <w:pPr>
        <w:rPr>
          <w:lang w:eastAsia="zh-CN"/>
        </w:rPr>
      </w:pPr>
      <w:r w:rsidRPr="001E251E">
        <w:rPr>
          <w:lang w:eastAsia="zh-CN"/>
        </w:rPr>
        <w:t xml:space="preserve">Overall, the nature and frequency of solicited AEs for </w:t>
      </w:r>
      <w:proofErr w:type="spellStart"/>
      <w:r w:rsidRPr="001E251E">
        <w:rPr>
          <w:lang w:eastAsia="zh-CN"/>
        </w:rPr>
        <w:t>aQIV</w:t>
      </w:r>
      <w:proofErr w:type="spellEnd"/>
      <w:r w:rsidRPr="001E251E">
        <w:rPr>
          <w:lang w:eastAsia="zh-CN"/>
        </w:rPr>
        <w:t xml:space="preserve"> in subjects ≥</w:t>
      </w:r>
      <w:r w:rsidR="001F0BA9">
        <w:rPr>
          <w:lang w:eastAsia="zh-CN"/>
        </w:rPr>
        <w:t> </w:t>
      </w:r>
      <w:r w:rsidRPr="001E251E">
        <w:rPr>
          <w:lang w:eastAsia="zh-CN"/>
        </w:rPr>
        <w:t xml:space="preserve">65 years of age were similar to the licensed </w:t>
      </w:r>
      <w:proofErr w:type="spellStart"/>
      <w:r w:rsidRPr="001E251E">
        <w:rPr>
          <w:lang w:eastAsia="zh-CN"/>
        </w:rPr>
        <w:t>aTIV</w:t>
      </w:r>
      <w:proofErr w:type="spellEnd"/>
      <w:r w:rsidRPr="001E251E">
        <w:rPr>
          <w:lang w:eastAsia="zh-CN"/>
        </w:rPr>
        <w:t xml:space="preserve"> with a slig</w:t>
      </w:r>
      <w:r>
        <w:rPr>
          <w:lang w:eastAsia="zh-CN"/>
        </w:rPr>
        <w:t xml:space="preserve">ht increase in </w:t>
      </w:r>
      <w:proofErr w:type="spellStart"/>
      <w:r>
        <w:rPr>
          <w:lang w:eastAsia="zh-CN"/>
        </w:rPr>
        <w:t>reactogenicity</w:t>
      </w:r>
      <w:proofErr w:type="spellEnd"/>
      <w:r>
        <w:rPr>
          <w:lang w:eastAsia="zh-CN"/>
        </w:rPr>
        <w:t>. N</w:t>
      </w:r>
      <w:r w:rsidRPr="001E251E">
        <w:rPr>
          <w:lang w:eastAsia="zh-CN"/>
        </w:rPr>
        <w:t xml:space="preserve">o safety concerns were observed from the </w:t>
      </w:r>
      <w:proofErr w:type="spellStart"/>
      <w:r w:rsidRPr="001E251E">
        <w:rPr>
          <w:lang w:eastAsia="zh-CN"/>
        </w:rPr>
        <w:t>aQIV</w:t>
      </w:r>
      <w:proofErr w:type="spellEnd"/>
      <w:r w:rsidRPr="001E251E">
        <w:rPr>
          <w:lang w:eastAsia="zh-CN"/>
        </w:rPr>
        <w:t xml:space="preserve"> and </w:t>
      </w:r>
      <w:proofErr w:type="spellStart"/>
      <w:r w:rsidRPr="001E251E">
        <w:rPr>
          <w:lang w:eastAsia="zh-CN"/>
        </w:rPr>
        <w:t>aTIV</w:t>
      </w:r>
      <w:proofErr w:type="spellEnd"/>
      <w:r w:rsidRPr="001E251E">
        <w:rPr>
          <w:lang w:eastAsia="zh-CN"/>
        </w:rPr>
        <w:t xml:space="preserve"> studies including assessment of SAEs with an outcome o</w:t>
      </w:r>
      <w:r w:rsidR="005A37A7">
        <w:rPr>
          <w:lang w:eastAsia="zh-CN"/>
        </w:rPr>
        <w:t>f death, SAEs, NOCDs and AESIs.</w:t>
      </w:r>
    </w:p>
    <w:p w14:paraId="29A1BD99" w14:textId="77777777" w:rsidR="00E97057" w:rsidRPr="00254356" w:rsidRDefault="00E97057" w:rsidP="002466F9">
      <w:pPr>
        <w:pStyle w:val="Heading5"/>
        <w:rPr>
          <w:lang w:eastAsia="zh-CN"/>
        </w:rPr>
      </w:pPr>
      <w:r w:rsidRPr="00254356">
        <w:rPr>
          <w:lang w:eastAsia="zh-CN"/>
        </w:rPr>
        <w:t xml:space="preserve">Post-market safety data for </w:t>
      </w:r>
      <w:proofErr w:type="spellStart"/>
      <w:r w:rsidRPr="00254356">
        <w:rPr>
          <w:lang w:eastAsia="zh-CN"/>
        </w:rPr>
        <w:t>aTIV</w:t>
      </w:r>
      <w:proofErr w:type="spellEnd"/>
    </w:p>
    <w:p w14:paraId="3CF357B2" w14:textId="0800AE22" w:rsidR="00E97057" w:rsidRDefault="00E97057" w:rsidP="00A70F7D">
      <w:pPr>
        <w:rPr>
          <w:lang w:eastAsia="zh-CN"/>
        </w:rPr>
      </w:pPr>
      <w:r w:rsidRPr="004473D0">
        <w:rPr>
          <w:lang w:eastAsia="zh-CN"/>
        </w:rPr>
        <w:t xml:space="preserve">Since </w:t>
      </w:r>
      <w:proofErr w:type="spellStart"/>
      <w:r w:rsidRPr="004473D0">
        <w:rPr>
          <w:lang w:eastAsia="zh-CN"/>
        </w:rPr>
        <w:t>aQIV</w:t>
      </w:r>
      <w:proofErr w:type="spellEnd"/>
      <w:r w:rsidRPr="004473D0">
        <w:rPr>
          <w:lang w:eastAsia="zh-CN"/>
        </w:rPr>
        <w:t xml:space="preserve"> is not currently licensed</w:t>
      </w:r>
      <w:r>
        <w:rPr>
          <w:lang w:eastAsia="zh-CN"/>
        </w:rPr>
        <w:t xml:space="preserve"> in any country, there is no</w:t>
      </w:r>
      <w:r w:rsidRPr="004473D0">
        <w:rPr>
          <w:lang w:eastAsia="zh-CN"/>
        </w:rPr>
        <w:t xml:space="preserve"> post</w:t>
      </w:r>
      <w:r>
        <w:rPr>
          <w:lang w:eastAsia="zh-CN"/>
        </w:rPr>
        <w:t xml:space="preserve">-marketing safety </w:t>
      </w:r>
      <w:r w:rsidRPr="004473D0">
        <w:rPr>
          <w:lang w:eastAsia="zh-CN"/>
        </w:rPr>
        <w:t xml:space="preserve">data. </w:t>
      </w:r>
      <w:r>
        <w:rPr>
          <w:lang w:eastAsia="zh-CN"/>
        </w:rPr>
        <w:t xml:space="preserve">The </w:t>
      </w:r>
      <w:r w:rsidRPr="001E251E">
        <w:rPr>
          <w:lang w:eastAsia="zh-CN"/>
        </w:rPr>
        <w:t xml:space="preserve">post-marketing safety data </w:t>
      </w:r>
      <w:r>
        <w:rPr>
          <w:lang w:eastAsia="zh-CN"/>
        </w:rPr>
        <w:t xml:space="preserve">of </w:t>
      </w:r>
      <w:proofErr w:type="spellStart"/>
      <w:r>
        <w:rPr>
          <w:lang w:eastAsia="zh-CN"/>
        </w:rPr>
        <w:t>aTIV</w:t>
      </w:r>
      <w:proofErr w:type="spellEnd"/>
      <w:r>
        <w:rPr>
          <w:lang w:eastAsia="zh-CN"/>
        </w:rPr>
        <w:t xml:space="preserve"> is submitted instead</w:t>
      </w:r>
      <w:r w:rsidR="00330E6C">
        <w:rPr>
          <w:lang w:eastAsia="zh-CN"/>
        </w:rPr>
        <w:t>.</w:t>
      </w:r>
      <w:r w:rsidR="00276FD0">
        <w:rPr>
          <w:rStyle w:val="FootnoteReference"/>
          <w:lang w:eastAsia="zh-CN"/>
        </w:rPr>
        <w:footnoteReference w:id="6"/>
      </w:r>
      <w:r>
        <w:rPr>
          <w:lang w:eastAsia="zh-CN"/>
        </w:rPr>
        <w:t xml:space="preserve"> </w:t>
      </w:r>
      <w:r w:rsidRPr="004473D0">
        <w:rPr>
          <w:lang w:eastAsia="zh-CN"/>
        </w:rPr>
        <w:t>The post</w:t>
      </w:r>
      <w:r>
        <w:rPr>
          <w:lang w:eastAsia="zh-CN"/>
        </w:rPr>
        <w:t>-</w:t>
      </w:r>
      <w:r w:rsidRPr="004473D0">
        <w:rPr>
          <w:lang w:eastAsia="zh-CN"/>
        </w:rPr>
        <w:t xml:space="preserve">marketing safety assessment of </w:t>
      </w:r>
      <w:proofErr w:type="spellStart"/>
      <w:r w:rsidRPr="004473D0">
        <w:rPr>
          <w:lang w:eastAsia="zh-CN"/>
        </w:rPr>
        <w:t>aTIV</w:t>
      </w:r>
      <w:proofErr w:type="spellEnd"/>
      <w:r w:rsidRPr="004473D0">
        <w:rPr>
          <w:lang w:eastAsia="zh-CN"/>
        </w:rPr>
        <w:t xml:space="preserve"> spans over 20 </w:t>
      </w:r>
      <w:r>
        <w:rPr>
          <w:lang w:eastAsia="zh-CN"/>
        </w:rPr>
        <w:t xml:space="preserve">years. </w:t>
      </w:r>
      <w:r w:rsidRPr="001E251E">
        <w:rPr>
          <w:lang w:eastAsia="zh-CN"/>
        </w:rPr>
        <w:t xml:space="preserve">Since the initial licensure of </w:t>
      </w:r>
      <w:proofErr w:type="spellStart"/>
      <w:r w:rsidRPr="001E251E">
        <w:rPr>
          <w:lang w:eastAsia="zh-CN"/>
        </w:rPr>
        <w:t>aTIV</w:t>
      </w:r>
      <w:proofErr w:type="spellEnd"/>
      <w:r w:rsidRPr="001E251E">
        <w:rPr>
          <w:lang w:eastAsia="zh-CN"/>
        </w:rPr>
        <w:t xml:space="preserve"> in Italy in 1997, over 102 million doses of seasonal </w:t>
      </w:r>
      <w:proofErr w:type="spellStart"/>
      <w:r w:rsidRPr="001E251E">
        <w:rPr>
          <w:lang w:eastAsia="zh-CN"/>
        </w:rPr>
        <w:t>aTIV</w:t>
      </w:r>
      <w:proofErr w:type="spellEnd"/>
      <w:r w:rsidRPr="001E251E">
        <w:rPr>
          <w:lang w:eastAsia="zh-CN"/>
        </w:rPr>
        <w:t xml:space="preserve"> vaccine have been distributed worldwide, mostly for use in older adults.</w:t>
      </w:r>
      <w:r>
        <w:rPr>
          <w:lang w:eastAsia="zh-CN"/>
        </w:rPr>
        <w:t xml:space="preserve"> The cumulative reporting </w:t>
      </w:r>
      <w:r w:rsidRPr="004473D0">
        <w:rPr>
          <w:lang w:eastAsia="zh-CN"/>
        </w:rPr>
        <w:t>period for the analysis was f</w:t>
      </w:r>
      <w:r>
        <w:rPr>
          <w:lang w:eastAsia="zh-CN"/>
        </w:rPr>
        <w:t>rom 1</w:t>
      </w:r>
      <w:r w:rsidR="001F0BA9">
        <w:rPr>
          <w:lang w:eastAsia="zh-CN"/>
        </w:rPr>
        <w:t> </w:t>
      </w:r>
      <w:r>
        <w:rPr>
          <w:lang w:eastAsia="zh-CN"/>
        </w:rPr>
        <w:t>May</w:t>
      </w:r>
      <w:r w:rsidR="001F0BA9">
        <w:rPr>
          <w:lang w:eastAsia="zh-CN"/>
        </w:rPr>
        <w:t> </w:t>
      </w:r>
      <w:r>
        <w:rPr>
          <w:lang w:eastAsia="zh-CN"/>
        </w:rPr>
        <w:t>1997 to 15 March 2018</w:t>
      </w:r>
      <w:r w:rsidRPr="004473D0">
        <w:rPr>
          <w:lang w:eastAsia="zh-CN"/>
        </w:rPr>
        <w:t xml:space="preserve">; and was based on the </w:t>
      </w:r>
      <w:proofErr w:type="spellStart"/>
      <w:r w:rsidRPr="004473D0">
        <w:rPr>
          <w:lang w:eastAsia="zh-CN"/>
        </w:rPr>
        <w:t>aTIV</w:t>
      </w:r>
      <w:proofErr w:type="spellEnd"/>
      <w:r w:rsidRPr="004473D0">
        <w:rPr>
          <w:lang w:eastAsia="zh-CN"/>
        </w:rPr>
        <w:t xml:space="preserve"> Perio</w:t>
      </w:r>
      <w:r>
        <w:rPr>
          <w:lang w:eastAsia="zh-CN"/>
        </w:rPr>
        <w:t xml:space="preserve">dic Safety Update Report (PSUR) </w:t>
      </w:r>
      <w:r w:rsidRPr="004473D0">
        <w:rPr>
          <w:lang w:eastAsia="zh-CN"/>
        </w:rPr>
        <w:t xml:space="preserve">No. 41. During this period, over 102 million doses of </w:t>
      </w:r>
      <w:proofErr w:type="spellStart"/>
      <w:r>
        <w:rPr>
          <w:lang w:eastAsia="zh-CN"/>
        </w:rPr>
        <w:t>aTIV</w:t>
      </w:r>
      <w:proofErr w:type="spellEnd"/>
      <w:r>
        <w:rPr>
          <w:lang w:eastAsia="zh-CN"/>
        </w:rPr>
        <w:t xml:space="preserve"> were distributed, and 2241 </w:t>
      </w:r>
      <w:r w:rsidRPr="004473D0">
        <w:rPr>
          <w:lang w:eastAsia="zh-CN"/>
        </w:rPr>
        <w:t xml:space="preserve">spontaneous </w:t>
      </w:r>
      <w:proofErr w:type="spellStart"/>
      <w:r w:rsidRPr="004473D0">
        <w:rPr>
          <w:lang w:eastAsia="zh-CN"/>
        </w:rPr>
        <w:t>aTIV</w:t>
      </w:r>
      <w:proofErr w:type="spellEnd"/>
      <w:r w:rsidRPr="004473D0">
        <w:rPr>
          <w:lang w:eastAsia="zh-CN"/>
        </w:rPr>
        <w:t xml:space="preserve"> confirmed individual case safety reports</w:t>
      </w:r>
      <w:r w:rsidR="005A37A7">
        <w:rPr>
          <w:lang w:eastAsia="zh-CN"/>
        </w:rPr>
        <w:t xml:space="preserve"> were received.</w:t>
      </w:r>
    </w:p>
    <w:p w14:paraId="5E781B95" w14:textId="77777777" w:rsidR="00E97057" w:rsidRDefault="00E97057" w:rsidP="005A37A7">
      <w:pPr>
        <w:rPr>
          <w:lang w:eastAsia="zh-CN"/>
        </w:rPr>
      </w:pPr>
      <w:r w:rsidRPr="004473D0">
        <w:rPr>
          <w:lang w:eastAsia="zh-CN"/>
        </w:rPr>
        <w:t>The analysis of the cumulative post</w:t>
      </w:r>
      <w:r>
        <w:rPr>
          <w:lang w:eastAsia="zh-CN"/>
        </w:rPr>
        <w:t>-</w:t>
      </w:r>
      <w:r w:rsidRPr="004473D0">
        <w:rPr>
          <w:lang w:eastAsia="zh-CN"/>
        </w:rPr>
        <w:t>marketing safety data fo</w:t>
      </w:r>
      <w:r>
        <w:rPr>
          <w:lang w:eastAsia="zh-CN"/>
        </w:rPr>
        <w:t xml:space="preserve">r </w:t>
      </w:r>
      <w:proofErr w:type="spellStart"/>
      <w:r>
        <w:rPr>
          <w:lang w:eastAsia="zh-CN"/>
        </w:rPr>
        <w:t>aTIV</w:t>
      </w:r>
      <w:proofErr w:type="spellEnd"/>
      <w:r>
        <w:rPr>
          <w:lang w:eastAsia="zh-CN"/>
        </w:rPr>
        <w:t xml:space="preserve"> showed that the safety </w:t>
      </w:r>
      <w:r w:rsidRPr="004473D0">
        <w:rPr>
          <w:lang w:eastAsia="zh-CN"/>
        </w:rPr>
        <w:t xml:space="preserve">profile of </w:t>
      </w:r>
      <w:proofErr w:type="spellStart"/>
      <w:r w:rsidRPr="004473D0">
        <w:rPr>
          <w:lang w:eastAsia="zh-CN"/>
        </w:rPr>
        <w:t>aTIV</w:t>
      </w:r>
      <w:proofErr w:type="spellEnd"/>
      <w:r w:rsidRPr="004473D0">
        <w:rPr>
          <w:lang w:eastAsia="zh-CN"/>
        </w:rPr>
        <w:t xml:space="preserve"> </w:t>
      </w:r>
      <w:r>
        <w:rPr>
          <w:lang w:eastAsia="zh-CN"/>
        </w:rPr>
        <w:t xml:space="preserve">is consistent with the safety profile in the clinical studies of </w:t>
      </w:r>
      <w:proofErr w:type="spellStart"/>
      <w:r>
        <w:rPr>
          <w:lang w:eastAsia="zh-CN"/>
        </w:rPr>
        <w:t>aTIV</w:t>
      </w:r>
      <w:proofErr w:type="spellEnd"/>
      <w:r>
        <w:rPr>
          <w:lang w:eastAsia="zh-CN"/>
        </w:rPr>
        <w:t xml:space="preserve"> and </w:t>
      </w:r>
      <w:proofErr w:type="spellStart"/>
      <w:r>
        <w:rPr>
          <w:lang w:eastAsia="zh-CN"/>
        </w:rPr>
        <w:t>aQIV</w:t>
      </w:r>
      <w:proofErr w:type="spellEnd"/>
      <w:r w:rsidRPr="004473D0">
        <w:rPr>
          <w:lang w:eastAsia="zh-CN"/>
        </w:rPr>
        <w:t xml:space="preserve"> presented in this application. No new safety conce</w:t>
      </w:r>
      <w:r>
        <w:rPr>
          <w:lang w:eastAsia="zh-CN"/>
        </w:rPr>
        <w:t xml:space="preserve">rns have been identified in the </w:t>
      </w:r>
      <w:proofErr w:type="spellStart"/>
      <w:r w:rsidRPr="004473D0">
        <w:rPr>
          <w:lang w:eastAsia="zh-CN"/>
        </w:rPr>
        <w:t>aTIV</w:t>
      </w:r>
      <w:proofErr w:type="spellEnd"/>
      <w:r w:rsidRPr="004473D0">
        <w:rPr>
          <w:lang w:eastAsia="zh-CN"/>
        </w:rPr>
        <w:t xml:space="preserve"> post</w:t>
      </w:r>
      <w:r>
        <w:rPr>
          <w:lang w:eastAsia="zh-CN"/>
        </w:rPr>
        <w:t>-</w:t>
      </w:r>
      <w:r w:rsidRPr="004473D0">
        <w:rPr>
          <w:lang w:eastAsia="zh-CN"/>
        </w:rPr>
        <w:t>marketing safety assessment.</w:t>
      </w:r>
    </w:p>
    <w:p w14:paraId="40C70DC1" w14:textId="170097AE" w:rsidR="008E7846" w:rsidRDefault="00386150" w:rsidP="005A37A7">
      <w:pPr>
        <w:pStyle w:val="Heading3"/>
      </w:pPr>
      <w:bookmarkStart w:id="40" w:name="_Toc26439479"/>
      <w:r w:rsidRPr="00606B8D">
        <w:lastRenderedPageBreak/>
        <w:t>Risk m</w:t>
      </w:r>
      <w:r w:rsidR="008E7846" w:rsidRPr="00606B8D">
        <w:t xml:space="preserve">anagement </w:t>
      </w:r>
      <w:r w:rsidRPr="00606B8D">
        <w:t>p</w:t>
      </w:r>
      <w:r w:rsidR="008E7846" w:rsidRPr="00606B8D">
        <w:t>lan</w:t>
      </w:r>
      <w:bookmarkEnd w:id="39"/>
      <w:bookmarkEnd w:id="40"/>
    </w:p>
    <w:p w14:paraId="5D2745C3" w14:textId="3629267C" w:rsidR="00CA4CC8" w:rsidRDefault="00CA4CC8" w:rsidP="00CA4CC8">
      <w:r w:rsidRPr="00C923FF">
        <w:t>The proposed summary of safety concerns and their associated risk monitoring and mitigation strategies are summarised below</w:t>
      </w:r>
      <w:r w:rsidR="008E4658">
        <w:t xml:space="preserve"> in Table 3.</w:t>
      </w:r>
      <w:r w:rsidR="00D33C17">
        <w:rPr>
          <w:rStyle w:val="FootnoteReference"/>
          <w:lang w:eastAsia="en-AU"/>
        </w:rPr>
        <w:footnoteReference w:id="7"/>
      </w:r>
    </w:p>
    <w:p w14:paraId="48792879" w14:textId="6DF62C63" w:rsidR="008E4658" w:rsidRPr="00C923FF" w:rsidRDefault="008E4658" w:rsidP="008E4658">
      <w:pPr>
        <w:pStyle w:val="TableTitle"/>
      </w:pPr>
      <w:r>
        <w:t>Table 3: Ongoing safety concerns</w:t>
      </w:r>
    </w:p>
    <w:tbl>
      <w:tblPr>
        <w:tblStyle w:val="TableTGAblue"/>
        <w:tblW w:w="8898" w:type="dxa"/>
        <w:tblLayout w:type="fixed"/>
        <w:tblLook w:val="04A0" w:firstRow="1" w:lastRow="0" w:firstColumn="1" w:lastColumn="0" w:noHBand="0" w:noVBand="1"/>
      </w:tblPr>
      <w:tblGrid>
        <w:gridCol w:w="1699"/>
        <w:gridCol w:w="2399"/>
        <w:gridCol w:w="1465"/>
        <w:gridCol w:w="1465"/>
        <w:gridCol w:w="933"/>
        <w:gridCol w:w="937"/>
      </w:tblGrid>
      <w:tr w:rsidR="00CA4CC8" w:rsidRPr="004F1C07" w14:paraId="4AB644FC" w14:textId="77777777" w:rsidTr="005A37A7">
        <w:trPr>
          <w:cnfStyle w:val="100000000000" w:firstRow="1" w:lastRow="0" w:firstColumn="0" w:lastColumn="0" w:oddVBand="0" w:evenVBand="0" w:oddHBand="0" w:evenHBand="0" w:firstRowFirstColumn="0" w:firstRowLastColumn="0" w:lastRowFirstColumn="0" w:lastRowLastColumn="0"/>
          <w:trHeight w:val="125"/>
        </w:trPr>
        <w:tc>
          <w:tcPr>
            <w:tcW w:w="4098" w:type="dxa"/>
            <w:gridSpan w:val="2"/>
            <w:vMerge w:val="restart"/>
          </w:tcPr>
          <w:p w14:paraId="46AC43D3" w14:textId="77777777" w:rsidR="00CA4CC8" w:rsidRPr="008E4658" w:rsidRDefault="00CA4CC8" w:rsidP="00CA4CC8">
            <w:pPr>
              <w:rPr>
                <w:sz w:val="20"/>
                <w:szCs w:val="20"/>
              </w:rPr>
            </w:pPr>
            <w:r w:rsidRPr="008E4658">
              <w:rPr>
                <w:sz w:val="20"/>
                <w:szCs w:val="20"/>
              </w:rPr>
              <w:t>Summary of safety concerns</w:t>
            </w:r>
          </w:p>
        </w:tc>
        <w:tc>
          <w:tcPr>
            <w:tcW w:w="2930" w:type="dxa"/>
            <w:gridSpan w:val="2"/>
            <w:tcBorders>
              <w:bottom w:val="nil"/>
            </w:tcBorders>
          </w:tcPr>
          <w:p w14:paraId="59B2C467" w14:textId="77777777" w:rsidR="00CA4CC8" w:rsidRPr="008E4658" w:rsidRDefault="00CA4CC8" w:rsidP="00CA4CC8">
            <w:pPr>
              <w:rPr>
                <w:sz w:val="20"/>
                <w:szCs w:val="20"/>
              </w:rPr>
            </w:pPr>
            <w:r w:rsidRPr="008E4658">
              <w:rPr>
                <w:sz w:val="20"/>
                <w:szCs w:val="20"/>
              </w:rPr>
              <w:t>Pharmacovigilance</w:t>
            </w:r>
          </w:p>
        </w:tc>
        <w:tc>
          <w:tcPr>
            <w:tcW w:w="1870" w:type="dxa"/>
            <w:gridSpan w:val="2"/>
            <w:tcBorders>
              <w:bottom w:val="nil"/>
            </w:tcBorders>
          </w:tcPr>
          <w:p w14:paraId="3A257996" w14:textId="77777777" w:rsidR="00CA4CC8" w:rsidRPr="008E4658" w:rsidRDefault="00CA4CC8" w:rsidP="00CA4CC8">
            <w:pPr>
              <w:rPr>
                <w:sz w:val="20"/>
                <w:szCs w:val="20"/>
              </w:rPr>
            </w:pPr>
            <w:r w:rsidRPr="008E4658">
              <w:rPr>
                <w:sz w:val="20"/>
                <w:szCs w:val="20"/>
              </w:rPr>
              <w:t>Risk Minimisation</w:t>
            </w:r>
          </w:p>
        </w:tc>
      </w:tr>
      <w:tr w:rsidR="00CA4CC8" w:rsidRPr="004F1C07" w14:paraId="62378C5E" w14:textId="77777777" w:rsidTr="004D1D71">
        <w:trPr>
          <w:trHeight w:val="144"/>
        </w:trPr>
        <w:tc>
          <w:tcPr>
            <w:tcW w:w="4098" w:type="dxa"/>
            <w:gridSpan w:val="2"/>
            <w:vMerge/>
            <w:tcBorders>
              <w:right w:val="nil"/>
            </w:tcBorders>
            <w:shd w:val="clear" w:color="auto" w:fill="006DA7"/>
          </w:tcPr>
          <w:p w14:paraId="4D815B0D" w14:textId="77777777" w:rsidR="00CA4CC8" w:rsidRPr="008E4658" w:rsidRDefault="00CA4CC8" w:rsidP="00CA4CC8">
            <w:pPr>
              <w:rPr>
                <w:sz w:val="20"/>
                <w:szCs w:val="20"/>
              </w:rPr>
            </w:pPr>
          </w:p>
        </w:tc>
        <w:tc>
          <w:tcPr>
            <w:tcW w:w="1465" w:type="dxa"/>
            <w:tcBorders>
              <w:top w:val="nil"/>
              <w:left w:val="nil"/>
              <w:bottom w:val="single" w:sz="8" w:space="0" w:color="auto"/>
              <w:right w:val="nil"/>
            </w:tcBorders>
            <w:shd w:val="clear" w:color="auto" w:fill="006DA7"/>
          </w:tcPr>
          <w:p w14:paraId="768EE3F3" w14:textId="48F607D3" w:rsidR="00CA4CC8" w:rsidRPr="005A37A7" w:rsidRDefault="00CA4CC8" w:rsidP="00CA4CC8">
            <w:pPr>
              <w:rPr>
                <w:color w:val="FFFFFF" w:themeColor="background1"/>
                <w:sz w:val="20"/>
                <w:szCs w:val="20"/>
              </w:rPr>
            </w:pPr>
            <w:r w:rsidRPr="005A37A7">
              <w:rPr>
                <w:color w:val="FFFFFF" w:themeColor="background1"/>
                <w:sz w:val="20"/>
                <w:szCs w:val="20"/>
              </w:rPr>
              <w:t>Routine (R)</w:t>
            </w:r>
          </w:p>
        </w:tc>
        <w:tc>
          <w:tcPr>
            <w:tcW w:w="1465" w:type="dxa"/>
            <w:tcBorders>
              <w:top w:val="nil"/>
              <w:left w:val="nil"/>
              <w:bottom w:val="single" w:sz="8" w:space="0" w:color="auto"/>
              <w:right w:val="nil"/>
            </w:tcBorders>
            <w:shd w:val="clear" w:color="auto" w:fill="006DA7"/>
          </w:tcPr>
          <w:p w14:paraId="62CBE680" w14:textId="1D3DD36A" w:rsidR="00CA4CC8" w:rsidRPr="005A37A7" w:rsidRDefault="00CA4CC8" w:rsidP="00CA4CC8">
            <w:pPr>
              <w:rPr>
                <w:color w:val="FFFFFF" w:themeColor="background1"/>
                <w:sz w:val="20"/>
                <w:szCs w:val="20"/>
              </w:rPr>
            </w:pPr>
            <w:r w:rsidRPr="005A37A7">
              <w:rPr>
                <w:color w:val="FFFFFF" w:themeColor="background1"/>
                <w:sz w:val="20"/>
                <w:szCs w:val="20"/>
              </w:rPr>
              <w:t>Additional (A)</w:t>
            </w:r>
          </w:p>
        </w:tc>
        <w:tc>
          <w:tcPr>
            <w:tcW w:w="933" w:type="dxa"/>
            <w:tcBorders>
              <w:top w:val="nil"/>
              <w:left w:val="nil"/>
              <w:bottom w:val="single" w:sz="8" w:space="0" w:color="auto"/>
              <w:right w:val="nil"/>
            </w:tcBorders>
            <w:shd w:val="clear" w:color="auto" w:fill="006DA7"/>
          </w:tcPr>
          <w:p w14:paraId="435694D7" w14:textId="7D5B74A1" w:rsidR="00CA4CC8" w:rsidRPr="005A37A7" w:rsidRDefault="00CA4CC8" w:rsidP="00CA4CC8">
            <w:pPr>
              <w:rPr>
                <w:color w:val="FFFFFF" w:themeColor="background1"/>
                <w:sz w:val="20"/>
                <w:szCs w:val="20"/>
              </w:rPr>
            </w:pPr>
            <w:r w:rsidRPr="005A37A7">
              <w:rPr>
                <w:color w:val="FFFFFF" w:themeColor="background1"/>
                <w:sz w:val="20"/>
                <w:szCs w:val="20"/>
              </w:rPr>
              <w:t>R</w:t>
            </w:r>
          </w:p>
        </w:tc>
        <w:tc>
          <w:tcPr>
            <w:tcW w:w="936" w:type="dxa"/>
            <w:tcBorders>
              <w:top w:val="nil"/>
              <w:left w:val="nil"/>
              <w:bottom w:val="single" w:sz="8" w:space="0" w:color="auto"/>
              <w:right w:val="single" w:sz="8" w:space="0" w:color="auto"/>
            </w:tcBorders>
            <w:shd w:val="clear" w:color="auto" w:fill="006DA7"/>
          </w:tcPr>
          <w:p w14:paraId="6B98DBDD" w14:textId="480DB6A6" w:rsidR="00CA4CC8" w:rsidRPr="005A37A7" w:rsidRDefault="00CA4CC8" w:rsidP="00CA4CC8">
            <w:pPr>
              <w:rPr>
                <w:color w:val="FFFFFF" w:themeColor="background1"/>
                <w:sz w:val="20"/>
                <w:szCs w:val="20"/>
              </w:rPr>
            </w:pPr>
            <w:r w:rsidRPr="005A37A7">
              <w:rPr>
                <w:color w:val="FFFFFF" w:themeColor="background1"/>
                <w:sz w:val="20"/>
                <w:szCs w:val="20"/>
              </w:rPr>
              <w:t>A</w:t>
            </w:r>
          </w:p>
        </w:tc>
      </w:tr>
      <w:tr w:rsidR="00CA4CC8" w:rsidRPr="004F1C07" w14:paraId="3C920BAC" w14:textId="77777777" w:rsidTr="004D1D71">
        <w:trPr>
          <w:trHeight w:val="131"/>
        </w:trPr>
        <w:tc>
          <w:tcPr>
            <w:tcW w:w="1699" w:type="dxa"/>
          </w:tcPr>
          <w:p w14:paraId="0810DF53" w14:textId="77777777" w:rsidR="00CA4CC8" w:rsidRPr="008E4658" w:rsidRDefault="00CA4CC8" w:rsidP="00CA4CC8">
            <w:pPr>
              <w:pStyle w:val="Tabletext"/>
              <w:rPr>
                <w:b/>
                <w:sz w:val="20"/>
                <w:szCs w:val="20"/>
              </w:rPr>
            </w:pPr>
            <w:r w:rsidRPr="008E4658">
              <w:rPr>
                <w:b/>
                <w:sz w:val="20"/>
                <w:szCs w:val="20"/>
              </w:rPr>
              <w:t>Important identified risks</w:t>
            </w:r>
          </w:p>
        </w:tc>
        <w:tc>
          <w:tcPr>
            <w:tcW w:w="2398" w:type="dxa"/>
            <w:tcBorders>
              <w:right w:val="single" w:sz="8" w:space="0" w:color="auto"/>
            </w:tcBorders>
          </w:tcPr>
          <w:p w14:paraId="0A541938" w14:textId="77777777" w:rsidR="00CA4CC8" w:rsidRPr="008E4658" w:rsidRDefault="00CA4CC8" w:rsidP="00CA4CC8">
            <w:pPr>
              <w:rPr>
                <w:sz w:val="20"/>
                <w:szCs w:val="20"/>
              </w:rPr>
            </w:pPr>
            <w:r w:rsidRPr="008E4658">
              <w:rPr>
                <w:sz w:val="20"/>
                <w:szCs w:val="20"/>
              </w:rPr>
              <w:t>Nil</w:t>
            </w:r>
          </w:p>
        </w:tc>
        <w:tc>
          <w:tcPr>
            <w:tcW w:w="1465" w:type="dxa"/>
            <w:tcBorders>
              <w:top w:val="single" w:sz="8" w:space="0" w:color="auto"/>
              <w:left w:val="single" w:sz="8" w:space="0" w:color="auto"/>
              <w:bottom w:val="single" w:sz="8" w:space="0" w:color="auto"/>
              <w:right w:val="single" w:sz="8" w:space="0" w:color="auto"/>
            </w:tcBorders>
          </w:tcPr>
          <w:p w14:paraId="5758374F" w14:textId="77777777" w:rsidR="00CA4CC8" w:rsidRPr="008E4658" w:rsidRDefault="00CA4CC8" w:rsidP="00CA4CC8">
            <w:pPr>
              <w:rPr>
                <w:sz w:val="20"/>
                <w:szCs w:val="20"/>
              </w:rPr>
            </w:pPr>
            <w:r w:rsidRPr="008E4658">
              <w:rPr>
                <w:sz w:val="20"/>
                <w:szCs w:val="20"/>
              </w:rPr>
              <w:t>–</w:t>
            </w:r>
          </w:p>
        </w:tc>
        <w:tc>
          <w:tcPr>
            <w:tcW w:w="1465" w:type="dxa"/>
            <w:tcBorders>
              <w:top w:val="single" w:sz="8" w:space="0" w:color="auto"/>
              <w:left w:val="single" w:sz="8" w:space="0" w:color="auto"/>
              <w:bottom w:val="single" w:sz="8" w:space="0" w:color="auto"/>
              <w:right w:val="single" w:sz="8" w:space="0" w:color="auto"/>
            </w:tcBorders>
          </w:tcPr>
          <w:p w14:paraId="6E4EB3DA" w14:textId="77777777" w:rsidR="00CA4CC8" w:rsidRPr="008E4658" w:rsidRDefault="00CA4CC8" w:rsidP="00CA4CC8">
            <w:pPr>
              <w:rPr>
                <w:sz w:val="20"/>
                <w:szCs w:val="20"/>
              </w:rPr>
            </w:pPr>
            <w:r w:rsidRPr="008E4658">
              <w:rPr>
                <w:sz w:val="20"/>
                <w:szCs w:val="20"/>
              </w:rPr>
              <w:t>–</w:t>
            </w:r>
          </w:p>
        </w:tc>
        <w:tc>
          <w:tcPr>
            <w:tcW w:w="933" w:type="dxa"/>
            <w:tcBorders>
              <w:top w:val="single" w:sz="8" w:space="0" w:color="auto"/>
              <w:left w:val="single" w:sz="8" w:space="0" w:color="auto"/>
              <w:bottom w:val="single" w:sz="8" w:space="0" w:color="auto"/>
              <w:right w:val="single" w:sz="8" w:space="0" w:color="auto"/>
            </w:tcBorders>
          </w:tcPr>
          <w:p w14:paraId="5C56B073" w14:textId="77777777" w:rsidR="00CA4CC8" w:rsidRPr="008E4658" w:rsidRDefault="00CA4CC8" w:rsidP="00CA4CC8">
            <w:pPr>
              <w:rPr>
                <w:sz w:val="20"/>
                <w:szCs w:val="20"/>
              </w:rPr>
            </w:pPr>
            <w:r w:rsidRPr="008E4658">
              <w:rPr>
                <w:sz w:val="20"/>
                <w:szCs w:val="20"/>
              </w:rPr>
              <w:t>–</w:t>
            </w:r>
          </w:p>
        </w:tc>
        <w:tc>
          <w:tcPr>
            <w:tcW w:w="936" w:type="dxa"/>
            <w:tcBorders>
              <w:top w:val="single" w:sz="8" w:space="0" w:color="auto"/>
              <w:left w:val="single" w:sz="8" w:space="0" w:color="auto"/>
              <w:bottom w:val="single" w:sz="8" w:space="0" w:color="auto"/>
              <w:right w:val="single" w:sz="8" w:space="0" w:color="auto"/>
            </w:tcBorders>
          </w:tcPr>
          <w:p w14:paraId="04BC082B" w14:textId="77777777" w:rsidR="00CA4CC8" w:rsidRPr="008E4658" w:rsidRDefault="00CA4CC8" w:rsidP="00CA4CC8">
            <w:pPr>
              <w:rPr>
                <w:sz w:val="20"/>
                <w:szCs w:val="20"/>
              </w:rPr>
            </w:pPr>
            <w:r w:rsidRPr="008E4658">
              <w:rPr>
                <w:sz w:val="20"/>
                <w:szCs w:val="20"/>
              </w:rPr>
              <w:t>–</w:t>
            </w:r>
          </w:p>
        </w:tc>
      </w:tr>
      <w:tr w:rsidR="00CA4CC8" w:rsidRPr="004F1C07" w14:paraId="5F4C21EB" w14:textId="77777777" w:rsidTr="004D1D71">
        <w:trPr>
          <w:trHeight w:val="152"/>
        </w:trPr>
        <w:tc>
          <w:tcPr>
            <w:tcW w:w="1699" w:type="dxa"/>
            <w:vMerge w:val="restart"/>
          </w:tcPr>
          <w:p w14:paraId="49D6AC36" w14:textId="77777777" w:rsidR="00CA4CC8" w:rsidRPr="008E4658" w:rsidRDefault="00CA4CC8" w:rsidP="00CA4CC8">
            <w:pPr>
              <w:pStyle w:val="Tabletext"/>
              <w:rPr>
                <w:b/>
                <w:sz w:val="20"/>
                <w:szCs w:val="20"/>
              </w:rPr>
            </w:pPr>
            <w:r w:rsidRPr="008E4658">
              <w:rPr>
                <w:b/>
                <w:sz w:val="20"/>
                <w:szCs w:val="20"/>
              </w:rPr>
              <w:t>Important potential risks</w:t>
            </w:r>
          </w:p>
        </w:tc>
        <w:tc>
          <w:tcPr>
            <w:tcW w:w="2398" w:type="dxa"/>
            <w:tcBorders>
              <w:top w:val="single" w:sz="8" w:space="0" w:color="auto"/>
            </w:tcBorders>
          </w:tcPr>
          <w:p w14:paraId="4B996E94" w14:textId="77777777" w:rsidR="00CA4CC8" w:rsidRPr="008E4658" w:rsidRDefault="00CA4CC8" w:rsidP="00CA4CC8">
            <w:pPr>
              <w:rPr>
                <w:sz w:val="20"/>
                <w:szCs w:val="20"/>
              </w:rPr>
            </w:pPr>
            <w:r w:rsidRPr="008E4658">
              <w:rPr>
                <w:sz w:val="20"/>
                <w:szCs w:val="20"/>
              </w:rPr>
              <w:t>Convulsion</w:t>
            </w:r>
          </w:p>
        </w:tc>
        <w:tc>
          <w:tcPr>
            <w:tcW w:w="1465" w:type="dxa"/>
            <w:tcBorders>
              <w:top w:val="single" w:sz="8" w:space="0" w:color="auto"/>
            </w:tcBorders>
          </w:tcPr>
          <w:p w14:paraId="5834113C" w14:textId="77777777" w:rsidR="00CA4CC8" w:rsidRPr="008E4658" w:rsidRDefault="00CA4CC8" w:rsidP="00CA4CC8">
            <w:pPr>
              <w:rPr>
                <w:sz w:val="20"/>
                <w:szCs w:val="20"/>
              </w:rPr>
            </w:pPr>
            <w:r w:rsidRPr="008E4658">
              <w:rPr>
                <w:sz w:val="20"/>
                <w:szCs w:val="20"/>
              </w:rPr>
              <w:sym w:font="Wingdings" w:char="F0FC"/>
            </w:r>
            <w:r w:rsidRPr="008E4658">
              <w:rPr>
                <w:sz w:val="20"/>
                <w:szCs w:val="20"/>
              </w:rPr>
              <w:t>*</w:t>
            </w:r>
          </w:p>
        </w:tc>
        <w:tc>
          <w:tcPr>
            <w:tcW w:w="1465" w:type="dxa"/>
            <w:tcBorders>
              <w:top w:val="single" w:sz="8" w:space="0" w:color="auto"/>
            </w:tcBorders>
          </w:tcPr>
          <w:p w14:paraId="60861318" w14:textId="77777777" w:rsidR="00CA4CC8" w:rsidRPr="008E4658" w:rsidRDefault="00CA4CC8" w:rsidP="00CA4CC8">
            <w:pPr>
              <w:rPr>
                <w:sz w:val="20"/>
                <w:szCs w:val="20"/>
              </w:rPr>
            </w:pPr>
            <w:r w:rsidRPr="008E4658">
              <w:rPr>
                <w:sz w:val="20"/>
                <w:szCs w:val="20"/>
              </w:rPr>
              <w:t>–</w:t>
            </w:r>
          </w:p>
        </w:tc>
        <w:tc>
          <w:tcPr>
            <w:tcW w:w="933" w:type="dxa"/>
            <w:tcBorders>
              <w:top w:val="single" w:sz="8" w:space="0" w:color="auto"/>
            </w:tcBorders>
          </w:tcPr>
          <w:p w14:paraId="129779EE" w14:textId="77777777" w:rsidR="00CA4CC8" w:rsidRPr="008E4658" w:rsidRDefault="00CA4CC8" w:rsidP="00CA4CC8">
            <w:pPr>
              <w:rPr>
                <w:sz w:val="20"/>
                <w:szCs w:val="20"/>
              </w:rPr>
            </w:pPr>
            <w:r w:rsidRPr="008E4658">
              <w:rPr>
                <w:sz w:val="20"/>
                <w:szCs w:val="20"/>
              </w:rPr>
              <w:sym w:font="Wingdings" w:char="F0FC"/>
            </w:r>
          </w:p>
        </w:tc>
        <w:tc>
          <w:tcPr>
            <w:tcW w:w="936" w:type="dxa"/>
            <w:tcBorders>
              <w:top w:val="single" w:sz="8" w:space="0" w:color="auto"/>
            </w:tcBorders>
          </w:tcPr>
          <w:p w14:paraId="582D5CC0" w14:textId="77777777" w:rsidR="00CA4CC8" w:rsidRPr="008E4658" w:rsidRDefault="00CA4CC8" w:rsidP="00CA4CC8">
            <w:pPr>
              <w:rPr>
                <w:sz w:val="20"/>
                <w:szCs w:val="20"/>
              </w:rPr>
            </w:pPr>
            <w:r w:rsidRPr="008E4658">
              <w:rPr>
                <w:sz w:val="20"/>
                <w:szCs w:val="20"/>
              </w:rPr>
              <w:t>–</w:t>
            </w:r>
          </w:p>
        </w:tc>
      </w:tr>
      <w:tr w:rsidR="00CA4CC8" w:rsidRPr="004F1C07" w14:paraId="7D8004F3" w14:textId="77777777" w:rsidTr="00AD2D62">
        <w:trPr>
          <w:trHeight w:val="117"/>
        </w:trPr>
        <w:tc>
          <w:tcPr>
            <w:tcW w:w="1699" w:type="dxa"/>
            <w:vMerge/>
          </w:tcPr>
          <w:p w14:paraId="06BE0AFE" w14:textId="77777777" w:rsidR="00CA4CC8" w:rsidRPr="008E4658" w:rsidRDefault="00CA4CC8" w:rsidP="00CA4CC8">
            <w:pPr>
              <w:pStyle w:val="Tabletext"/>
              <w:rPr>
                <w:b/>
                <w:sz w:val="20"/>
                <w:szCs w:val="20"/>
              </w:rPr>
            </w:pPr>
          </w:p>
        </w:tc>
        <w:tc>
          <w:tcPr>
            <w:tcW w:w="2398" w:type="dxa"/>
          </w:tcPr>
          <w:p w14:paraId="43B864DA" w14:textId="77777777" w:rsidR="00CA4CC8" w:rsidRPr="008E4658" w:rsidRDefault="00CA4CC8" w:rsidP="00CA4CC8">
            <w:pPr>
              <w:rPr>
                <w:sz w:val="20"/>
                <w:szCs w:val="20"/>
              </w:rPr>
            </w:pPr>
            <w:r w:rsidRPr="008E4658">
              <w:rPr>
                <w:sz w:val="20"/>
                <w:szCs w:val="20"/>
              </w:rPr>
              <w:t>Neuritis</w:t>
            </w:r>
          </w:p>
        </w:tc>
        <w:tc>
          <w:tcPr>
            <w:tcW w:w="1465" w:type="dxa"/>
          </w:tcPr>
          <w:p w14:paraId="1401C9FA" w14:textId="77777777" w:rsidR="00CA4CC8" w:rsidRPr="008E4658" w:rsidRDefault="00CA4CC8" w:rsidP="00CA4CC8">
            <w:pPr>
              <w:rPr>
                <w:sz w:val="20"/>
                <w:szCs w:val="20"/>
              </w:rPr>
            </w:pPr>
            <w:r w:rsidRPr="008E4658">
              <w:rPr>
                <w:sz w:val="20"/>
                <w:szCs w:val="20"/>
              </w:rPr>
              <w:sym w:font="Wingdings" w:char="F0FC"/>
            </w:r>
            <w:r w:rsidRPr="008E4658">
              <w:rPr>
                <w:sz w:val="20"/>
                <w:szCs w:val="20"/>
              </w:rPr>
              <w:t>*</w:t>
            </w:r>
          </w:p>
        </w:tc>
        <w:tc>
          <w:tcPr>
            <w:tcW w:w="1465" w:type="dxa"/>
          </w:tcPr>
          <w:p w14:paraId="23AE39F0" w14:textId="77777777" w:rsidR="00CA4CC8" w:rsidRPr="008E4658" w:rsidRDefault="00CA4CC8" w:rsidP="00CA4CC8">
            <w:pPr>
              <w:rPr>
                <w:sz w:val="20"/>
                <w:szCs w:val="20"/>
              </w:rPr>
            </w:pPr>
            <w:r w:rsidRPr="008E4658">
              <w:rPr>
                <w:sz w:val="20"/>
                <w:szCs w:val="20"/>
              </w:rPr>
              <w:t>–</w:t>
            </w:r>
          </w:p>
        </w:tc>
        <w:tc>
          <w:tcPr>
            <w:tcW w:w="933" w:type="dxa"/>
          </w:tcPr>
          <w:p w14:paraId="6DF175EA" w14:textId="77777777" w:rsidR="00CA4CC8" w:rsidRPr="008E4658" w:rsidRDefault="00CA4CC8" w:rsidP="00CA4CC8">
            <w:pPr>
              <w:rPr>
                <w:sz w:val="20"/>
                <w:szCs w:val="20"/>
              </w:rPr>
            </w:pPr>
            <w:r w:rsidRPr="008E4658">
              <w:rPr>
                <w:sz w:val="20"/>
                <w:szCs w:val="20"/>
              </w:rPr>
              <w:sym w:font="Wingdings" w:char="F0FC"/>
            </w:r>
          </w:p>
        </w:tc>
        <w:tc>
          <w:tcPr>
            <w:tcW w:w="936" w:type="dxa"/>
          </w:tcPr>
          <w:p w14:paraId="63458805" w14:textId="77777777" w:rsidR="00CA4CC8" w:rsidRPr="008E4658" w:rsidRDefault="00CA4CC8" w:rsidP="00CA4CC8">
            <w:pPr>
              <w:rPr>
                <w:sz w:val="20"/>
                <w:szCs w:val="20"/>
              </w:rPr>
            </w:pPr>
            <w:r w:rsidRPr="008E4658">
              <w:rPr>
                <w:sz w:val="20"/>
                <w:szCs w:val="20"/>
              </w:rPr>
              <w:t>–</w:t>
            </w:r>
          </w:p>
        </w:tc>
      </w:tr>
      <w:tr w:rsidR="00CA4CC8" w:rsidRPr="004F1C07" w14:paraId="5971669E" w14:textId="77777777" w:rsidTr="00AD2D62">
        <w:trPr>
          <w:trHeight w:val="117"/>
        </w:trPr>
        <w:tc>
          <w:tcPr>
            <w:tcW w:w="1699" w:type="dxa"/>
            <w:vMerge/>
          </w:tcPr>
          <w:p w14:paraId="334AD604" w14:textId="77777777" w:rsidR="00CA4CC8" w:rsidRPr="008E4658" w:rsidRDefault="00CA4CC8" w:rsidP="00CA4CC8">
            <w:pPr>
              <w:pStyle w:val="Tabletext"/>
              <w:rPr>
                <w:b/>
                <w:sz w:val="20"/>
                <w:szCs w:val="20"/>
              </w:rPr>
            </w:pPr>
          </w:p>
        </w:tc>
        <w:tc>
          <w:tcPr>
            <w:tcW w:w="2398" w:type="dxa"/>
          </w:tcPr>
          <w:p w14:paraId="5901151E" w14:textId="77777777" w:rsidR="00CA4CC8" w:rsidRPr="008E4658" w:rsidRDefault="00CA4CC8" w:rsidP="00CA4CC8">
            <w:pPr>
              <w:rPr>
                <w:sz w:val="20"/>
                <w:szCs w:val="20"/>
              </w:rPr>
            </w:pPr>
            <w:r w:rsidRPr="008E4658">
              <w:rPr>
                <w:sz w:val="20"/>
                <w:szCs w:val="20"/>
              </w:rPr>
              <w:t>Encephalitis</w:t>
            </w:r>
          </w:p>
        </w:tc>
        <w:tc>
          <w:tcPr>
            <w:tcW w:w="1465" w:type="dxa"/>
          </w:tcPr>
          <w:p w14:paraId="19940C8C" w14:textId="77777777" w:rsidR="00CA4CC8" w:rsidRPr="008E4658" w:rsidRDefault="00CA4CC8" w:rsidP="00CA4CC8">
            <w:pPr>
              <w:rPr>
                <w:sz w:val="20"/>
                <w:szCs w:val="20"/>
              </w:rPr>
            </w:pPr>
            <w:r w:rsidRPr="008E4658">
              <w:rPr>
                <w:sz w:val="20"/>
                <w:szCs w:val="20"/>
              </w:rPr>
              <w:sym w:font="Wingdings" w:char="F0FC"/>
            </w:r>
            <w:r w:rsidRPr="008E4658">
              <w:rPr>
                <w:sz w:val="20"/>
                <w:szCs w:val="20"/>
              </w:rPr>
              <w:t>*</w:t>
            </w:r>
          </w:p>
        </w:tc>
        <w:tc>
          <w:tcPr>
            <w:tcW w:w="1465" w:type="dxa"/>
          </w:tcPr>
          <w:p w14:paraId="5FB218DF" w14:textId="77777777" w:rsidR="00CA4CC8" w:rsidRPr="008E4658" w:rsidRDefault="00CA4CC8" w:rsidP="00CA4CC8">
            <w:pPr>
              <w:rPr>
                <w:sz w:val="20"/>
                <w:szCs w:val="20"/>
              </w:rPr>
            </w:pPr>
            <w:r w:rsidRPr="008E4658">
              <w:rPr>
                <w:sz w:val="20"/>
                <w:szCs w:val="20"/>
              </w:rPr>
              <w:t>–</w:t>
            </w:r>
          </w:p>
        </w:tc>
        <w:tc>
          <w:tcPr>
            <w:tcW w:w="933" w:type="dxa"/>
          </w:tcPr>
          <w:p w14:paraId="4E70FDD3" w14:textId="77777777" w:rsidR="00CA4CC8" w:rsidRPr="008E4658" w:rsidRDefault="00CA4CC8" w:rsidP="00CA4CC8">
            <w:pPr>
              <w:rPr>
                <w:sz w:val="20"/>
                <w:szCs w:val="20"/>
              </w:rPr>
            </w:pPr>
            <w:r w:rsidRPr="008E4658">
              <w:rPr>
                <w:sz w:val="20"/>
                <w:szCs w:val="20"/>
              </w:rPr>
              <w:sym w:font="Wingdings" w:char="F0FC"/>
            </w:r>
          </w:p>
        </w:tc>
        <w:tc>
          <w:tcPr>
            <w:tcW w:w="936" w:type="dxa"/>
          </w:tcPr>
          <w:p w14:paraId="5FC6672F" w14:textId="77777777" w:rsidR="00CA4CC8" w:rsidRPr="008E4658" w:rsidRDefault="00CA4CC8" w:rsidP="00CA4CC8">
            <w:pPr>
              <w:rPr>
                <w:sz w:val="20"/>
                <w:szCs w:val="20"/>
              </w:rPr>
            </w:pPr>
            <w:r w:rsidRPr="008E4658">
              <w:rPr>
                <w:sz w:val="20"/>
                <w:szCs w:val="20"/>
              </w:rPr>
              <w:t>–</w:t>
            </w:r>
          </w:p>
        </w:tc>
      </w:tr>
      <w:tr w:rsidR="00CA4CC8" w:rsidRPr="004F1C07" w14:paraId="71C4AD3E" w14:textId="77777777" w:rsidTr="00AD2D62">
        <w:trPr>
          <w:trHeight w:val="117"/>
        </w:trPr>
        <w:tc>
          <w:tcPr>
            <w:tcW w:w="1699" w:type="dxa"/>
            <w:vMerge/>
          </w:tcPr>
          <w:p w14:paraId="6E7A8E7E" w14:textId="77777777" w:rsidR="00CA4CC8" w:rsidRPr="008E4658" w:rsidRDefault="00CA4CC8" w:rsidP="00CA4CC8">
            <w:pPr>
              <w:pStyle w:val="Tabletext"/>
              <w:rPr>
                <w:b/>
                <w:sz w:val="20"/>
                <w:szCs w:val="20"/>
              </w:rPr>
            </w:pPr>
          </w:p>
        </w:tc>
        <w:tc>
          <w:tcPr>
            <w:tcW w:w="2398" w:type="dxa"/>
          </w:tcPr>
          <w:p w14:paraId="6EB96278" w14:textId="77777777" w:rsidR="00CA4CC8" w:rsidRPr="008E4658" w:rsidRDefault="00CA4CC8" w:rsidP="00CA4CC8">
            <w:pPr>
              <w:rPr>
                <w:sz w:val="20"/>
                <w:szCs w:val="20"/>
              </w:rPr>
            </w:pPr>
            <w:r w:rsidRPr="008E4658">
              <w:rPr>
                <w:sz w:val="20"/>
                <w:szCs w:val="20"/>
              </w:rPr>
              <w:t>Vasculitis</w:t>
            </w:r>
          </w:p>
        </w:tc>
        <w:tc>
          <w:tcPr>
            <w:tcW w:w="1465" w:type="dxa"/>
          </w:tcPr>
          <w:p w14:paraId="5903889C" w14:textId="77777777" w:rsidR="00CA4CC8" w:rsidRPr="008E4658" w:rsidRDefault="00CA4CC8" w:rsidP="00CA4CC8">
            <w:pPr>
              <w:rPr>
                <w:sz w:val="20"/>
                <w:szCs w:val="20"/>
              </w:rPr>
            </w:pPr>
            <w:r w:rsidRPr="008E4658">
              <w:rPr>
                <w:sz w:val="20"/>
                <w:szCs w:val="20"/>
              </w:rPr>
              <w:sym w:font="Wingdings" w:char="F0FC"/>
            </w:r>
            <w:r w:rsidRPr="008E4658">
              <w:rPr>
                <w:sz w:val="20"/>
                <w:szCs w:val="20"/>
              </w:rPr>
              <w:t>*</w:t>
            </w:r>
          </w:p>
        </w:tc>
        <w:tc>
          <w:tcPr>
            <w:tcW w:w="1465" w:type="dxa"/>
          </w:tcPr>
          <w:p w14:paraId="779C9B9D" w14:textId="77777777" w:rsidR="00CA4CC8" w:rsidRPr="008E4658" w:rsidRDefault="00CA4CC8" w:rsidP="00CA4CC8">
            <w:pPr>
              <w:rPr>
                <w:sz w:val="20"/>
                <w:szCs w:val="20"/>
              </w:rPr>
            </w:pPr>
            <w:r w:rsidRPr="008E4658">
              <w:rPr>
                <w:sz w:val="20"/>
                <w:szCs w:val="20"/>
              </w:rPr>
              <w:t>–</w:t>
            </w:r>
          </w:p>
        </w:tc>
        <w:tc>
          <w:tcPr>
            <w:tcW w:w="933" w:type="dxa"/>
          </w:tcPr>
          <w:p w14:paraId="4E0AD929" w14:textId="77777777" w:rsidR="00CA4CC8" w:rsidRPr="008E4658" w:rsidRDefault="00CA4CC8" w:rsidP="00CA4CC8">
            <w:pPr>
              <w:rPr>
                <w:sz w:val="20"/>
                <w:szCs w:val="20"/>
              </w:rPr>
            </w:pPr>
            <w:r w:rsidRPr="008E4658">
              <w:rPr>
                <w:sz w:val="20"/>
                <w:szCs w:val="20"/>
              </w:rPr>
              <w:sym w:font="Wingdings" w:char="F0FC"/>
            </w:r>
          </w:p>
        </w:tc>
        <w:tc>
          <w:tcPr>
            <w:tcW w:w="936" w:type="dxa"/>
          </w:tcPr>
          <w:p w14:paraId="1139CEF1" w14:textId="77777777" w:rsidR="00CA4CC8" w:rsidRPr="008E4658" w:rsidRDefault="00CA4CC8" w:rsidP="00CA4CC8">
            <w:pPr>
              <w:rPr>
                <w:sz w:val="20"/>
                <w:szCs w:val="20"/>
              </w:rPr>
            </w:pPr>
            <w:r w:rsidRPr="008E4658">
              <w:rPr>
                <w:sz w:val="20"/>
                <w:szCs w:val="20"/>
              </w:rPr>
              <w:t>–</w:t>
            </w:r>
          </w:p>
        </w:tc>
      </w:tr>
      <w:tr w:rsidR="00CA4CC8" w:rsidRPr="004F1C07" w14:paraId="1F985D82" w14:textId="77777777" w:rsidTr="00AD2D62">
        <w:trPr>
          <w:trHeight w:val="117"/>
        </w:trPr>
        <w:tc>
          <w:tcPr>
            <w:tcW w:w="1699" w:type="dxa"/>
            <w:vMerge/>
          </w:tcPr>
          <w:p w14:paraId="21371E7C" w14:textId="77777777" w:rsidR="00CA4CC8" w:rsidRPr="008E4658" w:rsidRDefault="00CA4CC8" w:rsidP="00CA4CC8">
            <w:pPr>
              <w:pStyle w:val="Tabletext"/>
              <w:rPr>
                <w:b/>
                <w:sz w:val="20"/>
                <w:szCs w:val="20"/>
              </w:rPr>
            </w:pPr>
          </w:p>
        </w:tc>
        <w:tc>
          <w:tcPr>
            <w:tcW w:w="2398" w:type="dxa"/>
          </w:tcPr>
          <w:p w14:paraId="5A99315E" w14:textId="77777777" w:rsidR="00CA4CC8" w:rsidRPr="008E4658" w:rsidRDefault="00CA4CC8" w:rsidP="00CA4CC8">
            <w:pPr>
              <w:rPr>
                <w:sz w:val="20"/>
                <w:szCs w:val="20"/>
              </w:rPr>
            </w:pPr>
            <w:r w:rsidRPr="008E4658">
              <w:rPr>
                <w:sz w:val="20"/>
                <w:szCs w:val="20"/>
              </w:rPr>
              <w:t>Guillain-Barre Syndrome (GBS)</w:t>
            </w:r>
          </w:p>
        </w:tc>
        <w:tc>
          <w:tcPr>
            <w:tcW w:w="1465" w:type="dxa"/>
          </w:tcPr>
          <w:p w14:paraId="4207D770" w14:textId="77777777" w:rsidR="00CA4CC8" w:rsidRPr="008E4658" w:rsidRDefault="00CA4CC8" w:rsidP="00CA4CC8">
            <w:pPr>
              <w:rPr>
                <w:sz w:val="20"/>
                <w:szCs w:val="20"/>
              </w:rPr>
            </w:pPr>
            <w:r w:rsidRPr="008E4658">
              <w:rPr>
                <w:sz w:val="20"/>
                <w:szCs w:val="20"/>
              </w:rPr>
              <w:sym w:font="Wingdings" w:char="F0FC"/>
            </w:r>
            <w:r w:rsidRPr="008E4658">
              <w:rPr>
                <w:sz w:val="20"/>
                <w:szCs w:val="20"/>
              </w:rPr>
              <w:t>*</w:t>
            </w:r>
          </w:p>
        </w:tc>
        <w:tc>
          <w:tcPr>
            <w:tcW w:w="1465" w:type="dxa"/>
          </w:tcPr>
          <w:p w14:paraId="41E0B9EE" w14:textId="77777777" w:rsidR="00CA4CC8" w:rsidRPr="008E4658" w:rsidRDefault="00CA4CC8" w:rsidP="00CA4CC8">
            <w:pPr>
              <w:rPr>
                <w:sz w:val="20"/>
                <w:szCs w:val="20"/>
              </w:rPr>
            </w:pPr>
            <w:r w:rsidRPr="008E4658">
              <w:rPr>
                <w:sz w:val="20"/>
                <w:szCs w:val="20"/>
              </w:rPr>
              <w:t>–</w:t>
            </w:r>
          </w:p>
        </w:tc>
        <w:tc>
          <w:tcPr>
            <w:tcW w:w="933" w:type="dxa"/>
          </w:tcPr>
          <w:p w14:paraId="6549BBEC" w14:textId="77777777" w:rsidR="00CA4CC8" w:rsidRPr="008E4658" w:rsidRDefault="00CA4CC8" w:rsidP="00CA4CC8">
            <w:pPr>
              <w:rPr>
                <w:sz w:val="20"/>
                <w:szCs w:val="20"/>
              </w:rPr>
            </w:pPr>
            <w:r w:rsidRPr="008E4658">
              <w:rPr>
                <w:sz w:val="20"/>
                <w:szCs w:val="20"/>
              </w:rPr>
              <w:sym w:font="Wingdings" w:char="F0FC"/>
            </w:r>
          </w:p>
        </w:tc>
        <w:tc>
          <w:tcPr>
            <w:tcW w:w="936" w:type="dxa"/>
          </w:tcPr>
          <w:p w14:paraId="58BB2C1E" w14:textId="77777777" w:rsidR="00CA4CC8" w:rsidRPr="008E4658" w:rsidRDefault="00CA4CC8" w:rsidP="00CA4CC8">
            <w:pPr>
              <w:rPr>
                <w:sz w:val="20"/>
                <w:szCs w:val="20"/>
              </w:rPr>
            </w:pPr>
            <w:r w:rsidRPr="008E4658">
              <w:rPr>
                <w:sz w:val="20"/>
                <w:szCs w:val="20"/>
              </w:rPr>
              <w:t>–</w:t>
            </w:r>
          </w:p>
        </w:tc>
      </w:tr>
      <w:tr w:rsidR="00CA4CC8" w:rsidRPr="004F1C07" w14:paraId="688BCC1D" w14:textId="77777777" w:rsidTr="00AD2D62">
        <w:trPr>
          <w:trHeight w:val="117"/>
        </w:trPr>
        <w:tc>
          <w:tcPr>
            <w:tcW w:w="1699" w:type="dxa"/>
            <w:vMerge/>
          </w:tcPr>
          <w:p w14:paraId="3347F934" w14:textId="77777777" w:rsidR="00CA4CC8" w:rsidRPr="008E4658" w:rsidRDefault="00CA4CC8" w:rsidP="00CA4CC8">
            <w:pPr>
              <w:pStyle w:val="Tabletext"/>
              <w:rPr>
                <w:b/>
                <w:sz w:val="20"/>
                <w:szCs w:val="20"/>
              </w:rPr>
            </w:pPr>
          </w:p>
        </w:tc>
        <w:tc>
          <w:tcPr>
            <w:tcW w:w="2398" w:type="dxa"/>
          </w:tcPr>
          <w:p w14:paraId="6B300379" w14:textId="77777777" w:rsidR="00CA4CC8" w:rsidRPr="008E4658" w:rsidRDefault="00CA4CC8" w:rsidP="00CA4CC8">
            <w:pPr>
              <w:rPr>
                <w:sz w:val="20"/>
                <w:szCs w:val="20"/>
              </w:rPr>
            </w:pPr>
            <w:r w:rsidRPr="008E4658">
              <w:rPr>
                <w:sz w:val="20"/>
                <w:szCs w:val="20"/>
              </w:rPr>
              <w:t>Demyelination</w:t>
            </w:r>
          </w:p>
        </w:tc>
        <w:tc>
          <w:tcPr>
            <w:tcW w:w="1465" w:type="dxa"/>
          </w:tcPr>
          <w:p w14:paraId="2C023304" w14:textId="77777777" w:rsidR="00CA4CC8" w:rsidRPr="008E4658" w:rsidRDefault="00CA4CC8" w:rsidP="00CA4CC8">
            <w:pPr>
              <w:rPr>
                <w:sz w:val="20"/>
                <w:szCs w:val="20"/>
              </w:rPr>
            </w:pPr>
            <w:r w:rsidRPr="008E4658">
              <w:rPr>
                <w:sz w:val="20"/>
                <w:szCs w:val="20"/>
              </w:rPr>
              <w:sym w:font="Wingdings" w:char="F0FC"/>
            </w:r>
            <w:r w:rsidRPr="008E4658">
              <w:rPr>
                <w:sz w:val="20"/>
                <w:szCs w:val="20"/>
              </w:rPr>
              <w:t>*</w:t>
            </w:r>
          </w:p>
        </w:tc>
        <w:tc>
          <w:tcPr>
            <w:tcW w:w="1465" w:type="dxa"/>
          </w:tcPr>
          <w:p w14:paraId="6B6BF63E" w14:textId="77777777" w:rsidR="00CA4CC8" w:rsidRPr="008E4658" w:rsidRDefault="00CA4CC8" w:rsidP="00CA4CC8">
            <w:pPr>
              <w:rPr>
                <w:sz w:val="20"/>
                <w:szCs w:val="20"/>
              </w:rPr>
            </w:pPr>
            <w:r w:rsidRPr="008E4658">
              <w:rPr>
                <w:sz w:val="20"/>
                <w:szCs w:val="20"/>
              </w:rPr>
              <w:t>–</w:t>
            </w:r>
          </w:p>
        </w:tc>
        <w:tc>
          <w:tcPr>
            <w:tcW w:w="933" w:type="dxa"/>
          </w:tcPr>
          <w:p w14:paraId="27D2A7E7" w14:textId="77777777" w:rsidR="00CA4CC8" w:rsidRPr="008E4658" w:rsidRDefault="00CA4CC8" w:rsidP="00CA4CC8">
            <w:pPr>
              <w:rPr>
                <w:sz w:val="20"/>
                <w:szCs w:val="20"/>
              </w:rPr>
            </w:pPr>
            <w:r w:rsidRPr="008E4658">
              <w:rPr>
                <w:sz w:val="20"/>
                <w:szCs w:val="20"/>
              </w:rPr>
              <w:t>–</w:t>
            </w:r>
          </w:p>
        </w:tc>
        <w:tc>
          <w:tcPr>
            <w:tcW w:w="936" w:type="dxa"/>
          </w:tcPr>
          <w:p w14:paraId="57801AAA" w14:textId="77777777" w:rsidR="00CA4CC8" w:rsidRPr="008E4658" w:rsidRDefault="00CA4CC8" w:rsidP="00CA4CC8">
            <w:pPr>
              <w:rPr>
                <w:sz w:val="20"/>
                <w:szCs w:val="20"/>
              </w:rPr>
            </w:pPr>
            <w:r w:rsidRPr="008E4658">
              <w:rPr>
                <w:sz w:val="20"/>
                <w:szCs w:val="20"/>
              </w:rPr>
              <w:t>–</w:t>
            </w:r>
          </w:p>
        </w:tc>
      </w:tr>
      <w:tr w:rsidR="00CA4CC8" w:rsidRPr="004F1C07" w14:paraId="474AA78A" w14:textId="77777777" w:rsidTr="00AD2D62">
        <w:trPr>
          <w:trHeight w:val="117"/>
        </w:trPr>
        <w:tc>
          <w:tcPr>
            <w:tcW w:w="1699" w:type="dxa"/>
            <w:vMerge/>
          </w:tcPr>
          <w:p w14:paraId="56226500" w14:textId="77777777" w:rsidR="00CA4CC8" w:rsidRPr="008E4658" w:rsidRDefault="00CA4CC8" w:rsidP="00CA4CC8">
            <w:pPr>
              <w:pStyle w:val="Tabletext"/>
              <w:rPr>
                <w:b/>
                <w:sz w:val="20"/>
                <w:szCs w:val="20"/>
              </w:rPr>
            </w:pPr>
          </w:p>
        </w:tc>
        <w:tc>
          <w:tcPr>
            <w:tcW w:w="2398" w:type="dxa"/>
          </w:tcPr>
          <w:p w14:paraId="0089A37F" w14:textId="77777777" w:rsidR="00CA4CC8" w:rsidRPr="008E4658" w:rsidRDefault="00CA4CC8" w:rsidP="00CA4CC8">
            <w:pPr>
              <w:rPr>
                <w:sz w:val="20"/>
                <w:szCs w:val="20"/>
              </w:rPr>
            </w:pPr>
            <w:r w:rsidRPr="008E4658">
              <w:rPr>
                <w:sz w:val="20"/>
                <w:szCs w:val="20"/>
              </w:rPr>
              <w:t>Bell’s palsy</w:t>
            </w:r>
          </w:p>
        </w:tc>
        <w:tc>
          <w:tcPr>
            <w:tcW w:w="1465" w:type="dxa"/>
          </w:tcPr>
          <w:p w14:paraId="3B51E13B" w14:textId="77777777" w:rsidR="00CA4CC8" w:rsidRPr="008E4658" w:rsidRDefault="00CA4CC8" w:rsidP="00CA4CC8">
            <w:pPr>
              <w:rPr>
                <w:sz w:val="20"/>
                <w:szCs w:val="20"/>
              </w:rPr>
            </w:pPr>
            <w:r w:rsidRPr="008E4658">
              <w:rPr>
                <w:sz w:val="20"/>
                <w:szCs w:val="20"/>
              </w:rPr>
              <w:sym w:font="Wingdings" w:char="F0FC"/>
            </w:r>
            <w:r w:rsidRPr="008E4658">
              <w:rPr>
                <w:sz w:val="20"/>
                <w:szCs w:val="20"/>
              </w:rPr>
              <w:t>*</w:t>
            </w:r>
          </w:p>
        </w:tc>
        <w:tc>
          <w:tcPr>
            <w:tcW w:w="1465" w:type="dxa"/>
          </w:tcPr>
          <w:p w14:paraId="4F3A60B6" w14:textId="77777777" w:rsidR="00CA4CC8" w:rsidRPr="008E4658" w:rsidRDefault="00CA4CC8" w:rsidP="00CA4CC8">
            <w:pPr>
              <w:rPr>
                <w:sz w:val="20"/>
                <w:szCs w:val="20"/>
              </w:rPr>
            </w:pPr>
            <w:r w:rsidRPr="008E4658">
              <w:rPr>
                <w:sz w:val="20"/>
                <w:szCs w:val="20"/>
              </w:rPr>
              <w:t>–</w:t>
            </w:r>
          </w:p>
        </w:tc>
        <w:tc>
          <w:tcPr>
            <w:tcW w:w="933" w:type="dxa"/>
          </w:tcPr>
          <w:p w14:paraId="0D9D07FA" w14:textId="77777777" w:rsidR="00CA4CC8" w:rsidRPr="008E4658" w:rsidRDefault="00CA4CC8" w:rsidP="00CA4CC8">
            <w:pPr>
              <w:rPr>
                <w:sz w:val="20"/>
                <w:szCs w:val="20"/>
              </w:rPr>
            </w:pPr>
            <w:r w:rsidRPr="008E4658">
              <w:rPr>
                <w:sz w:val="20"/>
                <w:szCs w:val="20"/>
              </w:rPr>
              <w:t>–</w:t>
            </w:r>
          </w:p>
        </w:tc>
        <w:tc>
          <w:tcPr>
            <w:tcW w:w="936" w:type="dxa"/>
          </w:tcPr>
          <w:p w14:paraId="5C47BDD6" w14:textId="77777777" w:rsidR="00CA4CC8" w:rsidRPr="008E4658" w:rsidRDefault="00CA4CC8" w:rsidP="00CA4CC8">
            <w:pPr>
              <w:rPr>
                <w:sz w:val="20"/>
                <w:szCs w:val="20"/>
              </w:rPr>
            </w:pPr>
            <w:r w:rsidRPr="008E4658">
              <w:rPr>
                <w:sz w:val="20"/>
                <w:szCs w:val="20"/>
              </w:rPr>
              <w:t>–</w:t>
            </w:r>
          </w:p>
        </w:tc>
      </w:tr>
      <w:tr w:rsidR="00CA4CC8" w:rsidRPr="004F1C07" w14:paraId="0CE63E2E" w14:textId="77777777" w:rsidTr="00AD2D62">
        <w:trPr>
          <w:trHeight w:val="117"/>
        </w:trPr>
        <w:tc>
          <w:tcPr>
            <w:tcW w:w="1699" w:type="dxa"/>
            <w:vMerge/>
          </w:tcPr>
          <w:p w14:paraId="160A2916" w14:textId="77777777" w:rsidR="00CA4CC8" w:rsidRPr="008E4658" w:rsidRDefault="00CA4CC8" w:rsidP="00CA4CC8">
            <w:pPr>
              <w:pStyle w:val="Tabletext"/>
              <w:rPr>
                <w:b/>
                <w:sz w:val="20"/>
                <w:szCs w:val="20"/>
              </w:rPr>
            </w:pPr>
          </w:p>
        </w:tc>
        <w:tc>
          <w:tcPr>
            <w:tcW w:w="2398" w:type="dxa"/>
          </w:tcPr>
          <w:p w14:paraId="1ED6DD34" w14:textId="77777777" w:rsidR="00CA4CC8" w:rsidRPr="008E4658" w:rsidRDefault="00CA4CC8" w:rsidP="00CA4CC8">
            <w:pPr>
              <w:rPr>
                <w:sz w:val="20"/>
                <w:szCs w:val="20"/>
              </w:rPr>
            </w:pPr>
            <w:r w:rsidRPr="008E4658">
              <w:rPr>
                <w:sz w:val="20"/>
                <w:szCs w:val="20"/>
              </w:rPr>
              <w:t xml:space="preserve">Immune </w:t>
            </w:r>
            <w:proofErr w:type="spellStart"/>
            <w:r w:rsidRPr="008E4658">
              <w:rPr>
                <w:sz w:val="20"/>
                <w:szCs w:val="20"/>
              </w:rPr>
              <w:t>Thombocytopaenic</w:t>
            </w:r>
            <w:proofErr w:type="spellEnd"/>
            <w:r w:rsidRPr="008E4658">
              <w:rPr>
                <w:sz w:val="20"/>
                <w:szCs w:val="20"/>
              </w:rPr>
              <w:t xml:space="preserve"> Purpura (ITP)</w:t>
            </w:r>
          </w:p>
        </w:tc>
        <w:tc>
          <w:tcPr>
            <w:tcW w:w="1465" w:type="dxa"/>
          </w:tcPr>
          <w:p w14:paraId="33F0CDD0" w14:textId="77777777" w:rsidR="00CA4CC8" w:rsidRPr="008E4658" w:rsidRDefault="00CA4CC8" w:rsidP="00CA4CC8">
            <w:pPr>
              <w:rPr>
                <w:sz w:val="20"/>
                <w:szCs w:val="20"/>
              </w:rPr>
            </w:pPr>
            <w:r w:rsidRPr="008E4658">
              <w:rPr>
                <w:sz w:val="20"/>
                <w:szCs w:val="20"/>
              </w:rPr>
              <w:sym w:font="Wingdings" w:char="F0FC"/>
            </w:r>
            <w:r w:rsidRPr="008E4658">
              <w:rPr>
                <w:sz w:val="20"/>
                <w:szCs w:val="20"/>
              </w:rPr>
              <w:t>*</w:t>
            </w:r>
          </w:p>
        </w:tc>
        <w:tc>
          <w:tcPr>
            <w:tcW w:w="1465" w:type="dxa"/>
          </w:tcPr>
          <w:p w14:paraId="381467B3" w14:textId="77777777" w:rsidR="00CA4CC8" w:rsidRPr="008E4658" w:rsidRDefault="00CA4CC8" w:rsidP="00CA4CC8">
            <w:pPr>
              <w:rPr>
                <w:sz w:val="20"/>
                <w:szCs w:val="20"/>
              </w:rPr>
            </w:pPr>
            <w:r w:rsidRPr="008E4658">
              <w:rPr>
                <w:sz w:val="20"/>
                <w:szCs w:val="20"/>
              </w:rPr>
              <w:t>–</w:t>
            </w:r>
          </w:p>
        </w:tc>
        <w:tc>
          <w:tcPr>
            <w:tcW w:w="933" w:type="dxa"/>
          </w:tcPr>
          <w:p w14:paraId="01DB0E48" w14:textId="77777777" w:rsidR="00CA4CC8" w:rsidRPr="008E4658" w:rsidRDefault="00CA4CC8" w:rsidP="00CA4CC8">
            <w:pPr>
              <w:rPr>
                <w:sz w:val="20"/>
                <w:szCs w:val="20"/>
              </w:rPr>
            </w:pPr>
            <w:r w:rsidRPr="008E4658">
              <w:rPr>
                <w:sz w:val="20"/>
                <w:szCs w:val="20"/>
              </w:rPr>
              <w:sym w:font="Wingdings" w:char="F0FC"/>
            </w:r>
          </w:p>
        </w:tc>
        <w:tc>
          <w:tcPr>
            <w:tcW w:w="936" w:type="dxa"/>
          </w:tcPr>
          <w:p w14:paraId="4BBF81E0" w14:textId="77777777" w:rsidR="00CA4CC8" w:rsidRPr="008E4658" w:rsidRDefault="00CA4CC8" w:rsidP="00CA4CC8">
            <w:pPr>
              <w:rPr>
                <w:sz w:val="20"/>
                <w:szCs w:val="20"/>
              </w:rPr>
            </w:pPr>
            <w:r w:rsidRPr="008E4658">
              <w:rPr>
                <w:sz w:val="20"/>
                <w:szCs w:val="20"/>
              </w:rPr>
              <w:t>–</w:t>
            </w:r>
          </w:p>
        </w:tc>
      </w:tr>
      <w:tr w:rsidR="00CA4CC8" w:rsidRPr="004F1C07" w14:paraId="408CAD61" w14:textId="77777777" w:rsidTr="00AD2D62">
        <w:trPr>
          <w:trHeight w:val="171"/>
        </w:trPr>
        <w:tc>
          <w:tcPr>
            <w:tcW w:w="1699" w:type="dxa"/>
          </w:tcPr>
          <w:p w14:paraId="77EC1FFB" w14:textId="77777777" w:rsidR="00CA4CC8" w:rsidRPr="008E4658" w:rsidRDefault="00CA4CC8" w:rsidP="00CA4CC8">
            <w:pPr>
              <w:pStyle w:val="Tabletext"/>
              <w:rPr>
                <w:b/>
                <w:sz w:val="20"/>
                <w:szCs w:val="20"/>
              </w:rPr>
            </w:pPr>
            <w:r w:rsidRPr="008E4658">
              <w:rPr>
                <w:b/>
                <w:sz w:val="20"/>
                <w:szCs w:val="20"/>
              </w:rPr>
              <w:t>Missing information</w:t>
            </w:r>
          </w:p>
        </w:tc>
        <w:tc>
          <w:tcPr>
            <w:tcW w:w="2398" w:type="dxa"/>
          </w:tcPr>
          <w:p w14:paraId="3893E602" w14:textId="77777777" w:rsidR="00CA4CC8" w:rsidRPr="008E4658" w:rsidRDefault="00CA4CC8" w:rsidP="00544153">
            <w:pPr>
              <w:rPr>
                <w:sz w:val="20"/>
                <w:szCs w:val="20"/>
              </w:rPr>
            </w:pPr>
            <w:r w:rsidRPr="008E4658">
              <w:rPr>
                <w:sz w:val="20"/>
                <w:szCs w:val="20"/>
              </w:rPr>
              <w:t>Safety in immunocompromised individuals</w:t>
            </w:r>
          </w:p>
        </w:tc>
        <w:tc>
          <w:tcPr>
            <w:tcW w:w="1465" w:type="dxa"/>
          </w:tcPr>
          <w:p w14:paraId="1CEB9E17" w14:textId="77777777" w:rsidR="00CA4CC8" w:rsidRPr="008E4658" w:rsidRDefault="00CA4CC8" w:rsidP="00544153">
            <w:pPr>
              <w:rPr>
                <w:sz w:val="20"/>
                <w:szCs w:val="20"/>
              </w:rPr>
            </w:pPr>
            <w:r w:rsidRPr="008E4658">
              <w:rPr>
                <w:sz w:val="20"/>
                <w:szCs w:val="20"/>
              </w:rPr>
              <w:sym w:font="Wingdings" w:char="F0FC"/>
            </w:r>
            <w:r w:rsidRPr="008E4658">
              <w:rPr>
                <w:sz w:val="20"/>
                <w:szCs w:val="20"/>
              </w:rPr>
              <w:t>*</w:t>
            </w:r>
          </w:p>
        </w:tc>
        <w:tc>
          <w:tcPr>
            <w:tcW w:w="1465" w:type="dxa"/>
          </w:tcPr>
          <w:p w14:paraId="161C9726" w14:textId="77777777" w:rsidR="00CA4CC8" w:rsidRPr="008E4658" w:rsidRDefault="00CA4CC8" w:rsidP="00544153">
            <w:pPr>
              <w:rPr>
                <w:sz w:val="20"/>
                <w:szCs w:val="20"/>
              </w:rPr>
            </w:pPr>
            <w:r w:rsidRPr="008E4658">
              <w:rPr>
                <w:sz w:val="20"/>
                <w:szCs w:val="20"/>
              </w:rPr>
              <w:t>–</w:t>
            </w:r>
          </w:p>
        </w:tc>
        <w:tc>
          <w:tcPr>
            <w:tcW w:w="933" w:type="dxa"/>
          </w:tcPr>
          <w:p w14:paraId="61DF4885" w14:textId="77777777" w:rsidR="00CA4CC8" w:rsidRPr="008E4658" w:rsidRDefault="00CA4CC8" w:rsidP="00544153">
            <w:pPr>
              <w:rPr>
                <w:sz w:val="20"/>
                <w:szCs w:val="20"/>
              </w:rPr>
            </w:pPr>
            <w:r w:rsidRPr="008E4658">
              <w:rPr>
                <w:sz w:val="20"/>
                <w:szCs w:val="20"/>
              </w:rPr>
              <w:sym w:font="Wingdings" w:char="F0FC"/>
            </w:r>
          </w:p>
        </w:tc>
        <w:tc>
          <w:tcPr>
            <w:tcW w:w="936" w:type="dxa"/>
          </w:tcPr>
          <w:p w14:paraId="4DEE0D9A" w14:textId="77777777" w:rsidR="00CA4CC8" w:rsidRPr="008E4658" w:rsidRDefault="00CA4CC8" w:rsidP="00544153">
            <w:pPr>
              <w:rPr>
                <w:sz w:val="20"/>
                <w:szCs w:val="20"/>
              </w:rPr>
            </w:pPr>
            <w:r w:rsidRPr="008E4658">
              <w:rPr>
                <w:sz w:val="20"/>
                <w:szCs w:val="20"/>
              </w:rPr>
              <w:t>–</w:t>
            </w:r>
          </w:p>
        </w:tc>
      </w:tr>
    </w:tbl>
    <w:p w14:paraId="20914C12" w14:textId="77777777" w:rsidR="00CA4CC8" w:rsidRPr="00185C23" w:rsidRDefault="00CA4CC8" w:rsidP="00544153">
      <w:pPr>
        <w:pStyle w:val="TableDescription"/>
      </w:pPr>
      <w:r w:rsidRPr="00185C23">
        <w:t>* Enhanced Passive Safety Surv</w:t>
      </w:r>
      <w:r>
        <w:t>eillance for influenza vaccines</w:t>
      </w:r>
    </w:p>
    <w:p w14:paraId="2F676ACC" w14:textId="51B66666" w:rsidR="00195614" w:rsidRDefault="00195614" w:rsidP="0048502D">
      <w:pPr>
        <w:rPr>
          <w:rFonts w:eastAsiaTheme="minorHAnsi" w:cs="Cambria"/>
        </w:rPr>
      </w:pPr>
      <w:r w:rsidRPr="00E85724">
        <w:t xml:space="preserve">In the submitted </w:t>
      </w:r>
      <w:r w:rsidR="001F0BA9">
        <w:t xml:space="preserve">risk management plan </w:t>
      </w:r>
      <w:r w:rsidR="00E85724">
        <w:t>(</w:t>
      </w:r>
      <w:r w:rsidRPr="00E85724">
        <w:t>RMP</w:t>
      </w:r>
      <w:r w:rsidR="00E85724">
        <w:t>)</w:t>
      </w:r>
      <w:r w:rsidRPr="00E85724">
        <w:t xml:space="preserve">, </w:t>
      </w:r>
      <w:r w:rsidR="002466F9" w:rsidRPr="00E85724">
        <w:t>the sponsor</w:t>
      </w:r>
      <w:r w:rsidRPr="00E85724">
        <w:t xml:space="preserve"> mentioned the Development of Robust and Innovative Vaccine Effectiveness (DRIVE) project, which is an </w:t>
      </w:r>
      <w:r w:rsidR="002466F9" w:rsidRPr="00E85724">
        <w:t xml:space="preserve">Innovative Medicines Initiative </w:t>
      </w:r>
      <w:r w:rsidRPr="00E85724">
        <w:t xml:space="preserve">(IMI) project. DRIVE </w:t>
      </w:r>
      <w:r w:rsidR="002466F9" w:rsidRPr="00E85724">
        <w:t>was</w:t>
      </w:r>
      <w:r w:rsidRPr="00E85724">
        <w:t xml:space="preserve"> launched in July 2017 to address the regulatory recommendation to perform post-authorisation effectiveness studies as per the Guideline on Influenza Vacci</w:t>
      </w:r>
      <w:r w:rsidR="002466F9" w:rsidRPr="00E85724">
        <w:t>nes</w:t>
      </w:r>
      <w:r w:rsidRPr="00E85724">
        <w:t>.</w:t>
      </w:r>
      <w:r w:rsidR="002466F9" w:rsidRPr="00EA07B6">
        <w:rPr>
          <w:vertAlign w:val="superscript"/>
        </w:rPr>
        <w:footnoteReference w:id="8"/>
      </w:r>
      <w:r w:rsidRPr="00EA07B6">
        <w:rPr>
          <w:vertAlign w:val="superscript"/>
        </w:rPr>
        <w:t xml:space="preserve"> </w:t>
      </w:r>
      <w:r w:rsidRPr="00E85724">
        <w:t xml:space="preserve">GSK, Sanofi Pasteur, Abbott and </w:t>
      </w:r>
      <w:proofErr w:type="spellStart"/>
      <w:r w:rsidRPr="00E85724">
        <w:t>Seqirus</w:t>
      </w:r>
      <w:proofErr w:type="spellEnd"/>
      <w:r w:rsidRPr="00E85724">
        <w:t xml:space="preserve"> contributed to </w:t>
      </w:r>
      <w:r w:rsidRPr="00E85724">
        <w:lastRenderedPageBreak/>
        <w:t xml:space="preserve">the genesis of this project, originally referred to as Joint Influenza Vaccine Effectiveness studies (JIVES). The DRIVE project is a unique </w:t>
      </w:r>
      <w:r w:rsidR="001F0BA9">
        <w:t>p</w:t>
      </w:r>
      <w:r w:rsidRPr="00E85724">
        <w:t xml:space="preserve">ublic </w:t>
      </w:r>
      <w:r w:rsidR="001F0BA9">
        <w:t>p</w:t>
      </w:r>
      <w:r w:rsidRPr="00E85724">
        <w:t xml:space="preserve">rivate </w:t>
      </w:r>
      <w:r w:rsidR="001F0BA9">
        <w:t>p</w:t>
      </w:r>
      <w:r w:rsidRPr="00E85724">
        <w:t>artnership involving, in addition to manufacturers, academia and public health institutes.</w:t>
      </w:r>
      <w:r w:rsidR="00D636D6">
        <w:rPr>
          <w:rStyle w:val="FootnoteReference"/>
        </w:rPr>
        <w:footnoteReference w:id="9"/>
      </w:r>
      <w:r w:rsidRPr="00E85724">
        <w:t xml:space="preserve"> Vaccine effectiveness estimates will be considered within the context of the multitude of factors aside from the vaccine that could determine the effectiveness of the vaccine as well as with consideration for the applied study design. </w:t>
      </w:r>
      <w:proofErr w:type="spellStart"/>
      <w:r w:rsidRPr="00E85724">
        <w:t>Seqirus</w:t>
      </w:r>
      <w:proofErr w:type="spellEnd"/>
      <w:r w:rsidRPr="00E85724">
        <w:t xml:space="preserve"> will not be the study sponsor or owner of the data. Timelines are driven by the overall project and timelines of the existing surveillances. Over its lifetime, the project is expected to progressively expand the existing infrastructure to enhance the opportunities for </w:t>
      </w:r>
      <w:proofErr w:type="spellStart"/>
      <w:r w:rsidRPr="00E85724">
        <w:t>Seqirus</w:t>
      </w:r>
      <w:proofErr w:type="spellEnd"/>
      <w:r w:rsidRPr="00E85724">
        <w:t xml:space="preserve"> to document vaccine effectiveness of </w:t>
      </w:r>
      <w:proofErr w:type="spellStart"/>
      <w:r w:rsidRPr="00E85724">
        <w:t>aQIV</w:t>
      </w:r>
      <w:proofErr w:type="spellEnd"/>
      <w:r w:rsidRPr="00E85724">
        <w:t xml:space="preserve"> post-marketing. The study timelines and associated period of the data collection depend on the availability of the influenza vaccines, start of the vaccination programme and start of the influenza virus circulation which will vary by study location and season. The report is expected to be available for submission in December following the initial season of </w:t>
      </w:r>
      <w:proofErr w:type="spellStart"/>
      <w:r w:rsidRPr="00E85724">
        <w:t>aQIV</w:t>
      </w:r>
      <w:proofErr w:type="spellEnd"/>
      <w:r w:rsidRPr="00E85724">
        <w:t xml:space="preserve"> launch and annually therea</w:t>
      </w:r>
      <w:r w:rsidR="00E85724" w:rsidRPr="00E85724">
        <w:t>fter. It is also confirmed that</w:t>
      </w:r>
      <w:r w:rsidRPr="00E85724">
        <w:t xml:space="preserve">, if registered and </w:t>
      </w:r>
      <w:r w:rsidRPr="000138CB">
        <w:t>supplied</w:t>
      </w:r>
      <w:r w:rsidR="00544153">
        <w:t>,</w:t>
      </w:r>
      <w:r w:rsidRPr="00E85724">
        <w:t xml:space="preserve"> the safety</w:t>
      </w:r>
      <w:r w:rsidR="000138CB">
        <w:t xml:space="preserve"> </w:t>
      </w:r>
      <w:r w:rsidRPr="00E85724">
        <w:t xml:space="preserve">of the vaccine will be monitored in the </w:t>
      </w:r>
      <w:proofErr w:type="spellStart"/>
      <w:r w:rsidRPr="00E85724">
        <w:t>AusV</w:t>
      </w:r>
      <w:r w:rsidR="005111D8" w:rsidRPr="00E85724">
        <w:t>axSafety</w:t>
      </w:r>
      <w:proofErr w:type="spellEnd"/>
      <w:r w:rsidR="005111D8" w:rsidRPr="00E85724">
        <w:t xml:space="preserve"> surveillance progra</w:t>
      </w:r>
      <w:r w:rsidR="005111D8">
        <w:rPr>
          <w:rFonts w:eastAsiaTheme="minorHAnsi" w:cs="Cambria"/>
        </w:rPr>
        <w:t>m.</w:t>
      </w:r>
      <w:r w:rsidR="00E85724" w:rsidRPr="001F0BA9">
        <w:rPr>
          <w:rStyle w:val="FootnoteReference"/>
          <w:rFonts w:eastAsiaTheme="minorHAnsi" w:cs="Cambria"/>
        </w:rPr>
        <w:footnoteReference w:id="10"/>
      </w:r>
      <w:r w:rsidR="001F0BA9" w:rsidRPr="00544153">
        <w:rPr>
          <w:rFonts w:eastAsiaTheme="minorHAnsi" w:cs="Cambria"/>
          <w:vertAlign w:val="superscript"/>
        </w:rPr>
        <w:t>,</w:t>
      </w:r>
      <w:r w:rsidR="000138CB">
        <w:rPr>
          <w:rStyle w:val="FootnoteReference"/>
          <w:rFonts w:eastAsiaTheme="minorHAnsi" w:cs="Cambria"/>
        </w:rPr>
        <w:footnoteReference w:id="11"/>
      </w:r>
    </w:p>
    <w:p w14:paraId="2D78EB1A" w14:textId="77777777" w:rsidR="00195614" w:rsidRDefault="00195614" w:rsidP="005111D8">
      <w:r>
        <w:t>The RMP evaluator has proposed the following Conditions of Registration:</w:t>
      </w:r>
    </w:p>
    <w:p w14:paraId="12E019DE" w14:textId="256B4799" w:rsidR="00195614" w:rsidRPr="00E1172F" w:rsidRDefault="00195614" w:rsidP="005F4EE5">
      <w:pPr>
        <w:ind w:left="284"/>
      </w:pPr>
      <w:r w:rsidRPr="00E1172F">
        <w:t xml:space="preserve">Any changes to which the sponsor has agreed should be included in a revised RMP and </w:t>
      </w:r>
      <w:r w:rsidR="00E85724">
        <w:t>Australian Specific Annex (</w:t>
      </w:r>
      <w:r w:rsidRPr="00E1172F">
        <w:t>ASA</w:t>
      </w:r>
      <w:r w:rsidR="00E85724">
        <w:t>)</w:t>
      </w:r>
      <w:r w:rsidRPr="00E1172F">
        <w:t>. However, irrespective of whether or not they are included in the currently available version of the RMP document, the agreed changes become part of the risk management system.</w:t>
      </w:r>
    </w:p>
    <w:p w14:paraId="3A4D0FD3" w14:textId="1FA68CE1" w:rsidR="00195614" w:rsidRPr="00641971" w:rsidRDefault="00195614" w:rsidP="005111D8">
      <w:r w:rsidRPr="00641971">
        <w:t>The suggested wording is:</w:t>
      </w:r>
    </w:p>
    <w:p w14:paraId="3964D1A4" w14:textId="77777777" w:rsidR="00195614" w:rsidRPr="005111D8" w:rsidRDefault="00195614" w:rsidP="005111D8">
      <w:pPr>
        <w:ind w:left="720"/>
        <w:rPr>
          <w:i/>
        </w:rPr>
      </w:pPr>
      <w:r w:rsidRPr="005111D8">
        <w:rPr>
          <w:i/>
        </w:rPr>
        <w:t xml:space="preserve">The </w:t>
      </w:r>
      <w:proofErr w:type="spellStart"/>
      <w:r w:rsidRPr="005111D8">
        <w:rPr>
          <w:i/>
        </w:rPr>
        <w:t>F</w:t>
      </w:r>
      <w:r w:rsidR="00E85724">
        <w:rPr>
          <w:i/>
        </w:rPr>
        <w:t>luad</w:t>
      </w:r>
      <w:proofErr w:type="spellEnd"/>
      <w:r w:rsidR="00E85724">
        <w:rPr>
          <w:i/>
        </w:rPr>
        <w:t xml:space="preserve"> Quad</w:t>
      </w:r>
      <w:r w:rsidRPr="005111D8">
        <w:rPr>
          <w:i/>
        </w:rPr>
        <w:t xml:space="preserve"> EU-Risk Management Plan (RMP) (version 1.0, dated 9 January 2019, data lock point 31 October 2018), with Australian Specific Annex (version 1.0, dated 17 January 2019), included with submission PM-2019-00120-1-2, and any subsequent revisions, as agreed with the TGA will be implemented in Australia.</w:t>
      </w:r>
    </w:p>
    <w:p w14:paraId="6BCB5F0F" w14:textId="77777777" w:rsidR="00195614" w:rsidRPr="00523BC5" w:rsidRDefault="00195614" w:rsidP="005111D8">
      <w:r w:rsidRPr="00523BC5">
        <w:t>The following wording is recommended for the PSUR requirement:</w:t>
      </w:r>
    </w:p>
    <w:p w14:paraId="740AC486" w14:textId="77777777" w:rsidR="00195614" w:rsidRPr="005111D8" w:rsidRDefault="00195614" w:rsidP="005111D8">
      <w:pPr>
        <w:ind w:left="720"/>
        <w:rPr>
          <w:i/>
        </w:rPr>
      </w:pPr>
      <w:r w:rsidRPr="005111D8">
        <w:rPr>
          <w:i/>
        </w:rPr>
        <w:t>An obligatory component of risk management plans is routine pharmacovigilance. Routine pharmacovigilance includes the submission of periodic safety update reports (PSURs).</w:t>
      </w:r>
    </w:p>
    <w:p w14:paraId="5C222F1B" w14:textId="77777777" w:rsidR="00195614" w:rsidRPr="005111D8" w:rsidRDefault="00195614" w:rsidP="005111D8">
      <w:pPr>
        <w:ind w:left="720"/>
        <w:rPr>
          <w:i/>
        </w:rPr>
      </w:pPr>
      <w:r w:rsidRPr="005111D8">
        <w:rPr>
          <w:i/>
        </w:rPr>
        <w:t>Unless agreed separately between the supplier who is the recipient of the approval and the TGA, the first report must be submitted to TGA no later than 15 calendar months after the date of this approval letter. The subsequent reports must be submitted no less frequently than annually from the date of the first submitted report until the period covered by such reports is not less than three years from the date of this approval letter. The annual submission may be made up of two PSURs each covering six months. If the sponsor wishes, the six monthly reports may be submitted separately as they become available.</w:t>
      </w:r>
    </w:p>
    <w:p w14:paraId="26760457" w14:textId="77777777" w:rsidR="00195614" w:rsidRPr="005111D8" w:rsidRDefault="00195614" w:rsidP="005111D8">
      <w:pPr>
        <w:ind w:left="720"/>
        <w:rPr>
          <w:i/>
        </w:rPr>
      </w:pPr>
      <w:r w:rsidRPr="005111D8">
        <w:rPr>
          <w:i/>
        </w:rPr>
        <w:t xml:space="preserve">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w:t>
      </w:r>
      <w:r w:rsidRPr="005111D8">
        <w:rPr>
          <w:i/>
        </w:rPr>
        <w:lastRenderedPageBreak/>
        <w:t>registration. Each report must have been prepared within ninety calendar days of the data lock point for that report.</w:t>
      </w:r>
    </w:p>
    <w:p w14:paraId="189135CE" w14:textId="77777777" w:rsidR="008E7846" w:rsidRDefault="00AA0ED0" w:rsidP="005F4EE5">
      <w:pPr>
        <w:pStyle w:val="Heading3"/>
      </w:pPr>
      <w:bookmarkStart w:id="41" w:name="_Toc247691531"/>
      <w:bookmarkStart w:id="42" w:name="_Toc314842515"/>
      <w:bookmarkStart w:id="43" w:name="_Toc196046505"/>
      <w:bookmarkStart w:id="44" w:name="_Toc196046949"/>
      <w:bookmarkStart w:id="45" w:name="_Toc26439480"/>
      <w:r>
        <w:t>Risk-benefit a</w:t>
      </w:r>
      <w:r w:rsidR="008E7846">
        <w:t>nalysis</w:t>
      </w:r>
      <w:bookmarkEnd w:id="41"/>
      <w:bookmarkEnd w:id="42"/>
      <w:bookmarkEnd w:id="45"/>
    </w:p>
    <w:p w14:paraId="15C9DC28" w14:textId="76DE815E" w:rsidR="00D23139" w:rsidRPr="005F4EE5" w:rsidRDefault="005F4EE5" w:rsidP="005F4EE5">
      <w:pPr>
        <w:pStyle w:val="Heading4"/>
      </w:pPr>
      <w:r>
        <w:t>Delegate’s considerations</w:t>
      </w:r>
    </w:p>
    <w:p w14:paraId="7C0FA678" w14:textId="77777777" w:rsidR="00606B8D" w:rsidRDefault="005111D8" w:rsidP="005111D8">
      <w:r>
        <w:t>T</w:t>
      </w:r>
      <w:r w:rsidR="00195614" w:rsidRPr="005111D8">
        <w:t xml:space="preserve">he submitted single pivotal study assessed the safety and immunogenicity of </w:t>
      </w:r>
      <w:proofErr w:type="spellStart"/>
      <w:r w:rsidR="00195614" w:rsidRPr="005111D8">
        <w:t>aQIV</w:t>
      </w:r>
      <w:proofErr w:type="spellEnd"/>
      <w:r w:rsidR="00195614" w:rsidRPr="005111D8">
        <w:t xml:space="preserve">. The study demonstrated that </w:t>
      </w:r>
      <w:proofErr w:type="spellStart"/>
      <w:r w:rsidR="00195614" w:rsidRPr="005111D8">
        <w:t>aQIV</w:t>
      </w:r>
      <w:proofErr w:type="spellEnd"/>
      <w:r w:rsidR="00195614" w:rsidRPr="005111D8">
        <w:t xml:space="preserve"> was non-inferior to </w:t>
      </w:r>
      <w:proofErr w:type="spellStart"/>
      <w:r w:rsidR="00195614" w:rsidRPr="005111D8">
        <w:t>aTIV</w:t>
      </w:r>
      <w:proofErr w:type="spellEnd"/>
      <w:r w:rsidR="00195614" w:rsidRPr="005111D8">
        <w:t xml:space="preserve"> comparators in terms of antibody response to the three vaccine strains. The </w:t>
      </w:r>
      <w:proofErr w:type="spellStart"/>
      <w:r w:rsidR="00195614" w:rsidRPr="005111D8">
        <w:t>aQIV</w:t>
      </w:r>
      <w:proofErr w:type="spellEnd"/>
      <w:r w:rsidR="00195614" w:rsidRPr="005111D8">
        <w:t xml:space="preserve"> was also demonstrated to be immunologically superior to aTIV-1 (</w:t>
      </w:r>
      <w:proofErr w:type="spellStart"/>
      <w:r w:rsidR="00195614" w:rsidRPr="005111D8">
        <w:t>Fluad</w:t>
      </w:r>
      <w:proofErr w:type="spellEnd"/>
      <w:r w:rsidR="00195614" w:rsidRPr="005111D8">
        <w:t xml:space="preserve">) and aTIV-2 for the B strain that was not included in each </w:t>
      </w:r>
      <w:proofErr w:type="spellStart"/>
      <w:r w:rsidR="00195614" w:rsidRPr="005111D8">
        <w:t>aTIV</w:t>
      </w:r>
      <w:proofErr w:type="spellEnd"/>
      <w:r w:rsidR="00195614" w:rsidRPr="005111D8">
        <w:t xml:space="preserve"> vaccine</w:t>
      </w:r>
      <w:r w:rsidR="00195614" w:rsidRPr="005111D8">
        <w:rPr>
          <w:rFonts w:ascii="Times New Roman" w:hAnsi="Times New Roman"/>
        </w:rPr>
        <w:t>.</w:t>
      </w:r>
      <w:r w:rsidR="00195614" w:rsidRPr="005111D8">
        <w:rPr>
          <w:bCs/>
        </w:rPr>
        <w:t xml:space="preserve"> However, the immune responses against the B strains were low for both the </w:t>
      </w:r>
      <w:proofErr w:type="spellStart"/>
      <w:r w:rsidR="00195614" w:rsidRPr="005111D8">
        <w:rPr>
          <w:bCs/>
        </w:rPr>
        <w:t>aQIV</w:t>
      </w:r>
      <w:proofErr w:type="spellEnd"/>
      <w:r w:rsidR="00195614" w:rsidRPr="005111D8">
        <w:rPr>
          <w:bCs/>
        </w:rPr>
        <w:t xml:space="preserve"> and the two </w:t>
      </w:r>
      <w:proofErr w:type="spellStart"/>
      <w:r w:rsidR="00195614" w:rsidRPr="005111D8">
        <w:rPr>
          <w:bCs/>
        </w:rPr>
        <w:t>aTIV</w:t>
      </w:r>
      <w:proofErr w:type="spellEnd"/>
      <w:r w:rsidR="00195614" w:rsidRPr="005111D8">
        <w:rPr>
          <w:bCs/>
        </w:rPr>
        <w:t xml:space="preserve"> comparators, so the CBER criteria for absolute immune response were not met</w:t>
      </w:r>
      <w:r w:rsidR="00606B8D">
        <w:t>.</w:t>
      </w:r>
    </w:p>
    <w:p w14:paraId="7F7255C8" w14:textId="7327377F" w:rsidR="00195614" w:rsidRPr="005111D8" w:rsidRDefault="00195614" w:rsidP="005111D8">
      <w:pPr>
        <w:rPr>
          <w:rFonts w:ascii="Times New Roman" w:hAnsi="Times New Roman"/>
          <w:bCs/>
        </w:rPr>
      </w:pPr>
      <w:r w:rsidRPr="005111D8">
        <w:t>In response to the TGA</w:t>
      </w:r>
      <w:r w:rsidR="00606B8D">
        <w:t>’s</w:t>
      </w:r>
      <w:r w:rsidRPr="005111D8">
        <w:t xml:space="preserve"> question regarding the low response to </w:t>
      </w:r>
      <w:r w:rsidR="00EA07B6">
        <w:t xml:space="preserve">the </w:t>
      </w:r>
      <w:r w:rsidRPr="005111D8">
        <w:t xml:space="preserve">B strains, </w:t>
      </w:r>
      <w:r w:rsidR="00606B8D">
        <w:t>the sponsor</w:t>
      </w:r>
      <w:r w:rsidRPr="005111D8">
        <w:t xml:space="preserve"> provided the analysis from their 16 clinical trials conducted</w:t>
      </w:r>
      <w:r w:rsidR="00606B8D">
        <w:t xml:space="preserve"> with </w:t>
      </w:r>
      <w:proofErr w:type="spellStart"/>
      <w:r w:rsidR="00606B8D">
        <w:t>adjuvanted</w:t>
      </w:r>
      <w:proofErr w:type="spellEnd"/>
      <w:r w:rsidR="00606B8D">
        <w:t xml:space="preserve"> TIV versus non</w:t>
      </w:r>
      <w:r w:rsidRPr="005111D8">
        <w:t xml:space="preserve"> </w:t>
      </w:r>
      <w:proofErr w:type="spellStart"/>
      <w:r w:rsidRPr="005111D8">
        <w:t>adjuvanted</w:t>
      </w:r>
      <w:proofErr w:type="spellEnd"/>
      <w:r w:rsidRPr="005111D8">
        <w:t xml:space="preserve"> TIV</w:t>
      </w:r>
      <w:r w:rsidR="00606B8D">
        <w:t>. T</w:t>
      </w:r>
      <w:r w:rsidRPr="005111D8">
        <w:t>hese data show that while there is significant variability in immune responses against different B strains included in the vaccines, the addition of the MF59 adjuvant induces a higher immune response than the non</w:t>
      </w:r>
      <w:r w:rsidR="00956A07">
        <w:t xml:space="preserve"> </w:t>
      </w:r>
      <w:proofErr w:type="spellStart"/>
      <w:r w:rsidR="00956A07">
        <w:t>adjuvanted</w:t>
      </w:r>
      <w:proofErr w:type="spellEnd"/>
      <w:r w:rsidRPr="005111D8">
        <w:t xml:space="preserve"> TIV, and</w:t>
      </w:r>
      <w:r w:rsidR="00956A07">
        <w:t xml:space="preserve"> </w:t>
      </w:r>
      <w:r w:rsidRPr="005111D8">
        <w:t xml:space="preserve">in general, </w:t>
      </w:r>
      <w:proofErr w:type="spellStart"/>
      <w:r w:rsidRPr="005111D8">
        <w:t>aTIV</w:t>
      </w:r>
      <w:proofErr w:type="spellEnd"/>
      <w:r w:rsidR="00956A07">
        <w:t xml:space="preserve"> </w:t>
      </w:r>
      <w:r w:rsidRPr="005111D8">
        <w:t xml:space="preserve">elicited acceptable immune response against the B strain over multiple seasons (against the CBER criteria). Specifically, </w:t>
      </w:r>
      <w:proofErr w:type="spellStart"/>
      <w:r w:rsidRPr="005111D8">
        <w:t>Fluad</w:t>
      </w:r>
      <w:proofErr w:type="spellEnd"/>
      <w:r w:rsidRPr="005111D8">
        <w:t xml:space="preserve"> met the CBER criterion for SCR in 13 of the 16 studies and met the CBER criterion for percentage of subjects with post</w:t>
      </w:r>
      <w:r w:rsidRPr="005111D8">
        <w:rPr>
          <w:rFonts w:ascii="Times New Roman" w:hAnsi="Times New Roman"/>
        </w:rPr>
        <w:t>-</w:t>
      </w:r>
      <w:r w:rsidRPr="005111D8">
        <w:t>vaccination HI ≥ 1:40 in 15 of the 16</w:t>
      </w:r>
      <w:r w:rsidR="00606B8D">
        <w:t xml:space="preserve"> studies (see the </w:t>
      </w:r>
      <w:r w:rsidR="008E4658">
        <w:t>T</w:t>
      </w:r>
      <w:r w:rsidR="00606B8D">
        <w:t xml:space="preserve">able </w:t>
      </w:r>
      <w:r w:rsidR="008E4658">
        <w:t xml:space="preserve">4 </w:t>
      </w:r>
      <w:r w:rsidR="00606B8D">
        <w:t>below).</w:t>
      </w:r>
    </w:p>
    <w:p w14:paraId="6051D42A" w14:textId="16E425B2" w:rsidR="00195614" w:rsidRDefault="00606B8D" w:rsidP="005111D8">
      <w:pPr>
        <w:pStyle w:val="TableTitle"/>
        <w:rPr>
          <w:rFonts w:ascii="Times New Roman" w:hAnsi="Times New Roman"/>
          <w:bCs/>
        </w:rPr>
      </w:pPr>
      <w:r>
        <w:t xml:space="preserve">Table </w:t>
      </w:r>
      <w:r w:rsidR="008E4658">
        <w:t>4</w:t>
      </w:r>
      <w:r>
        <w:t xml:space="preserve">: </w:t>
      </w:r>
      <w:r w:rsidR="00195614">
        <w:t xml:space="preserve">B strains/CBER </w:t>
      </w:r>
      <w:r w:rsidR="005C6122">
        <w:t>c</w:t>
      </w:r>
      <w:r w:rsidR="00195614">
        <w:t xml:space="preserve">riteria for licensure in 16 </w:t>
      </w:r>
      <w:proofErr w:type="spellStart"/>
      <w:r w:rsidR="00195614">
        <w:t>aTIV</w:t>
      </w:r>
      <w:proofErr w:type="spellEnd"/>
      <w:r w:rsidR="00195614">
        <w:t xml:space="preserve">/TIV studies </w:t>
      </w:r>
      <w:r w:rsidR="00F151A0">
        <w:t>at post</w:t>
      </w:r>
      <w:r w:rsidR="005C6122">
        <w:t> </w:t>
      </w:r>
      <w:r w:rsidR="00F151A0">
        <w:t>vaccination (</w:t>
      </w:r>
      <w:r w:rsidR="000138CB">
        <w:t>D</w:t>
      </w:r>
      <w:r w:rsidR="00F151A0">
        <w:t>ay 21</w:t>
      </w:r>
      <w:r w:rsidR="005C6122">
        <w:t xml:space="preserve"> to </w:t>
      </w:r>
      <w:r w:rsidR="00F151A0">
        <w:t xml:space="preserve">29) </w:t>
      </w:r>
      <w:r w:rsidR="00195614">
        <w:t>(F</w:t>
      </w:r>
      <w:r>
        <w:t>AS</w:t>
      </w:r>
      <w:r w:rsidR="00195614">
        <w:t>)</w:t>
      </w:r>
    </w:p>
    <w:p w14:paraId="3E45287F" w14:textId="704097F7" w:rsidR="00195614" w:rsidRDefault="00195614" w:rsidP="00195614">
      <w:pPr>
        <w:autoSpaceDE w:val="0"/>
        <w:autoSpaceDN w:val="0"/>
        <w:adjustRightInd w:val="0"/>
        <w:spacing w:before="0" w:after="0" w:line="240" w:lineRule="auto"/>
        <w:rPr>
          <w:rFonts w:ascii="Times New Roman" w:eastAsiaTheme="minorHAnsi" w:hAnsi="Times New Roman"/>
        </w:rPr>
      </w:pPr>
      <w:r w:rsidRPr="00FC49AC">
        <w:rPr>
          <w:rFonts w:cs="TimesNewRomanPSMT"/>
          <w:noProof/>
          <w:color w:val="000000"/>
          <w:lang w:eastAsia="en-AU"/>
        </w:rPr>
        <w:drawing>
          <wp:inline distT="0" distB="0" distL="0" distR="0" wp14:anchorId="5907B22F" wp14:editId="174B88D9">
            <wp:extent cx="5489435" cy="2594554"/>
            <wp:effectExtent l="0" t="0" r="0" b="0"/>
            <wp:docPr id="1" name="Picture 1" descr="B strains/CBER Criteria for licensure in 16 aTIV/TIV studies (Full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5493121" cy="2596296"/>
                    </a:xfrm>
                    <a:prstGeom prst="rect">
                      <a:avLst/>
                    </a:prstGeom>
                    <a:noFill/>
                    <a:ln>
                      <a:noFill/>
                    </a:ln>
                  </pic:spPr>
                </pic:pic>
              </a:graphicData>
            </a:graphic>
          </wp:inline>
        </w:drawing>
      </w:r>
    </w:p>
    <w:p w14:paraId="7E2F76C9" w14:textId="77777777" w:rsidR="00195614" w:rsidRPr="005111D8" w:rsidRDefault="00195614" w:rsidP="005111D8">
      <w:r w:rsidRPr="005111D8">
        <w:t xml:space="preserve">Given the variation observed in absolute measurements of immunogenicity (CBER criteria), the </w:t>
      </w:r>
      <w:r w:rsidR="00606B8D">
        <w:t>D</w:t>
      </w:r>
      <w:r w:rsidRPr="005111D8">
        <w:t xml:space="preserve">elegate considers that the relative non-inferiority comparison of immunogenicity between </w:t>
      </w:r>
      <w:proofErr w:type="spellStart"/>
      <w:r w:rsidRPr="005111D8">
        <w:t>aQIV</w:t>
      </w:r>
      <w:proofErr w:type="spellEnd"/>
      <w:r w:rsidRPr="005111D8">
        <w:t xml:space="preserve"> and </w:t>
      </w:r>
      <w:proofErr w:type="spellStart"/>
      <w:r w:rsidRPr="005111D8">
        <w:t>aTIV</w:t>
      </w:r>
      <w:proofErr w:type="spellEnd"/>
      <w:r w:rsidRPr="005111D8">
        <w:t xml:space="preserve"> is acceptable for assessing the possible benefit of </w:t>
      </w:r>
      <w:proofErr w:type="spellStart"/>
      <w:r w:rsidRPr="005111D8">
        <w:t>aQIV</w:t>
      </w:r>
      <w:proofErr w:type="spellEnd"/>
      <w:r w:rsidRPr="005111D8">
        <w:t>.</w:t>
      </w:r>
    </w:p>
    <w:p w14:paraId="7DECF760" w14:textId="5F39065C" w:rsidR="00606B8D" w:rsidRDefault="00195614" w:rsidP="005111D8">
      <w:r w:rsidRPr="005111D8">
        <w:t>Overall, the immunogenicity results from the pivotal study hav</w:t>
      </w:r>
      <w:r w:rsidR="00606B8D">
        <w:t>e shown that the addition of a fourth</w:t>
      </w:r>
      <w:r w:rsidRPr="005111D8">
        <w:t xml:space="preserve"> strain to the formulation does not impact the immunogenicity of the other 3</w:t>
      </w:r>
      <w:r w:rsidR="005C6122">
        <w:t> </w:t>
      </w:r>
      <w:r w:rsidRPr="005111D8">
        <w:t xml:space="preserve">strains included in the </w:t>
      </w:r>
      <w:proofErr w:type="spellStart"/>
      <w:r w:rsidRPr="005111D8">
        <w:t>aQIV</w:t>
      </w:r>
      <w:proofErr w:type="spellEnd"/>
      <w:r w:rsidRPr="005111D8">
        <w:t xml:space="preserve"> vaccine, and non-interference has been demonstrated.</w:t>
      </w:r>
    </w:p>
    <w:p w14:paraId="06DB0F8C" w14:textId="4A0EF7F3" w:rsidR="00195614" w:rsidRPr="005111D8" w:rsidRDefault="00195614" w:rsidP="005111D8">
      <w:r w:rsidRPr="005111D8">
        <w:t xml:space="preserve">Additional supportive data was provided from the immunogenicity and effectiveness studies conducted with </w:t>
      </w:r>
      <w:proofErr w:type="spellStart"/>
      <w:r w:rsidRPr="005111D8">
        <w:t>aTIV</w:t>
      </w:r>
      <w:proofErr w:type="spellEnd"/>
      <w:r w:rsidRPr="005111D8">
        <w:t xml:space="preserve">. The key supportive </w:t>
      </w:r>
      <w:proofErr w:type="spellStart"/>
      <w:r w:rsidRPr="005111D8">
        <w:t>aTIV</w:t>
      </w:r>
      <w:proofErr w:type="spellEnd"/>
      <w:r w:rsidRPr="005111D8">
        <w:t xml:space="preserve"> study (</w:t>
      </w:r>
      <w:r w:rsidR="005C6122">
        <w:t xml:space="preserve">Study </w:t>
      </w:r>
      <w:r w:rsidRPr="005111D8">
        <w:t xml:space="preserve">V70_27) demonstrated that MF59 </w:t>
      </w:r>
      <w:proofErr w:type="spellStart"/>
      <w:r w:rsidRPr="005111D8">
        <w:t>adjuvanted</w:t>
      </w:r>
      <w:proofErr w:type="spellEnd"/>
      <w:r w:rsidRPr="005111D8">
        <w:t xml:space="preserve"> TIV elicited higher immune responses as compared </w:t>
      </w:r>
      <w:r w:rsidRPr="005111D8">
        <w:lastRenderedPageBreak/>
        <w:t>to non</w:t>
      </w:r>
      <w:r w:rsidR="00956A07">
        <w:t xml:space="preserve"> </w:t>
      </w:r>
      <w:proofErr w:type="spellStart"/>
      <w:r w:rsidR="00956A07">
        <w:t>adjuvanted</w:t>
      </w:r>
      <w:proofErr w:type="spellEnd"/>
      <w:r w:rsidRPr="005111D8">
        <w:t xml:space="preserve"> TIV against homologous and heterologous strains in the general elderly population and in the subgroup of subjects who are at high risks for influenza complications. The two published </w:t>
      </w:r>
      <w:proofErr w:type="spellStart"/>
      <w:r w:rsidRPr="005111D8">
        <w:t>aTIV</w:t>
      </w:r>
      <w:proofErr w:type="spellEnd"/>
      <w:r w:rsidRPr="005111D8">
        <w:t xml:space="preserve"> effectiveness studies provided some evidence to support the benefit of MF59 </w:t>
      </w:r>
      <w:proofErr w:type="spellStart"/>
      <w:r w:rsidRPr="005111D8">
        <w:t>adjuvanted</w:t>
      </w:r>
      <w:proofErr w:type="spellEnd"/>
      <w:r w:rsidRPr="005111D8">
        <w:t xml:space="preserve"> TIV compared with non</w:t>
      </w:r>
      <w:r w:rsidR="00956A07">
        <w:t xml:space="preserve"> </w:t>
      </w:r>
      <w:proofErr w:type="spellStart"/>
      <w:r w:rsidR="00956A07">
        <w:t>adjuvanted</w:t>
      </w:r>
      <w:proofErr w:type="spellEnd"/>
      <w:r w:rsidR="00F81E56">
        <w:t xml:space="preserve"> TIVs in reducing influenza </w:t>
      </w:r>
      <w:r w:rsidRPr="005111D8">
        <w:t>related hospitalisation in the elderl</w:t>
      </w:r>
      <w:r w:rsidR="005F4EE5">
        <w:t>y population.</w:t>
      </w:r>
    </w:p>
    <w:p w14:paraId="1CF0101B" w14:textId="73AC5B43" w:rsidR="00195614" w:rsidRPr="005111D8" w:rsidRDefault="00195614" w:rsidP="005111D8">
      <w:r w:rsidRPr="00C02BD5">
        <w:t xml:space="preserve">With regards to safety, the submitted data showed that the nature and frequency of solicited AEs for </w:t>
      </w:r>
      <w:proofErr w:type="spellStart"/>
      <w:r w:rsidRPr="00C02BD5">
        <w:t>aQIV</w:t>
      </w:r>
      <w:proofErr w:type="spellEnd"/>
      <w:r w:rsidRPr="00C02BD5">
        <w:t xml:space="preserve"> in subjects ≥</w:t>
      </w:r>
      <w:r w:rsidR="00F81E56" w:rsidRPr="00C02BD5">
        <w:t xml:space="preserve"> </w:t>
      </w:r>
      <w:r w:rsidRPr="00C02BD5">
        <w:t xml:space="preserve">65 years of age were similar to the licensed </w:t>
      </w:r>
      <w:proofErr w:type="spellStart"/>
      <w:r w:rsidRPr="00C02BD5">
        <w:t>aTIV</w:t>
      </w:r>
      <w:proofErr w:type="spellEnd"/>
      <w:r w:rsidRPr="00C02BD5">
        <w:t xml:space="preserve"> with a slight increase in </w:t>
      </w:r>
      <w:proofErr w:type="spellStart"/>
      <w:r w:rsidRPr="00C02BD5">
        <w:t>reac</w:t>
      </w:r>
      <w:r w:rsidR="00EA07B6" w:rsidRPr="00C02BD5">
        <w:t>togenicity</w:t>
      </w:r>
      <w:proofErr w:type="spellEnd"/>
      <w:r w:rsidR="00EA07B6" w:rsidRPr="00C02BD5">
        <w:t>, and there are</w:t>
      </w:r>
      <w:r w:rsidRPr="00C02BD5">
        <w:t xml:space="preserve"> no safety concerns observed from the </w:t>
      </w:r>
      <w:proofErr w:type="spellStart"/>
      <w:r w:rsidRPr="00C02BD5">
        <w:t>aQIV</w:t>
      </w:r>
      <w:proofErr w:type="spellEnd"/>
      <w:r w:rsidRPr="00C02BD5">
        <w:t xml:space="preserve"> and </w:t>
      </w:r>
      <w:proofErr w:type="spellStart"/>
      <w:r w:rsidRPr="00C02BD5">
        <w:t>aTIV</w:t>
      </w:r>
      <w:proofErr w:type="spellEnd"/>
      <w:r w:rsidRPr="00C02BD5">
        <w:t xml:space="preserve"> studies including assessment of SAEs with an outcome of death, SAEs, NOCDs and AESIs.</w:t>
      </w:r>
    </w:p>
    <w:p w14:paraId="40A68FA9" w14:textId="5611278D" w:rsidR="00195614" w:rsidRPr="00B8776C" w:rsidRDefault="00195614" w:rsidP="006C4B60">
      <w:pPr>
        <w:rPr>
          <w:rFonts w:asciiTheme="majorHAnsi" w:hAnsiTheme="majorHAnsi"/>
          <w:color w:val="000000"/>
          <w:lang w:eastAsia="zh-CN"/>
        </w:rPr>
      </w:pPr>
      <w:r w:rsidRPr="005111D8">
        <w:t xml:space="preserve">As stated by the clinical evaluator, the limitations of the </w:t>
      </w:r>
      <w:proofErr w:type="spellStart"/>
      <w:r w:rsidRPr="005111D8">
        <w:t>aQIV</w:t>
      </w:r>
      <w:proofErr w:type="spellEnd"/>
      <w:r w:rsidRPr="005111D8">
        <w:t xml:space="preserve"> data include single season data on immunogenicity, no data on people who are immunocompromised, no assessment on </w:t>
      </w:r>
      <w:proofErr w:type="spellStart"/>
      <w:r w:rsidRPr="005111D8">
        <w:t>aQIV</w:t>
      </w:r>
      <w:proofErr w:type="spellEnd"/>
      <w:r w:rsidRPr="005111D8">
        <w:t xml:space="preserve"> vaccine efficacy</w:t>
      </w:r>
      <w:r w:rsidR="006C77C2">
        <w:t xml:space="preserve">, </w:t>
      </w:r>
      <w:r w:rsidR="00F81E56">
        <w:t>and so on</w:t>
      </w:r>
      <w:r w:rsidRPr="005111D8">
        <w:t xml:space="preserve">. The </w:t>
      </w:r>
      <w:r w:rsidR="00F81E56">
        <w:t>D</w:t>
      </w:r>
      <w:r w:rsidRPr="005111D8">
        <w:t>elegate accepts that the immunogenicity outcomes may serve as surrogate for vaccine efficacy but there are uncertainties regarding the direct extrapolation of immunogenicity outcomes to vaccine</w:t>
      </w:r>
      <w:r>
        <w:rPr>
          <w:color w:val="000000"/>
          <w:lang w:eastAsia="zh-CN"/>
        </w:rPr>
        <w:t xml:space="preserve"> efficacy. Nevertheless, based on the immunogenicity comparisons of </w:t>
      </w:r>
      <w:proofErr w:type="spellStart"/>
      <w:r>
        <w:rPr>
          <w:color w:val="000000"/>
          <w:lang w:eastAsia="zh-CN"/>
        </w:rPr>
        <w:t>aQIV</w:t>
      </w:r>
      <w:proofErr w:type="spellEnd"/>
      <w:r>
        <w:rPr>
          <w:color w:val="000000"/>
          <w:lang w:eastAsia="zh-CN"/>
        </w:rPr>
        <w:t xml:space="preserve"> versus </w:t>
      </w:r>
      <w:proofErr w:type="spellStart"/>
      <w:r>
        <w:rPr>
          <w:color w:val="000000"/>
          <w:lang w:eastAsia="zh-CN"/>
        </w:rPr>
        <w:t>aTIV</w:t>
      </w:r>
      <w:proofErr w:type="spellEnd"/>
      <w:r>
        <w:rPr>
          <w:color w:val="000000"/>
          <w:lang w:eastAsia="zh-CN"/>
        </w:rPr>
        <w:t xml:space="preserve">, it is expected that </w:t>
      </w:r>
      <w:proofErr w:type="spellStart"/>
      <w:r>
        <w:t>aQIV</w:t>
      </w:r>
      <w:proofErr w:type="spellEnd"/>
      <w:r>
        <w:t xml:space="preserve"> should deliver similar efficacy to that of </w:t>
      </w:r>
      <w:proofErr w:type="spellStart"/>
      <w:r>
        <w:t>aTIV</w:t>
      </w:r>
      <w:proofErr w:type="spellEnd"/>
      <w:r>
        <w:t xml:space="preserve"> in terms of the protection against the three common influenza strains included in the vaccines</w:t>
      </w:r>
      <w:r w:rsidR="00682F0F">
        <w:t xml:space="preserve"> </w:t>
      </w:r>
      <w:r>
        <w:t xml:space="preserve">and it is likely that </w:t>
      </w:r>
      <w:proofErr w:type="spellStart"/>
      <w:r>
        <w:t>aQIV</w:t>
      </w:r>
      <w:proofErr w:type="spellEnd"/>
      <w:r>
        <w:t xml:space="preserve"> may provide better protection than </w:t>
      </w:r>
      <w:proofErr w:type="spellStart"/>
      <w:r>
        <w:t>aTIV</w:t>
      </w:r>
      <w:proofErr w:type="spellEnd"/>
      <w:r>
        <w:t xml:space="preserve"> against the alternate B strains that is not included in </w:t>
      </w:r>
      <w:proofErr w:type="spellStart"/>
      <w:r>
        <w:t>aTIV</w:t>
      </w:r>
      <w:proofErr w:type="spellEnd"/>
      <w:r>
        <w:t>.</w:t>
      </w:r>
    </w:p>
    <w:p w14:paraId="50E2148B" w14:textId="6999A9CD" w:rsidR="00195614" w:rsidRPr="00134758" w:rsidRDefault="00F81E56" w:rsidP="005111D8">
      <w:pPr>
        <w:rPr>
          <w:color w:val="000000"/>
          <w:lang w:eastAsia="zh-CN"/>
        </w:rPr>
      </w:pPr>
      <w:r>
        <w:rPr>
          <w:color w:val="000000"/>
          <w:lang w:eastAsia="zh-CN"/>
        </w:rPr>
        <w:t>I</w:t>
      </w:r>
      <w:r w:rsidR="00195614">
        <w:rPr>
          <w:color w:val="000000"/>
          <w:lang w:eastAsia="zh-CN"/>
        </w:rPr>
        <w:t xml:space="preserve">n the submitted </w:t>
      </w:r>
      <w:r>
        <w:rPr>
          <w:color w:val="000000"/>
          <w:lang w:eastAsia="zh-CN"/>
        </w:rPr>
        <w:t>RMP</w:t>
      </w:r>
      <w:r w:rsidR="00195614">
        <w:rPr>
          <w:color w:val="000000"/>
          <w:lang w:eastAsia="zh-CN"/>
        </w:rPr>
        <w:t xml:space="preserve">, </w:t>
      </w:r>
      <w:r>
        <w:rPr>
          <w:color w:val="000000"/>
          <w:lang w:eastAsia="zh-CN"/>
        </w:rPr>
        <w:t>the sponsor</w:t>
      </w:r>
      <w:r w:rsidR="00195614">
        <w:rPr>
          <w:color w:val="000000"/>
          <w:lang w:eastAsia="zh-CN"/>
        </w:rPr>
        <w:t xml:space="preserve"> mentioned their involvement with the </w:t>
      </w:r>
      <w:r>
        <w:rPr>
          <w:color w:val="000000"/>
          <w:lang w:eastAsia="zh-CN"/>
        </w:rPr>
        <w:t>European Union’s (</w:t>
      </w:r>
      <w:r w:rsidR="00195614">
        <w:rPr>
          <w:color w:val="000000"/>
          <w:lang w:eastAsia="zh-CN"/>
        </w:rPr>
        <w:t>E</w:t>
      </w:r>
      <w:r w:rsidR="005C6122">
        <w:rPr>
          <w:color w:val="000000"/>
          <w:lang w:eastAsia="zh-CN"/>
        </w:rPr>
        <w:t>U</w:t>
      </w:r>
      <w:r>
        <w:rPr>
          <w:color w:val="000000"/>
          <w:lang w:eastAsia="zh-CN"/>
        </w:rPr>
        <w:t>)</w:t>
      </w:r>
      <w:r w:rsidR="00195614">
        <w:rPr>
          <w:color w:val="000000"/>
          <w:lang w:eastAsia="zh-CN"/>
        </w:rPr>
        <w:t xml:space="preserve"> </w:t>
      </w:r>
      <w:r w:rsidR="00195614">
        <w:t xml:space="preserve">DRIVE project. If </w:t>
      </w:r>
      <w:proofErr w:type="spellStart"/>
      <w:r w:rsidR="00195614">
        <w:t>aQIV</w:t>
      </w:r>
      <w:proofErr w:type="spellEnd"/>
      <w:r w:rsidR="00195614">
        <w:t xml:space="preserve"> is licenced and supplied in the EU, brand specific vaccine effectiveness data in the EU may become available from the DRIVE project. The sponsor should consider how the post-marketing vaccine effectiveness data for </w:t>
      </w:r>
      <w:proofErr w:type="spellStart"/>
      <w:r w:rsidR="00195614">
        <w:t>Fluad</w:t>
      </w:r>
      <w:proofErr w:type="spellEnd"/>
      <w:r w:rsidR="005C6122">
        <w:t> </w:t>
      </w:r>
      <w:r w:rsidR="00195614">
        <w:t>Quad can be collected in Australia.</w:t>
      </w:r>
      <w:r w:rsidR="00A23039">
        <w:rPr>
          <w:rStyle w:val="FootnoteReference"/>
        </w:rPr>
        <w:footnoteReference w:id="12"/>
      </w:r>
    </w:p>
    <w:p w14:paraId="0C3B03A6" w14:textId="77777777" w:rsidR="00195614" w:rsidRPr="005111D8" w:rsidRDefault="00195614" w:rsidP="00195614">
      <w:r w:rsidRPr="006B0ABF">
        <w:rPr>
          <w:color w:val="000000"/>
          <w:lang w:eastAsia="zh-CN"/>
        </w:rPr>
        <w:t xml:space="preserve">The </w:t>
      </w:r>
      <w:r w:rsidR="005111D8">
        <w:rPr>
          <w:color w:val="000000"/>
          <w:lang w:eastAsia="zh-CN"/>
        </w:rPr>
        <w:t>D</w:t>
      </w:r>
      <w:r w:rsidRPr="006B0ABF">
        <w:rPr>
          <w:color w:val="000000"/>
          <w:lang w:eastAsia="zh-CN"/>
        </w:rPr>
        <w:t xml:space="preserve">elegate agrees with the </w:t>
      </w:r>
      <w:r>
        <w:rPr>
          <w:color w:val="000000"/>
          <w:lang w:eastAsia="zh-CN"/>
        </w:rPr>
        <w:t xml:space="preserve">clinical </w:t>
      </w:r>
      <w:r w:rsidRPr="006B0ABF">
        <w:rPr>
          <w:color w:val="000000"/>
          <w:lang w:eastAsia="zh-CN"/>
        </w:rPr>
        <w:t xml:space="preserve">evaluator that </w:t>
      </w:r>
      <w:r w:rsidRPr="009B3EEF">
        <w:rPr>
          <w:rFonts w:cs="TimesNewRomanPSMT"/>
          <w:color w:val="000000"/>
          <w:lang w:eastAsia="zh-CN"/>
        </w:rPr>
        <w:t xml:space="preserve">there is a favourable benefit risks balance for the use of </w:t>
      </w:r>
      <w:proofErr w:type="spellStart"/>
      <w:r w:rsidRPr="009B3EEF">
        <w:rPr>
          <w:color w:val="000000"/>
          <w:lang w:eastAsia="zh-CN"/>
        </w:rPr>
        <w:t>aQIV</w:t>
      </w:r>
      <w:proofErr w:type="spellEnd"/>
      <w:r w:rsidRPr="009B3EEF">
        <w:rPr>
          <w:color w:val="000000"/>
          <w:lang w:eastAsia="zh-CN"/>
        </w:rPr>
        <w:t xml:space="preserve"> </w:t>
      </w:r>
      <w:r w:rsidRPr="009B3EEF">
        <w:rPr>
          <w:rFonts w:cs="TimesNewRomanPSMT"/>
          <w:color w:val="000000"/>
          <w:lang w:eastAsia="zh-CN"/>
        </w:rPr>
        <w:t>in people older than 65 years of age for active immunisation against influenza infection</w:t>
      </w:r>
      <w:r w:rsidR="00F81E56">
        <w:t>. The D</w:t>
      </w:r>
      <w:r>
        <w:t xml:space="preserve">elegate </w:t>
      </w:r>
      <w:r w:rsidR="005111D8">
        <w:t>sought</w:t>
      </w:r>
      <w:r>
        <w:t xml:space="preserve"> </w:t>
      </w:r>
      <w:r w:rsidR="00F81E56">
        <w:t>advice from TGA’s Advisory Committee on Vaccines (</w:t>
      </w:r>
      <w:r>
        <w:t>ACV</w:t>
      </w:r>
      <w:r w:rsidR="00F81E56">
        <w:t>)</w:t>
      </w:r>
      <w:r>
        <w:t xml:space="preserve"> </w:t>
      </w:r>
      <w:r w:rsidR="005111D8">
        <w:t>(see below for further details).</w:t>
      </w:r>
    </w:p>
    <w:p w14:paraId="4F07A10A" w14:textId="77777777" w:rsidR="00195614" w:rsidRDefault="00195614" w:rsidP="001E62EC">
      <w:pPr>
        <w:pStyle w:val="Heading4"/>
      </w:pPr>
      <w:r>
        <w:t>Summary of issues</w:t>
      </w:r>
    </w:p>
    <w:p w14:paraId="72B9DD23" w14:textId="77777777" w:rsidR="00195614" w:rsidRPr="005111D8" w:rsidRDefault="00195614" w:rsidP="005111D8">
      <w:r w:rsidRPr="005111D8">
        <w:t xml:space="preserve">The vaccine efficacy of </w:t>
      </w:r>
      <w:proofErr w:type="spellStart"/>
      <w:r w:rsidRPr="005111D8">
        <w:t>Fluad</w:t>
      </w:r>
      <w:proofErr w:type="spellEnd"/>
      <w:r w:rsidRPr="005111D8">
        <w:t xml:space="preserve"> Quad (</w:t>
      </w:r>
      <w:proofErr w:type="spellStart"/>
      <w:r w:rsidRPr="005111D8">
        <w:t>aQIV</w:t>
      </w:r>
      <w:proofErr w:type="spellEnd"/>
      <w:r w:rsidRPr="005111D8">
        <w:t>) has not been assessed.</w:t>
      </w:r>
      <w:r w:rsidR="00956A07">
        <w:t xml:space="preserve"> </w:t>
      </w:r>
      <w:r w:rsidRPr="005111D8">
        <w:t xml:space="preserve">The submitted single pivotal study compared the safety and immunogenicity of </w:t>
      </w:r>
      <w:proofErr w:type="spellStart"/>
      <w:r w:rsidRPr="005111D8">
        <w:t>Fluad</w:t>
      </w:r>
      <w:proofErr w:type="spellEnd"/>
      <w:r w:rsidRPr="005111D8">
        <w:t xml:space="preserve"> Quad to that of </w:t>
      </w:r>
      <w:proofErr w:type="spellStart"/>
      <w:r w:rsidRPr="005111D8">
        <w:t>Fluad</w:t>
      </w:r>
      <w:proofErr w:type="spellEnd"/>
      <w:r w:rsidRPr="005111D8">
        <w:t xml:space="preserve"> (</w:t>
      </w:r>
      <w:proofErr w:type="spellStart"/>
      <w:r w:rsidRPr="005111D8">
        <w:t>aTIV</w:t>
      </w:r>
      <w:proofErr w:type="spellEnd"/>
      <w:r w:rsidRPr="005111D8">
        <w:t xml:space="preserve">). The study demonstrated that </w:t>
      </w:r>
      <w:proofErr w:type="spellStart"/>
      <w:r w:rsidRPr="005111D8">
        <w:t>aQIV</w:t>
      </w:r>
      <w:proofErr w:type="spellEnd"/>
      <w:r w:rsidRPr="005111D8">
        <w:t xml:space="preserve"> was non-inferior to </w:t>
      </w:r>
      <w:proofErr w:type="spellStart"/>
      <w:r w:rsidRPr="005111D8">
        <w:t>aTIV</w:t>
      </w:r>
      <w:proofErr w:type="spellEnd"/>
      <w:r w:rsidRPr="005111D8">
        <w:t xml:space="preserve"> comparators (aTIV1 and aTIV2) in terms of immune responses to the three vaccine strains</w:t>
      </w:r>
      <w:r w:rsidRPr="005111D8">
        <w:rPr>
          <w:rFonts w:ascii="Times New Roman" w:hAnsi="Times New Roman"/>
        </w:rPr>
        <w:t>.</w:t>
      </w:r>
      <w:r w:rsidRPr="005111D8">
        <w:t xml:space="preserve"> The </w:t>
      </w:r>
      <w:proofErr w:type="spellStart"/>
      <w:r w:rsidRPr="005111D8">
        <w:t>aQIV</w:t>
      </w:r>
      <w:proofErr w:type="spellEnd"/>
      <w:r w:rsidRPr="005111D8">
        <w:t xml:space="preserve"> was also shown to be immunologically superior to aTIV-1 (</w:t>
      </w:r>
      <w:proofErr w:type="spellStart"/>
      <w:r w:rsidRPr="005111D8">
        <w:t>Fluad</w:t>
      </w:r>
      <w:proofErr w:type="spellEnd"/>
      <w:r w:rsidRPr="005111D8">
        <w:t xml:space="preserve">) and aTIV-2 for the B strain that was not included in each </w:t>
      </w:r>
      <w:proofErr w:type="spellStart"/>
      <w:r w:rsidRPr="005111D8">
        <w:t>aTIV</w:t>
      </w:r>
      <w:proofErr w:type="spellEnd"/>
      <w:r w:rsidRPr="005111D8">
        <w:t xml:space="preserve"> vaccine. However, the absolute</w:t>
      </w:r>
      <w:r w:rsidRPr="005111D8">
        <w:rPr>
          <w:bCs/>
        </w:rPr>
        <w:t xml:space="preserve"> immune responses against the B strains were low for both the </w:t>
      </w:r>
      <w:proofErr w:type="spellStart"/>
      <w:r w:rsidRPr="005111D8">
        <w:rPr>
          <w:bCs/>
        </w:rPr>
        <w:t>aQIV</w:t>
      </w:r>
      <w:proofErr w:type="spellEnd"/>
      <w:r w:rsidRPr="005111D8">
        <w:rPr>
          <w:bCs/>
        </w:rPr>
        <w:t xml:space="preserve"> and the two </w:t>
      </w:r>
      <w:proofErr w:type="spellStart"/>
      <w:r w:rsidRPr="005111D8">
        <w:rPr>
          <w:bCs/>
        </w:rPr>
        <w:t>aTIV</w:t>
      </w:r>
      <w:proofErr w:type="spellEnd"/>
      <w:r w:rsidRPr="005111D8">
        <w:rPr>
          <w:bCs/>
        </w:rPr>
        <w:t xml:space="preserve"> comparators, so the immunogenicity criteria according</w:t>
      </w:r>
      <w:r w:rsidR="005111D8">
        <w:rPr>
          <w:bCs/>
        </w:rPr>
        <w:t xml:space="preserve"> to CBER criteria were not met.</w:t>
      </w:r>
    </w:p>
    <w:p w14:paraId="5F65861E" w14:textId="77777777" w:rsidR="00195614" w:rsidRPr="005111D8" w:rsidRDefault="00195614" w:rsidP="005111D8">
      <w:r w:rsidRPr="005111D8">
        <w:t xml:space="preserve">A number of </w:t>
      </w:r>
      <w:proofErr w:type="spellStart"/>
      <w:r w:rsidRPr="005111D8">
        <w:t>aTIV</w:t>
      </w:r>
      <w:proofErr w:type="spellEnd"/>
      <w:r w:rsidRPr="005111D8">
        <w:t xml:space="preserve"> studies were submitted as the supportive evidence. These include two obse</w:t>
      </w:r>
      <w:r w:rsidR="00F81E56">
        <w:t>rvational effectiveness studies</w:t>
      </w:r>
      <w:r w:rsidRPr="005111D8">
        <w:t>.</w:t>
      </w:r>
    </w:p>
    <w:p w14:paraId="54D71739" w14:textId="77777777" w:rsidR="00D23139" w:rsidRDefault="00D23139" w:rsidP="00D23139">
      <w:pPr>
        <w:pStyle w:val="Heading4"/>
      </w:pPr>
      <w:r w:rsidRPr="00D23139">
        <w:t>Proposed action</w:t>
      </w:r>
    </w:p>
    <w:p w14:paraId="5AA2B5E1" w14:textId="77777777" w:rsidR="00195614" w:rsidRDefault="005111D8" w:rsidP="00195614">
      <w:r>
        <w:t>The Delegate had</w:t>
      </w:r>
      <w:r w:rsidR="00195614">
        <w:t xml:space="preserve"> no reason to say, at this time, that the application for </w:t>
      </w:r>
      <w:proofErr w:type="spellStart"/>
      <w:r w:rsidR="00195614">
        <w:t>Fluad</w:t>
      </w:r>
      <w:proofErr w:type="spellEnd"/>
      <w:r w:rsidR="00195614">
        <w:t xml:space="preserve"> Quad should not be approved for registration.</w:t>
      </w:r>
    </w:p>
    <w:p w14:paraId="2F286037" w14:textId="77777777" w:rsidR="00195614" w:rsidRDefault="00195614" w:rsidP="00195614">
      <w:r>
        <w:t>The final decision will be made following the ACV advice and satisfactory discussion on the PI and the Conditions of Registration.</w:t>
      </w:r>
    </w:p>
    <w:p w14:paraId="3AFFF1E7" w14:textId="34A47144" w:rsidR="00D23139" w:rsidRPr="00F81E56" w:rsidRDefault="00A22D57" w:rsidP="00F81E56">
      <w:pPr>
        <w:pStyle w:val="Heading4"/>
      </w:pPr>
      <w:r>
        <w:lastRenderedPageBreak/>
        <w:t>Request for AC</w:t>
      </w:r>
      <w:r w:rsidR="005C6122">
        <w:t>V</w:t>
      </w:r>
      <w:r w:rsidR="00D23139" w:rsidRPr="00D23139">
        <w:t xml:space="preserve"> advice</w:t>
      </w:r>
    </w:p>
    <w:p w14:paraId="07EFEF2E" w14:textId="77777777" w:rsidR="00195614" w:rsidRDefault="00195614" w:rsidP="00F81E56">
      <w:r>
        <w:t>The committee is requested to provide advice on the following specific issues:</w:t>
      </w:r>
    </w:p>
    <w:p w14:paraId="1AB77D66" w14:textId="037311AE" w:rsidR="00195614" w:rsidRPr="001E62EC" w:rsidRDefault="00195614" w:rsidP="001E62EC">
      <w:pPr>
        <w:pStyle w:val="Numberbullet0"/>
        <w:numPr>
          <w:ilvl w:val="0"/>
          <w:numId w:val="47"/>
        </w:numPr>
        <w:rPr>
          <w:rFonts w:ascii="Times New Roman" w:hAnsi="Times New Roman"/>
        </w:rPr>
      </w:pPr>
      <w:r>
        <w:t xml:space="preserve">In the pivotal study, the immune responses against the B strains were low for both the </w:t>
      </w:r>
      <w:proofErr w:type="spellStart"/>
      <w:r>
        <w:t>aQIV</w:t>
      </w:r>
      <w:proofErr w:type="spellEnd"/>
      <w:r>
        <w:t xml:space="preserve"> and the two </w:t>
      </w:r>
      <w:proofErr w:type="spellStart"/>
      <w:r>
        <w:t>aTIV</w:t>
      </w:r>
      <w:proofErr w:type="spellEnd"/>
      <w:r>
        <w:t xml:space="preserve"> comparator vaccines, and the CBER criteria for absolute immune responses were not met for the B strains. Does </w:t>
      </w:r>
      <w:r w:rsidR="005C6122">
        <w:t xml:space="preserve">the </w:t>
      </w:r>
      <w:r>
        <w:t>ACV have any concerns about this result?</w:t>
      </w:r>
    </w:p>
    <w:p w14:paraId="0C5262B0" w14:textId="239A039D" w:rsidR="00195614" w:rsidRDefault="00195614" w:rsidP="0092687F">
      <w:pPr>
        <w:pStyle w:val="Numberbullet0"/>
      </w:pPr>
      <w:r>
        <w:t>Vaccine Efficacy has not been assessed</w:t>
      </w:r>
      <w:r w:rsidRPr="00195614">
        <w:rPr>
          <w:rFonts w:ascii="Times New Roman" w:hAnsi="Times New Roman"/>
        </w:rPr>
        <w:t>.</w:t>
      </w:r>
      <w:r>
        <w:t xml:space="preserve"> Doe</w:t>
      </w:r>
      <w:r w:rsidR="00A92AAA">
        <w:t>s</w:t>
      </w:r>
      <w:r>
        <w:t xml:space="preserve"> </w:t>
      </w:r>
      <w:r w:rsidR="005C6122">
        <w:t xml:space="preserve">the </w:t>
      </w:r>
      <w:r>
        <w:t xml:space="preserve">ACV </w:t>
      </w:r>
      <w:r w:rsidRPr="00F81E56">
        <w:t xml:space="preserve">support the registration of </w:t>
      </w:r>
      <w:proofErr w:type="spellStart"/>
      <w:r w:rsidRPr="00F81E56">
        <w:t>Fluad</w:t>
      </w:r>
      <w:proofErr w:type="spellEnd"/>
      <w:r w:rsidRPr="00F81E56">
        <w:t xml:space="preserve"> Quad on the basis of the immunogenicity results from Study V118_20 and the supportive immunogenicity and effectiveness data from </w:t>
      </w:r>
      <w:proofErr w:type="spellStart"/>
      <w:r w:rsidRPr="00F81E56">
        <w:t>aTIV</w:t>
      </w:r>
      <w:proofErr w:type="spellEnd"/>
      <w:r w:rsidRPr="00F81E56">
        <w:t xml:space="preserve"> studies</w:t>
      </w:r>
      <w:r>
        <w:t>?</w:t>
      </w:r>
    </w:p>
    <w:p w14:paraId="4FA0A8FE" w14:textId="77777777" w:rsidR="00195614" w:rsidRDefault="00195614" w:rsidP="00195614">
      <w:r>
        <w:t>The committee is also requested to provide advice on any other issues that it thinks may be relevant to a decision on whether or not to approve the application.</w:t>
      </w:r>
    </w:p>
    <w:p w14:paraId="617FF4CF" w14:textId="33397820" w:rsidR="008E7846" w:rsidRDefault="001E62EC" w:rsidP="008E7846">
      <w:pPr>
        <w:pStyle w:val="Heading4"/>
      </w:pPr>
      <w:r>
        <w:t>Advisory c</w:t>
      </w:r>
      <w:r w:rsidR="008E7846">
        <w:t xml:space="preserve">ommittee </w:t>
      </w:r>
      <w:r>
        <w:t>c</w:t>
      </w:r>
      <w:r w:rsidR="008E7846">
        <w:t>onsiderations</w:t>
      </w:r>
    </w:p>
    <w:p w14:paraId="04DF8F8E" w14:textId="77777777" w:rsidR="008E7846" w:rsidRDefault="00456765" w:rsidP="005111D8">
      <w:r w:rsidRPr="00456765">
        <w:t xml:space="preserve">The Advisory Committee on </w:t>
      </w:r>
      <w:r w:rsidR="00682F0F">
        <w:t>Vaccines (ACV</w:t>
      </w:r>
      <w:r w:rsidRPr="00456765">
        <w:t>), having considered the evaluations and the Delegate’s overview, as well as the sponsor’s response to these documents, advised the following:</w:t>
      </w:r>
    </w:p>
    <w:p w14:paraId="0F92F2B6" w14:textId="479CB0FF" w:rsidR="005111D8" w:rsidRDefault="008508F0" w:rsidP="005111D8">
      <w:pPr>
        <w:rPr>
          <w:rFonts w:asciiTheme="minorHAnsi" w:hAnsiTheme="minorHAnsi"/>
        </w:rPr>
      </w:pPr>
      <w:r w:rsidRPr="00A41D8F">
        <w:rPr>
          <w:rFonts w:asciiTheme="minorHAnsi" w:hAnsiTheme="minorHAnsi"/>
        </w:rPr>
        <w:t>The ACV</w:t>
      </w:r>
      <w:r>
        <w:rPr>
          <w:rFonts w:asciiTheme="minorHAnsi" w:hAnsiTheme="minorHAnsi"/>
        </w:rPr>
        <w:t>,</w:t>
      </w:r>
      <w:r w:rsidRPr="00A41D8F">
        <w:rPr>
          <w:rFonts w:asciiTheme="minorHAnsi" w:hAnsiTheme="minorHAnsi"/>
        </w:rPr>
        <w:t xml:space="preserve"> taking into account the </w:t>
      </w:r>
      <w:r>
        <w:rPr>
          <w:rFonts w:asciiTheme="minorHAnsi" w:hAnsiTheme="minorHAnsi"/>
        </w:rPr>
        <w:t xml:space="preserve">submitted </w:t>
      </w:r>
      <w:r w:rsidRPr="00A41D8F">
        <w:rPr>
          <w:rFonts w:asciiTheme="minorHAnsi" w:hAnsiTheme="minorHAnsi"/>
        </w:rPr>
        <w:t>evidence of efficacy</w:t>
      </w:r>
      <w:r>
        <w:rPr>
          <w:rFonts w:asciiTheme="minorHAnsi" w:hAnsiTheme="minorHAnsi"/>
        </w:rPr>
        <w:t>,</w:t>
      </w:r>
      <w:r w:rsidRPr="00A41D8F">
        <w:rPr>
          <w:rFonts w:asciiTheme="minorHAnsi" w:hAnsiTheme="minorHAnsi"/>
        </w:rPr>
        <w:t xml:space="preserve"> safety</w:t>
      </w:r>
      <w:r>
        <w:rPr>
          <w:rFonts w:asciiTheme="minorHAnsi" w:hAnsiTheme="minorHAnsi"/>
        </w:rPr>
        <w:t xml:space="preserve"> and quality, considered the vaccine</w:t>
      </w:r>
      <w:r w:rsidR="005C6122">
        <w:rPr>
          <w:rFonts w:asciiTheme="minorHAnsi" w:hAnsiTheme="minorHAnsi"/>
        </w:rPr>
        <w:t>:</w:t>
      </w:r>
    </w:p>
    <w:p w14:paraId="2CF0ECA9" w14:textId="7A1C433B" w:rsidR="008508F0" w:rsidRPr="00A41D8F" w:rsidRDefault="00F81E56" w:rsidP="00544153">
      <w:pPr>
        <w:ind w:left="720"/>
        <w:rPr>
          <w:rFonts w:asciiTheme="minorHAnsi" w:hAnsiTheme="minorHAnsi"/>
        </w:rPr>
      </w:pPr>
      <w:proofErr w:type="spellStart"/>
      <w:r>
        <w:t>Fluad</w:t>
      </w:r>
      <w:proofErr w:type="spellEnd"/>
      <w:r>
        <w:t xml:space="preserve"> Quad </w:t>
      </w:r>
      <w:r w:rsidR="008508F0" w:rsidRPr="000514EB">
        <w:t xml:space="preserve">inactivated </w:t>
      </w:r>
      <w:proofErr w:type="spellStart"/>
      <w:r w:rsidR="008508F0" w:rsidRPr="000514EB">
        <w:t>quadrivalent</w:t>
      </w:r>
      <w:proofErr w:type="spellEnd"/>
      <w:r w:rsidR="008508F0" w:rsidRPr="000514EB">
        <w:t xml:space="preserve"> influenza vaccine (surface antigen), </w:t>
      </w:r>
      <w:proofErr w:type="spellStart"/>
      <w:r w:rsidR="008508F0" w:rsidRPr="000514EB">
        <w:t>adjuvanted</w:t>
      </w:r>
      <w:proofErr w:type="spellEnd"/>
      <w:r w:rsidR="008508F0">
        <w:t>.</w:t>
      </w:r>
      <w:r>
        <w:t xml:space="preserve"> </w:t>
      </w:r>
      <w:r w:rsidR="008508F0" w:rsidRPr="000514EB">
        <w:t>Each 0.5</w:t>
      </w:r>
      <w:r w:rsidR="008508F0">
        <w:t> </w:t>
      </w:r>
      <w:r w:rsidR="008508F0" w:rsidRPr="000514EB">
        <w:t>mL dose contains influenza virus surface antigens (</w:t>
      </w:r>
      <w:proofErr w:type="spellStart"/>
      <w:r w:rsidR="008508F0" w:rsidRPr="000514EB">
        <w:t>haemagglutinin</w:t>
      </w:r>
      <w:proofErr w:type="spellEnd"/>
      <w:r w:rsidR="008508F0" w:rsidRPr="000514EB">
        <w:t xml:space="preserve"> and</w:t>
      </w:r>
      <w:r w:rsidR="008508F0">
        <w:t xml:space="preserve"> </w:t>
      </w:r>
      <w:r w:rsidR="008508F0" w:rsidRPr="000514EB">
        <w:t>neuraminidase) of each of four antigens representative of the influenza virus types expected to</w:t>
      </w:r>
      <w:r w:rsidR="008508F0">
        <w:t xml:space="preserve"> </w:t>
      </w:r>
      <w:r w:rsidR="008508F0" w:rsidRPr="000514EB">
        <w:t>circulate in the Southern Hemisphere winter</w:t>
      </w:r>
      <w:r w:rsidR="008508F0">
        <w:t xml:space="preserve"> </w:t>
      </w:r>
      <w:r w:rsidR="008508F0" w:rsidRPr="000514EB">
        <w:t>(</w:t>
      </w:r>
      <w:r w:rsidR="008508F0">
        <w:t xml:space="preserve">specifically, </w:t>
      </w:r>
      <w:r w:rsidR="008508F0" w:rsidRPr="000514EB">
        <w:t xml:space="preserve">15 micrograms of influenza virus </w:t>
      </w:r>
      <w:proofErr w:type="spellStart"/>
      <w:r w:rsidR="008508F0" w:rsidRPr="000514EB">
        <w:t>haemagglutinin</w:t>
      </w:r>
      <w:proofErr w:type="spellEnd"/>
      <w:r w:rsidR="008508F0" w:rsidRPr="000514EB">
        <w:t xml:space="preserve"> from </w:t>
      </w:r>
      <w:r w:rsidR="008508F0">
        <w:t xml:space="preserve">each of </w:t>
      </w:r>
      <w:r w:rsidR="008508F0" w:rsidRPr="000514EB">
        <w:t xml:space="preserve">two A strains </w:t>
      </w:r>
      <w:r w:rsidR="008508F0">
        <w:t>(</w:t>
      </w:r>
      <w:r w:rsidR="008508F0">
        <w:rPr>
          <w:lang w:val="en-US"/>
        </w:rPr>
        <w:t xml:space="preserve">A/H1N1 and A/H3N2) and two </w:t>
      </w:r>
      <w:r w:rsidR="008508F0" w:rsidRPr="000D24CD">
        <w:rPr>
          <w:lang w:val="en-US"/>
        </w:rPr>
        <w:t>B</w:t>
      </w:r>
      <w:r w:rsidR="008508F0">
        <w:rPr>
          <w:lang w:val="en-US"/>
        </w:rPr>
        <w:t xml:space="preserve"> strains </w:t>
      </w:r>
      <w:r w:rsidR="008508F0" w:rsidRPr="000D24CD">
        <w:rPr>
          <w:lang w:val="en-US"/>
        </w:rPr>
        <w:t>(Yamagata lineage</w:t>
      </w:r>
      <w:r w:rsidR="008508F0">
        <w:rPr>
          <w:lang w:val="en-US"/>
        </w:rPr>
        <w:t xml:space="preserve"> and </w:t>
      </w:r>
      <w:r w:rsidR="008508F0" w:rsidRPr="000D24CD">
        <w:rPr>
          <w:lang w:val="en-US"/>
        </w:rPr>
        <w:t>Victoria lineage)</w:t>
      </w:r>
      <w:r w:rsidR="008508F0">
        <w:rPr>
          <w:lang w:val="en-US"/>
        </w:rPr>
        <w:t>)</w:t>
      </w:r>
      <w:r w:rsidR="005C6122">
        <w:rPr>
          <w:lang w:val="en-US"/>
        </w:rPr>
        <w:t>;</w:t>
      </w:r>
      <w:r w:rsidR="005C6122">
        <w:rPr>
          <w:rFonts w:asciiTheme="minorHAnsi" w:hAnsiTheme="minorHAnsi"/>
        </w:rPr>
        <w:t xml:space="preserve"> </w:t>
      </w:r>
      <w:r w:rsidR="008508F0" w:rsidRPr="009D7FDE">
        <w:rPr>
          <w:rFonts w:asciiTheme="minorHAnsi" w:hAnsiTheme="minorHAnsi"/>
        </w:rPr>
        <w:t xml:space="preserve">to have an overall positive benefit-risk profile </w:t>
      </w:r>
      <w:r w:rsidR="008508F0" w:rsidRPr="0013292D">
        <w:rPr>
          <w:rFonts w:asciiTheme="minorHAnsi" w:hAnsiTheme="minorHAnsi"/>
        </w:rPr>
        <w:t>for the indication</w:t>
      </w:r>
      <w:r w:rsidR="008508F0" w:rsidRPr="009D7FDE">
        <w:rPr>
          <w:rFonts w:asciiTheme="minorHAnsi" w:hAnsiTheme="minorHAnsi"/>
        </w:rPr>
        <w:t>:</w:t>
      </w:r>
    </w:p>
    <w:p w14:paraId="31B3CE7C" w14:textId="77777777" w:rsidR="008508F0" w:rsidRPr="005111D8" w:rsidRDefault="008508F0" w:rsidP="008508F0">
      <w:pPr>
        <w:ind w:left="720"/>
        <w:rPr>
          <w:rFonts w:asciiTheme="minorHAnsi" w:hAnsiTheme="minorHAnsi"/>
          <w:i/>
        </w:rPr>
      </w:pPr>
      <w:r w:rsidRPr="005111D8">
        <w:rPr>
          <w:i/>
          <w:lang w:eastAsia="en-AU"/>
        </w:rPr>
        <w:t>Active immunisation against influenza in persons 65 years of age and older.</w:t>
      </w:r>
    </w:p>
    <w:p w14:paraId="5A0542A3" w14:textId="77777777" w:rsidR="008508F0" w:rsidRPr="00A41D8F" w:rsidRDefault="008508F0" w:rsidP="008508F0">
      <w:pPr>
        <w:rPr>
          <w:rFonts w:asciiTheme="minorHAnsi" w:hAnsiTheme="minorHAnsi"/>
        </w:rPr>
      </w:pPr>
      <w:r w:rsidRPr="00A41D8F">
        <w:rPr>
          <w:rFonts w:asciiTheme="minorHAnsi" w:hAnsiTheme="minorHAnsi"/>
        </w:rPr>
        <w:t xml:space="preserve">In </w:t>
      </w:r>
      <w:r>
        <w:rPr>
          <w:rFonts w:asciiTheme="minorHAnsi" w:hAnsiTheme="minorHAnsi"/>
        </w:rPr>
        <w:t xml:space="preserve">providing this advice the </w:t>
      </w:r>
      <w:r w:rsidRPr="00A41D8F">
        <w:rPr>
          <w:rFonts w:asciiTheme="minorHAnsi" w:hAnsiTheme="minorHAnsi"/>
        </w:rPr>
        <w:t>ACV:</w:t>
      </w:r>
    </w:p>
    <w:p w14:paraId="16DA4E05" w14:textId="44BED871" w:rsidR="008508F0" w:rsidRPr="002E3F3F" w:rsidRDefault="008508F0" w:rsidP="0092687F">
      <w:pPr>
        <w:pStyle w:val="ListBullet"/>
      </w:pPr>
      <w:r w:rsidRPr="00833CA8">
        <w:t xml:space="preserve">was of the view that </w:t>
      </w:r>
      <w:proofErr w:type="spellStart"/>
      <w:r w:rsidR="00F81E56">
        <w:t>Fluad</w:t>
      </w:r>
      <w:proofErr w:type="spellEnd"/>
      <w:r w:rsidR="00F81E56">
        <w:t xml:space="preserve"> Quad</w:t>
      </w:r>
      <w:r w:rsidRPr="00833CA8">
        <w:t xml:space="preserve"> (</w:t>
      </w:r>
      <w:proofErr w:type="spellStart"/>
      <w:r w:rsidRPr="00833CA8">
        <w:t>aQIV</w:t>
      </w:r>
      <w:proofErr w:type="spellEnd"/>
      <w:r w:rsidRPr="00833CA8">
        <w:t xml:space="preserve">) was non-inferior to </w:t>
      </w:r>
      <w:proofErr w:type="spellStart"/>
      <w:r w:rsidRPr="00833CA8">
        <w:t>Fluad</w:t>
      </w:r>
      <w:proofErr w:type="spellEnd"/>
      <w:r w:rsidRPr="00833CA8">
        <w:t xml:space="preserve"> (</w:t>
      </w:r>
      <w:proofErr w:type="spellStart"/>
      <w:r w:rsidRPr="002E3F3F">
        <w:t>aTIV</w:t>
      </w:r>
      <w:proofErr w:type="spellEnd"/>
      <w:r w:rsidRPr="002E3F3F">
        <w:t>) in terms of immunogenicity to the three vaccine strains that were common to both vaccines, as shown in the pivotal study</w:t>
      </w:r>
      <w:r w:rsidR="00F81E56">
        <w:t>.</w:t>
      </w:r>
    </w:p>
    <w:p w14:paraId="4FEFD162" w14:textId="77777777" w:rsidR="008508F0" w:rsidRPr="002E3F3F" w:rsidRDefault="008508F0" w:rsidP="0092687F">
      <w:pPr>
        <w:pStyle w:val="ListBullet"/>
      </w:pPr>
      <w:r w:rsidRPr="00833CA8">
        <w:t xml:space="preserve">that lower immune response to the B strains with both the </w:t>
      </w:r>
      <w:proofErr w:type="spellStart"/>
      <w:r w:rsidRPr="00833CA8">
        <w:t>aQIV</w:t>
      </w:r>
      <w:proofErr w:type="spellEnd"/>
      <w:r w:rsidRPr="00833CA8">
        <w:t xml:space="preserve"> and </w:t>
      </w:r>
      <w:proofErr w:type="spellStart"/>
      <w:r w:rsidRPr="00833CA8">
        <w:t>aTIV</w:t>
      </w:r>
      <w:proofErr w:type="spellEnd"/>
      <w:r w:rsidRPr="00833CA8">
        <w:t xml:space="preserve"> in the pivotal study is likely due to seasonal variation, as the data from many previous </w:t>
      </w:r>
      <w:proofErr w:type="spellStart"/>
      <w:r w:rsidRPr="00833CA8">
        <w:t>aTIV</w:t>
      </w:r>
      <w:proofErr w:type="spellEnd"/>
      <w:r w:rsidRPr="00833CA8">
        <w:t xml:space="preserve"> studies showed a </w:t>
      </w:r>
      <w:r w:rsidRPr="002E3F3F">
        <w:t>significant variability in immune responses against different B strains and there were good immune responses to the B strains in the majority of these studies</w:t>
      </w:r>
      <w:r w:rsidR="00F81E56">
        <w:t>.</w:t>
      </w:r>
    </w:p>
    <w:p w14:paraId="3E4085F3" w14:textId="5B4B77D0" w:rsidR="008508F0" w:rsidRPr="002E3F3F" w:rsidRDefault="008508F0" w:rsidP="0092687F">
      <w:pPr>
        <w:pStyle w:val="ListBullet"/>
      </w:pPr>
      <w:r w:rsidRPr="00833CA8">
        <w:t xml:space="preserve">noted the vaccine efficacy for </w:t>
      </w:r>
      <w:proofErr w:type="spellStart"/>
      <w:r w:rsidRPr="00833CA8">
        <w:t>aQIV</w:t>
      </w:r>
      <w:proofErr w:type="spellEnd"/>
      <w:r w:rsidRPr="00833CA8">
        <w:t xml:space="preserve"> has not been assessed, and the ACV advised that this was acceptable. As per the TGA</w:t>
      </w:r>
      <w:r w:rsidR="00F81E56">
        <w:t xml:space="preserve"> </w:t>
      </w:r>
      <w:r w:rsidRPr="00833CA8">
        <w:t>adopted E</w:t>
      </w:r>
      <w:r w:rsidR="00F81E56">
        <w:t>U guidance</w:t>
      </w:r>
      <w:r w:rsidR="005C6122">
        <w:t>;</w:t>
      </w:r>
      <w:r w:rsidR="00F81E56">
        <w:rPr>
          <w:rStyle w:val="FootnoteReference"/>
        </w:rPr>
        <w:footnoteReference w:id="13"/>
      </w:r>
      <w:r w:rsidR="005C6122">
        <w:t>an</w:t>
      </w:r>
      <w:r w:rsidRPr="002E3F3F">
        <w:t xml:space="preserve"> </w:t>
      </w:r>
      <w:r w:rsidRPr="00833CA8">
        <w:t xml:space="preserve">influenza vaccine that has a manufacturing process similar to that of an authorised vaccine already evaluated may be </w:t>
      </w:r>
      <w:r w:rsidRPr="002E3F3F">
        <w:t>evaluated based on comparative studies of safety and immunogenicity (rather than efficacy) in some population sub-groups</w:t>
      </w:r>
      <w:r w:rsidR="00F81E56">
        <w:t>.</w:t>
      </w:r>
    </w:p>
    <w:p w14:paraId="4C5FA3F4" w14:textId="77777777" w:rsidR="008508F0" w:rsidRPr="002E3F3F" w:rsidRDefault="008508F0" w:rsidP="0092687F">
      <w:pPr>
        <w:pStyle w:val="ListBullet"/>
      </w:pPr>
      <w:r w:rsidRPr="002E3F3F">
        <w:t xml:space="preserve">was of the view that the safety data were acceptable. The nature and frequency of solicited adverse events for the </w:t>
      </w:r>
      <w:proofErr w:type="spellStart"/>
      <w:r w:rsidRPr="002E3F3F">
        <w:t>aQIV</w:t>
      </w:r>
      <w:proofErr w:type="spellEnd"/>
      <w:r w:rsidRPr="002E3F3F">
        <w:t xml:space="preserve"> in subjects ≥</w:t>
      </w:r>
      <w:r w:rsidR="00F81E56">
        <w:t xml:space="preserve"> </w:t>
      </w:r>
      <w:r w:rsidRPr="002E3F3F">
        <w:t xml:space="preserve">65 years of age were similar to the licensed </w:t>
      </w:r>
      <w:proofErr w:type="spellStart"/>
      <w:r w:rsidRPr="002E3F3F">
        <w:t>aTIV</w:t>
      </w:r>
      <w:proofErr w:type="spellEnd"/>
      <w:r w:rsidRPr="002E3F3F">
        <w:t xml:space="preserve"> with a slight increase in </w:t>
      </w:r>
      <w:proofErr w:type="spellStart"/>
      <w:r w:rsidRPr="002E3F3F">
        <w:t>reactogenicity</w:t>
      </w:r>
      <w:proofErr w:type="spellEnd"/>
      <w:r w:rsidR="00F81E56">
        <w:t>.</w:t>
      </w:r>
    </w:p>
    <w:p w14:paraId="0C2197F8" w14:textId="77777777" w:rsidR="008508F0" w:rsidRPr="002E3F3F" w:rsidRDefault="008508F0" w:rsidP="0092687F">
      <w:pPr>
        <w:pStyle w:val="ListBullet"/>
      </w:pPr>
      <w:r w:rsidRPr="002E3F3F">
        <w:lastRenderedPageBreak/>
        <w:t xml:space="preserve">noted the single season date with </w:t>
      </w:r>
      <w:proofErr w:type="spellStart"/>
      <w:r w:rsidRPr="002E3F3F">
        <w:t>aQIV</w:t>
      </w:r>
      <w:proofErr w:type="spellEnd"/>
      <w:r w:rsidRPr="002E3F3F">
        <w:t xml:space="preserve">, and the heavy reliance on the effectiveness, safety and immunogenicity data from experience with </w:t>
      </w:r>
      <w:proofErr w:type="spellStart"/>
      <w:r w:rsidRPr="002E3F3F">
        <w:t>adjuvanted</w:t>
      </w:r>
      <w:proofErr w:type="spellEnd"/>
      <w:r w:rsidRPr="002E3F3F">
        <w:t xml:space="preserve"> inactivated trivalent vaccines</w:t>
      </w:r>
      <w:r w:rsidR="00F81E56">
        <w:t>.</w:t>
      </w:r>
    </w:p>
    <w:p w14:paraId="7FCFADC7" w14:textId="6959311C" w:rsidR="008508F0" w:rsidRPr="002E3F3F" w:rsidRDefault="008508F0" w:rsidP="0092687F">
      <w:pPr>
        <w:pStyle w:val="ListBullet"/>
      </w:pPr>
      <w:r w:rsidRPr="002E3F3F">
        <w:t>noted the risk of inadvertent administration of the proposed vaccine to children and younger adults, and suggested risk minimisation activities (</w:t>
      </w:r>
      <w:r w:rsidR="0086193A">
        <w:t>for example,</w:t>
      </w:r>
      <w:r w:rsidRPr="002E3F3F">
        <w:t xml:space="preserve"> colour coding) to differentiate influenza vaccines for use in different age groups.</w:t>
      </w:r>
    </w:p>
    <w:p w14:paraId="5D4A9D55" w14:textId="1C513F2E" w:rsidR="008508F0" w:rsidRPr="00E93795" w:rsidRDefault="008508F0" w:rsidP="008508F0">
      <w:pPr>
        <w:pStyle w:val="Heading5"/>
        <w:rPr>
          <w:color w:val="auto"/>
        </w:rPr>
      </w:pPr>
      <w:r w:rsidRPr="00E93795">
        <w:rPr>
          <w:color w:val="auto"/>
        </w:rPr>
        <w:t>Proposed PI/</w:t>
      </w:r>
      <w:r w:rsidR="0086193A" w:rsidRPr="00E93795" w:rsidDel="0086193A">
        <w:rPr>
          <w:color w:val="auto"/>
        </w:rPr>
        <w:t xml:space="preserve"> </w:t>
      </w:r>
      <w:r w:rsidRPr="00E93795">
        <w:rPr>
          <w:color w:val="auto"/>
        </w:rPr>
        <w:t>CMI amendments</w:t>
      </w:r>
    </w:p>
    <w:p w14:paraId="1282B167" w14:textId="1D5068A9" w:rsidR="008508F0" w:rsidRPr="00BA73BD" w:rsidRDefault="008508F0" w:rsidP="005111D8">
      <w:r w:rsidRPr="00BA73BD">
        <w:t xml:space="preserve">The committee commented that it would be useful for the PI to provide information on </w:t>
      </w:r>
      <w:r>
        <w:t>inadvertent (</w:t>
      </w:r>
      <w:r w:rsidRPr="00BA73BD">
        <w:t>off-label</w:t>
      </w:r>
      <w:r>
        <w:t>)</w:t>
      </w:r>
      <w:r w:rsidRPr="00BA73BD">
        <w:t xml:space="preserve"> use of the vaccine in paediatric patients</w:t>
      </w:r>
      <w:r w:rsidR="00A23039">
        <w:t xml:space="preserve"> [information redacted]</w:t>
      </w:r>
      <w:r w:rsidRPr="00BA73BD">
        <w:t>.</w:t>
      </w:r>
    </w:p>
    <w:p w14:paraId="3ADC88FF" w14:textId="3AF34468" w:rsidR="008508F0" w:rsidRPr="00E93795" w:rsidRDefault="00184C2B" w:rsidP="008508F0">
      <w:pPr>
        <w:pStyle w:val="Heading4"/>
      </w:pPr>
      <w:bookmarkStart w:id="46" w:name="_Toc483319640"/>
      <w:r>
        <w:t>Specific a</w:t>
      </w:r>
      <w:r w:rsidR="008508F0" w:rsidRPr="00E93795">
        <w:t>dvice</w:t>
      </w:r>
      <w:bookmarkEnd w:id="46"/>
    </w:p>
    <w:p w14:paraId="39806A8A" w14:textId="77777777" w:rsidR="008508F0" w:rsidRPr="007D22C9" w:rsidRDefault="008508F0" w:rsidP="00184C2B">
      <w:r w:rsidRPr="007D22C9">
        <w:t>The ACV advised the following in response to the Delegate’s specific questions on the submission.</w:t>
      </w:r>
    </w:p>
    <w:p w14:paraId="0E840A0D" w14:textId="77777777" w:rsidR="008508F0" w:rsidRPr="005111D8" w:rsidRDefault="008508F0" w:rsidP="0092687F">
      <w:pPr>
        <w:pStyle w:val="Numberbullet0"/>
        <w:numPr>
          <w:ilvl w:val="0"/>
          <w:numId w:val="48"/>
        </w:numPr>
      </w:pPr>
      <w:r w:rsidRPr="005111D8">
        <w:t xml:space="preserve">In the pivotal study, the immune responses against the B strains were low for both the </w:t>
      </w:r>
      <w:proofErr w:type="spellStart"/>
      <w:r w:rsidRPr="005111D8">
        <w:t>aQIV</w:t>
      </w:r>
      <w:proofErr w:type="spellEnd"/>
      <w:r w:rsidRPr="005111D8">
        <w:t xml:space="preserve"> and the two </w:t>
      </w:r>
      <w:proofErr w:type="spellStart"/>
      <w:r w:rsidRPr="005111D8">
        <w:t>aTIV</w:t>
      </w:r>
      <w:proofErr w:type="spellEnd"/>
      <w:r w:rsidRPr="005111D8">
        <w:t xml:space="preserve"> comparator vaccines, and the CBER criteria</w:t>
      </w:r>
      <w:r w:rsidRPr="005111D8">
        <w:rPr>
          <w:rStyle w:val="FootnoteReference"/>
          <w:i/>
        </w:rPr>
        <w:footnoteReference w:id="14"/>
      </w:r>
      <w:r w:rsidRPr="005111D8">
        <w:t xml:space="preserve"> for absolute immune responses were not met for the B strains. Does ACV have any concerns about this result?</w:t>
      </w:r>
    </w:p>
    <w:p w14:paraId="7A8246FF" w14:textId="77777777" w:rsidR="008508F0" w:rsidRDefault="008508F0" w:rsidP="00184C2B">
      <w:pPr>
        <w:ind w:left="426"/>
      </w:pPr>
      <w:r w:rsidRPr="00151133">
        <w:t xml:space="preserve">The </w:t>
      </w:r>
      <w:r>
        <w:t xml:space="preserve">single </w:t>
      </w:r>
      <w:r w:rsidRPr="00151133">
        <w:t xml:space="preserve">pivotal study </w:t>
      </w:r>
      <w:r>
        <w:t>showed</w:t>
      </w:r>
      <w:r w:rsidRPr="00151133">
        <w:t xml:space="preserve"> that </w:t>
      </w:r>
      <w:proofErr w:type="spellStart"/>
      <w:r w:rsidRPr="00151133">
        <w:t>aQIV</w:t>
      </w:r>
      <w:proofErr w:type="spellEnd"/>
      <w:r w:rsidRPr="00151133">
        <w:t xml:space="preserve"> </w:t>
      </w:r>
      <w:r>
        <w:t>was non-inferior to</w:t>
      </w:r>
      <w:r w:rsidRPr="00151133">
        <w:t xml:space="preserve"> separate </w:t>
      </w:r>
      <w:proofErr w:type="spellStart"/>
      <w:r w:rsidRPr="00151133">
        <w:t>aTIVs</w:t>
      </w:r>
      <w:proofErr w:type="spellEnd"/>
      <w:r>
        <w:t xml:space="preserve"> for the antigen strains included in the tested vaccine. This study was conducted during a single influenza season.</w:t>
      </w:r>
    </w:p>
    <w:p w14:paraId="72EAA044" w14:textId="780C7122" w:rsidR="008508F0" w:rsidRDefault="008508F0" w:rsidP="00184C2B">
      <w:pPr>
        <w:ind w:left="426"/>
        <w:rPr>
          <w:lang w:val="en-US"/>
        </w:rPr>
      </w:pPr>
      <w:r w:rsidRPr="00FB5C24">
        <w:rPr>
          <w:lang w:val="en-US"/>
        </w:rPr>
        <w:t>Substantial variability of immune response against B strains is not uncommon</w:t>
      </w:r>
      <w:r>
        <w:rPr>
          <w:lang w:val="en-US"/>
        </w:rPr>
        <w:t xml:space="preserve">. The committee referred to Table 5 of the sponsor’s responses to the </w:t>
      </w:r>
      <w:r w:rsidRPr="00A67A4F">
        <w:rPr>
          <w:lang w:val="en-US"/>
        </w:rPr>
        <w:t>TGA dated 11</w:t>
      </w:r>
      <w:r w:rsidR="0086193A">
        <w:rPr>
          <w:lang w:val="en-US"/>
        </w:rPr>
        <w:t> </w:t>
      </w:r>
      <w:r w:rsidRPr="00A67A4F">
        <w:rPr>
          <w:lang w:val="en-US"/>
        </w:rPr>
        <w:t>April</w:t>
      </w:r>
      <w:r w:rsidR="0086193A">
        <w:rPr>
          <w:lang w:val="en-US"/>
        </w:rPr>
        <w:t> </w:t>
      </w:r>
      <w:r w:rsidRPr="00A67A4F">
        <w:rPr>
          <w:lang w:val="en-US"/>
        </w:rPr>
        <w:t>2019.</w:t>
      </w:r>
      <w:r w:rsidRPr="00A67A4F">
        <w:rPr>
          <w:rStyle w:val="FootnoteReference"/>
          <w:lang w:val="en-US"/>
        </w:rPr>
        <w:footnoteReference w:id="15"/>
      </w:r>
      <w:r w:rsidRPr="00A67A4F">
        <w:rPr>
          <w:lang w:val="en-US"/>
        </w:rPr>
        <w:t xml:space="preserve"> The committee also referred to the literature review by </w:t>
      </w:r>
      <w:proofErr w:type="spellStart"/>
      <w:r w:rsidRPr="00A67A4F">
        <w:rPr>
          <w:lang w:val="en-US"/>
        </w:rPr>
        <w:t>Camilloni</w:t>
      </w:r>
      <w:proofErr w:type="spellEnd"/>
      <w:r w:rsidR="0086193A">
        <w:rPr>
          <w:lang w:val="en-US"/>
        </w:rPr>
        <w:t> </w:t>
      </w:r>
      <w:r w:rsidRPr="00A67A4F">
        <w:rPr>
          <w:lang w:val="en-US"/>
        </w:rPr>
        <w:t>et</w:t>
      </w:r>
      <w:r w:rsidR="0086193A">
        <w:rPr>
          <w:lang w:val="en-US"/>
        </w:rPr>
        <w:t> </w:t>
      </w:r>
      <w:r w:rsidRPr="00A67A4F">
        <w:rPr>
          <w:lang w:val="en-US"/>
        </w:rPr>
        <w:t>a</w:t>
      </w:r>
      <w:r w:rsidR="0086193A">
        <w:rPr>
          <w:lang w:val="en-US"/>
        </w:rPr>
        <w:t>l.,</w:t>
      </w:r>
      <w:r w:rsidRPr="00A67A4F">
        <w:rPr>
          <w:rStyle w:val="FootnoteReference"/>
          <w:lang w:val="en-US"/>
        </w:rPr>
        <w:footnoteReference w:id="16"/>
      </w:r>
      <w:r>
        <w:rPr>
          <w:lang w:val="en-US"/>
        </w:rPr>
        <w:t xml:space="preserve"> where </w:t>
      </w:r>
      <w:r w:rsidRPr="00A37D6F">
        <w:rPr>
          <w:lang w:val="en-US"/>
        </w:rPr>
        <w:t>th</w:t>
      </w:r>
      <w:r>
        <w:rPr>
          <w:lang w:val="en-US"/>
        </w:rPr>
        <w:t>e</w:t>
      </w:r>
      <w:r w:rsidRPr="00A37D6F">
        <w:rPr>
          <w:lang w:val="en-US"/>
        </w:rPr>
        <w:t xml:space="preserve"> B strain immunogenicity of </w:t>
      </w:r>
      <w:proofErr w:type="spellStart"/>
      <w:r w:rsidRPr="00A37D6F">
        <w:rPr>
          <w:lang w:val="en-US"/>
        </w:rPr>
        <w:t>aTIV</w:t>
      </w:r>
      <w:proofErr w:type="spellEnd"/>
      <w:r w:rsidRPr="00A37D6F">
        <w:rPr>
          <w:lang w:val="en-US"/>
        </w:rPr>
        <w:t xml:space="preserve"> in adults </w:t>
      </w:r>
      <w:r>
        <w:rPr>
          <w:lang w:val="en-US"/>
        </w:rPr>
        <w:t>over 60 year</w:t>
      </w:r>
      <w:r w:rsidR="0086193A">
        <w:rPr>
          <w:lang w:val="en-US"/>
        </w:rPr>
        <w:t>s</w:t>
      </w:r>
      <w:r>
        <w:rPr>
          <w:lang w:val="en-US"/>
        </w:rPr>
        <w:t xml:space="preserve"> varied from 10 </w:t>
      </w:r>
      <w:r w:rsidR="0086193A">
        <w:rPr>
          <w:lang w:val="en-US"/>
        </w:rPr>
        <w:t>to</w:t>
      </w:r>
      <w:r>
        <w:rPr>
          <w:lang w:val="en-US"/>
        </w:rPr>
        <w:t xml:space="preserve"> 89% across 25 studies conducted between 1992 and 2013. While </w:t>
      </w:r>
      <w:proofErr w:type="spellStart"/>
      <w:r>
        <w:rPr>
          <w:lang w:val="en-US"/>
        </w:rPr>
        <w:t>seroprotection</w:t>
      </w:r>
      <w:proofErr w:type="spellEnd"/>
      <w:r>
        <w:rPr>
          <w:lang w:val="en-US"/>
        </w:rPr>
        <w:t xml:space="preserve"> against A strains </w:t>
      </w:r>
      <w:proofErr w:type="gramStart"/>
      <w:r>
        <w:rPr>
          <w:lang w:val="en-US"/>
        </w:rPr>
        <w:t>was</w:t>
      </w:r>
      <w:proofErr w:type="gramEnd"/>
      <w:r>
        <w:rPr>
          <w:lang w:val="en-US"/>
        </w:rPr>
        <w:t xml:space="preserve"> shown in all but 2 studies, </w:t>
      </w:r>
      <w:proofErr w:type="spellStart"/>
      <w:r>
        <w:rPr>
          <w:lang w:val="en-US"/>
        </w:rPr>
        <w:t>seroprotection</w:t>
      </w:r>
      <w:proofErr w:type="spellEnd"/>
      <w:r>
        <w:rPr>
          <w:lang w:val="en-US"/>
        </w:rPr>
        <w:t xml:space="preserve"> against B</w:t>
      </w:r>
      <w:r w:rsidR="0086193A">
        <w:rPr>
          <w:lang w:val="en-US"/>
        </w:rPr>
        <w:t> </w:t>
      </w:r>
      <w:r>
        <w:rPr>
          <w:lang w:val="en-US"/>
        </w:rPr>
        <w:t>strains was not reach</w:t>
      </w:r>
      <w:r w:rsidR="00A92AAA">
        <w:rPr>
          <w:lang w:val="en-US"/>
        </w:rPr>
        <w:t>ed</w:t>
      </w:r>
      <w:r>
        <w:rPr>
          <w:lang w:val="en-US"/>
        </w:rPr>
        <w:t xml:space="preserve"> in 7 studies.</w:t>
      </w:r>
    </w:p>
    <w:p w14:paraId="2E1345D1" w14:textId="5DA22AEC" w:rsidR="008508F0" w:rsidRDefault="008508F0" w:rsidP="00184C2B">
      <w:pPr>
        <w:ind w:left="426"/>
        <w:rPr>
          <w:lang w:val="en-US"/>
        </w:rPr>
      </w:pPr>
      <w:r>
        <w:rPr>
          <w:lang w:val="en-US"/>
        </w:rPr>
        <w:t xml:space="preserve">Variability in the immunogenicity of A strains was also seen in the pivotal study: </w:t>
      </w:r>
      <w:proofErr w:type="spellStart"/>
      <w:r>
        <w:rPr>
          <w:lang w:val="en-US"/>
        </w:rPr>
        <w:t>haemagglutination</w:t>
      </w:r>
      <w:proofErr w:type="spellEnd"/>
      <w:r>
        <w:rPr>
          <w:lang w:val="en-US"/>
        </w:rPr>
        <w:t xml:space="preserve"> inhibition titer </w:t>
      </w:r>
      <w:r>
        <w:rPr>
          <w:rFonts w:cs="Cambria"/>
          <w:lang w:eastAsia="en-AU"/>
        </w:rPr>
        <w:t>≥</w:t>
      </w:r>
      <w:r w:rsidR="0086193A">
        <w:rPr>
          <w:rFonts w:cs="Cambria"/>
          <w:lang w:eastAsia="en-AU"/>
        </w:rPr>
        <w:t> </w:t>
      </w:r>
      <w:r>
        <w:rPr>
          <w:lang w:val="en-US"/>
        </w:rPr>
        <w:t>1:40 was reached in 69% of subjects for A</w:t>
      </w:r>
      <w:r w:rsidR="0086193A">
        <w:rPr>
          <w:lang w:val="en-US"/>
        </w:rPr>
        <w:t>/</w:t>
      </w:r>
      <w:r>
        <w:rPr>
          <w:lang w:val="en-US"/>
        </w:rPr>
        <w:t>H1N1 and 93% of subjects for A</w:t>
      </w:r>
      <w:r w:rsidR="0086193A">
        <w:rPr>
          <w:lang w:val="en-US"/>
        </w:rPr>
        <w:t>/</w:t>
      </w:r>
      <w:r>
        <w:rPr>
          <w:lang w:val="en-US"/>
        </w:rPr>
        <w:t>H3N2.</w:t>
      </w:r>
    </w:p>
    <w:p w14:paraId="346A392B" w14:textId="77777777" w:rsidR="008508F0" w:rsidRDefault="008508F0" w:rsidP="00184C2B">
      <w:pPr>
        <w:ind w:left="426"/>
        <w:rPr>
          <w:rFonts w:cs="Cambria"/>
          <w:lang w:eastAsia="en-AU"/>
        </w:rPr>
      </w:pPr>
      <w:r>
        <w:rPr>
          <w:rFonts w:cs="Cambria"/>
          <w:lang w:eastAsia="en-AU"/>
        </w:rPr>
        <w:t xml:space="preserve">The subgroup analyses confirmed similar immunogenicity of </w:t>
      </w:r>
      <w:proofErr w:type="spellStart"/>
      <w:r>
        <w:rPr>
          <w:rFonts w:cs="Cambria"/>
          <w:lang w:eastAsia="en-AU"/>
        </w:rPr>
        <w:t>aQIV</w:t>
      </w:r>
      <w:proofErr w:type="spellEnd"/>
      <w:r>
        <w:rPr>
          <w:rFonts w:cs="Cambria"/>
          <w:lang w:eastAsia="en-AU"/>
        </w:rPr>
        <w:t xml:space="preserve"> and </w:t>
      </w:r>
      <w:proofErr w:type="spellStart"/>
      <w:r>
        <w:rPr>
          <w:rFonts w:cs="Cambria"/>
          <w:lang w:eastAsia="en-AU"/>
        </w:rPr>
        <w:t>aTIV</w:t>
      </w:r>
      <w:proofErr w:type="spellEnd"/>
      <w:r>
        <w:rPr>
          <w:rFonts w:cs="Cambria"/>
          <w:lang w:eastAsia="en-AU"/>
        </w:rPr>
        <w:t xml:space="preserve"> in subjects of different age groups (≥</w:t>
      </w:r>
      <w:r w:rsidR="00F81E56">
        <w:rPr>
          <w:rFonts w:cs="Cambria"/>
          <w:lang w:eastAsia="en-AU"/>
        </w:rPr>
        <w:t xml:space="preserve"> </w:t>
      </w:r>
      <w:r>
        <w:rPr>
          <w:rFonts w:cs="Cambria"/>
          <w:lang w:eastAsia="en-AU"/>
        </w:rPr>
        <w:t>65 to 74, ≥</w:t>
      </w:r>
      <w:r w:rsidR="00F81E56">
        <w:rPr>
          <w:rFonts w:cs="Cambria"/>
          <w:lang w:eastAsia="en-AU"/>
        </w:rPr>
        <w:t xml:space="preserve"> </w:t>
      </w:r>
      <w:r>
        <w:rPr>
          <w:rFonts w:cs="Cambria"/>
          <w:lang w:eastAsia="en-AU"/>
        </w:rPr>
        <w:t>75 to 84, and ≥</w:t>
      </w:r>
      <w:r w:rsidR="00F81E56">
        <w:rPr>
          <w:rFonts w:cs="Cambria"/>
          <w:lang w:eastAsia="en-AU"/>
        </w:rPr>
        <w:t xml:space="preserve"> </w:t>
      </w:r>
      <w:r>
        <w:rPr>
          <w:rFonts w:cs="Cambria"/>
          <w:lang w:eastAsia="en-AU"/>
        </w:rPr>
        <w:t>85 years), gender, race, comorbidity status and previous influenza vaccination history.</w:t>
      </w:r>
    </w:p>
    <w:p w14:paraId="6A200315" w14:textId="2811A2D2" w:rsidR="008508F0" w:rsidRPr="0092363C" w:rsidRDefault="008508F0" w:rsidP="0092687F">
      <w:pPr>
        <w:pStyle w:val="Numberbullet0"/>
      </w:pPr>
      <w:r w:rsidRPr="0092363C">
        <w:t xml:space="preserve">Vaccine </w:t>
      </w:r>
      <w:r w:rsidR="0086193A">
        <w:t>e</w:t>
      </w:r>
      <w:r w:rsidRPr="0092363C">
        <w:t>fficacy has not been assessed. Doe</w:t>
      </w:r>
      <w:r w:rsidR="002038FC">
        <w:t>s</w:t>
      </w:r>
      <w:r w:rsidRPr="0092363C">
        <w:t xml:space="preserve"> </w:t>
      </w:r>
      <w:r w:rsidR="0086193A">
        <w:t xml:space="preserve">the </w:t>
      </w:r>
      <w:r w:rsidRPr="0092363C">
        <w:t xml:space="preserve">ACV support the registration of </w:t>
      </w:r>
      <w:proofErr w:type="spellStart"/>
      <w:r w:rsidRPr="0092363C">
        <w:t>Fluad</w:t>
      </w:r>
      <w:proofErr w:type="spellEnd"/>
      <w:r w:rsidR="0086193A">
        <w:t> </w:t>
      </w:r>
      <w:r w:rsidRPr="0092363C">
        <w:t xml:space="preserve">Quad on the basis of the immunogenicity results from Study V118_20 and the supportive immunogenicity and effectiveness data from </w:t>
      </w:r>
      <w:proofErr w:type="spellStart"/>
      <w:r w:rsidRPr="0092363C">
        <w:t>aTIV</w:t>
      </w:r>
      <w:proofErr w:type="spellEnd"/>
      <w:r w:rsidRPr="0092363C">
        <w:t xml:space="preserve"> studies?</w:t>
      </w:r>
    </w:p>
    <w:p w14:paraId="69231C03" w14:textId="77777777" w:rsidR="008508F0" w:rsidRDefault="008508F0" w:rsidP="005111D8">
      <w:r>
        <w:lastRenderedPageBreak/>
        <w:t xml:space="preserve">The ACV noted that in the past </w:t>
      </w:r>
      <w:r w:rsidRPr="00151133">
        <w:t xml:space="preserve">immunogenicity </w:t>
      </w:r>
      <w:r>
        <w:t xml:space="preserve">has been accepted </w:t>
      </w:r>
      <w:r w:rsidRPr="00151133">
        <w:t xml:space="preserve">as a surrogate endpoint for </w:t>
      </w:r>
      <w:r>
        <w:t xml:space="preserve">efficacy of seasonal </w:t>
      </w:r>
      <w:r w:rsidRPr="00151133">
        <w:t>influenza vaccines</w:t>
      </w:r>
      <w:r>
        <w:t>,</w:t>
      </w:r>
      <w:r w:rsidRPr="00151133">
        <w:t xml:space="preserve"> except in young children.</w:t>
      </w:r>
    </w:p>
    <w:p w14:paraId="02F681B3" w14:textId="77777777" w:rsidR="008508F0" w:rsidRPr="00F02B8C" w:rsidRDefault="008508F0" w:rsidP="005111D8">
      <w:pPr>
        <w:rPr>
          <w:rFonts w:cs="Cambria"/>
          <w:lang w:eastAsia="en-AU"/>
        </w:rPr>
      </w:pPr>
      <w:r>
        <w:rPr>
          <w:rFonts w:cs="Cambria"/>
          <w:lang w:val="en-US" w:eastAsia="en-AU"/>
        </w:rPr>
        <w:t xml:space="preserve">The committee noted that </w:t>
      </w:r>
      <w:r w:rsidRPr="00F02B8C">
        <w:rPr>
          <w:rFonts w:cs="Cambria"/>
          <w:lang w:val="en-US" w:eastAsia="en-AU"/>
        </w:rPr>
        <w:t xml:space="preserve">antibody response </w:t>
      </w:r>
      <w:r>
        <w:rPr>
          <w:rFonts w:cs="Cambria"/>
          <w:lang w:val="en-US" w:eastAsia="en-AU"/>
        </w:rPr>
        <w:t xml:space="preserve">(immunogenicity) </w:t>
      </w:r>
      <w:r w:rsidRPr="00F02B8C">
        <w:rPr>
          <w:rFonts w:cs="Cambria"/>
          <w:lang w:val="en-US" w:eastAsia="en-AU"/>
        </w:rPr>
        <w:t>is not necessarily the best predictor of clinical efficacy in older adults</w:t>
      </w:r>
      <w:r>
        <w:rPr>
          <w:rFonts w:cs="Cambria"/>
          <w:lang w:val="en-US" w:eastAsia="en-AU"/>
        </w:rPr>
        <w:t xml:space="preserve">, and there are </w:t>
      </w:r>
      <w:r w:rsidRPr="00550EDF">
        <w:rPr>
          <w:rFonts w:cs="Cambria"/>
          <w:lang w:val="en-US" w:eastAsia="en-AU"/>
        </w:rPr>
        <w:t xml:space="preserve">limitations </w:t>
      </w:r>
      <w:r>
        <w:rPr>
          <w:rFonts w:cs="Cambria"/>
          <w:lang w:val="en-US" w:eastAsia="en-AU"/>
        </w:rPr>
        <w:t>in the use of immunogenicity data as a surrogate for vaccine efficacy.</w:t>
      </w:r>
    </w:p>
    <w:p w14:paraId="45DA6500" w14:textId="77777777" w:rsidR="008508F0" w:rsidRPr="003308FD" w:rsidRDefault="008508F0" w:rsidP="005111D8">
      <w:r w:rsidRPr="000E0C48">
        <w:t>The ACV consider</w:t>
      </w:r>
      <w:r>
        <w:t>ed</w:t>
      </w:r>
      <w:r w:rsidRPr="000E0C48">
        <w:t xml:space="preserve"> whether an </w:t>
      </w:r>
      <w:proofErr w:type="spellStart"/>
      <w:r w:rsidRPr="000E0C48">
        <w:t>adjuvanted</w:t>
      </w:r>
      <w:proofErr w:type="spellEnd"/>
      <w:r w:rsidRPr="000E0C48">
        <w:t xml:space="preserve"> </w:t>
      </w:r>
      <w:proofErr w:type="spellStart"/>
      <w:r w:rsidRPr="000E0C48">
        <w:t>quadrivalent</w:t>
      </w:r>
      <w:proofErr w:type="spellEnd"/>
      <w:r w:rsidRPr="000E0C48">
        <w:t xml:space="preserve"> vaccine might be regarded as a novel vaccine, for which efficacy </w:t>
      </w:r>
      <w:r>
        <w:t xml:space="preserve">would </w:t>
      </w:r>
      <w:r w:rsidRPr="000E0C48">
        <w:t>need to be demonstrated</w:t>
      </w:r>
      <w:r>
        <w:t>.</w:t>
      </w:r>
      <w:r>
        <w:rPr>
          <w:rStyle w:val="FootnoteReference"/>
        </w:rPr>
        <w:footnoteReference w:id="17"/>
      </w:r>
      <w:r>
        <w:t xml:space="preserve"> </w:t>
      </w:r>
      <w:r w:rsidRPr="000E0C48">
        <w:t xml:space="preserve">Given the </w:t>
      </w:r>
      <w:r w:rsidRPr="00550EDF">
        <w:t>mechanism</w:t>
      </w:r>
      <w:r w:rsidRPr="000E0C48">
        <w:t xml:space="preserve"> and dose are similar to the </w:t>
      </w:r>
      <w:proofErr w:type="spellStart"/>
      <w:r w:rsidRPr="000E0C48">
        <w:t>aTIV</w:t>
      </w:r>
      <w:proofErr w:type="spellEnd"/>
      <w:r w:rsidRPr="000E0C48">
        <w:t xml:space="preserve">, </w:t>
      </w:r>
      <w:r>
        <w:t xml:space="preserve">and the same adjuvant in the same quantity is used in the </w:t>
      </w:r>
      <w:proofErr w:type="spellStart"/>
      <w:r>
        <w:t>aQIV</w:t>
      </w:r>
      <w:proofErr w:type="spellEnd"/>
      <w:r>
        <w:t xml:space="preserve"> as the </w:t>
      </w:r>
      <w:proofErr w:type="spellStart"/>
      <w:r>
        <w:t>aTIV</w:t>
      </w:r>
      <w:proofErr w:type="spellEnd"/>
      <w:r>
        <w:t xml:space="preserve">, the ACV felt that </w:t>
      </w:r>
      <w:r w:rsidRPr="00550EDF">
        <w:t xml:space="preserve">immunogenicity is probably </w:t>
      </w:r>
      <w:r>
        <w:t>an appropriate endpoint</w:t>
      </w:r>
      <w:r w:rsidRPr="000E0C48">
        <w:t>.</w:t>
      </w:r>
    </w:p>
    <w:p w14:paraId="66619AF3" w14:textId="77777777" w:rsidR="008508F0" w:rsidRDefault="008508F0" w:rsidP="005111D8">
      <w:pPr>
        <w:rPr>
          <w:bCs/>
        </w:rPr>
      </w:pPr>
      <w:r>
        <w:rPr>
          <w:lang w:eastAsia="en-AU"/>
        </w:rPr>
        <w:t>The ACV disagreed with the sponsor’s response that routine pharmacovigilance activities will address the absence of vaccine effectiveness data. A vaccine effectiveness study would require the estimation of protection against influenza using a suitable study design, whether a cohort of vaccinated and unvaccinated individuals, or in a case-control study.</w:t>
      </w:r>
    </w:p>
    <w:p w14:paraId="498246FA" w14:textId="0EE43520" w:rsidR="008E7846" w:rsidRPr="002E238E" w:rsidRDefault="008E7846" w:rsidP="008E7846">
      <w:pPr>
        <w:pStyle w:val="Heading3"/>
      </w:pPr>
      <w:bookmarkStart w:id="47" w:name="_Toc247691532"/>
      <w:bookmarkStart w:id="48" w:name="_Toc314842516"/>
      <w:bookmarkStart w:id="49" w:name="_Toc26439481"/>
      <w:bookmarkEnd w:id="29"/>
      <w:bookmarkEnd w:id="43"/>
      <w:bookmarkEnd w:id="44"/>
      <w:r>
        <w:t>Outcome</w:t>
      </w:r>
      <w:bookmarkEnd w:id="47"/>
      <w:bookmarkEnd w:id="48"/>
      <w:bookmarkEnd w:id="49"/>
    </w:p>
    <w:p w14:paraId="25E9B179" w14:textId="337D2B72" w:rsidR="005111D8" w:rsidRPr="0092363C" w:rsidRDefault="00D23139" w:rsidP="0092363C">
      <w:bookmarkStart w:id="50" w:name="_Toc247691533"/>
      <w:bookmarkStart w:id="51" w:name="_Toc314842517"/>
      <w:r w:rsidRPr="00D23139">
        <w:t xml:space="preserve">Based on a review of quality, safety and efficacy, </w:t>
      </w:r>
      <w:r w:rsidR="0086193A">
        <w:t xml:space="preserve">the </w:t>
      </w:r>
      <w:r w:rsidRPr="00D23139">
        <w:t xml:space="preserve">TGA approved the registration of </w:t>
      </w:r>
      <w:proofErr w:type="spellStart"/>
      <w:r w:rsidR="005111D8">
        <w:t>Fluad</w:t>
      </w:r>
      <w:proofErr w:type="spellEnd"/>
      <w:r w:rsidR="005111D8">
        <w:t xml:space="preserve"> quad (</w:t>
      </w:r>
      <w:r w:rsidR="005111D8" w:rsidRPr="000514EB">
        <w:t xml:space="preserve">inactivated </w:t>
      </w:r>
      <w:proofErr w:type="spellStart"/>
      <w:r w:rsidR="005111D8" w:rsidRPr="000514EB">
        <w:t>quadrivalent</w:t>
      </w:r>
      <w:proofErr w:type="spellEnd"/>
      <w:r w:rsidR="005111D8" w:rsidRPr="000514EB">
        <w:t xml:space="preserve"> influenza vaccine (surface antigen), </w:t>
      </w:r>
      <w:proofErr w:type="spellStart"/>
      <w:r w:rsidR="005111D8" w:rsidRPr="000514EB">
        <w:t>adjuvanted</w:t>
      </w:r>
      <w:proofErr w:type="spellEnd"/>
      <w:r w:rsidR="005111D8">
        <w:t>)</w:t>
      </w:r>
      <w:r w:rsidR="005111D8" w:rsidRPr="005111D8">
        <w:t xml:space="preserve"> </w:t>
      </w:r>
      <w:r w:rsidR="005111D8" w:rsidRPr="000514EB">
        <w:t>contain</w:t>
      </w:r>
      <w:r w:rsidR="005111D8">
        <w:t>ing</w:t>
      </w:r>
      <w:r w:rsidR="005111D8" w:rsidRPr="000514EB">
        <w:t xml:space="preserve"> influenza virus surface antigens (</w:t>
      </w:r>
      <w:proofErr w:type="spellStart"/>
      <w:r w:rsidR="005111D8" w:rsidRPr="000514EB">
        <w:t>haemagglutinin</w:t>
      </w:r>
      <w:proofErr w:type="spellEnd"/>
      <w:r w:rsidR="005111D8" w:rsidRPr="000514EB">
        <w:t xml:space="preserve"> and</w:t>
      </w:r>
      <w:r w:rsidR="005111D8">
        <w:t xml:space="preserve"> </w:t>
      </w:r>
      <w:r w:rsidR="005111D8" w:rsidRPr="000514EB">
        <w:t>neuraminidase) of each of four antigens representative of the influenza virus types expected to</w:t>
      </w:r>
      <w:r w:rsidR="005111D8">
        <w:t xml:space="preserve"> </w:t>
      </w:r>
      <w:r w:rsidR="005111D8" w:rsidRPr="000514EB">
        <w:t>circulate in the Southern Hemisphere winter</w:t>
      </w:r>
      <w:r w:rsidR="005111D8">
        <w:t xml:space="preserve"> </w:t>
      </w:r>
      <w:r w:rsidR="005111D8" w:rsidRPr="000514EB">
        <w:t>(</w:t>
      </w:r>
      <w:r w:rsidR="005111D8">
        <w:t xml:space="preserve">specifically, </w:t>
      </w:r>
      <w:r w:rsidR="005111D8" w:rsidRPr="000514EB">
        <w:t>15 </w:t>
      </w:r>
      <w:r w:rsidR="002038FC">
        <w:t>µg</w:t>
      </w:r>
      <w:r w:rsidR="005111D8" w:rsidRPr="000514EB">
        <w:t xml:space="preserve"> of influenza virus </w:t>
      </w:r>
      <w:proofErr w:type="spellStart"/>
      <w:r w:rsidR="005111D8" w:rsidRPr="000514EB">
        <w:t>haemagglutinin</w:t>
      </w:r>
      <w:proofErr w:type="spellEnd"/>
      <w:r w:rsidR="005111D8" w:rsidRPr="000514EB">
        <w:t xml:space="preserve"> from </w:t>
      </w:r>
      <w:r w:rsidR="005111D8">
        <w:t xml:space="preserve">each of </w:t>
      </w:r>
      <w:r w:rsidR="005111D8" w:rsidRPr="000514EB">
        <w:t xml:space="preserve">two A strains </w:t>
      </w:r>
      <w:r w:rsidR="005111D8">
        <w:t>(</w:t>
      </w:r>
      <w:r w:rsidR="005111D8">
        <w:rPr>
          <w:lang w:val="en-US"/>
        </w:rPr>
        <w:t xml:space="preserve">A/H1N1 and A/H3N2) and two </w:t>
      </w:r>
      <w:r w:rsidR="005111D8" w:rsidRPr="000D24CD">
        <w:rPr>
          <w:lang w:val="en-US"/>
        </w:rPr>
        <w:t>B</w:t>
      </w:r>
      <w:r w:rsidR="005111D8">
        <w:rPr>
          <w:lang w:val="en-US"/>
        </w:rPr>
        <w:t xml:space="preserve"> strains </w:t>
      </w:r>
      <w:r w:rsidR="005111D8" w:rsidRPr="000D24CD">
        <w:rPr>
          <w:lang w:val="en-US"/>
        </w:rPr>
        <w:t>(Yamagata lineage</w:t>
      </w:r>
      <w:r w:rsidR="005111D8">
        <w:rPr>
          <w:lang w:val="en-US"/>
        </w:rPr>
        <w:t xml:space="preserve"> and </w:t>
      </w:r>
      <w:r w:rsidR="005111D8" w:rsidRPr="000D24CD">
        <w:rPr>
          <w:lang w:val="en-US"/>
        </w:rPr>
        <w:t>Victoria lineage)</w:t>
      </w:r>
      <w:r w:rsidR="0092363C">
        <w:rPr>
          <w:lang w:val="en-US"/>
        </w:rPr>
        <w:t xml:space="preserve">), </w:t>
      </w:r>
      <w:r w:rsidRPr="00D23139">
        <w:t>indicated for:</w:t>
      </w:r>
    </w:p>
    <w:p w14:paraId="114A41D5" w14:textId="77777777" w:rsidR="005111D8" w:rsidRPr="005111D8" w:rsidRDefault="005111D8" w:rsidP="005111D8">
      <w:pPr>
        <w:ind w:left="720"/>
        <w:rPr>
          <w:rFonts w:asciiTheme="minorHAnsi" w:hAnsiTheme="minorHAnsi"/>
          <w:i/>
        </w:rPr>
      </w:pPr>
      <w:r w:rsidRPr="005111D8">
        <w:rPr>
          <w:i/>
          <w:lang w:eastAsia="en-AU"/>
        </w:rPr>
        <w:t>Active immunisation against influenza in persons 65 years of age and older.</w:t>
      </w:r>
    </w:p>
    <w:p w14:paraId="68CC37CE" w14:textId="77777777" w:rsidR="00D23139" w:rsidRDefault="00D23139" w:rsidP="00D23139">
      <w:pPr>
        <w:pStyle w:val="Heading4"/>
      </w:pPr>
      <w:r w:rsidRPr="00D23139">
        <w:t>Specific conditions of registration applying to these goods</w:t>
      </w:r>
    </w:p>
    <w:p w14:paraId="7D85D936" w14:textId="77777777" w:rsidR="00790834" w:rsidRPr="008F429D" w:rsidRDefault="00790834" w:rsidP="0092687F">
      <w:pPr>
        <w:pStyle w:val="Numberbullet0"/>
        <w:numPr>
          <w:ilvl w:val="0"/>
          <w:numId w:val="49"/>
        </w:numPr>
      </w:pPr>
      <w:r w:rsidRPr="008F429D">
        <w:t xml:space="preserve">The </w:t>
      </w:r>
      <w:proofErr w:type="spellStart"/>
      <w:r w:rsidRPr="008F429D">
        <w:t>Fluad</w:t>
      </w:r>
      <w:proofErr w:type="spellEnd"/>
      <w:r w:rsidRPr="008F429D">
        <w:t xml:space="preserve"> Quad </w:t>
      </w:r>
      <w:r>
        <w:t>European Union (</w:t>
      </w:r>
      <w:r w:rsidRPr="008F429D">
        <w:t>EU</w:t>
      </w:r>
      <w:r>
        <w:t>)</w:t>
      </w:r>
      <w:r w:rsidRPr="008F429D">
        <w:t>-Risk Management Plan (RMP) (version 1.0, dated 9 January 2019, data lock point 31 October 2018), with Australian Specific Annex (version 1.0, dated 17 January 2019), included with submission PM-2019-00120-1-2, and any subsequent revisions, as agreed with the TGA will be implemented in Australia.</w:t>
      </w:r>
    </w:p>
    <w:p w14:paraId="12EAE4BB" w14:textId="77777777" w:rsidR="00790834" w:rsidRPr="008F429D" w:rsidRDefault="00790834" w:rsidP="0092687F">
      <w:pPr>
        <w:pStyle w:val="Numberbullet0"/>
        <w:numPr>
          <w:ilvl w:val="0"/>
          <w:numId w:val="0"/>
        </w:numPr>
        <w:ind w:left="425"/>
      </w:pPr>
      <w:r w:rsidRPr="008F429D">
        <w:t>An obligatory component of risk management plans is routine pharmacovigilance. Routine pharmacovigilance includes the submission of periodic safety update reports (PSURs).</w:t>
      </w:r>
    </w:p>
    <w:p w14:paraId="58559400" w14:textId="77777777" w:rsidR="00790834" w:rsidRPr="008F429D" w:rsidRDefault="00790834" w:rsidP="0092687F">
      <w:pPr>
        <w:pStyle w:val="Numberbullet0"/>
        <w:numPr>
          <w:ilvl w:val="0"/>
          <w:numId w:val="0"/>
        </w:numPr>
        <w:ind w:left="425"/>
      </w:pPr>
      <w:r w:rsidRPr="008F429D">
        <w:t>Unless agreed separately between the supplier who is the recipient of the approval and the TGA, the first report must be submitted to TGA no later than 15 calend</w:t>
      </w:r>
      <w:r>
        <w:t>ar months after the date of the</w:t>
      </w:r>
      <w:r w:rsidRPr="008F429D">
        <w:t xml:space="preserve"> approval letter. The subsequent reports must be submitted no less frequently than annually from the date of the first submitted report until the period covered by such reports is not less than t</w:t>
      </w:r>
      <w:r>
        <w:t>hree years from the date of the</w:t>
      </w:r>
      <w:r w:rsidRPr="008F429D">
        <w:t xml:space="preserve"> approval letter. The annual submission may be made up of two PSURs each covering six months. If the sponsor wishes, the six monthly reports may be submitted separately as they become available.</w:t>
      </w:r>
    </w:p>
    <w:p w14:paraId="661BBB6F" w14:textId="77777777" w:rsidR="00790834" w:rsidRDefault="00790834" w:rsidP="0092687F">
      <w:pPr>
        <w:pStyle w:val="Numberbullet0"/>
        <w:numPr>
          <w:ilvl w:val="0"/>
          <w:numId w:val="0"/>
        </w:numPr>
        <w:ind w:left="425"/>
      </w:pPr>
      <w:r w:rsidRPr="008F429D">
        <w:t xml:space="preserve">The reports are to at least meet the requirements for PSURs as described in the European Medicines Agency’s Guideline on good pharmacovigilance practices (GVP) Module VII periodic safety update report (Rev 1), Part VII.B Structures and processes. Note that submission of a PSUR does not constitute an application to vary the </w:t>
      </w:r>
      <w:r w:rsidRPr="008F429D">
        <w:lastRenderedPageBreak/>
        <w:t>registration. Each report must have been prepared within ninety calendar days of the data lock point for that report.</w:t>
      </w:r>
    </w:p>
    <w:p w14:paraId="50F27FB1" w14:textId="77777777" w:rsidR="00790834" w:rsidRDefault="00790834" w:rsidP="0092687F">
      <w:pPr>
        <w:pStyle w:val="Numberbullet0"/>
      </w:pPr>
      <w:r>
        <w:t>Batch Release Testing and Compliance with the Certified Product Details</w:t>
      </w:r>
    </w:p>
    <w:p w14:paraId="02199880" w14:textId="77777777" w:rsidR="00790834" w:rsidRDefault="00790834" w:rsidP="0092687F">
      <w:pPr>
        <w:pStyle w:val="Numberbullet0"/>
        <w:numPr>
          <w:ilvl w:val="0"/>
          <w:numId w:val="0"/>
        </w:numPr>
        <w:ind w:left="425"/>
      </w:pPr>
      <w:r>
        <w:t xml:space="preserve">It is a condition of registration that all independent batches of </w:t>
      </w:r>
      <w:proofErr w:type="spellStart"/>
      <w:r>
        <w:t>Fluad</w:t>
      </w:r>
      <w:proofErr w:type="spellEnd"/>
      <w:r>
        <w:t xml:space="preserve"> Quad imported into Australia are not released for sale until samples and the manufacturer’s release data have been assessed and the sponsor has received notification acknowledging release from the Laboratories Branch, TGA.</w:t>
      </w:r>
    </w:p>
    <w:p w14:paraId="2AFC08E5" w14:textId="77777777" w:rsidR="00790834" w:rsidRDefault="00790834" w:rsidP="0092687F">
      <w:pPr>
        <w:pStyle w:val="Numberbullet0"/>
        <w:numPr>
          <w:ilvl w:val="0"/>
          <w:numId w:val="0"/>
        </w:numPr>
        <w:ind w:left="425"/>
      </w:pPr>
      <w:r>
        <w:t>For each independent batch of the product imported into Australia, the sponsor must supply the following:</w:t>
      </w:r>
    </w:p>
    <w:p w14:paraId="21EDFAFC" w14:textId="77777777" w:rsidR="00790834" w:rsidRDefault="00790834" w:rsidP="00790834">
      <w:pPr>
        <w:pStyle w:val="Numberbullet2"/>
        <w:numPr>
          <w:ilvl w:val="1"/>
          <w:numId w:val="8"/>
        </w:numPr>
        <w:spacing w:after="180"/>
      </w:pPr>
      <w:r>
        <w:t>A completed Request for Release Form, available from vaccines@health.gov.au.</w:t>
      </w:r>
    </w:p>
    <w:p w14:paraId="41C24C18" w14:textId="77777777" w:rsidR="00790834" w:rsidRDefault="00790834" w:rsidP="00790834">
      <w:pPr>
        <w:pStyle w:val="Numberbullet2"/>
        <w:numPr>
          <w:ilvl w:val="1"/>
          <w:numId w:val="8"/>
        </w:numPr>
        <w:spacing w:after="180"/>
      </w:pPr>
      <w:r>
        <w:t>Complete summary protocols for manufacture and QC, including all steps in production.</w:t>
      </w:r>
    </w:p>
    <w:p w14:paraId="55EE178C" w14:textId="77777777" w:rsidR="00790834" w:rsidRDefault="00790834" w:rsidP="00790834">
      <w:pPr>
        <w:pStyle w:val="Numberbullet2"/>
        <w:numPr>
          <w:ilvl w:val="1"/>
          <w:numId w:val="8"/>
        </w:numPr>
        <w:spacing w:after="180"/>
      </w:pPr>
      <w:r>
        <w:t xml:space="preserve">At least 20 (twenty) doses of the first consignment of each batch of </w:t>
      </w:r>
      <w:proofErr w:type="spellStart"/>
      <w:r>
        <w:t>Fluad</w:t>
      </w:r>
      <w:proofErr w:type="spellEnd"/>
      <w:r>
        <w:t xml:space="preserve"> Quad with the Australian approved labels, PI and packaging</w:t>
      </w:r>
    </w:p>
    <w:p w14:paraId="2A0A461B" w14:textId="77777777" w:rsidR="00790834" w:rsidRDefault="00790834" w:rsidP="00790834">
      <w:pPr>
        <w:pStyle w:val="Numberbullet2"/>
        <w:numPr>
          <w:ilvl w:val="1"/>
          <w:numId w:val="8"/>
        </w:numPr>
        <w:spacing w:after="180"/>
      </w:pPr>
      <w:r>
        <w:t xml:space="preserve">At least 10 (ten) doses of any further consignment of each batch of </w:t>
      </w:r>
      <w:proofErr w:type="spellStart"/>
      <w:r>
        <w:t>Fluad</w:t>
      </w:r>
      <w:proofErr w:type="spellEnd"/>
      <w:r>
        <w:t xml:space="preserve"> Quad with the Australian approved labels, PI and packaging</w:t>
      </w:r>
    </w:p>
    <w:p w14:paraId="67303107" w14:textId="77777777" w:rsidR="00790834" w:rsidRDefault="00790834" w:rsidP="00790834">
      <w:pPr>
        <w:pStyle w:val="Numberbullet2"/>
        <w:numPr>
          <w:ilvl w:val="1"/>
          <w:numId w:val="8"/>
        </w:numPr>
        <w:spacing w:after="180"/>
      </w:pPr>
      <w:r>
        <w:t>Certificate of Release from a regulatory agency acting for the country of origin such as an OMCL (if available).</w:t>
      </w:r>
    </w:p>
    <w:p w14:paraId="3ED5D4BA" w14:textId="77777777" w:rsidR="00790834" w:rsidRDefault="00790834" w:rsidP="00790834">
      <w:pPr>
        <w:pStyle w:val="Numberbullet2"/>
        <w:numPr>
          <w:ilvl w:val="1"/>
          <w:numId w:val="8"/>
        </w:numPr>
        <w:spacing w:after="180"/>
      </w:pPr>
      <w:r>
        <w:t>Any reagents, reference material and standards required to undertake testing, as requested by Laboratories Branch, TGA.</w:t>
      </w:r>
    </w:p>
    <w:p w14:paraId="2C4EAEBA" w14:textId="77777777" w:rsidR="00790834" w:rsidRDefault="00790834" w:rsidP="0092687F">
      <w:pPr>
        <w:pStyle w:val="Numberbullet0"/>
        <w:numPr>
          <w:ilvl w:val="0"/>
          <w:numId w:val="0"/>
        </w:numPr>
        <w:ind w:left="425"/>
      </w:pPr>
      <w:r>
        <w:t>Distribution of each shipment of each batch of vaccine is conditional upon fulfilment of these conditions and receipt of a letter from the Laboratories Branch acknowledging release.</w:t>
      </w:r>
    </w:p>
    <w:p w14:paraId="6191D02A" w14:textId="77777777" w:rsidR="00790834" w:rsidRDefault="00790834" w:rsidP="0092687F">
      <w:pPr>
        <w:pStyle w:val="Numberbullet0"/>
      </w:pPr>
      <w:r>
        <w:t>Certified Product Details</w:t>
      </w:r>
    </w:p>
    <w:p w14:paraId="31EBB6BF" w14:textId="570705D2" w:rsidR="00790834" w:rsidRDefault="00790834" w:rsidP="0092687F">
      <w:pPr>
        <w:pStyle w:val="Numberbullet0"/>
        <w:numPr>
          <w:ilvl w:val="0"/>
          <w:numId w:val="0"/>
        </w:numPr>
        <w:ind w:left="425"/>
      </w:pPr>
      <w:r w:rsidRPr="00F42389">
        <w:t xml:space="preserve">An electronic copy of the Certified Product Details (CPD) as described in Guidance 7: Certified Product Details of the Australian Regulatory Guidelines for Prescription Medicines (ARGPM) </w:t>
      </w:r>
      <w:hyperlink r:id="rId17" w:history="1">
        <w:r w:rsidRPr="0086438F">
          <w:rPr>
            <w:rStyle w:val="Hyperlink"/>
          </w:rPr>
          <w:t>https://www.tga.gov.au/guidance-7-certified-product-details</w:t>
        </w:r>
      </w:hyperlink>
      <w:r w:rsidRPr="00F42389">
        <w:t xml:space="preserve"> should be provided upon registration of the therapeutic good. In addition, an updated CPD, for the above products incorporating the approved changes is to be provided within one month of the date of approval letter. A template for preparation of CPD for biological prescription medicines and Vaccines can be obtained from the TGA website https://www.tga.gov.au/form/certified-product-details-cpd-biological-prescriptionmedicines. The CPD should be sent as a single bookmarked PDF document to </w:t>
      </w:r>
      <w:hyperlink r:id="rId18" w:history="1">
        <w:r w:rsidRPr="0086438F">
          <w:rPr>
            <w:rStyle w:val="Hyperlink"/>
          </w:rPr>
          <w:t>vaccines@health.gov.au</w:t>
        </w:r>
      </w:hyperlink>
      <w:r w:rsidRPr="00F42389">
        <w:t xml:space="preserve"> as soon as possible after registration/approval of the product or any subsequent changes as indicated above.</w:t>
      </w:r>
    </w:p>
    <w:p w14:paraId="3ACE8EE9" w14:textId="77777777" w:rsidR="00790834" w:rsidRPr="00F42389" w:rsidRDefault="00790834" w:rsidP="0092687F">
      <w:pPr>
        <w:pStyle w:val="Numberbullet0"/>
      </w:pPr>
      <w:r>
        <w:t>For all injectable products the Product Information must be included with the product as a package insert.</w:t>
      </w:r>
    </w:p>
    <w:p w14:paraId="214D4C19" w14:textId="77777777" w:rsidR="008E7846" w:rsidRDefault="00A80B5B" w:rsidP="00D23139">
      <w:pPr>
        <w:pStyle w:val="Heading2"/>
      </w:pPr>
      <w:bookmarkStart w:id="52" w:name="_Toc26439482"/>
      <w:r>
        <w:t xml:space="preserve">Attachment 1. </w:t>
      </w:r>
      <w:r w:rsidR="008E7846">
        <w:t xml:space="preserve">Product </w:t>
      </w:r>
      <w:r w:rsidR="00AA0ED0">
        <w:t>I</w:t>
      </w:r>
      <w:r w:rsidR="008E7846">
        <w:t>nformation</w:t>
      </w:r>
      <w:bookmarkEnd w:id="50"/>
      <w:bookmarkEnd w:id="51"/>
      <w:bookmarkEnd w:id="52"/>
    </w:p>
    <w:p w14:paraId="2D6D318D" w14:textId="77777777" w:rsidR="00291957" w:rsidRDefault="006136D7" w:rsidP="00790834">
      <w:pPr>
        <w:rPr>
          <w:lang w:eastAsia="ja-JP"/>
        </w:rPr>
      </w:pPr>
      <w:r w:rsidRPr="002B3624">
        <w:t xml:space="preserve">The </w:t>
      </w:r>
      <w:r>
        <w:t>PI</w:t>
      </w:r>
      <w:r w:rsidRPr="002B3624">
        <w:t xml:space="preserve"> for </w:t>
      </w:r>
      <w:proofErr w:type="spellStart"/>
      <w:r w:rsidR="00790834">
        <w:t>Fluad</w:t>
      </w:r>
      <w:proofErr w:type="spellEnd"/>
      <w:r w:rsidR="00790834">
        <w:t xml:space="preserve"> Quad</w:t>
      </w:r>
      <w:r w:rsidRPr="002B3624">
        <w:t xml:space="preserve"> </w:t>
      </w:r>
      <w:r>
        <w:t xml:space="preserve">approved with the submission which is described in </w:t>
      </w:r>
      <w:r w:rsidRPr="002B3624">
        <w:t xml:space="preserve">this </w:t>
      </w:r>
      <w:proofErr w:type="spellStart"/>
      <w:r w:rsidRPr="002B3624">
        <w:t>AusPAR</w:t>
      </w:r>
      <w:proofErr w:type="spellEnd"/>
      <w:r w:rsidRPr="002B3624">
        <w:t xml:space="preserve"> is at Attachment 1. For the most recent </w:t>
      </w:r>
      <w:r>
        <w:t>PI,</w:t>
      </w:r>
      <w:r w:rsidRPr="002B3624">
        <w:t xml:space="preserve"> please refer to the </w:t>
      </w:r>
      <w:r w:rsidRPr="007C6B9B">
        <w:t xml:space="preserve">TGA website at </w:t>
      </w:r>
      <w:r w:rsidR="007C6B9B" w:rsidRPr="007C6B9B">
        <w:t>&lt;</w:t>
      </w:r>
      <w:hyperlink r:id="rId19" w:history="1">
        <w:r w:rsidR="007C6B9B" w:rsidRPr="007C6B9B">
          <w:rPr>
            <w:rStyle w:val="Hyperlink"/>
          </w:rPr>
          <w:t>https://www.tga.gov.au/product-information-pi</w:t>
        </w:r>
      </w:hyperlink>
      <w:r w:rsidR="00790834">
        <w:t>&gt;.</w:t>
      </w:r>
    </w:p>
    <w:p w14:paraId="5112B93A" w14:textId="77777777" w:rsidR="00C80137" w:rsidRPr="001D043B" w:rsidRDefault="00C80137" w:rsidP="003A7F6C">
      <w:pPr>
        <w:pStyle w:val="TableTitle"/>
        <w:sectPr w:rsidR="00C80137" w:rsidRPr="001D043B" w:rsidSect="00B452CE">
          <w:headerReference w:type="even" r:id="rId20"/>
          <w:headerReference w:type="default" r:id="rId21"/>
          <w:headerReference w:type="first" r:id="rId22"/>
          <w:footerReference w:type="first" r:id="rId23"/>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24C18B16" w14:textId="77777777" w:rsidTr="00A05FA4">
        <w:trPr>
          <w:trHeight w:hRule="exact" w:val="704"/>
        </w:trPr>
        <w:tc>
          <w:tcPr>
            <w:tcW w:w="9175" w:type="dxa"/>
          </w:tcPr>
          <w:p w14:paraId="5658B917" w14:textId="77777777" w:rsidR="001C32CD" w:rsidRPr="00487162" w:rsidRDefault="001C32CD" w:rsidP="00A05FA4">
            <w:pPr>
              <w:pStyle w:val="TGASignoff"/>
            </w:pPr>
            <w:r w:rsidRPr="00487162">
              <w:lastRenderedPageBreak/>
              <w:t>Therapeutic Goods Administration</w:t>
            </w:r>
          </w:p>
        </w:tc>
      </w:tr>
      <w:tr w:rsidR="001C32CD" w:rsidRPr="004C239D" w14:paraId="5778F339" w14:textId="77777777" w:rsidTr="00A05FA4">
        <w:trPr>
          <w:trHeight w:val="1221"/>
        </w:trPr>
        <w:tc>
          <w:tcPr>
            <w:tcW w:w="9175" w:type="dxa"/>
            <w:tcMar>
              <w:top w:w="28" w:type="dxa"/>
            </w:tcMar>
          </w:tcPr>
          <w:p w14:paraId="30019BC4" w14:textId="77777777" w:rsidR="001C32CD" w:rsidRPr="00487162" w:rsidRDefault="001C32CD" w:rsidP="00A05FA4">
            <w:pPr>
              <w:pStyle w:val="Address"/>
            </w:pPr>
            <w:r w:rsidRPr="00487162">
              <w:t>PO Box 100 Woden ACT 2606 Australia</w:t>
            </w:r>
          </w:p>
          <w:p w14:paraId="48C180B3" w14:textId="77777777" w:rsidR="001C32CD" w:rsidRPr="00487162" w:rsidRDefault="001C32CD" w:rsidP="00A05FA4">
            <w:pPr>
              <w:pStyle w:val="Address"/>
            </w:pPr>
            <w:r w:rsidRPr="00487162">
              <w:t xml:space="preserve">Email: </w:t>
            </w:r>
            <w:hyperlink r:id="rId24" w:history="1">
              <w:r w:rsidRPr="004C239D">
                <w:rPr>
                  <w:rStyle w:val="Hyperlink"/>
                </w:rPr>
                <w:t>info@tga.gov.au</w:t>
              </w:r>
            </w:hyperlink>
            <w:r w:rsidR="00956A07">
              <w:t xml:space="preserve"> </w:t>
            </w:r>
            <w:r w:rsidRPr="00487162">
              <w:t>Phone: 1800 020 653</w:t>
            </w:r>
            <w:r w:rsidR="00956A07">
              <w:t xml:space="preserve"> </w:t>
            </w:r>
            <w:r w:rsidRPr="00487162">
              <w:t>Fax: 02 6232 8605</w:t>
            </w:r>
          </w:p>
          <w:p w14:paraId="42732C58" w14:textId="77777777" w:rsidR="001C32CD" w:rsidRPr="004C239D" w:rsidRDefault="005A37A7" w:rsidP="00A05FA4">
            <w:pPr>
              <w:pStyle w:val="Address"/>
              <w:spacing w:line="260" w:lineRule="atLeast"/>
              <w:rPr>
                <w:b/>
                <w:color w:val="0000FF"/>
                <w:u w:val="single"/>
              </w:rPr>
            </w:pPr>
            <w:hyperlink r:id="rId25" w:history="1">
              <w:r w:rsidR="007C6B9B" w:rsidRPr="007C6B9B">
                <w:rPr>
                  <w:rStyle w:val="Hyperlink"/>
                  <w:b/>
                </w:rPr>
                <w:t>https://www.tga.gov.au</w:t>
              </w:r>
            </w:hyperlink>
          </w:p>
        </w:tc>
      </w:tr>
    </w:tbl>
    <w:p w14:paraId="5617C7F1" w14:textId="77777777" w:rsidR="00774E1D" w:rsidRPr="008A5E0B" w:rsidRDefault="00774E1D" w:rsidP="004C239D"/>
    <w:sectPr w:rsidR="00774E1D" w:rsidRPr="008A5E0B" w:rsidSect="001C32CD">
      <w:headerReference w:type="even" r:id="rId26"/>
      <w:headerReference w:type="default" r:id="rId27"/>
      <w:footerReference w:type="default" r:id="rId28"/>
      <w:headerReference w:type="first" r:id="rId29"/>
      <w:footerReference w:type="first" r:id="rId30"/>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E4D74" w14:textId="77777777" w:rsidR="005A37A7" w:rsidRDefault="005A37A7" w:rsidP="00C40A36">
      <w:pPr>
        <w:spacing w:after="0"/>
      </w:pPr>
      <w:r>
        <w:separator/>
      </w:r>
    </w:p>
  </w:endnote>
  <w:endnote w:type="continuationSeparator" w:id="0">
    <w:p w14:paraId="1F6DEE63" w14:textId="77777777" w:rsidR="005A37A7" w:rsidRDefault="005A37A7"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altName w:val="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1" w:usb1="08070000" w:usb2="00000010" w:usb3="00000000" w:csb0="00020000" w:csb1="00000000"/>
  </w:font>
  <w:font w:name="TimesNewRomanPSMT">
    <w:altName w:val="Malgun Gothic Semilight"/>
    <w:panose1 w:val="00000000000000000000"/>
    <w:charset w:val="00"/>
    <w:family w:val="auto"/>
    <w:notTrueType/>
    <w:pitch w:val="default"/>
    <w:sig w:usb0="00000003" w:usb1="080F0000" w:usb2="00000010" w:usb3="00000000" w:csb0="00060001" w:csb1="00000000"/>
  </w:font>
  <w:font w:name="TimesNewRoman,Italic">
    <w:altName w:val="MS Mincho"/>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00"/>
    <w:family w:val="auto"/>
    <w:notTrueType/>
    <w:pitch w:val="default"/>
    <w:sig w:usb0="00000003" w:usb1="08080000" w:usb2="00000010"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5A37A7" w:rsidRPr="00487162" w14:paraId="51825178" w14:textId="77777777" w:rsidTr="00DB750B">
      <w:trPr>
        <w:trHeight w:val="269"/>
      </w:trPr>
      <w:tc>
        <w:tcPr>
          <w:tcW w:w="7371" w:type="dxa"/>
          <w:tcMar>
            <w:top w:w="142" w:type="dxa"/>
            <w:bottom w:w="0" w:type="dxa"/>
          </w:tcMar>
        </w:tcPr>
        <w:p w14:paraId="2EDB0911" w14:textId="79D1C960" w:rsidR="005A37A7" w:rsidRDefault="005A37A7" w:rsidP="00DF10BC">
          <w:pPr>
            <w:pStyle w:val="Footer"/>
          </w:pPr>
          <w:proofErr w:type="spellStart"/>
          <w:r w:rsidRPr="00487162">
            <w:t>AusPA</w:t>
          </w:r>
          <w:r>
            <w:t>R</w:t>
          </w:r>
          <w:proofErr w:type="spellEnd"/>
          <w:r>
            <w:t xml:space="preserve"> - </w:t>
          </w:r>
          <w:proofErr w:type="spellStart"/>
          <w:r w:rsidRPr="002E2559">
            <w:t>F</w:t>
          </w:r>
          <w:r>
            <w:t>luad</w:t>
          </w:r>
          <w:proofErr w:type="spellEnd"/>
          <w:r>
            <w:t xml:space="preserve"> Quad - </w:t>
          </w:r>
          <w:r w:rsidRPr="00DF10BC">
            <w:rPr>
              <w:lang w:eastAsia="en-AU"/>
            </w:rPr>
            <w:t>Inactivated</w:t>
          </w:r>
          <w:r>
            <w:rPr>
              <w:lang w:eastAsia="en-AU"/>
            </w:rPr>
            <w:t xml:space="preserve"> </w:t>
          </w:r>
          <w:proofErr w:type="spellStart"/>
          <w:r>
            <w:rPr>
              <w:lang w:eastAsia="en-AU"/>
            </w:rPr>
            <w:t>quadrivalent</w:t>
          </w:r>
          <w:proofErr w:type="spellEnd"/>
          <w:r>
            <w:rPr>
              <w:lang w:eastAsia="en-AU"/>
            </w:rPr>
            <w:t xml:space="preserve"> influenza vaccine -</w:t>
          </w:r>
          <w:r w:rsidRPr="00DF10BC">
            <w:t xml:space="preserve"> PM-2019-00120-1-2</w:t>
          </w:r>
        </w:p>
        <w:p w14:paraId="23F7B030" w14:textId="7DB97F32" w:rsidR="005A37A7" w:rsidRPr="00487162" w:rsidRDefault="005A37A7" w:rsidP="00DF10BC">
          <w:pPr>
            <w:pStyle w:val="Footer"/>
          </w:pPr>
          <w:r>
            <w:t>FINAL 11 November 2019</w:t>
          </w:r>
        </w:p>
      </w:tc>
      <w:tc>
        <w:tcPr>
          <w:tcW w:w="1490" w:type="dxa"/>
          <w:tcMar>
            <w:top w:w="142" w:type="dxa"/>
            <w:bottom w:w="0" w:type="dxa"/>
          </w:tcMar>
        </w:tcPr>
        <w:p w14:paraId="702EE133" w14:textId="4D49361B" w:rsidR="005A37A7" w:rsidRPr="00487162" w:rsidRDefault="005A37A7" w:rsidP="00DB750B">
          <w:pPr>
            <w:pStyle w:val="Footer"/>
            <w:jc w:val="right"/>
          </w:pPr>
          <w:r w:rsidRPr="00487162">
            <w:t xml:space="preserve">Page </w:t>
          </w:r>
          <w:r>
            <w:fldChar w:fldCharType="begin"/>
          </w:r>
          <w:r>
            <w:instrText xml:space="preserve"> PAGE  \* Arabic </w:instrText>
          </w:r>
          <w:r>
            <w:fldChar w:fldCharType="separate"/>
          </w:r>
          <w:r w:rsidR="00533313">
            <w:rPr>
              <w:noProof/>
            </w:rPr>
            <w:t>21</w:t>
          </w:r>
          <w:r>
            <w:fldChar w:fldCharType="end"/>
          </w:r>
          <w:r w:rsidRPr="00487162">
            <w:t xml:space="preserve"> of </w:t>
          </w:r>
          <w:fldSimple w:instr=" NUMPAGES  \* Arabic ">
            <w:r w:rsidR="00533313">
              <w:rPr>
                <w:noProof/>
              </w:rPr>
              <w:t>24</w:t>
            </w:r>
          </w:fldSimple>
        </w:p>
      </w:tc>
    </w:tr>
  </w:tbl>
  <w:p w14:paraId="0F7C50D3" w14:textId="77777777" w:rsidR="005A37A7" w:rsidRDefault="005A37A7"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5A37A7" w:rsidRPr="00487162" w14:paraId="3D400DEB" w14:textId="77777777" w:rsidTr="00E45619">
      <w:trPr>
        <w:trHeight w:val="269"/>
      </w:trPr>
      <w:tc>
        <w:tcPr>
          <w:tcW w:w="4519" w:type="dxa"/>
          <w:tcBorders>
            <w:top w:val="single" w:sz="4" w:space="0" w:color="auto"/>
          </w:tcBorders>
          <w:tcMar>
            <w:top w:w="142" w:type="dxa"/>
            <w:bottom w:w="0" w:type="dxa"/>
          </w:tcMar>
        </w:tcPr>
        <w:p w14:paraId="4292B74F" w14:textId="77777777" w:rsidR="005A37A7" w:rsidRPr="00487162" w:rsidRDefault="005A37A7" w:rsidP="00FE1DEE">
          <w:pPr>
            <w:pStyle w:val="Footer"/>
          </w:pPr>
          <w:r w:rsidRPr="00487162">
            <w:t>Document title, Part #, Section # - Section title</w:t>
          </w:r>
        </w:p>
        <w:p w14:paraId="118F313C" w14:textId="77777777" w:rsidR="005A37A7" w:rsidRPr="00487162" w:rsidRDefault="005A37A7" w:rsidP="00FE1DEE">
          <w:pPr>
            <w:pStyle w:val="Footer"/>
          </w:pPr>
          <w:r w:rsidRPr="00487162">
            <w:t>V1.0 October 2010</w:t>
          </w:r>
        </w:p>
      </w:tc>
      <w:tc>
        <w:tcPr>
          <w:tcW w:w="4342" w:type="dxa"/>
          <w:tcBorders>
            <w:top w:val="single" w:sz="4" w:space="0" w:color="auto"/>
          </w:tcBorders>
          <w:tcMar>
            <w:top w:w="142" w:type="dxa"/>
            <w:bottom w:w="0" w:type="dxa"/>
          </w:tcMar>
        </w:tcPr>
        <w:p w14:paraId="3D6094FA" w14:textId="74B2765D" w:rsidR="005A37A7" w:rsidRPr="00487162" w:rsidRDefault="005A37A7"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25</w:t>
            </w:r>
          </w:fldSimple>
        </w:p>
      </w:tc>
    </w:tr>
  </w:tbl>
  <w:p w14:paraId="5D62B4B4" w14:textId="77777777" w:rsidR="005A37A7" w:rsidRDefault="005A3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3B31" w14:textId="77777777" w:rsidR="005A37A7" w:rsidRPr="001C32CD" w:rsidRDefault="005A37A7"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5A37A7" w14:paraId="36382E5C" w14:textId="77777777" w:rsidTr="0010601F">
      <w:trPr>
        <w:trHeight w:val="108"/>
      </w:trPr>
      <w:tc>
        <w:tcPr>
          <w:tcW w:w="8875" w:type="dxa"/>
          <w:gridSpan w:val="2"/>
          <w:tcBorders>
            <w:bottom w:val="single" w:sz="4" w:space="0" w:color="auto"/>
          </w:tcBorders>
          <w:tcMar>
            <w:right w:w="284" w:type="dxa"/>
          </w:tcMar>
        </w:tcPr>
        <w:p w14:paraId="2846C51A" w14:textId="77777777" w:rsidR="005A37A7" w:rsidRDefault="005A37A7" w:rsidP="006E08B3">
          <w:pPr>
            <w:pStyle w:val="Heading3"/>
          </w:pPr>
          <w:r>
            <w:t>Copyright</w:t>
          </w:r>
        </w:p>
        <w:p w14:paraId="3E043A7B" w14:textId="77777777" w:rsidR="005A37A7" w:rsidRDefault="005A37A7" w:rsidP="006E08B3">
          <w:r>
            <w:rPr>
              <w:rFonts w:cs="Arial"/>
            </w:rPr>
            <w:t>©</w:t>
          </w:r>
          <w:r>
            <w:t xml:space="preserve"> Commonwealth of Australia [add year]</w:t>
          </w:r>
        </w:p>
        <w:p w14:paraId="434457D3" w14:textId="77777777" w:rsidR="005A37A7" w:rsidRDefault="005A37A7" w:rsidP="006E08B3"/>
        <w:p w14:paraId="2FEA1D02" w14:textId="77777777" w:rsidR="005A37A7" w:rsidRDefault="005A37A7"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4367AA05" w14:textId="77777777" w:rsidR="005A37A7" w:rsidRDefault="005A37A7" w:rsidP="006E08B3"/>
        <w:p w14:paraId="7AF268EA" w14:textId="77777777" w:rsidR="005A37A7" w:rsidRDefault="005A37A7" w:rsidP="006E08B3">
          <w:pPr>
            <w:pStyle w:val="Heading3"/>
          </w:pPr>
          <w:r>
            <w:t>Confidentiality</w:t>
          </w:r>
        </w:p>
        <w:p w14:paraId="40AFD6D0" w14:textId="77777777" w:rsidR="005A37A7" w:rsidRDefault="005A37A7"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34D0C281" w14:textId="77777777" w:rsidR="005A37A7" w:rsidRDefault="005A37A7" w:rsidP="006E08B3"/>
        <w:p w14:paraId="47C299A4" w14:textId="77777777" w:rsidR="005A37A7" w:rsidRDefault="005A37A7" w:rsidP="006E08B3">
          <w:r>
            <w:t>For submission made by individuals, all personal details, other than your name, will be removed from your submission before it is published on the TGA’s Internet site.</w:t>
          </w:r>
        </w:p>
        <w:p w14:paraId="0F8D0D0F" w14:textId="77777777" w:rsidR="005A37A7" w:rsidRDefault="005A37A7" w:rsidP="006E08B3"/>
        <w:p w14:paraId="313AC22E" w14:textId="77777777" w:rsidR="005A37A7" w:rsidRDefault="005A37A7"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5A37A7" w14:paraId="0DA8CAA2" w14:textId="77777777" w:rsidTr="0010601F">
      <w:trPr>
        <w:trHeight w:val="417"/>
      </w:trPr>
      <w:tc>
        <w:tcPr>
          <w:tcW w:w="4519" w:type="dxa"/>
          <w:tcBorders>
            <w:top w:val="single" w:sz="4" w:space="0" w:color="auto"/>
          </w:tcBorders>
          <w:tcMar>
            <w:top w:w="142" w:type="dxa"/>
            <w:bottom w:w="0" w:type="dxa"/>
          </w:tcMar>
        </w:tcPr>
        <w:p w14:paraId="24575C7C" w14:textId="77777777" w:rsidR="005A37A7" w:rsidRDefault="005A37A7" w:rsidP="006E08B3">
          <w:r>
            <w:t>Document title, Part #, Section # - Section title</w:t>
          </w:r>
        </w:p>
        <w:p w14:paraId="4683CB73" w14:textId="77777777" w:rsidR="005A37A7" w:rsidRDefault="005A37A7" w:rsidP="006E08B3">
          <w:r>
            <w:t>V1.0 October 2010</w:t>
          </w:r>
        </w:p>
      </w:tc>
      <w:tc>
        <w:tcPr>
          <w:tcW w:w="4356" w:type="dxa"/>
          <w:tcBorders>
            <w:top w:val="single" w:sz="4" w:space="0" w:color="auto"/>
          </w:tcBorders>
          <w:tcMar>
            <w:top w:w="142" w:type="dxa"/>
            <w:bottom w:w="0" w:type="dxa"/>
          </w:tcMar>
        </w:tcPr>
        <w:p w14:paraId="4920E2C7" w14:textId="10C7DC0D" w:rsidR="005A37A7" w:rsidRDefault="005A37A7"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25</w:t>
            </w:r>
          </w:fldSimple>
          <w:r>
            <w:t xml:space="preserve"> </w:t>
          </w:r>
        </w:p>
      </w:tc>
    </w:tr>
  </w:tbl>
  <w:p w14:paraId="1F725044" w14:textId="77777777" w:rsidR="005A37A7" w:rsidRDefault="005A37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3D8D7" w14:textId="77777777" w:rsidR="005A37A7" w:rsidRDefault="005A37A7" w:rsidP="00C40A36">
      <w:pPr>
        <w:spacing w:after="0"/>
      </w:pPr>
      <w:r>
        <w:separator/>
      </w:r>
    </w:p>
  </w:footnote>
  <w:footnote w:type="continuationSeparator" w:id="0">
    <w:p w14:paraId="30A96353" w14:textId="77777777" w:rsidR="005A37A7" w:rsidRDefault="005A37A7" w:rsidP="00C40A36">
      <w:pPr>
        <w:spacing w:after="0"/>
      </w:pPr>
      <w:r>
        <w:continuationSeparator/>
      </w:r>
    </w:p>
  </w:footnote>
  <w:footnote w:id="1">
    <w:p w14:paraId="28997395" w14:textId="2F6C6433" w:rsidR="005A37A7" w:rsidRPr="00F52A9E" w:rsidRDefault="005A37A7" w:rsidP="00FA7D2E">
      <w:pPr>
        <w:pStyle w:val="FootnoteText"/>
      </w:pPr>
      <w:r>
        <w:rPr>
          <w:rStyle w:val="FootnoteReference"/>
        </w:rPr>
        <w:footnoteRef/>
      </w:r>
      <w:r>
        <w:t xml:space="preserve"> The </w:t>
      </w:r>
      <w:proofErr w:type="spellStart"/>
      <w:r w:rsidRPr="00FA7D2E">
        <w:t>Center</w:t>
      </w:r>
      <w:proofErr w:type="spellEnd"/>
      <w:r w:rsidRPr="00FA7D2E">
        <w:t xml:space="preserve"> for Biologics Evaluation and </w:t>
      </w:r>
      <w:r w:rsidRPr="00F52A9E">
        <w:t>Research</w:t>
      </w:r>
      <w:r>
        <w:t>, US Food and Drug Administration; Maryland, USA.</w:t>
      </w:r>
    </w:p>
  </w:footnote>
  <w:footnote w:id="2">
    <w:p w14:paraId="21F3EBAE" w14:textId="77777777" w:rsidR="005A37A7" w:rsidRDefault="005A37A7" w:rsidP="00F52A9E">
      <w:pPr>
        <w:pStyle w:val="FootnoteText"/>
      </w:pPr>
      <w:r>
        <w:rPr>
          <w:rStyle w:val="FootnoteReference"/>
        </w:rPr>
        <w:footnoteRef/>
      </w:r>
      <w:r>
        <w:t xml:space="preserve"> </w:t>
      </w:r>
      <w:r w:rsidRPr="00F52A9E">
        <w:t xml:space="preserve">The highest dilution of serum that prevents </w:t>
      </w:r>
      <w:proofErr w:type="spellStart"/>
      <w:r w:rsidRPr="00F52A9E">
        <w:t>h</w:t>
      </w:r>
      <w:r>
        <w:t>a</w:t>
      </w:r>
      <w:r w:rsidRPr="00F52A9E">
        <w:t>emagglutination</w:t>
      </w:r>
      <w:proofErr w:type="spellEnd"/>
      <w:r w:rsidRPr="00F52A9E">
        <w:t xml:space="preserve"> is called the HI titre</w:t>
      </w:r>
      <w:r>
        <w:t>.</w:t>
      </w:r>
    </w:p>
  </w:footnote>
  <w:footnote w:id="3">
    <w:p w14:paraId="25A546CF" w14:textId="5C3E0237" w:rsidR="005A37A7" w:rsidRDefault="005A37A7" w:rsidP="005A37A7">
      <w:pPr>
        <w:pStyle w:val="FootnoteText"/>
      </w:pPr>
      <w:r>
        <w:rPr>
          <w:rStyle w:val="FootnoteReference"/>
        </w:rPr>
        <w:footnoteRef/>
      </w:r>
      <w:r>
        <w:t xml:space="preserve"> </w:t>
      </w:r>
      <w:r w:rsidRPr="0050576F">
        <w:t>CPMP/BWP/214/96</w:t>
      </w:r>
      <w:r>
        <w:t xml:space="preserve"> Note for guidance on harmonization of requirements for influenza vaccines. This Note for Guidance and its Annex have been withdrawn as their content was considered outdated with respect to current understanding of critical elements of the annual strain update (see </w:t>
      </w:r>
      <w:r w:rsidRPr="00876D55">
        <w:t>EMA/CHMP/VWP/232674/2013</w:t>
      </w:r>
      <w:r>
        <w:t>).</w:t>
      </w:r>
    </w:p>
  </w:footnote>
  <w:footnote w:id="4">
    <w:p w14:paraId="509A2972" w14:textId="6CAF9EB7" w:rsidR="005A37A7" w:rsidRPr="00A67A4F" w:rsidRDefault="005A37A7" w:rsidP="00A67A4F">
      <w:pPr>
        <w:shd w:val="clear" w:color="auto" w:fill="FFFFFF"/>
        <w:spacing w:before="0" w:line="240" w:lineRule="auto"/>
        <w:rPr>
          <w:rStyle w:val="FootnoteTextChar"/>
          <w:lang w:val="en" w:eastAsia="en-AU"/>
        </w:rPr>
      </w:pPr>
      <w:r>
        <w:rPr>
          <w:rStyle w:val="FootnoteReference"/>
        </w:rPr>
        <w:footnoteRef/>
      </w:r>
      <w:r>
        <w:t xml:space="preserve"> </w:t>
      </w:r>
      <w:hyperlink r:id="rId1" w:history="1">
        <w:proofErr w:type="spellStart"/>
        <w:r w:rsidRPr="00A67A4F">
          <w:rPr>
            <w:rStyle w:val="FootnoteTextChar"/>
            <w:lang w:val="en" w:eastAsia="en-AU"/>
          </w:rPr>
          <w:t>Mannino</w:t>
        </w:r>
        <w:proofErr w:type="spellEnd"/>
        <w:r w:rsidRPr="00A67A4F">
          <w:rPr>
            <w:rStyle w:val="FootnoteTextChar"/>
            <w:lang w:val="en" w:eastAsia="en-AU"/>
          </w:rPr>
          <w:t xml:space="preserve"> S</w:t>
        </w:r>
      </w:hyperlink>
      <w:r w:rsidRPr="00A67A4F">
        <w:rPr>
          <w:rStyle w:val="FootnoteTextChar"/>
          <w:lang w:val="en" w:eastAsia="en-AU"/>
        </w:rPr>
        <w:t xml:space="preserve">, </w:t>
      </w:r>
      <w:hyperlink r:id="rId2" w:history="1">
        <w:r w:rsidRPr="00A67A4F">
          <w:rPr>
            <w:rStyle w:val="FootnoteTextChar"/>
            <w:lang w:val="en" w:eastAsia="en-AU"/>
          </w:rPr>
          <w:t>Villa M</w:t>
        </w:r>
      </w:hyperlink>
      <w:r w:rsidRPr="00A67A4F">
        <w:rPr>
          <w:rStyle w:val="FootnoteTextChar"/>
          <w:lang w:val="en" w:eastAsia="en-AU"/>
        </w:rPr>
        <w:t xml:space="preserve">, </w:t>
      </w:r>
      <w:hyperlink r:id="rId3" w:history="1">
        <w:proofErr w:type="spellStart"/>
        <w:r w:rsidRPr="00A67A4F">
          <w:rPr>
            <w:rStyle w:val="FootnoteTextChar"/>
            <w:lang w:val="en" w:eastAsia="en-AU"/>
          </w:rPr>
          <w:t>Apolone</w:t>
        </w:r>
        <w:proofErr w:type="spellEnd"/>
        <w:r w:rsidRPr="00A67A4F">
          <w:rPr>
            <w:rStyle w:val="FootnoteTextChar"/>
            <w:lang w:val="en" w:eastAsia="en-AU"/>
          </w:rPr>
          <w:t xml:space="preserve"> G</w:t>
        </w:r>
      </w:hyperlink>
      <w:r w:rsidRPr="00A67A4F">
        <w:rPr>
          <w:rStyle w:val="FootnoteTextChar"/>
          <w:lang w:val="en" w:eastAsia="en-AU"/>
        </w:rPr>
        <w:t xml:space="preserve">, </w:t>
      </w:r>
      <w:hyperlink r:id="rId4" w:history="1">
        <w:r w:rsidRPr="00A67A4F">
          <w:rPr>
            <w:rStyle w:val="FootnoteTextChar"/>
            <w:lang w:val="en" w:eastAsia="en-AU"/>
          </w:rPr>
          <w:t>Weiss NS</w:t>
        </w:r>
      </w:hyperlink>
      <w:r w:rsidRPr="00A67A4F">
        <w:rPr>
          <w:rStyle w:val="FootnoteTextChar"/>
          <w:lang w:val="en" w:eastAsia="en-AU"/>
        </w:rPr>
        <w:t xml:space="preserve">, </w:t>
      </w:r>
      <w:hyperlink r:id="rId5" w:history="1">
        <w:proofErr w:type="spellStart"/>
        <w:r w:rsidRPr="00A67A4F">
          <w:rPr>
            <w:rStyle w:val="FootnoteTextChar"/>
            <w:lang w:val="en" w:eastAsia="en-AU"/>
          </w:rPr>
          <w:t>Groth</w:t>
        </w:r>
        <w:proofErr w:type="spellEnd"/>
        <w:r w:rsidRPr="00A67A4F">
          <w:rPr>
            <w:rStyle w:val="FootnoteTextChar"/>
            <w:lang w:val="en" w:eastAsia="en-AU"/>
          </w:rPr>
          <w:t xml:space="preserve"> N</w:t>
        </w:r>
      </w:hyperlink>
      <w:r w:rsidRPr="00A67A4F">
        <w:rPr>
          <w:rStyle w:val="FootnoteTextChar"/>
          <w:lang w:val="en" w:eastAsia="en-AU"/>
        </w:rPr>
        <w:t xml:space="preserve">, </w:t>
      </w:r>
      <w:hyperlink r:id="rId6" w:history="1">
        <w:r w:rsidRPr="00A67A4F">
          <w:rPr>
            <w:rStyle w:val="FootnoteTextChar"/>
            <w:lang w:val="en" w:eastAsia="en-AU"/>
          </w:rPr>
          <w:t>Aquino I</w:t>
        </w:r>
      </w:hyperlink>
      <w:r w:rsidRPr="00A67A4F">
        <w:rPr>
          <w:rStyle w:val="FootnoteTextChar"/>
          <w:lang w:val="en" w:eastAsia="en-AU"/>
        </w:rPr>
        <w:t xml:space="preserve">, </w:t>
      </w:r>
      <w:hyperlink r:id="rId7" w:history="1">
        <w:proofErr w:type="spellStart"/>
        <w:r w:rsidRPr="00A67A4F">
          <w:rPr>
            <w:rStyle w:val="FootnoteTextChar"/>
            <w:lang w:val="en" w:eastAsia="en-AU"/>
          </w:rPr>
          <w:t>Boldori</w:t>
        </w:r>
        <w:proofErr w:type="spellEnd"/>
        <w:r w:rsidRPr="00A67A4F">
          <w:rPr>
            <w:rStyle w:val="FootnoteTextChar"/>
            <w:lang w:val="en" w:eastAsia="en-AU"/>
          </w:rPr>
          <w:t xml:space="preserve"> L</w:t>
        </w:r>
      </w:hyperlink>
      <w:r w:rsidRPr="00A67A4F">
        <w:rPr>
          <w:rStyle w:val="FootnoteTextChar"/>
          <w:lang w:val="en" w:eastAsia="en-AU"/>
        </w:rPr>
        <w:t xml:space="preserve">, </w:t>
      </w:r>
      <w:hyperlink r:id="rId8" w:history="1">
        <w:proofErr w:type="spellStart"/>
        <w:r w:rsidRPr="00A67A4F">
          <w:rPr>
            <w:rStyle w:val="FootnoteTextChar"/>
            <w:lang w:val="en" w:eastAsia="en-AU"/>
          </w:rPr>
          <w:t>Caramaschi</w:t>
        </w:r>
        <w:proofErr w:type="spellEnd"/>
        <w:r w:rsidRPr="00A67A4F">
          <w:rPr>
            <w:rStyle w:val="FootnoteTextChar"/>
            <w:lang w:val="en" w:eastAsia="en-AU"/>
          </w:rPr>
          <w:t xml:space="preserve"> F</w:t>
        </w:r>
      </w:hyperlink>
      <w:r w:rsidRPr="00A67A4F">
        <w:rPr>
          <w:rStyle w:val="FootnoteTextChar"/>
          <w:lang w:val="en" w:eastAsia="en-AU"/>
        </w:rPr>
        <w:t xml:space="preserve">, </w:t>
      </w:r>
      <w:hyperlink r:id="rId9" w:history="1">
        <w:proofErr w:type="spellStart"/>
        <w:r w:rsidRPr="00A67A4F">
          <w:rPr>
            <w:rStyle w:val="FootnoteTextChar"/>
            <w:lang w:val="en" w:eastAsia="en-AU"/>
          </w:rPr>
          <w:t>Gattinoni</w:t>
        </w:r>
        <w:proofErr w:type="spellEnd"/>
        <w:r w:rsidRPr="00A67A4F">
          <w:rPr>
            <w:rStyle w:val="FootnoteTextChar"/>
            <w:lang w:val="en" w:eastAsia="en-AU"/>
          </w:rPr>
          <w:t xml:space="preserve"> A</w:t>
        </w:r>
      </w:hyperlink>
      <w:r w:rsidRPr="00A67A4F">
        <w:rPr>
          <w:rStyle w:val="FootnoteTextChar"/>
          <w:lang w:val="en" w:eastAsia="en-AU"/>
        </w:rPr>
        <w:t xml:space="preserve">, </w:t>
      </w:r>
      <w:hyperlink r:id="rId10" w:history="1">
        <w:proofErr w:type="spellStart"/>
        <w:r w:rsidRPr="00A67A4F">
          <w:rPr>
            <w:rStyle w:val="FootnoteTextChar"/>
            <w:lang w:val="en" w:eastAsia="en-AU"/>
          </w:rPr>
          <w:t>Malchiodi</w:t>
        </w:r>
        <w:proofErr w:type="spellEnd"/>
        <w:r w:rsidRPr="00A67A4F">
          <w:rPr>
            <w:rStyle w:val="FootnoteTextChar"/>
            <w:lang w:val="en" w:eastAsia="en-AU"/>
          </w:rPr>
          <w:t xml:space="preserve"> G</w:t>
        </w:r>
      </w:hyperlink>
      <w:r w:rsidRPr="00A67A4F">
        <w:rPr>
          <w:rStyle w:val="FootnoteTextChar"/>
          <w:lang w:val="en" w:eastAsia="en-AU"/>
        </w:rPr>
        <w:t xml:space="preserve">, </w:t>
      </w:r>
      <w:hyperlink r:id="rId11" w:history="1">
        <w:r w:rsidRPr="00A67A4F">
          <w:rPr>
            <w:rStyle w:val="FootnoteTextChar"/>
            <w:lang w:val="en" w:eastAsia="en-AU"/>
          </w:rPr>
          <w:t>Rothman KJ</w:t>
        </w:r>
      </w:hyperlink>
      <w:r w:rsidRPr="00A67A4F">
        <w:rPr>
          <w:rStyle w:val="FootnoteTextChar"/>
          <w:lang w:val="en" w:eastAsia="en-AU"/>
        </w:rPr>
        <w:t>.</w:t>
      </w:r>
      <w:r w:rsidRPr="00A67A4F">
        <w:rPr>
          <w:rStyle w:val="FootnoteTextChar"/>
        </w:rPr>
        <w:t xml:space="preserve"> (2012). </w:t>
      </w:r>
      <w:r w:rsidRPr="00A67A4F">
        <w:rPr>
          <w:rStyle w:val="FootnoteTextChar"/>
          <w:lang w:val="en" w:eastAsia="en-AU"/>
        </w:rPr>
        <w:t xml:space="preserve">Effectiveness of </w:t>
      </w:r>
      <w:proofErr w:type="spellStart"/>
      <w:r w:rsidRPr="00A67A4F">
        <w:rPr>
          <w:rStyle w:val="FootnoteTextChar"/>
          <w:lang w:val="en" w:eastAsia="en-AU"/>
        </w:rPr>
        <w:t>adjuvanted</w:t>
      </w:r>
      <w:proofErr w:type="spellEnd"/>
      <w:r w:rsidRPr="00A67A4F">
        <w:rPr>
          <w:rStyle w:val="FootnoteTextChar"/>
          <w:lang w:val="en" w:eastAsia="en-AU"/>
        </w:rPr>
        <w:t xml:space="preserve"> influenza vaccination in elderly subjects in northern Italy.</w:t>
      </w:r>
      <w:r w:rsidRPr="00A67A4F">
        <w:rPr>
          <w:rStyle w:val="FootnoteTextChar"/>
        </w:rPr>
        <w:t xml:space="preserve"> </w:t>
      </w:r>
      <w:hyperlink r:id="rId12" w:tooltip="American journal of epidemiology." w:history="1">
        <w:r w:rsidRPr="00A67A4F">
          <w:rPr>
            <w:rStyle w:val="FootnoteTextChar"/>
            <w:lang w:val="en" w:eastAsia="en-AU"/>
          </w:rPr>
          <w:t xml:space="preserve">Am J </w:t>
        </w:r>
        <w:proofErr w:type="spellStart"/>
        <w:r w:rsidRPr="00A67A4F">
          <w:rPr>
            <w:rStyle w:val="FootnoteTextChar"/>
            <w:lang w:val="en" w:eastAsia="en-AU"/>
          </w:rPr>
          <w:t>Epidemiol</w:t>
        </w:r>
        <w:proofErr w:type="spellEnd"/>
        <w:r w:rsidRPr="00A67A4F">
          <w:rPr>
            <w:rStyle w:val="FootnoteTextChar"/>
            <w:lang w:val="en" w:eastAsia="en-AU"/>
          </w:rPr>
          <w:t>.</w:t>
        </w:r>
      </w:hyperlink>
      <w:r w:rsidRPr="00A67A4F">
        <w:rPr>
          <w:rStyle w:val="FootnoteTextChar"/>
          <w:lang w:val="en" w:eastAsia="en-AU"/>
        </w:rPr>
        <w:t xml:space="preserve"> 2012 Sep 15;176(6):527-33. </w:t>
      </w:r>
      <w:proofErr w:type="spellStart"/>
      <w:r w:rsidRPr="00A67A4F">
        <w:rPr>
          <w:rStyle w:val="FootnoteTextChar"/>
          <w:lang w:val="en" w:eastAsia="en-AU"/>
        </w:rPr>
        <w:t>Epub</w:t>
      </w:r>
      <w:proofErr w:type="spellEnd"/>
      <w:r w:rsidRPr="00A67A4F">
        <w:rPr>
          <w:rStyle w:val="FootnoteTextChar"/>
          <w:lang w:val="en" w:eastAsia="en-AU"/>
        </w:rPr>
        <w:t xml:space="preserve"> 2012 Aug 31.</w:t>
      </w:r>
    </w:p>
  </w:footnote>
  <w:footnote w:id="5">
    <w:p w14:paraId="4534E7BC" w14:textId="77777777" w:rsidR="005A37A7" w:rsidRPr="00A67A4F" w:rsidRDefault="005A37A7" w:rsidP="00A67A4F">
      <w:pPr>
        <w:shd w:val="clear" w:color="auto" w:fill="FFFFFF"/>
        <w:spacing w:before="0" w:after="0" w:line="240" w:lineRule="auto"/>
        <w:rPr>
          <w:rStyle w:val="FootnoteTextChar"/>
          <w:lang w:val="en" w:eastAsia="en-AU"/>
        </w:rPr>
      </w:pPr>
      <w:r>
        <w:rPr>
          <w:rStyle w:val="FootnoteReference"/>
        </w:rPr>
        <w:footnoteRef/>
      </w:r>
      <w:r>
        <w:t xml:space="preserve"> </w:t>
      </w:r>
      <w:hyperlink r:id="rId13" w:history="1">
        <w:r w:rsidRPr="00A67A4F">
          <w:rPr>
            <w:rStyle w:val="FootnoteTextChar"/>
            <w:lang w:val="en" w:eastAsia="en-AU"/>
          </w:rPr>
          <w:t xml:space="preserve">Van </w:t>
        </w:r>
        <w:proofErr w:type="spellStart"/>
        <w:r w:rsidRPr="00A67A4F">
          <w:rPr>
            <w:rStyle w:val="FootnoteTextChar"/>
            <w:lang w:val="en" w:eastAsia="en-AU"/>
          </w:rPr>
          <w:t>Buynder</w:t>
        </w:r>
        <w:proofErr w:type="spellEnd"/>
        <w:r w:rsidRPr="00A67A4F">
          <w:rPr>
            <w:rStyle w:val="FootnoteTextChar"/>
            <w:lang w:val="en" w:eastAsia="en-AU"/>
          </w:rPr>
          <w:t xml:space="preserve"> PG</w:t>
        </w:r>
      </w:hyperlink>
      <w:r w:rsidRPr="00A67A4F">
        <w:rPr>
          <w:rStyle w:val="FootnoteTextChar"/>
          <w:lang w:val="en" w:eastAsia="en-AU"/>
        </w:rPr>
        <w:t xml:space="preserve">1, </w:t>
      </w:r>
      <w:hyperlink r:id="rId14" w:history="1">
        <w:r w:rsidRPr="00A67A4F">
          <w:rPr>
            <w:rStyle w:val="FootnoteTextChar"/>
            <w:lang w:val="en" w:eastAsia="en-AU"/>
          </w:rPr>
          <w:t>Konrad S</w:t>
        </w:r>
      </w:hyperlink>
      <w:r w:rsidRPr="00A67A4F">
        <w:rPr>
          <w:rStyle w:val="FootnoteTextChar"/>
          <w:lang w:val="en" w:eastAsia="en-AU"/>
        </w:rPr>
        <w:t xml:space="preserve">, </w:t>
      </w:r>
      <w:hyperlink r:id="rId15" w:history="1">
        <w:r w:rsidRPr="00A67A4F">
          <w:rPr>
            <w:rStyle w:val="FootnoteTextChar"/>
            <w:lang w:val="en" w:eastAsia="en-AU"/>
          </w:rPr>
          <w:t xml:space="preserve">Van </w:t>
        </w:r>
        <w:proofErr w:type="spellStart"/>
        <w:r w:rsidRPr="00A67A4F">
          <w:rPr>
            <w:rStyle w:val="FootnoteTextChar"/>
            <w:lang w:val="en" w:eastAsia="en-AU"/>
          </w:rPr>
          <w:t>Buynder</w:t>
        </w:r>
        <w:proofErr w:type="spellEnd"/>
        <w:r w:rsidRPr="00A67A4F">
          <w:rPr>
            <w:rStyle w:val="FootnoteTextChar"/>
            <w:lang w:val="en" w:eastAsia="en-AU"/>
          </w:rPr>
          <w:t xml:space="preserve"> JL</w:t>
        </w:r>
      </w:hyperlink>
      <w:r w:rsidRPr="00A67A4F">
        <w:rPr>
          <w:rStyle w:val="FootnoteTextChar"/>
          <w:lang w:val="en" w:eastAsia="en-AU"/>
        </w:rPr>
        <w:t xml:space="preserve">, </w:t>
      </w:r>
      <w:hyperlink r:id="rId16" w:history="1">
        <w:proofErr w:type="spellStart"/>
        <w:r w:rsidRPr="00A67A4F">
          <w:rPr>
            <w:rStyle w:val="FootnoteTextChar"/>
            <w:lang w:val="en" w:eastAsia="en-AU"/>
          </w:rPr>
          <w:t>Brodkin</w:t>
        </w:r>
        <w:proofErr w:type="spellEnd"/>
        <w:r w:rsidRPr="00A67A4F">
          <w:rPr>
            <w:rStyle w:val="FootnoteTextChar"/>
            <w:lang w:val="en" w:eastAsia="en-AU"/>
          </w:rPr>
          <w:t xml:space="preserve"> E</w:t>
        </w:r>
      </w:hyperlink>
      <w:r w:rsidRPr="00A67A4F">
        <w:rPr>
          <w:rStyle w:val="FootnoteTextChar"/>
          <w:lang w:val="en" w:eastAsia="en-AU"/>
        </w:rPr>
        <w:t xml:space="preserve">, </w:t>
      </w:r>
      <w:hyperlink r:id="rId17" w:history="1">
        <w:proofErr w:type="spellStart"/>
        <w:r w:rsidRPr="00A67A4F">
          <w:rPr>
            <w:rStyle w:val="FootnoteTextChar"/>
            <w:lang w:val="en" w:eastAsia="en-AU"/>
          </w:rPr>
          <w:t>Krajden</w:t>
        </w:r>
        <w:proofErr w:type="spellEnd"/>
        <w:r w:rsidRPr="00A67A4F">
          <w:rPr>
            <w:rStyle w:val="FootnoteTextChar"/>
            <w:lang w:val="en" w:eastAsia="en-AU"/>
          </w:rPr>
          <w:t xml:space="preserve"> M</w:t>
        </w:r>
      </w:hyperlink>
      <w:r w:rsidRPr="00A67A4F">
        <w:rPr>
          <w:rStyle w:val="FootnoteTextChar"/>
          <w:lang w:val="en" w:eastAsia="en-AU"/>
        </w:rPr>
        <w:t xml:space="preserve">, </w:t>
      </w:r>
      <w:hyperlink r:id="rId18" w:history="1">
        <w:proofErr w:type="spellStart"/>
        <w:r w:rsidRPr="00A67A4F">
          <w:rPr>
            <w:rStyle w:val="FootnoteTextChar"/>
            <w:lang w:val="en" w:eastAsia="en-AU"/>
          </w:rPr>
          <w:t>Ramler</w:t>
        </w:r>
        <w:proofErr w:type="spellEnd"/>
        <w:r w:rsidRPr="00A67A4F">
          <w:rPr>
            <w:rStyle w:val="FootnoteTextChar"/>
            <w:lang w:val="en" w:eastAsia="en-AU"/>
          </w:rPr>
          <w:t xml:space="preserve"> G</w:t>
        </w:r>
      </w:hyperlink>
      <w:r w:rsidRPr="00A67A4F">
        <w:rPr>
          <w:rStyle w:val="FootnoteTextChar"/>
          <w:lang w:val="en" w:eastAsia="en-AU"/>
        </w:rPr>
        <w:t xml:space="preserve">, </w:t>
      </w:r>
      <w:hyperlink r:id="rId19" w:history="1">
        <w:proofErr w:type="spellStart"/>
        <w:r w:rsidRPr="00A67A4F">
          <w:rPr>
            <w:rStyle w:val="FootnoteTextChar"/>
            <w:lang w:val="en" w:eastAsia="en-AU"/>
          </w:rPr>
          <w:t>Bigham</w:t>
        </w:r>
        <w:proofErr w:type="spellEnd"/>
        <w:r w:rsidRPr="00A67A4F">
          <w:rPr>
            <w:rStyle w:val="FootnoteTextChar"/>
            <w:lang w:val="en" w:eastAsia="en-AU"/>
          </w:rPr>
          <w:t xml:space="preserve"> M</w:t>
        </w:r>
      </w:hyperlink>
      <w:r w:rsidRPr="00A67A4F">
        <w:rPr>
          <w:rStyle w:val="FootnoteTextChar"/>
        </w:rPr>
        <w:t xml:space="preserve">. (2013). </w:t>
      </w:r>
      <w:hyperlink r:id="rId20" w:tooltip="Vaccine." w:history="1">
        <w:r w:rsidRPr="00A67A4F">
          <w:rPr>
            <w:rStyle w:val="FootnoteTextChar"/>
            <w:lang w:val="en" w:eastAsia="en-AU"/>
          </w:rPr>
          <w:t>Vaccine</w:t>
        </w:r>
        <w:r w:rsidRPr="00A67A4F">
          <w:rPr>
            <w:rStyle w:val="FootnoteTextChar"/>
          </w:rPr>
          <w:t xml:space="preserve"> </w:t>
        </w:r>
        <w:r w:rsidRPr="00A67A4F">
          <w:rPr>
            <w:rStyle w:val="FootnoteTextChar"/>
            <w:lang w:val="en" w:eastAsia="en-AU"/>
          </w:rPr>
          <w:t xml:space="preserve">The comparative effectiveness of </w:t>
        </w:r>
        <w:proofErr w:type="spellStart"/>
        <w:r w:rsidRPr="00A67A4F">
          <w:rPr>
            <w:rStyle w:val="FootnoteTextChar"/>
            <w:lang w:val="en" w:eastAsia="en-AU"/>
          </w:rPr>
          <w:t>adjuvanted</w:t>
        </w:r>
        <w:proofErr w:type="spellEnd"/>
        <w:r w:rsidRPr="00A67A4F">
          <w:rPr>
            <w:rStyle w:val="FootnoteTextChar"/>
            <w:lang w:val="en" w:eastAsia="en-AU"/>
          </w:rPr>
          <w:t xml:space="preserve"> and </w:t>
        </w:r>
        <w:proofErr w:type="spellStart"/>
        <w:r w:rsidRPr="00A67A4F">
          <w:rPr>
            <w:rStyle w:val="FootnoteTextChar"/>
            <w:lang w:val="en" w:eastAsia="en-AU"/>
          </w:rPr>
          <w:t>unadjuvanted</w:t>
        </w:r>
        <w:proofErr w:type="spellEnd"/>
        <w:r w:rsidRPr="00A67A4F">
          <w:rPr>
            <w:rStyle w:val="FootnoteTextChar"/>
            <w:lang w:val="en" w:eastAsia="en-AU"/>
          </w:rPr>
          <w:t xml:space="preserve"> trivalent inactivated influenza vaccine (TIV) in the elderly..</w:t>
        </w:r>
      </w:hyperlink>
      <w:r w:rsidRPr="00A67A4F">
        <w:rPr>
          <w:rStyle w:val="FootnoteTextChar"/>
          <w:lang w:val="en" w:eastAsia="en-AU"/>
        </w:rPr>
        <w:t xml:space="preserve"> 31(51):6122-8. </w:t>
      </w:r>
      <w:proofErr w:type="spellStart"/>
      <w:r w:rsidRPr="00A67A4F">
        <w:rPr>
          <w:rStyle w:val="FootnoteTextChar"/>
          <w:lang w:val="en" w:eastAsia="en-AU"/>
        </w:rPr>
        <w:t>doi</w:t>
      </w:r>
      <w:proofErr w:type="spellEnd"/>
      <w:r w:rsidRPr="00A67A4F">
        <w:rPr>
          <w:rStyle w:val="FootnoteTextChar"/>
          <w:lang w:val="en" w:eastAsia="en-AU"/>
        </w:rPr>
        <w:t xml:space="preserve">: 10.1016/j.vaccine.2013.07.059. </w:t>
      </w:r>
      <w:proofErr w:type="spellStart"/>
      <w:r w:rsidRPr="00A67A4F">
        <w:rPr>
          <w:rStyle w:val="FootnoteTextChar"/>
          <w:lang w:val="en" w:eastAsia="en-AU"/>
        </w:rPr>
        <w:t>Epub</w:t>
      </w:r>
      <w:proofErr w:type="spellEnd"/>
      <w:r w:rsidRPr="00A67A4F">
        <w:rPr>
          <w:rStyle w:val="FootnoteTextChar"/>
          <w:lang w:val="en" w:eastAsia="en-AU"/>
        </w:rPr>
        <w:t xml:space="preserve"> 2013 Aug 6.</w:t>
      </w:r>
    </w:p>
  </w:footnote>
  <w:footnote w:id="6">
    <w:p w14:paraId="4EA20E45" w14:textId="2E27D6DF" w:rsidR="005A37A7" w:rsidRDefault="005A37A7" w:rsidP="00276FD0">
      <w:pPr>
        <w:pStyle w:val="FootnoteText"/>
      </w:pPr>
      <w:r>
        <w:rPr>
          <w:rStyle w:val="FootnoteReference"/>
        </w:rPr>
        <w:footnoteRef/>
      </w:r>
      <w:r>
        <w:t xml:space="preserve"> </w:t>
      </w:r>
      <w:r>
        <w:rPr>
          <w:lang w:eastAsia="zh-CN"/>
        </w:rPr>
        <w:t>Th</w:t>
      </w:r>
      <w:r w:rsidRPr="00330E6C">
        <w:rPr>
          <w:lang w:eastAsia="zh-CN"/>
        </w:rPr>
        <w:t xml:space="preserve">e post-marketing experience with </w:t>
      </w:r>
      <w:proofErr w:type="spellStart"/>
      <w:r>
        <w:rPr>
          <w:lang w:eastAsia="zh-CN"/>
        </w:rPr>
        <w:t>aTIV</w:t>
      </w:r>
      <w:proofErr w:type="spellEnd"/>
      <w:r w:rsidRPr="00330E6C">
        <w:rPr>
          <w:lang w:eastAsia="zh-CN"/>
        </w:rPr>
        <w:t xml:space="preserve"> may be relevant to </w:t>
      </w:r>
      <w:proofErr w:type="spellStart"/>
      <w:r>
        <w:rPr>
          <w:lang w:eastAsia="zh-CN"/>
        </w:rPr>
        <w:t>aQIV</w:t>
      </w:r>
      <w:proofErr w:type="spellEnd"/>
      <w:r w:rsidRPr="00330E6C">
        <w:rPr>
          <w:lang w:eastAsia="zh-CN"/>
        </w:rPr>
        <w:t xml:space="preserve"> because both vaccines are manufactured using the same process and have overlapping compositions</w:t>
      </w:r>
      <w:r>
        <w:rPr>
          <w:lang w:eastAsia="zh-CN"/>
        </w:rPr>
        <w:t xml:space="preserve"> (PI Section 4.8).</w:t>
      </w:r>
    </w:p>
  </w:footnote>
  <w:footnote w:id="7">
    <w:p w14:paraId="32F520F6" w14:textId="77777777" w:rsidR="005A37A7" w:rsidRDefault="005A37A7" w:rsidP="00D33C17">
      <w:pPr>
        <w:pStyle w:val="FootnoteText"/>
      </w:pPr>
      <w:r>
        <w:rPr>
          <w:rStyle w:val="FootnoteReference"/>
        </w:rPr>
        <w:footnoteRef/>
      </w:r>
      <w:r>
        <w:t xml:space="preserve"> </w:t>
      </w:r>
      <w:r w:rsidRPr="00F12492">
        <w:rPr>
          <w:i/>
        </w:rPr>
        <w:t>Routine risk minimisation</w:t>
      </w:r>
      <w:r>
        <w:t xml:space="preserve"> activities may be limited to ensuring that suitable warnings are included in the product information or by careful use of labelling and packaging.</w:t>
      </w:r>
    </w:p>
    <w:p w14:paraId="00FE57BC" w14:textId="77777777" w:rsidR="005A37A7" w:rsidRDefault="005A37A7" w:rsidP="00D33C17">
      <w:pPr>
        <w:pStyle w:val="FootnoteText"/>
      </w:pPr>
      <w:r w:rsidRPr="00F12492">
        <w:rPr>
          <w:i/>
        </w:rPr>
        <w:t>Routine pharmacovigilance</w:t>
      </w:r>
      <w:r>
        <w:t xml:space="preserve"> practices involve the following activities:</w:t>
      </w:r>
    </w:p>
    <w:p w14:paraId="38787D05" w14:textId="77777777" w:rsidR="005A37A7" w:rsidRDefault="005A37A7" w:rsidP="00D33C17">
      <w:pPr>
        <w:pStyle w:val="FootnoteText"/>
        <w:numPr>
          <w:ilvl w:val="0"/>
          <w:numId w:val="28"/>
        </w:numPr>
      </w:pPr>
      <w:r>
        <w:t>All suspected adverse reactions that are reported to the personnel of the company are collected and collated in an accessible manner;</w:t>
      </w:r>
    </w:p>
    <w:p w14:paraId="01610BBA" w14:textId="77777777" w:rsidR="005A37A7" w:rsidRDefault="005A37A7" w:rsidP="00D33C17">
      <w:pPr>
        <w:pStyle w:val="FootnoteText"/>
        <w:numPr>
          <w:ilvl w:val="0"/>
          <w:numId w:val="28"/>
        </w:numPr>
      </w:pPr>
      <w:r>
        <w:t>Reporting to regulatory authorities;</w:t>
      </w:r>
    </w:p>
    <w:p w14:paraId="030B9486" w14:textId="2470C6EB" w:rsidR="005A37A7" w:rsidRDefault="005A37A7" w:rsidP="00D33C17">
      <w:pPr>
        <w:pStyle w:val="FootnoteText"/>
        <w:numPr>
          <w:ilvl w:val="0"/>
          <w:numId w:val="28"/>
        </w:numPr>
      </w:pPr>
      <w:r>
        <w:t>Continuous monitoring of the safety profiles of approved products including signal detection and updating of labelling;</w:t>
      </w:r>
    </w:p>
    <w:p w14:paraId="6E4D83C3" w14:textId="77777777" w:rsidR="005A37A7" w:rsidRDefault="005A37A7" w:rsidP="00D33C17">
      <w:pPr>
        <w:pStyle w:val="FootnoteText"/>
        <w:numPr>
          <w:ilvl w:val="0"/>
          <w:numId w:val="28"/>
        </w:numPr>
      </w:pPr>
      <w:r>
        <w:t>Submission of PSURs;</w:t>
      </w:r>
    </w:p>
    <w:p w14:paraId="2EC4C630" w14:textId="77777777" w:rsidR="005A37A7" w:rsidRPr="00F12492" w:rsidRDefault="005A37A7" w:rsidP="00D33C17">
      <w:pPr>
        <w:pStyle w:val="FootnoteText"/>
        <w:numPr>
          <w:ilvl w:val="0"/>
          <w:numId w:val="28"/>
        </w:numPr>
        <w:rPr>
          <w:lang w:val="en-US"/>
        </w:rPr>
      </w:pPr>
      <w:r>
        <w:t>Meeting other local regulatory agency requirements.</w:t>
      </w:r>
    </w:p>
  </w:footnote>
  <w:footnote w:id="8">
    <w:p w14:paraId="19AAF1AA" w14:textId="77777777" w:rsidR="005A37A7" w:rsidRDefault="005A37A7">
      <w:pPr>
        <w:pStyle w:val="FootnoteText"/>
      </w:pPr>
      <w:r>
        <w:rPr>
          <w:rStyle w:val="FootnoteReference"/>
        </w:rPr>
        <w:footnoteRef/>
      </w:r>
      <w:r>
        <w:t xml:space="preserve"> </w:t>
      </w:r>
      <w:r w:rsidRPr="00A70F7D">
        <w:t>EMA/CHMP/VWP/457259/2014</w:t>
      </w:r>
    </w:p>
  </w:footnote>
  <w:footnote w:id="9">
    <w:p w14:paraId="6E74403F" w14:textId="44BC0075" w:rsidR="005A37A7" w:rsidRDefault="005A37A7">
      <w:pPr>
        <w:pStyle w:val="FootnoteText"/>
      </w:pPr>
      <w:r>
        <w:rPr>
          <w:rStyle w:val="FootnoteReference"/>
        </w:rPr>
        <w:footnoteRef/>
      </w:r>
      <w:r>
        <w:t xml:space="preserve"> Sponsor comment: This project is considered key in relation to the regulatory recommendation to perform post-authorisation effectiveness studies as per the European Medicines Agency (EMA) guidance.</w:t>
      </w:r>
    </w:p>
  </w:footnote>
  <w:footnote w:id="10">
    <w:p w14:paraId="4E05BC7B" w14:textId="77777777" w:rsidR="005A37A7" w:rsidRPr="00E85724" w:rsidRDefault="005A37A7" w:rsidP="00E85724">
      <w:pPr>
        <w:pStyle w:val="FootnoteText"/>
      </w:pPr>
      <w:r>
        <w:rPr>
          <w:rStyle w:val="FootnoteReference"/>
        </w:rPr>
        <w:footnoteRef/>
      </w:r>
      <w:r>
        <w:t xml:space="preserve"> </w:t>
      </w:r>
      <w:hyperlink r:id="rId21" w:tgtFrame="_blank" w:history="1">
        <w:proofErr w:type="spellStart"/>
        <w:r w:rsidRPr="00E85724">
          <w:t>AusVaxSafety</w:t>
        </w:r>
        <w:proofErr w:type="spellEnd"/>
      </w:hyperlink>
      <w:r w:rsidRPr="00E85724">
        <w:t xml:space="preserve"> surveillance is a collaborative initiative led by the National Centre for Immunisation, Research and Surveillance (NCIRS) and involves vaccine safety experts, state and territory public health systems, general practitioners and children’s hospitals across Australia. It is funded by the Australian Government Department of Health.</w:t>
      </w:r>
    </w:p>
  </w:footnote>
  <w:footnote w:id="11">
    <w:p w14:paraId="1915F6B0" w14:textId="6995C458" w:rsidR="005A37A7" w:rsidRDefault="005A37A7">
      <w:pPr>
        <w:pStyle w:val="FootnoteText"/>
      </w:pPr>
      <w:r>
        <w:rPr>
          <w:rStyle w:val="FootnoteReference"/>
        </w:rPr>
        <w:footnoteRef/>
      </w:r>
      <w:r>
        <w:t xml:space="preserve"> Sponsor clarification: I</w:t>
      </w:r>
      <w:r w:rsidRPr="00E85724">
        <w:t xml:space="preserve">f registered and </w:t>
      </w:r>
      <w:r>
        <w:t>listed in the National Immunization Program (NIP)</w:t>
      </w:r>
      <w:r w:rsidRPr="00E85724">
        <w:t xml:space="preserve">, the </w:t>
      </w:r>
      <w:proofErr w:type="spellStart"/>
      <w:r>
        <w:t>reactogenicity</w:t>
      </w:r>
      <w:proofErr w:type="spellEnd"/>
      <w:r w:rsidRPr="00E85724">
        <w:t xml:space="preserve"> of the vaccine will be monitored in the </w:t>
      </w:r>
      <w:proofErr w:type="spellStart"/>
      <w:r w:rsidRPr="00E85724">
        <w:t>AusVaxSafety</w:t>
      </w:r>
      <w:proofErr w:type="spellEnd"/>
      <w:r w:rsidRPr="00E85724">
        <w:t xml:space="preserve"> surveillance progra</w:t>
      </w:r>
      <w:r>
        <w:rPr>
          <w:rFonts w:eastAsiaTheme="minorHAnsi" w:cs="Cambria"/>
        </w:rPr>
        <w:t>m.</w:t>
      </w:r>
    </w:p>
  </w:footnote>
  <w:footnote w:id="12">
    <w:p w14:paraId="212BB31E" w14:textId="02BCC3E4" w:rsidR="005A37A7" w:rsidRDefault="005A37A7">
      <w:pPr>
        <w:pStyle w:val="FootnoteText"/>
      </w:pPr>
      <w:r>
        <w:rPr>
          <w:rStyle w:val="FootnoteReference"/>
        </w:rPr>
        <w:footnoteRef/>
      </w:r>
      <w:r>
        <w:t xml:space="preserve"> Sponsor response: T</w:t>
      </w:r>
      <w:r w:rsidRPr="00A23039">
        <w:t>he vaccine effectiveness in the Australian setting will be addressed by routine pharmacovigilance activities. All reports of vaccination failure are collected and entered i</w:t>
      </w:r>
      <w:r>
        <w:t xml:space="preserve">nto the </w:t>
      </w:r>
      <w:proofErr w:type="spellStart"/>
      <w:r>
        <w:t>Seqirus</w:t>
      </w:r>
      <w:proofErr w:type="spellEnd"/>
      <w:r>
        <w:t xml:space="preserve"> safety database</w:t>
      </w:r>
      <w:r w:rsidRPr="00A23039">
        <w:t>.</w:t>
      </w:r>
    </w:p>
  </w:footnote>
  <w:footnote w:id="13">
    <w:p w14:paraId="4D1C9D97" w14:textId="77777777" w:rsidR="005A37A7" w:rsidRDefault="005A37A7" w:rsidP="00F81E56">
      <w:pPr>
        <w:pStyle w:val="Default"/>
      </w:pPr>
      <w:r w:rsidRPr="00F81E56">
        <w:rPr>
          <w:rStyle w:val="FootnoteTextChar"/>
          <w:vertAlign w:val="superscript"/>
        </w:rPr>
        <w:footnoteRef/>
      </w:r>
      <w:r w:rsidRPr="00F81E56">
        <w:rPr>
          <w:rStyle w:val="FootnoteTextChar"/>
        </w:rPr>
        <w:t>EMA/CHMP/VWP/457259/2014 Guideline on Influenza Vaccines Non-clinical and Clinical Module</w:t>
      </w:r>
    </w:p>
  </w:footnote>
  <w:footnote w:id="14">
    <w:p w14:paraId="5DD67AB4" w14:textId="77777777" w:rsidR="005A37A7" w:rsidRPr="005111D8" w:rsidRDefault="005A37A7" w:rsidP="008508F0">
      <w:pPr>
        <w:pStyle w:val="FootnoteText"/>
        <w:rPr>
          <w:szCs w:val="18"/>
        </w:rPr>
      </w:pPr>
      <w:r w:rsidRPr="00A37D6F">
        <w:rPr>
          <w:rStyle w:val="FootnoteReference"/>
        </w:rPr>
        <w:footnoteRef/>
      </w:r>
      <w:r w:rsidRPr="005111D8">
        <w:rPr>
          <w:szCs w:val="18"/>
        </w:rPr>
        <w:t xml:space="preserve">US FDA </w:t>
      </w:r>
      <w:r w:rsidRPr="005111D8">
        <w:rPr>
          <w:szCs w:val="18"/>
          <w:lang w:val="da-DK"/>
        </w:rPr>
        <w:t>Center for Biologics Evaluation and Research (</w:t>
      </w:r>
      <w:r w:rsidRPr="005111D8">
        <w:rPr>
          <w:szCs w:val="18"/>
        </w:rPr>
        <w:t>CBER) criteria for effectiveness include:</w:t>
      </w:r>
    </w:p>
    <w:p w14:paraId="082E24DC" w14:textId="77777777" w:rsidR="005A37A7" w:rsidRPr="005111D8" w:rsidRDefault="005A37A7" w:rsidP="008508F0">
      <w:pPr>
        <w:pStyle w:val="FootnoteText"/>
        <w:ind w:firstLine="405"/>
        <w:rPr>
          <w:szCs w:val="18"/>
        </w:rPr>
      </w:pPr>
      <w:r w:rsidRPr="005111D8">
        <w:rPr>
          <w:szCs w:val="18"/>
        </w:rPr>
        <w:t xml:space="preserve">‘For adults ≥ 65 years of age: </w:t>
      </w:r>
    </w:p>
    <w:p w14:paraId="6D48BAC0" w14:textId="77777777" w:rsidR="005A37A7" w:rsidRPr="005111D8" w:rsidRDefault="005A37A7" w:rsidP="008508F0">
      <w:pPr>
        <w:pStyle w:val="FootnoteText"/>
        <w:keepLines/>
        <w:numPr>
          <w:ilvl w:val="0"/>
          <w:numId w:val="31"/>
        </w:numPr>
        <w:spacing w:line="240" w:lineRule="atLeast"/>
        <w:rPr>
          <w:szCs w:val="18"/>
        </w:rPr>
      </w:pPr>
      <w:r w:rsidRPr="005111D8">
        <w:rPr>
          <w:szCs w:val="18"/>
        </w:rPr>
        <w:t>The lower bound of the two-sided 95% CI for the percent of subjects achieving seroconversion for HI antibody should meet or exceed 30%.</w:t>
      </w:r>
    </w:p>
    <w:p w14:paraId="1A3145BF" w14:textId="77777777" w:rsidR="005A37A7" w:rsidRPr="005111D8" w:rsidRDefault="005A37A7" w:rsidP="008508F0">
      <w:pPr>
        <w:pStyle w:val="FootnoteText"/>
        <w:keepLines/>
        <w:numPr>
          <w:ilvl w:val="0"/>
          <w:numId w:val="31"/>
        </w:numPr>
        <w:spacing w:line="240" w:lineRule="atLeast"/>
        <w:rPr>
          <w:szCs w:val="18"/>
        </w:rPr>
      </w:pPr>
      <w:r w:rsidRPr="005111D8">
        <w:rPr>
          <w:szCs w:val="18"/>
        </w:rPr>
        <w:t xml:space="preserve">The lower bound of the two-sided 95% CI for the percent of subjects achieving an HI antibody </w:t>
      </w:r>
      <w:proofErr w:type="spellStart"/>
      <w:r w:rsidRPr="005111D8">
        <w:rPr>
          <w:szCs w:val="18"/>
        </w:rPr>
        <w:t>titer</w:t>
      </w:r>
      <w:proofErr w:type="spellEnd"/>
      <w:r w:rsidRPr="005111D8">
        <w:rPr>
          <w:szCs w:val="18"/>
        </w:rPr>
        <w:t xml:space="preserve"> ≥ 1:40 should meet or exceed 60%.</w:t>
      </w:r>
    </w:p>
    <w:p w14:paraId="6F4D7CBC" w14:textId="49078244" w:rsidR="005A37A7" w:rsidRPr="005111D8" w:rsidRDefault="005A37A7" w:rsidP="008508F0">
      <w:pPr>
        <w:pStyle w:val="FootnoteText"/>
        <w:rPr>
          <w:szCs w:val="18"/>
        </w:rPr>
      </w:pPr>
      <w:r w:rsidRPr="00A81743">
        <w:t>https://www.fda.gov/regulatory-information/search-fda-guidance-documents/clinical-data-needed-support-licensure-seasonal-inactivated-influenza-vaccines</w:t>
      </w:r>
    </w:p>
  </w:footnote>
  <w:footnote w:id="15">
    <w:p w14:paraId="0AB73C06" w14:textId="341A5C67" w:rsidR="005A37A7" w:rsidRPr="005111D8" w:rsidRDefault="005A37A7" w:rsidP="005111D8">
      <w:pPr>
        <w:autoSpaceDE w:val="0"/>
        <w:autoSpaceDN w:val="0"/>
        <w:adjustRightInd w:val="0"/>
        <w:spacing w:before="0" w:after="0" w:line="240" w:lineRule="auto"/>
        <w:rPr>
          <w:sz w:val="18"/>
          <w:szCs w:val="18"/>
        </w:rPr>
      </w:pPr>
      <w:r w:rsidRPr="005111D8">
        <w:rPr>
          <w:rStyle w:val="FootnoteReference"/>
          <w:sz w:val="18"/>
          <w:szCs w:val="18"/>
        </w:rPr>
        <w:footnoteRef/>
      </w:r>
      <w:r w:rsidRPr="005111D8">
        <w:rPr>
          <w:sz w:val="18"/>
          <w:szCs w:val="18"/>
        </w:rPr>
        <w:t xml:space="preserve"> Table 5: ‘Lower Bound of the 2-sided 95% Confidence Interval for Seroconversion Rate and proportion of Subjects with HI </w:t>
      </w:r>
      <w:proofErr w:type="spellStart"/>
      <w:r w:rsidRPr="005111D8">
        <w:rPr>
          <w:sz w:val="18"/>
          <w:szCs w:val="18"/>
        </w:rPr>
        <w:t>titer</w:t>
      </w:r>
      <w:proofErr w:type="spellEnd"/>
      <w:r w:rsidRPr="005111D8">
        <w:rPr>
          <w:sz w:val="18"/>
          <w:szCs w:val="18"/>
        </w:rPr>
        <w:t xml:space="preserve"> ≥1:40 - CBER Criteria for Licensure in 16 </w:t>
      </w:r>
      <w:proofErr w:type="spellStart"/>
      <w:r w:rsidRPr="005111D8">
        <w:rPr>
          <w:sz w:val="18"/>
          <w:szCs w:val="18"/>
        </w:rPr>
        <w:t>aTIV</w:t>
      </w:r>
      <w:proofErr w:type="spellEnd"/>
      <w:r w:rsidRPr="005111D8">
        <w:rPr>
          <w:sz w:val="18"/>
          <w:szCs w:val="18"/>
        </w:rPr>
        <w:t xml:space="preserve"> Single-Dose Studies Comparing </w:t>
      </w:r>
      <w:proofErr w:type="spellStart"/>
      <w:r w:rsidRPr="005111D8">
        <w:rPr>
          <w:sz w:val="18"/>
          <w:szCs w:val="18"/>
        </w:rPr>
        <w:t>aTIV</w:t>
      </w:r>
      <w:proofErr w:type="spellEnd"/>
      <w:r w:rsidRPr="005111D8">
        <w:rPr>
          <w:sz w:val="18"/>
          <w:szCs w:val="18"/>
        </w:rPr>
        <w:t xml:space="preserve"> with TIV at Post-vaccination (Day 21- 29) – Full Analysis Set’</w:t>
      </w:r>
      <w:r>
        <w:rPr>
          <w:sz w:val="18"/>
          <w:szCs w:val="18"/>
        </w:rPr>
        <w:t xml:space="preserve"> – see also Table 4 in this </w:t>
      </w:r>
      <w:proofErr w:type="spellStart"/>
      <w:r>
        <w:rPr>
          <w:sz w:val="18"/>
          <w:szCs w:val="18"/>
        </w:rPr>
        <w:t>AusPAR</w:t>
      </w:r>
      <w:proofErr w:type="spellEnd"/>
      <w:r>
        <w:rPr>
          <w:sz w:val="18"/>
          <w:szCs w:val="18"/>
        </w:rPr>
        <w:t>.</w:t>
      </w:r>
    </w:p>
  </w:footnote>
  <w:footnote w:id="16">
    <w:p w14:paraId="3286723F" w14:textId="77777777" w:rsidR="005A37A7" w:rsidRPr="005111D8" w:rsidRDefault="005A37A7" w:rsidP="008508F0">
      <w:pPr>
        <w:pStyle w:val="FootnoteText"/>
        <w:rPr>
          <w:szCs w:val="18"/>
        </w:rPr>
      </w:pPr>
      <w:r w:rsidRPr="005111D8">
        <w:rPr>
          <w:rStyle w:val="FootnoteReference"/>
          <w:szCs w:val="18"/>
        </w:rPr>
        <w:footnoteRef/>
      </w:r>
      <w:r w:rsidRPr="005111D8">
        <w:rPr>
          <w:rStyle w:val="FootnoteReference"/>
          <w:szCs w:val="18"/>
        </w:rPr>
        <w:t xml:space="preserve"> </w:t>
      </w:r>
      <w:proofErr w:type="spellStart"/>
      <w:r w:rsidRPr="005111D8">
        <w:t>Camilloni</w:t>
      </w:r>
      <w:proofErr w:type="spellEnd"/>
      <w:r w:rsidRPr="005111D8">
        <w:t xml:space="preserve"> B, </w:t>
      </w:r>
      <w:proofErr w:type="spellStart"/>
      <w:r w:rsidRPr="005111D8">
        <w:t>Basileo</w:t>
      </w:r>
      <w:proofErr w:type="spellEnd"/>
      <w:r w:rsidRPr="005111D8">
        <w:t xml:space="preserve"> M, Valente S, </w:t>
      </w:r>
      <w:proofErr w:type="spellStart"/>
      <w:r w:rsidRPr="005111D8">
        <w:t>Nunzi</w:t>
      </w:r>
      <w:proofErr w:type="spellEnd"/>
      <w:r w:rsidRPr="005111D8">
        <w:t xml:space="preserve"> E, </w:t>
      </w:r>
      <w:proofErr w:type="spellStart"/>
      <w:r w:rsidRPr="005111D8">
        <w:t>Iorio</w:t>
      </w:r>
      <w:proofErr w:type="spellEnd"/>
      <w:r w:rsidRPr="005111D8">
        <w:t xml:space="preserve"> AM. Immunogenicity of intramuscular MF59-adjuvanted and intradermal administered influenza enhanced vaccines in subjects aged over 60: A literature review. </w:t>
      </w:r>
      <w:hyperlink r:id="rId22" w:tooltip="Human vaccines &amp; immunotherapeutics." w:history="1">
        <w:r w:rsidRPr="005111D8">
          <w:t xml:space="preserve">Hum </w:t>
        </w:r>
        <w:proofErr w:type="spellStart"/>
        <w:r w:rsidRPr="005111D8">
          <w:t>Vaccin</w:t>
        </w:r>
        <w:proofErr w:type="spellEnd"/>
        <w:r w:rsidRPr="005111D8">
          <w:t xml:space="preserve"> </w:t>
        </w:r>
        <w:proofErr w:type="spellStart"/>
        <w:r w:rsidRPr="005111D8">
          <w:t>Immunother</w:t>
        </w:r>
        <w:proofErr w:type="spellEnd"/>
        <w:r w:rsidRPr="005111D8">
          <w:t>.</w:t>
        </w:r>
      </w:hyperlink>
      <w:r w:rsidRPr="005111D8">
        <w:t xml:space="preserve"> 2015;11(3):553-63. </w:t>
      </w:r>
      <w:proofErr w:type="spellStart"/>
      <w:r w:rsidRPr="005111D8">
        <w:t>doi</w:t>
      </w:r>
      <w:proofErr w:type="spellEnd"/>
      <w:r w:rsidRPr="005111D8">
        <w:t>: 10.1080/21645515.2015.1011562</w:t>
      </w:r>
    </w:p>
  </w:footnote>
  <w:footnote w:id="17">
    <w:p w14:paraId="6AD999F9" w14:textId="77777777" w:rsidR="005A37A7" w:rsidRDefault="005A37A7" w:rsidP="008508F0">
      <w:pPr>
        <w:pStyle w:val="FootnoteText"/>
      </w:pPr>
      <w:r>
        <w:rPr>
          <w:rStyle w:val="FootnoteReference"/>
        </w:rPr>
        <w:footnoteRef/>
      </w:r>
      <w:r>
        <w:t xml:space="preserve"> See </w:t>
      </w:r>
      <w:r w:rsidRPr="00550EDF">
        <w:rPr>
          <w:lang w:val="en-US"/>
        </w:rPr>
        <w:t>European Medicines Agency: Guideline on Influenza Vaccines 21 July 2016 EMA/CHMP/VWP/457259/2014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B5AE" w14:textId="77777777" w:rsidR="005A37A7" w:rsidRDefault="005A37A7"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11409" w14:textId="77777777" w:rsidR="005A37A7" w:rsidRDefault="005A37A7">
    <w:pPr>
      <w:rPr>
        <w:noProof/>
        <w:lang w:eastAsia="en-AU"/>
      </w:rPr>
    </w:pPr>
    <w:r w:rsidRPr="00347824">
      <w:rPr>
        <w:noProof/>
        <w:lang w:eastAsia="en-AU"/>
      </w:rPr>
      <w:drawing>
        <wp:anchor distT="0" distB="0" distL="114300" distR="114300" simplePos="0" relativeHeight="251657216" behindDoc="1" locked="0" layoutInCell="1" allowOverlap="1" wp14:anchorId="41C83898" wp14:editId="393008DE">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263A66B3" w14:textId="77777777" w:rsidR="005A37A7" w:rsidRDefault="005A37A7" w:rsidP="00593AD1">
    <w:pPr>
      <w:pStyle w:val="HeaderNoLi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27CE" w14:textId="77777777" w:rsidR="005A37A7" w:rsidRDefault="005A37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392BF" w14:textId="77777777" w:rsidR="005A37A7" w:rsidRDefault="005A37A7">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B0827" w14:textId="77777777" w:rsidR="005A37A7" w:rsidRDefault="005A37A7">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878A6" w14:textId="77777777" w:rsidR="005A37A7" w:rsidRDefault="005A37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5ABE2" w14:textId="77777777" w:rsidR="005A37A7" w:rsidRDefault="005A37A7"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E069" w14:textId="77777777" w:rsidR="005A37A7" w:rsidRDefault="005A37A7" w:rsidP="006E08B3">
    <w:r>
      <w:t>Therapeutic Goods Administration</w:t>
    </w:r>
  </w:p>
  <w:p w14:paraId="1AD2E49A" w14:textId="77777777" w:rsidR="005A37A7" w:rsidRDefault="005A37A7"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0000402"/>
    <w:multiLevelType w:val="multilevel"/>
    <w:tmpl w:val="00000885"/>
    <w:lvl w:ilvl="0">
      <w:numFmt w:val="bullet"/>
      <w:lvlText w:val=""/>
      <w:lvlJc w:val="left"/>
      <w:pPr>
        <w:ind w:left="825" w:hanging="207"/>
      </w:pPr>
      <w:rPr>
        <w:rFonts w:ascii="Symbol" w:hAnsi="Symbol"/>
        <w:b w:val="0"/>
        <w:w w:val="100"/>
        <w:sz w:val="22"/>
      </w:rPr>
    </w:lvl>
    <w:lvl w:ilvl="1">
      <w:numFmt w:val="bullet"/>
      <w:lvlText w:val="•"/>
      <w:lvlJc w:val="left"/>
      <w:pPr>
        <w:ind w:left="1343" w:hanging="207"/>
      </w:pPr>
    </w:lvl>
    <w:lvl w:ilvl="2">
      <w:numFmt w:val="bullet"/>
      <w:lvlText w:val="•"/>
      <w:lvlJc w:val="left"/>
      <w:pPr>
        <w:ind w:left="1866" w:hanging="207"/>
      </w:pPr>
    </w:lvl>
    <w:lvl w:ilvl="3">
      <w:numFmt w:val="bullet"/>
      <w:lvlText w:val="•"/>
      <w:lvlJc w:val="left"/>
      <w:pPr>
        <w:ind w:left="2389" w:hanging="207"/>
      </w:pPr>
    </w:lvl>
    <w:lvl w:ilvl="4">
      <w:numFmt w:val="bullet"/>
      <w:lvlText w:val="•"/>
      <w:lvlJc w:val="left"/>
      <w:pPr>
        <w:ind w:left="2912" w:hanging="207"/>
      </w:pPr>
    </w:lvl>
    <w:lvl w:ilvl="5">
      <w:numFmt w:val="bullet"/>
      <w:lvlText w:val="•"/>
      <w:lvlJc w:val="left"/>
      <w:pPr>
        <w:ind w:left="3435" w:hanging="207"/>
      </w:pPr>
    </w:lvl>
    <w:lvl w:ilvl="6">
      <w:numFmt w:val="bullet"/>
      <w:lvlText w:val="•"/>
      <w:lvlJc w:val="left"/>
      <w:pPr>
        <w:ind w:left="3958" w:hanging="207"/>
      </w:pPr>
    </w:lvl>
    <w:lvl w:ilvl="7">
      <w:numFmt w:val="bullet"/>
      <w:lvlText w:val="•"/>
      <w:lvlJc w:val="left"/>
      <w:pPr>
        <w:ind w:left="4481" w:hanging="207"/>
      </w:pPr>
    </w:lvl>
    <w:lvl w:ilvl="8">
      <w:numFmt w:val="bullet"/>
      <w:lvlText w:val="•"/>
      <w:lvlJc w:val="left"/>
      <w:pPr>
        <w:ind w:left="5004" w:hanging="207"/>
      </w:pPr>
    </w:lvl>
  </w:abstractNum>
  <w:abstractNum w:abstractNumId="5" w15:restartNumberingAfterBreak="0">
    <w:nsid w:val="0E9108CD"/>
    <w:multiLevelType w:val="hybridMultilevel"/>
    <w:tmpl w:val="F07C7BCA"/>
    <w:lvl w:ilvl="0" w:tplc="7E7496A6">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A164A"/>
    <w:multiLevelType w:val="hybridMultilevel"/>
    <w:tmpl w:val="C1FEB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34D1289"/>
    <w:multiLevelType w:val="multilevel"/>
    <w:tmpl w:val="6A2EF39E"/>
    <w:lvl w:ilvl="0">
      <w:start w:val="4"/>
      <w:numFmt w:val="decimal"/>
      <w:lvlText w:val="%1."/>
      <w:lvlJc w:val="left"/>
      <w:pPr>
        <w:ind w:left="420" w:hanging="4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15:restartNumberingAfterBreak="0">
    <w:nsid w:val="168F13E9"/>
    <w:multiLevelType w:val="multilevel"/>
    <w:tmpl w:val="AD484EEA"/>
    <w:styleLink w:val="ListBullets"/>
    <w:lvl w:ilvl="0">
      <w:numFmt w:val="bullet"/>
      <w:pStyle w:val="ListBullet"/>
      <w:lvlText w:val="•"/>
      <w:lvlJc w:val="left"/>
      <w:pPr>
        <w:ind w:left="360" w:hanging="360"/>
      </w:pPr>
      <w:rPr>
        <w:rFonts w:ascii="Cambria" w:eastAsia="Cambria" w:hAnsi="Cambria" w:cs="Times New Roman"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E68374F"/>
    <w:multiLevelType w:val="hybridMultilevel"/>
    <w:tmpl w:val="16BC7F72"/>
    <w:lvl w:ilvl="0" w:tplc="7900651A">
      <w:start w:val="1"/>
      <w:numFmt w:val="decimal"/>
      <w:lvlText w:val="%1."/>
      <w:lvlJc w:val="left"/>
      <w:pPr>
        <w:ind w:left="720" w:hanging="360"/>
      </w:pPr>
      <w:rPr>
        <w:rFonts w:ascii="Cambria" w:hAnsi="Cambr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266248"/>
    <w:multiLevelType w:val="hybridMultilevel"/>
    <w:tmpl w:val="50F6680C"/>
    <w:lvl w:ilvl="0" w:tplc="0C090017">
      <w:start w:val="1"/>
      <w:numFmt w:val="lowerLetter"/>
      <w:lvlText w:val="%1)"/>
      <w:lvlJc w:val="left"/>
      <w:pPr>
        <w:ind w:left="1778" w:hanging="360"/>
      </w:pPr>
      <w:rPr>
        <w:rFonts w:cs="Times New Roman"/>
      </w:rPr>
    </w:lvl>
    <w:lvl w:ilvl="1" w:tplc="0C090019" w:tentative="1">
      <w:start w:val="1"/>
      <w:numFmt w:val="lowerLetter"/>
      <w:lvlText w:val="%2."/>
      <w:lvlJc w:val="left"/>
      <w:pPr>
        <w:ind w:left="2498" w:hanging="360"/>
      </w:pPr>
      <w:rPr>
        <w:rFonts w:cs="Times New Roman"/>
      </w:rPr>
    </w:lvl>
    <w:lvl w:ilvl="2" w:tplc="0C09001B" w:tentative="1">
      <w:start w:val="1"/>
      <w:numFmt w:val="lowerRoman"/>
      <w:lvlText w:val="%3."/>
      <w:lvlJc w:val="right"/>
      <w:pPr>
        <w:ind w:left="3218" w:hanging="180"/>
      </w:pPr>
      <w:rPr>
        <w:rFonts w:cs="Times New Roman"/>
      </w:rPr>
    </w:lvl>
    <w:lvl w:ilvl="3" w:tplc="0C09000F" w:tentative="1">
      <w:start w:val="1"/>
      <w:numFmt w:val="decimal"/>
      <w:lvlText w:val="%4."/>
      <w:lvlJc w:val="left"/>
      <w:pPr>
        <w:ind w:left="3938" w:hanging="360"/>
      </w:pPr>
      <w:rPr>
        <w:rFonts w:cs="Times New Roman"/>
      </w:rPr>
    </w:lvl>
    <w:lvl w:ilvl="4" w:tplc="0C090019" w:tentative="1">
      <w:start w:val="1"/>
      <w:numFmt w:val="lowerLetter"/>
      <w:lvlText w:val="%5."/>
      <w:lvlJc w:val="left"/>
      <w:pPr>
        <w:ind w:left="4658" w:hanging="360"/>
      </w:pPr>
      <w:rPr>
        <w:rFonts w:cs="Times New Roman"/>
      </w:rPr>
    </w:lvl>
    <w:lvl w:ilvl="5" w:tplc="0C09001B" w:tentative="1">
      <w:start w:val="1"/>
      <w:numFmt w:val="lowerRoman"/>
      <w:lvlText w:val="%6."/>
      <w:lvlJc w:val="right"/>
      <w:pPr>
        <w:ind w:left="5378" w:hanging="180"/>
      </w:pPr>
      <w:rPr>
        <w:rFonts w:cs="Times New Roman"/>
      </w:rPr>
    </w:lvl>
    <w:lvl w:ilvl="6" w:tplc="0C09000F" w:tentative="1">
      <w:start w:val="1"/>
      <w:numFmt w:val="decimal"/>
      <w:lvlText w:val="%7."/>
      <w:lvlJc w:val="left"/>
      <w:pPr>
        <w:ind w:left="6098" w:hanging="360"/>
      </w:pPr>
      <w:rPr>
        <w:rFonts w:cs="Times New Roman"/>
      </w:rPr>
    </w:lvl>
    <w:lvl w:ilvl="7" w:tplc="0C090019" w:tentative="1">
      <w:start w:val="1"/>
      <w:numFmt w:val="lowerLetter"/>
      <w:lvlText w:val="%8."/>
      <w:lvlJc w:val="left"/>
      <w:pPr>
        <w:ind w:left="6818" w:hanging="360"/>
      </w:pPr>
      <w:rPr>
        <w:rFonts w:cs="Times New Roman"/>
      </w:rPr>
    </w:lvl>
    <w:lvl w:ilvl="8" w:tplc="0C09001B" w:tentative="1">
      <w:start w:val="1"/>
      <w:numFmt w:val="lowerRoman"/>
      <w:lvlText w:val="%9."/>
      <w:lvlJc w:val="right"/>
      <w:pPr>
        <w:ind w:left="7538" w:hanging="180"/>
      </w:pPr>
      <w:rPr>
        <w:rFonts w:cs="Times New Roman"/>
      </w:rPr>
    </w:lvl>
  </w:abstractNum>
  <w:abstractNum w:abstractNumId="12" w15:restartNumberingAfterBreak="0">
    <w:nsid w:val="22AB350B"/>
    <w:multiLevelType w:val="hybridMultilevel"/>
    <w:tmpl w:val="2500C216"/>
    <w:lvl w:ilvl="0" w:tplc="DAA6C496">
      <w:start w:val="4"/>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23482935"/>
    <w:multiLevelType w:val="hybridMultilevel"/>
    <w:tmpl w:val="31BC70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0ED2C16"/>
    <w:multiLevelType w:val="hybridMultilevel"/>
    <w:tmpl w:val="4A7E4CB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376A1E11"/>
    <w:multiLevelType w:val="hybridMultilevel"/>
    <w:tmpl w:val="0FC2D0D8"/>
    <w:lvl w:ilvl="0" w:tplc="0C104766">
      <w:start w:val="24"/>
      <w:numFmt w:val="bullet"/>
      <w:lvlText w:val="-"/>
      <w:lvlJc w:val="left"/>
      <w:pPr>
        <w:ind w:left="1080" w:hanging="360"/>
      </w:pPr>
      <w:rPr>
        <w:rFonts w:ascii="Cambria" w:eastAsia="Times New Roman" w:hAnsi="Cambria" w:hint="default"/>
        <w:color w:val="FF0000"/>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B9728CE"/>
    <w:multiLevelType w:val="hybridMultilevel"/>
    <w:tmpl w:val="64CC4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336B0D"/>
    <w:multiLevelType w:val="hybridMultilevel"/>
    <w:tmpl w:val="5D54CD1A"/>
    <w:lvl w:ilvl="0" w:tplc="4EDE096A">
      <w:start w:val="1"/>
      <w:numFmt w:val="lowerRoman"/>
      <w:lvlText w:val="%1."/>
      <w:lvlJc w:val="right"/>
      <w:pPr>
        <w:ind w:left="1324" w:hanging="360"/>
      </w:p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9" w15:restartNumberingAfterBreak="0">
    <w:nsid w:val="60D46F77"/>
    <w:multiLevelType w:val="hybridMultilevel"/>
    <w:tmpl w:val="8EC0EE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62423E73"/>
    <w:multiLevelType w:val="hybridMultilevel"/>
    <w:tmpl w:val="E99E1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694C94"/>
    <w:multiLevelType w:val="hybridMultilevel"/>
    <w:tmpl w:val="F83CA776"/>
    <w:lvl w:ilvl="0" w:tplc="0C090019">
      <w:start w:val="1"/>
      <w:numFmt w:val="lowerLetter"/>
      <w:lvlText w:val="%1."/>
      <w:lvlJc w:val="left"/>
      <w:pPr>
        <w:ind w:left="1080" w:hanging="360"/>
      </w:pPr>
      <w:rPr>
        <w:rFonts w:cs="Times New Roman"/>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2" w15:restartNumberingAfterBreak="0">
    <w:nsid w:val="717A160B"/>
    <w:multiLevelType w:val="hybridMultilevel"/>
    <w:tmpl w:val="CE02AAA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72487FD1"/>
    <w:multiLevelType w:val="hybridMultilevel"/>
    <w:tmpl w:val="9C18BAF4"/>
    <w:lvl w:ilvl="0" w:tplc="FE4673E6">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76560206"/>
    <w:multiLevelType w:val="hybridMultilevel"/>
    <w:tmpl w:val="3A5E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9"/>
  </w:num>
  <w:num w:numId="4">
    <w:abstractNumId w:val="9"/>
  </w:num>
  <w:num w:numId="5">
    <w:abstractNumId w:val="0"/>
  </w:num>
  <w:num w:numId="6">
    <w:abstractNumId w:val="9"/>
  </w:num>
  <w:num w:numId="7">
    <w:abstractNumId w:val="9"/>
  </w:num>
  <w:num w:numId="8">
    <w:abstractNumId w:val="7"/>
  </w:num>
  <w:num w:numId="9">
    <w:abstractNumId w:val="7"/>
  </w:num>
  <w:num w:numId="10">
    <w:abstractNumId w:val="7"/>
  </w:num>
  <w:num w:numId="11">
    <w:abstractNumId w:val="7"/>
  </w:num>
  <w:num w:numId="12">
    <w:abstractNumId w:val="3"/>
    <w:lvlOverride w:ilvl="0">
      <w:lvl w:ilvl="0">
        <w:numFmt w:val="bullet"/>
        <w:lvlText w:val="•"/>
        <w:legacy w:legacy="1" w:legacySpace="0" w:legacyIndent="0"/>
        <w:lvlJc w:val="left"/>
        <w:rPr>
          <w:rFonts w:ascii="Helv" w:hAnsi="Helv" w:hint="default"/>
        </w:rPr>
      </w:lvl>
    </w:lvlOverride>
  </w:num>
  <w:num w:numId="13">
    <w:abstractNumId w:val="9"/>
  </w:num>
  <w:num w:numId="14">
    <w:abstractNumId w:val="9"/>
  </w:num>
  <w:num w:numId="15">
    <w:abstractNumId w:val="9"/>
  </w:num>
  <w:num w:numId="16">
    <w:abstractNumId w:val="7"/>
  </w:num>
  <w:num w:numId="17">
    <w:abstractNumId w:val="7"/>
  </w:num>
  <w:num w:numId="18">
    <w:abstractNumId w:val="7"/>
  </w:num>
  <w:num w:numId="19">
    <w:abstractNumId w:val="9"/>
  </w:num>
  <w:num w:numId="20">
    <w:abstractNumId w:val="9"/>
  </w:num>
  <w:num w:numId="21">
    <w:abstractNumId w:val="9"/>
  </w:num>
  <w:num w:numId="22">
    <w:abstractNumId w:val="7"/>
  </w:num>
  <w:num w:numId="23">
    <w:abstractNumId w:val="7"/>
  </w:num>
  <w:num w:numId="24">
    <w:abstractNumId w:val="7"/>
  </w:num>
  <w:num w:numId="25">
    <w:abstractNumId w:val="7"/>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7"/>
  </w:num>
  <w:num w:numId="28">
    <w:abstractNumId w:val="25"/>
  </w:num>
  <w:num w:numId="29">
    <w:abstractNumId w:val="18"/>
  </w:num>
  <w:num w:numId="30">
    <w:abstractNumId w:val="18"/>
    <w:lvlOverride w:ilvl="0">
      <w:startOverride w:val="1"/>
    </w:lvlOverride>
  </w:num>
  <w:num w:numId="31">
    <w:abstractNumId w:val="22"/>
  </w:num>
  <w:num w:numId="32">
    <w:abstractNumId w:val="10"/>
  </w:num>
  <w:num w:numId="33">
    <w:abstractNumId w:val="20"/>
  </w:num>
  <w:num w:numId="34">
    <w:abstractNumId w:val="14"/>
  </w:num>
  <w:num w:numId="35">
    <w:abstractNumId w:val="11"/>
  </w:num>
  <w:num w:numId="36">
    <w:abstractNumId w:val="21"/>
  </w:num>
  <w:num w:numId="37">
    <w:abstractNumId w:val="23"/>
  </w:num>
  <w:num w:numId="38">
    <w:abstractNumId w:val="13"/>
  </w:num>
  <w:num w:numId="39">
    <w:abstractNumId w:val="24"/>
  </w:num>
  <w:num w:numId="40">
    <w:abstractNumId w:val="19"/>
  </w:num>
  <w:num w:numId="41">
    <w:abstractNumId w:val="16"/>
  </w:num>
  <w:num w:numId="42">
    <w:abstractNumId w:val="12"/>
  </w:num>
  <w:num w:numId="43">
    <w:abstractNumId w:val="4"/>
  </w:num>
  <w:num w:numId="44">
    <w:abstractNumId w:val="6"/>
  </w:num>
  <w:num w:numId="45">
    <w:abstractNumId w:val="15"/>
  </w:num>
  <w:num w:numId="46">
    <w:abstractNumId w:val="8"/>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activeWritingStyle w:appName="MSWord" w:lang="es-ES" w:vendorID="64" w:dllVersion="131078"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A2"/>
    <w:rsid w:val="00002031"/>
    <w:rsid w:val="00004734"/>
    <w:rsid w:val="00006B22"/>
    <w:rsid w:val="0001276A"/>
    <w:rsid w:val="000138CB"/>
    <w:rsid w:val="000246AE"/>
    <w:rsid w:val="00025C67"/>
    <w:rsid w:val="00044619"/>
    <w:rsid w:val="00044772"/>
    <w:rsid w:val="0004541C"/>
    <w:rsid w:val="0005559E"/>
    <w:rsid w:val="000604D6"/>
    <w:rsid w:val="000734D8"/>
    <w:rsid w:val="000750A5"/>
    <w:rsid w:val="00077775"/>
    <w:rsid w:val="00090471"/>
    <w:rsid w:val="00096AA7"/>
    <w:rsid w:val="000A3AED"/>
    <w:rsid w:val="000B34B7"/>
    <w:rsid w:val="000B3532"/>
    <w:rsid w:val="000B3A75"/>
    <w:rsid w:val="000C00C2"/>
    <w:rsid w:val="000C690F"/>
    <w:rsid w:val="000D1295"/>
    <w:rsid w:val="000D391B"/>
    <w:rsid w:val="000D3D6D"/>
    <w:rsid w:val="000D4FC7"/>
    <w:rsid w:val="000E6196"/>
    <w:rsid w:val="000F4869"/>
    <w:rsid w:val="000F5B42"/>
    <w:rsid w:val="000F6E6F"/>
    <w:rsid w:val="0010601F"/>
    <w:rsid w:val="0010788A"/>
    <w:rsid w:val="00107A31"/>
    <w:rsid w:val="00110EA5"/>
    <w:rsid w:val="00112F56"/>
    <w:rsid w:val="00124ACD"/>
    <w:rsid w:val="00125318"/>
    <w:rsid w:val="001305A2"/>
    <w:rsid w:val="00133238"/>
    <w:rsid w:val="00133A1B"/>
    <w:rsid w:val="0014197B"/>
    <w:rsid w:val="001447CD"/>
    <w:rsid w:val="001516B1"/>
    <w:rsid w:val="00154EBB"/>
    <w:rsid w:val="00156316"/>
    <w:rsid w:val="0016100F"/>
    <w:rsid w:val="00161181"/>
    <w:rsid w:val="00162D14"/>
    <w:rsid w:val="00163780"/>
    <w:rsid w:val="00165389"/>
    <w:rsid w:val="0017693F"/>
    <w:rsid w:val="0018110E"/>
    <w:rsid w:val="00181684"/>
    <w:rsid w:val="001843C6"/>
    <w:rsid w:val="00184C2B"/>
    <w:rsid w:val="001850E0"/>
    <w:rsid w:val="00195614"/>
    <w:rsid w:val="001A03AF"/>
    <w:rsid w:val="001A2158"/>
    <w:rsid w:val="001A525F"/>
    <w:rsid w:val="001B09F9"/>
    <w:rsid w:val="001B5C90"/>
    <w:rsid w:val="001B6448"/>
    <w:rsid w:val="001C32CD"/>
    <w:rsid w:val="001D2984"/>
    <w:rsid w:val="001E07CF"/>
    <w:rsid w:val="001E23A2"/>
    <w:rsid w:val="001E59F1"/>
    <w:rsid w:val="001E62EC"/>
    <w:rsid w:val="001F0BA9"/>
    <w:rsid w:val="001F2CEE"/>
    <w:rsid w:val="001F49EB"/>
    <w:rsid w:val="001F69C1"/>
    <w:rsid w:val="001F6CBA"/>
    <w:rsid w:val="00201D4E"/>
    <w:rsid w:val="00202556"/>
    <w:rsid w:val="002038FC"/>
    <w:rsid w:val="002076C9"/>
    <w:rsid w:val="00220B8A"/>
    <w:rsid w:val="002257F3"/>
    <w:rsid w:val="00233456"/>
    <w:rsid w:val="002339A5"/>
    <w:rsid w:val="002466F9"/>
    <w:rsid w:val="00257848"/>
    <w:rsid w:val="0027084A"/>
    <w:rsid w:val="00276FD0"/>
    <w:rsid w:val="00280265"/>
    <w:rsid w:val="00286434"/>
    <w:rsid w:val="00286C59"/>
    <w:rsid w:val="00291957"/>
    <w:rsid w:val="002942D1"/>
    <w:rsid w:val="0029501A"/>
    <w:rsid w:val="002A3721"/>
    <w:rsid w:val="002B1638"/>
    <w:rsid w:val="002B3624"/>
    <w:rsid w:val="002D0952"/>
    <w:rsid w:val="002E0989"/>
    <w:rsid w:val="002E40B3"/>
    <w:rsid w:val="002E43EA"/>
    <w:rsid w:val="002E4C9A"/>
    <w:rsid w:val="002F11F8"/>
    <w:rsid w:val="002F19B8"/>
    <w:rsid w:val="002F2CDD"/>
    <w:rsid w:val="002F3F56"/>
    <w:rsid w:val="002F44B5"/>
    <w:rsid w:val="002F5122"/>
    <w:rsid w:val="00311AC0"/>
    <w:rsid w:val="003176FC"/>
    <w:rsid w:val="0032583B"/>
    <w:rsid w:val="00327883"/>
    <w:rsid w:val="00330E6C"/>
    <w:rsid w:val="00335504"/>
    <w:rsid w:val="00340C18"/>
    <w:rsid w:val="003442FD"/>
    <w:rsid w:val="00347824"/>
    <w:rsid w:val="00350567"/>
    <w:rsid w:val="0035134A"/>
    <w:rsid w:val="003521E8"/>
    <w:rsid w:val="00370CE3"/>
    <w:rsid w:val="003725F9"/>
    <w:rsid w:val="003728F3"/>
    <w:rsid w:val="003735BC"/>
    <w:rsid w:val="0037496E"/>
    <w:rsid w:val="00383221"/>
    <w:rsid w:val="00386150"/>
    <w:rsid w:val="003874CE"/>
    <w:rsid w:val="00390900"/>
    <w:rsid w:val="00392493"/>
    <w:rsid w:val="003A7F6C"/>
    <w:rsid w:val="003B4D60"/>
    <w:rsid w:val="003B7E39"/>
    <w:rsid w:val="003C58DC"/>
    <w:rsid w:val="003D1E62"/>
    <w:rsid w:val="003E0A99"/>
    <w:rsid w:val="003E0B99"/>
    <w:rsid w:val="003E2486"/>
    <w:rsid w:val="003E3208"/>
    <w:rsid w:val="003F0B04"/>
    <w:rsid w:val="0040134E"/>
    <w:rsid w:val="004201D0"/>
    <w:rsid w:val="004334C7"/>
    <w:rsid w:val="00433AB7"/>
    <w:rsid w:val="00440A2D"/>
    <w:rsid w:val="00441C3F"/>
    <w:rsid w:val="00444D1A"/>
    <w:rsid w:val="004467D0"/>
    <w:rsid w:val="0045186A"/>
    <w:rsid w:val="00455ABF"/>
    <w:rsid w:val="004564A7"/>
    <w:rsid w:val="00456765"/>
    <w:rsid w:val="004617BF"/>
    <w:rsid w:val="00463658"/>
    <w:rsid w:val="004637A0"/>
    <w:rsid w:val="004722CC"/>
    <w:rsid w:val="0048502D"/>
    <w:rsid w:val="00490483"/>
    <w:rsid w:val="004936E4"/>
    <w:rsid w:val="004942EB"/>
    <w:rsid w:val="00494E60"/>
    <w:rsid w:val="00497487"/>
    <w:rsid w:val="004A2771"/>
    <w:rsid w:val="004A6189"/>
    <w:rsid w:val="004A7390"/>
    <w:rsid w:val="004B7B76"/>
    <w:rsid w:val="004C239D"/>
    <w:rsid w:val="004C2DCA"/>
    <w:rsid w:val="004C61D2"/>
    <w:rsid w:val="004D1D71"/>
    <w:rsid w:val="004F0C4A"/>
    <w:rsid w:val="004F0F38"/>
    <w:rsid w:val="004F47D6"/>
    <w:rsid w:val="00500337"/>
    <w:rsid w:val="00501921"/>
    <w:rsid w:val="00510323"/>
    <w:rsid w:val="005111D8"/>
    <w:rsid w:val="00530354"/>
    <w:rsid w:val="00533313"/>
    <w:rsid w:val="0053625B"/>
    <w:rsid w:val="005434C6"/>
    <w:rsid w:val="00543B39"/>
    <w:rsid w:val="00544153"/>
    <w:rsid w:val="00546154"/>
    <w:rsid w:val="00550096"/>
    <w:rsid w:val="00555280"/>
    <w:rsid w:val="00557FF9"/>
    <w:rsid w:val="00562327"/>
    <w:rsid w:val="005711D5"/>
    <w:rsid w:val="00576378"/>
    <w:rsid w:val="00577130"/>
    <w:rsid w:val="00577945"/>
    <w:rsid w:val="00577E38"/>
    <w:rsid w:val="00585322"/>
    <w:rsid w:val="005857C6"/>
    <w:rsid w:val="00592F6E"/>
    <w:rsid w:val="00593AD1"/>
    <w:rsid w:val="005A145E"/>
    <w:rsid w:val="005A37A7"/>
    <w:rsid w:val="005A68B6"/>
    <w:rsid w:val="005C5570"/>
    <w:rsid w:val="005C6122"/>
    <w:rsid w:val="005C79A4"/>
    <w:rsid w:val="005D5442"/>
    <w:rsid w:val="005F4EE5"/>
    <w:rsid w:val="005F5E35"/>
    <w:rsid w:val="00603F32"/>
    <w:rsid w:val="00605AD4"/>
    <w:rsid w:val="00606B8D"/>
    <w:rsid w:val="006136D7"/>
    <w:rsid w:val="00625A6E"/>
    <w:rsid w:val="00626AEA"/>
    <w:rsid w:val="00627646"/>
    <w:rsid w:val="00632398"/>
    <w:rsid w:val="00640FC3"/>
    <w:rsid w:val="00642020"/>
    <w:rsid w:val="006430EE"/>
    <w:rsid w:val="0065091C"/>
    <w:rsid w:val="0065337B"/>
    <w:rsid w:val="0065419D"/>
    <w:rsid w:val="006603BC"/>
    <w:rsid w:val="006604D8"/>
    <w:rsid w:val="00664A5B"/>
    <w:rsid w:val="0066735C"/>
    <w:rsid w:val="006763D2"/>
    <w:rsid w:val="00680C08"/>
    <w:rsid w:val="00682F0F"/>
    <w:rsid w:val="006916A0"/>
    <w:rsid w:val="006931B1"/>
    <w:rsid w:val="006A159E"/>
    <w:rsid w:val="006A15C0"/>
    <w:rsid w:val="006A58A8"/>
    <w:rsid w:val="006B771D"/>
    <w:rsid w:val="006C3E2A"/>
    <w:rsid w:val="006C4B60"/>
    <w:rsid w:val="006C642F"/>
    <w:rsid w:val="006C77C2"/>
    <w:rsid w:val="006D03E5"/>
    <w:rsid w:val="006D5D3E"/>
    <w:rsid w:val="006E08B3"/>
    <w:rsid w:val="006F17AC"/>
    <w:rsid w:val="006F25B8"/>
    <w:rsid w:val="006F572E"/>
    <w:rsid w:val="007046D6"/>
    <w:rsid w:val="00705DB0"/>
    <w:rsid w:val="00722B57"/>
    <w:rsid w:val="00730F8A"/>
    <w:rsid w:val="00735A8C"/>
    <w:rsid w:val="0074253D"/>
    <w:rsid w:val="0074429B"/>
    <w:rsid w:val="007615BC"/>
    <w:rsid w:val="00762F05"/>
    <w:rsid w:val="007652FF"/>
    <w:rsid w:val="00770CAC"/>
    <w:rsid w:val="00770EF1"/>
    <w:rsid w:val="00773EF7"/>
    <w:rsid w:val="00774E1D"/>
    <w:rsid w:val="007765D8"/>
    <w:rsid w:val="0077675A"/>
    <w:rsid w:val="00780355"/>
    <w:rsid w:val="007819FD"/>
    <w:rsid w:val="00785717"/>
    <w:rsid w:val="00785721"/>
    <w:rsid w:val="00790834"/>
    <w:rsid w:val="00793A59"/>
    <w:rsid w:val="007A46F5"/>
    <w:rsid w:val="007A6505"/>
    <w:rsid w:val="007B6132"/>
    <w:rsid w:val="007B6E9F"/>
    <w:rsid w:val="007C1216"/>
    <w:rsid w:val="007C1AF7"/>
    <w:rsid w:val="007C455C"/>
    <w:rsid w:val="007C6B9B"/>
    <w:rsid w:val="007E02BB"/>
    <w:rsid w:val="00805D27"/>
    <w:rsid w:val="00806DCB"/>
    <w:rsid w:val="00821776"/>
    <w:rsid w:val="008321F5"/>
    <w:rsid w:val="00832369"/>
    <w:rsid w:val="00834660"/>
    <w:rsid w:val="00836BC2"/>
    <w:rsid w:val="008508F0"/>
    <w:rsid w:val="00851067"/>
    <w:rsid w:val="0085156D"/>
    <w:rsid w:val="00852B28"/>
    <w:rsid w:val="0085641B"/>
    <w:rsid w:val="00857136"/>
    <w:rsid w:val="0086193A"/>
    <w:rsid w:val="00861F0B"/>
    <w:rsid w:val="0086438F"/>
    <w:rsid w:val="00867419"/>
    <w:rsid w:val="0086751A"/>
    <w:rsid w:val="00875A6B"/>
    <w:rsid w:val="00876D55"/>
    <w:rsid w:val="00885B11"/>
    <w:rsid w:val="00886D15"/>
    <w:rsid w:val="00887DD8"/>
    <w:rsid w:val="00891BA9"/>
    <w:rsid w:val="00896018"/>
    <w:rsid w:val="008960DD"/>
    <w:rsid w:val="0089635C"/>
    <w:rsid w:val="008A2B9D"/>
    <w:rsid w:val="008A3D9F"/>
    <w:rsid w:val="008A5E0B"/>
    <w:rsid w:val="008A6D59"/>
    <w:rsid w:val="008B4B03"/>
    <w:rsid w:val="008B596F"/>
    <w:rsid w:val="008C159F"/>
    <w:rsid w:val="008C1623"/>
    <w:rsid w:val="008C1850"/>
    <w:rsid w:val="008C51A9"/>
    <w:rsid w:val="008D1D36"/>
    <w:rsid w:val="008E4658"/>
    <w:rsid w:val="008E7846"/>
    <w:rsid w:val="008F02E5"/>
    <w:rsid w:val="008F1CCC"/>
    <w:rsid w:val="008F2967"/>
    <w:rsid w:val="008F6943"/>
    <w:rsid w:val="00902A21"/>
    <w:rsid w:val="0091523F"/>
    <w:rsid w:val="009200B1"/>
    <w:rsid w:val="00920330"/>
    <w:rsid w:val="009219D7"/>
    <w:rsid w:val="00922D53"/>
    <w:rsid w:val="0092363C"/>
    <w:rsid w:val="00923B70"/>
    <w:rsid w:val="00924482"/>
    <w:rsid w:val="0092687F"/>
    <w:rsid w:val="00930237"/>
    <w:rsid w:val="00935837"/>
    <w:rsid w:val="00937C17"/>
    <w:rsid w:val="00940A89"/>
    <w:rsid w:val="00941F77"/>
    <w:rsid w:val="00946EA5"/>
    <w:rsid w:val="00947203"/>
    <w:rsid w:val="00956A07"/>
    <w:rsid w:val="00963C08"/>
    <w:rsid w:val="009752A5"/>
    <w:rsid w:val="0098585A"/>
    <w:rsid w:val="009A4CED"/>
    <w:rsid w:val="009A690D"/>
    <w:rsid w:val="009B1D12"/>
    <w:rsid w:val="009B416B"/>
    <w:rsid w:val="009C4BD5"/>
    <w:rsid w:val="009D2F0C"/>
    <w:rsid w:val="009D7B77"/>
    <w:rsid w:val="009E0BB0"/>
    <w:rsid w:val="009E3FBB"/>
    <w:rsid w:val="009F7353"/>
    <w:rsid w:val="00A04F85"/>
    <w:rsid w:val="00A05FA4"/>
    <w:rsid w:val="00A102E4"/>
    <w:rsid w:val="00A1219C"/>
    <w:rsid w:val="00A12C42"/>
    <w:rsid w:val="00A14DF7"/>
    <w:rsid w:val="00A22D57"/>
    <w:rsid w:val="00A23039"/>
    <w:rsid w:val="00A3246D"/>
    <w:rsid w:val="00A36FA7"/>
    <w:rsid w:val="00A42EC6"/>
    <w:rsid w:val="00A44DDB"/>
    <w:rsid w:val="00A475B7"/>
    <w:rsid w:val="00A47AF7"/>
    <w:rsid w:val="00A47C3E"/>
    <w:rsid w:val="00A50226"/>
    <w:rsid w:val="00A57B9C"/>
    <w:rsid w:val="00A60BAD"/>
    <w:rsid w:val="00A61C6B"/>
    <w:rsid w:val="00A67A4F"/>
    <w:rsid w:val="00A70F7D"/>
    <w:rsid w:val="00A77F87"/>
    <w:rsid w:val="00A80B5B"/>
    <w:rsid w:val="00A81743"/>
    <w:rsid w:val="00A84E36"/>
    <w:rsid w:val="00A92AAA"/>
    <w:rsid w:val="00A964D1"/>
    <w:rsid w:val="00AA0ED0"/>
    <w:rsid w:val="00AB6CEB"/>
    <w:rsid w:val="00AC2B40"/>
    <w:rsid w:val="00AC2BB2"/>
    <w:rsid w:val="00AC2C3C"/>
    <w:rsid w:val="00AC512D"/>
    <w:rsid w:val="00AD0083"/>
    <w:rsid w:val="00AD2D62"/>
    <w:rsid w:val="00AD3935"/>
    <w:rsid w:val="00AE65EB"/>
    <w:rsid w:val="00AE67A7"/>
    <w:rsid w:val="00AF1D94"/>
    <w:rsid w:val="00AF3A10"/>
    <w:rsid w:val="00AF4FCF"/>
    <w:rsid w:val="00AF60C5"/>
    <w:rsid w:val="00B009C6"/>
    <w:rsid w:val="00B01548"/>
    <w:rsid w:val="00B018E6"/>
    <w:rsid w:val="00B130C5"/>
    <w:rsid w:val="00B13EBD"/>
    <w:rsid w:val="00B21D29"/>
    <w:rsid w:val="00B25034"/>
    <w:rsid w:val="00B26B73"/>
    <w:rsid w:val="00B33588"/>
    <w:rsid w:val="00B33863"/>
    <w:rsid w:val="00B37D17"/>
    <w:rsid w:val="00B4175E"/>
    <w:rsid w:val="00B41C85"/>
    <w:rsid w:val="00B452CE"/>
    <w:rsid w:val="00B54C25"/>
    <w:rsid w:val="00B76B91"/>
    <w:rsid w:val="00B77EB1"/>
    <w:rsid w:val="00B811C6"/>
    <w:rsid w:val="00B82F5C"/>
    <w:rsid w:val="00B855B0"/>
    <w:rsid w:val="00B91FC0"/>
    <w:rsid w:val="00B92E08"/>
    <w:rsid w:val="00BB20FB"/>
    <w:rsid w:val="00BC622A"/>
    <w:rsid w:val="00BE0A78"/>
    <w:rsid w:val="00BE79F0"/>
    <w:rsid w:val="00BF046D"/>
    <w:rsid w:val="00BF1190"/>
    <w:rsid w:val="00BF3774"/>
    <w:rsid w:val="00BF5D04"/>
    <w:rsid w:val="00C009AA"/>
    <w:rsid w:val="00C02BD5"/>
    <w:rsid w:val="00C1164D"/>
    <w:rsid w:val="00C16861"/>
    <w:rsid w:val="00C346AB"/>
    <w:rsid w:val="00C404A6"/>
    <w:rsid w:val="00C40A36"/>
    <w:rsid w:val="00C44419"/>
    <w:rsid w:val="00C45E7B"/>
    <w:rsid w:val="00C471B1"/>
    <w:rsid w:val="00C52E24"/>
    <w:rsid w:val="00C6316B"/>
    <w:rsid w:val="00C634A9"/>
    <w:rsid w:val="00C64586"/>
    <w:rsid w:val="00C70D53"/>
    <w:rsid w:val="00C73D0B"/>
    <w:rsid w:val="00C772FF"/>
    <w:rsid w:val="00C80137"/>
    <w:rsid w:val="00C801AF"/>
    <w:rsid w:val="00C80256"/>
    <w:rsid w:val="00C94CD4"/>
    <w:rsid w:val="00C972F4"/>
    <w:rsid w:val="00C9747E"/>
    <w:rsid w:val="00CA4CC8"/>
    <w:rsid w:val="00CB6BC0"/>
    <w:rsid w:val="00CC1B7C"/>
    <w:rsid w:val="00CC727F"/>
    <w:rsid w:val="00CF15C3"/>
    <w:rsid w:val="00CF2B6F"/>
    <w:rsid w:val="00CF2F3E"/>
    <w:rsid w:val="00CF58B6"/>
    <w:rsid w:val="00D0062D"/>
    <w:rsid w:val="00D017ED"/>
    <w:rsid w:val="00D040D3"/>
    <w:rsid w:val="00D04C65"/>
    <w:rsid w:val="00D153D8"/>
    <w:rsid w:val="00D201D2"/>
    <w:rsid w:val="00D224FE"/>
    <w:rsid w:val="00D23139"/>
    <w:rsid w:val="00D33C17"/>
    <w:rsid w:val="00D425BB"/>
    <w:rsid w:val="00D453FA"/>
    <w:rsid w:val="00D636D6"/>
    <w:rsid w:val="00D6493E"/>
    <w:rsid w:val="00D7195D"/>
    <w:rsid w:val="00D7301E"/>
    <w:rsid w:val="00D83AE1"/>
    <w:rsid w:val="00D855D4"/>
    <w:rsid w:val="00D902C9"/>
    <w:rsid w:val="00D93466"/>
    <w:rsid w:val="00DA1124"/>
    <w:rsid w:val="00DA64CB"/>
    <w:rsid w:val="00DB06B8"/>
    <w:rsid w:val="00DB49CE"/>
    <w:rsid w:val="00DB6124"/>
    <w:rsid w:val="00DB750B"/>
    <w:rsid w:val="00DB75B7"/>
    <w:rsid w:val="00DC0A2F"/>
    <w:rsid w:val="00DC1948"/>
    <w:rsid w:val="00DC6E02"/>
    <w:rsid w:val="00DD28CD"/>
    <w:rsid w:val="00DE02AE"/>
    <w:rsid w:val="00DE11AE"/>
    <w:rsid w:val="00DE39D1"/>
    <w:rsid w:val="00DF10BC"/>
    <w:rsid w:val="00DF1D7F"/>
    <w:rsid w:val="00DF4BE4"/>
    <w:rsid w:val="00E00A59"/>
    <w:rsid w:val="00E02382"/>
    <w:rsid w:val="00E02FB4"/>
    <w:rsid w:val="00E13FC7"/>
    <w:rsid w:val="00E20571"/>
    <w:rsid w:val="00E235F7"/>
    <w:rsid w:val="00E23659"/>
    <w:rsid w:val="00E239D4"/>
    <w:rsid w:val="00E26130"/>
    <w:rsid w:val="00E27AA7"/>
    <w:rsid w:val="00E36B68"/>
    <w:rsid w:val="00E40B22"/>
    <w:rsid w:val="00E42854"/>
    <w:rsid w:val="00E44ED1"/>
    <w:rsid w:val="00E45619"/>
    <w:rsid w:val="00E4588F"/>
    <w:rsid w:val="00E46DA3"/>
    <w:rsid w:val="00E51BB1"/>
    <w:rsid w:val="00E55CB0"/>
    <w:rsid w:val="00E624A5"/>
    <w:rsid w:val="00E64BA4"/>
    <w:rsid w:val="00E7344E"/>
    <w:rsid w:val="00E80823"/>
    <w:rsid w:val="00E82665"/>
    <w:rsid w:val="00E85724"/>
    <w:rsid w:val="00E97057"/>
    <w:rsid w:val="00EA07B6"/>
    <w:rsid w:val="00EB0798"/>
    <w:rsid w:val="00EB08CF"/>
    <w:rsid w:val="00EB40AD"/>
    <w:rsid w:val="00EB586E"/>
    <w:rsid w:val="00EB5FC8"/>
    <w:rsid w:val="00EC463D"/>
    <w:rsid w:val="00EC7A85"/>
    <w:rsid w:val="00ED2922"/>
    <w:rsid w:val="00ED3CAD"/>
    <w:rsid w:val="00ED5A41"/>
    <w:rsid w:val="00EE1DE8"/>
    <w:rsid w:val="00EE27C2"/>
    <w:rsid w:val="00EF4BAD"/>
    <w:rsid w:val="00EF59DC"/>
    <w:rsid w:val="00F033EC"/>
    <w:rsid w:val="00F04F68"/>
    <w:rsid w:val="00F11037"/>
    <w:rsid w:val="00F12670"/>
    <w:rsid w:val="00F14B27"/>
    <w:rsid w:val="00F151A0"/>
    <w:rsid w:val="00F3148D"/>
    <w:rsid w:val="00F325C5"/>
    <w:rsid w:val="00F32FE0"/>
    <w:rsid w:val="00F35298"/>
    <w:rsid w:val="00F425D3"/>
    <w:rsid w:val="00F47333"/>
    <w:rsid w:val="00F47E37"/>
    <w:rsid w:val="00F52A9E"/>
    <w:rsid w:val="00F53C07"/>
    <w:rsid w:val="00F54B65"/>
    <w:rsid w:val="00F62A6C"/>
    <w:rsid w:val="00F640B6"/>
    <w:rsid w:val="00F66DF2"/>
    <w:rsid w:val="00F80E40"/>
    <w:rsid w:val="00F81E56"/>
    <w:rsid w:val="00F848D9"/>
    <w:rsid w:val="00FA5069"/>
    <w:rsid w:val="00FA5B82"/>
    <w:rsid w:val="00FA639E"/>
    <w:rsid w:val="00FA7D2E"/>
    <w:rsid w:val="00FC1FCA"/>
    <w:rsid w:val="00FC25E4"/>
    <w:rsid w:val="00FC4EF7"/>
    <w:rsid w:val="00FD0824"/>
    <w:rsid w:val="00FD119B"/>
    <w:rsid w:val="00FD1EDC"/>
    <w:rsid w:val="00FD7C99"/>
    <w:rsid w:val="00FE1DEE"/>
    <w:rsid w:val="00FE41B1"/>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BDFCBA"/>
  <w15:docId w15:val="{156364F6-C4AD-4550-9B41-720F2E92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92687F"/>
    <w:pPr>
      <w:numPr>
        <w:numId w:val="3"/>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3"/>
    <w:qFormat/>
    <w:rsid w:val="004C2DCA"/>
    <w:pPr>
      <w:numPr>
        <w:numId w:val="24"/>
      </w:numPr>
    </w:pPr>
  </w:style>
  <w:style w:type="paragraph" w:customStyle="1" w:styleId="Numberbullet2">
    <w:name w:val="Number bullet 2"/>
    <w:basedOn w:val="ListBullet2"/>
    <w:uiPriority w:val="3"/>
    <w:qFormat/>
    <w:rsid w:val="004C2DCA"/>
    <w:pPr>
      <w:numPr>
        <w:numId w:val="24"/>
      </w:numPr>
    </w:pPr>
  </w:style>
  <w:style w:type="paragraph" w:customStyle="1" w:styleId="Numberbullet3">
    <w:name w:val="Number bullet 3"/>
    <w:basedOn w:val="ListBullet3"/>
    <w:uiPriority w:val="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92687F"/>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92687F"/>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92687F"/>
    <w:pPr>
      <w:framePr w:hSpace="180" w:wrap="around" w:vAnchor="page" w:hAnchor="text" w:y="3316"/>
      <w:spacing w:after="480" w:line="240" w:lineRule="auto"/>
      <w:contextualSpacing/>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92687F"/>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numbering" w:customStyle="1" w:styleId="ListBullets1">
    <w:name w:val="ListBullets1"/>
    <w:uiPriority w:val="99"/>
    <w:rsid w:val="00790834"/>
  </w:style>
  <w:style w:type="paragraph" w:styleId="ListParagraph">
    <w:name w:val="List Paragraph"/>
    <w:basedOn w:val="Normal"/>
    <w:uiPriority w:val="34"/>
    <w:qFormat/>
    <w:rsid w:val="00195614"/>
    <w:pPr>
      <w:ind w:left="720"/>
      <w:contextualSpacing/>
    </w:pPr>
  </w:style>
  <w:style w:type="paragraph" w:customStyle="1" w:styleId="Standard">
    <w:name w:val="Standard"/>
    <w:basedOn w:val="Normal"/>
    <w:link w:val="StandardChar"/>
    <w:qFormat/>
    <w:rsid w:val="00195614"/>
    <w:pPr>
      <w:spacing w:before="0" w:after="180" w:line="252" w:lineRule="auto"/>
    </w:pPr>
    <w:rPr>
      <w:rFonts w:eastAsiaTheme="minorEastAsia"/>
      <w:kern w:val="16"/>
      <w:szCs w:val="24"/>
    </w:rPr>
  </w:style>
  <w:style w:type="character" w:customStyle="1" w:styleId="StandardChar">
    <w:name w:val="Standard Char"/>
    <w:link w:val="Standard"/>
    <w:locked/>
    <w:rsid w:val="00195614"/>
    <w:rPr>
      <w:rFonts w:ascii="Cambria" w:eastAsiaTheme="minorEastAsia" w:hAnsi="Cambria" w:cs="Times New Roman"/>
      <w:kern w:val="16"/>
      <w:szCs w:val="24"/>
    </w:rPr>
  </w:style>
  <w:style w:type="paragraph" w:styleId="BodyText">
    <w:name w:val="Body Text"/>
    <w:basedOn w:val="Normal"/>
    <w:link w:val="BodyTextChar"/>
    <w:uiPriority w:val="1"/>
    <w:qFormat/>
    <w:rsid w:val="00E97057"/>
    <w:pPr>
      <w:widowControl w:val="0"/>
      <w:autoSpaceDE w:val="0"/>
      <w:autoSpaceDN w:val="0"/>
      <w:adjustRightInd w:val="0"/>
      <w:spacing w:before="0" w:after="0" w:line="240" w:lineRule="auto"/>
      <w:ind w:left="220"/>
    </w:pPr>
    <w:rPr>
      <w:rFonts w:eastAsiaTheme="minorEastAsia" w:cs="Cambria"/>
      <w:lang w:eastAsia="en-AU"/>
    </w:rPr>
  </w:style>
  <w:style w:type="character" w:customStyle="1" w:styleId="BodyTextChar">
    <w:name w:val="Body Text Char"/>
    <w:basedOn w:val="DefaultParagraphFont"/>
    <w:link w:val="BodyText"/>
    <w:uiPriority w:val="1"/>
    <w:rsid w:val="00E97057"/>
    <w:rPr>
      <w:rFonts w:ascii="Cambria" w:eastAsiaTheme="minorEastAsia" w:hAnsi="Cambria" w:cs="Cambria"/>
      <w:lang w:eastAsia="en-AU"/>
    </w:rPr>
  </w:style>
  <w:style w:type="paragraph" w:styleId="NormalWeb">
    <w:name w:val="Normal (Web)"/>
    <w:basedOn w:val="Normal"/>
    <w:uiPriority w:val="99"/>
    <w:unhideWhenUsed/>
    <w:rsid w:val="00E97057"/>
    <w:pPr>
      <w:spacing w:before="100" w:beforeAutospacing="1" w:after="100" w:afterAutospacing="1" w:line="240" w:lineRule="auto"/>
    </w:pPr>
    <w:rPr>
      <w:rFonts w:ascii="Times New Roman" w:eastAsiaTheme="minorEastAsia" w:hAnsi="Times New Roman"/>
      <w:sz w:val="24"/>
      <w:szCs w:val="24"/>
      <w:lang w:eastAsia="zh-CN"/>
    </w:rPr>
  </w:style>
  <w:style w:type="character" w:styleId="Emphasis">
    <w:name w:val="Emphasis"/>
    <w:basedOn w:val="DefaultParagraphFont"/>
    <w:uiPriority w:val="20"/>
    <w:qFormat/>
    <w:rsid w:val="00B91FC0"/>
    <w:rPr>
      <w:b/>
      <w:bCs/>
      <w:i w:val="0"/>
      <w:iCs w:val="0"/>
    </w:rPr>
  </w:style>
  <w:style w:type="character" w:customStyle="1" w:styleId="st1">
    <w:name w:val="st1"/>
    <w:basedOn w:val="DefaultParagraphFont"/>
    <w:rsid w:val="00B91FC0"/>
  </w:style>
  <w:style w:type="character" w:customStyle="1" w:styleId="e24kjd">
    <w:name w:val="e24kjd"/>
    <w:basedOn w:val="DefaultParagraphFont"/>
    <w:rsid w:val="005A145E"/>
  </w:style>
  <w:style w:type="character" w:styleId="Strong">
    <w:name w:val="Strong"/>
    <w:basedOn w:val="DefaultParagraphFont"/>
    <w:uiPriority w:val="22"/>
    <w:qFormat/>
    <w:rsid w:val="00E85724"/>
    <w:rPr>
      <w:b/>
      <w:bCs/>
    </w:rPr>
  </w:style>
  <w:style w:type="paragraph" w:customStyle="1" w:styleId="Default">
    <w:name w:val="Default"/>
    <w:rsid w:val="00F81E56"/>
    <w:pPr>
      <w:autoSpaceDE w:val="0"/>
      <w:autoSpaceDN w:val="0"/>
      <w:adjustRightInd w:val="0"/>
      <w:spacing w:after="0" w:line="240" w:lineRule="auto"/>
    </w:pPr>
    <w:rPr>
      <w:rFonts w:ascii="Verdana" w:hAnsi="Verdana" w:cs="Verdana"/>
      <w:color w:val="000000"/>
      <w:sz w:val="24"/>
      <w:szCs w:val="24"/>
    </w:rPr>
  </w:style>
  <w:style w:type="paragraph" w:customStyle="1" w:styleId="Bulletlist">
    <w:name w:val="Bullet list"/>
    <w:basedOn w:val="Standard"/>
    <w:link w:val="BulletlistChar"/>
    <w:qFormat/>
    <w:rsid w:val="00CA4CC8"/>
    <w:pPr>
      <w:numPr>
        <w:numId w:val="50"/>
      </w:numPr>
      <w:ind w:left="426" w:hanging="284"/>
    </w:pPr>
    <w:rPr>
      <w:rFonts w:eastAsia="Times New Roman"/>
      <w:snapToGrid w:val="0"/>
      <w:kern w:val="2"/>
      <w:sz w:val="23"/>
    </w:rPr>
  </w:style>
  <w:style w:type="character" w:customStyle="1" w:styleId="TabletextChar">
    <w:name w:val="Table text Char"/>
    <w:basedOn w:val="StandardChar"/>
    <w:link w:val="Tabletext"/>
    <w:rsid w:val="00CA4CC8"/>
    <w:rPr>
      <w:rFonts w:ascii="Cambria" w:eastAsia="Cambria" w:hAnsi="Cambria" w:cs="Times New Roman"/>
      <w:kern w:val="16"/>
      <w:sz w:val="19"/>
      <w:szCs w:val="24"/>
    </w:rPr>
  </w:style>
  <w:style w:type="character" w:customStyle="1" w:styleId="BulletlistChar">
    <w:name w:val="Bullet list Char"/>
    <w:basedOn w:val="StandardChar"/>
    <w:link w:val="Bulletlist"/>
    <w:rsid w:val="00CA4CC8"/>
    <w:rPr>
      <w:rFonts w:ascii="Cambria" w:eastAsia="Times New Roman" w:hAnsi="Cambria" w:cs="Times New Roman"/>
      <w:snapToGrid w:val="0"/>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588">
      <w:bodyDiv w:val="1"/>
      <w:marLeft w:val="0"/>
      <w:marRight w:val="0"/>
      <w:marTop w:val="0"/>
      <w:marBottom w:val="0"/>
      <w:divBdr>
        <w:top w:val="none" w:sz="0" w:space="0" w:color="auto"/>
        <w:left w:val="none" w:sz="0" w:space="0" w:color="auto"/>
        <w:bottom w:val="none" w:sz="0" w:space="0" w:color="auto"/>
        <w:right w:val="none" w:sz="0" w:space="0" w:color="auto"/>
      </w:divBdr>
      <w:divsChild>
        <w:div w:id="1501504438">
          <w:marLeft w:val="0"/>
          <w:marRight w:val="1"/>
          <w:marTop w:val="0"/>
          <w:marBottom w:val="0"/>
          <w:divBdr>
            <w:top w:val="none" w:sz="0" w:space="0" w:color="auto"/>
            <w:left w:val="none" w:sz="0" w:space="0" w:color="auto"/>
            <w:bottom w:val="none" w:sz="0" w:space="0" w:color="auto"/>
            <w:right w:val="none" w:sz="0" w:space="0" w:color="auto"/>
          </w:divBdr>
          <w:divsChild>
            <w:div w:id="1297564819">
              <w:marLeft w:val="0"/>
              <w:marRight w:val="0"/>
              <w:marTop w:val="0"/>
              <w:marBottom w:val="0"/>
              <w:divBdr>
                <w:top w:val="none" w:sz="0" w:space="0" w:color="auto"/>
                <w:left w:val="none" w:sz="0" w:space="0" w:color="auto"/>
                <w:bottom w:val="none" w:sz="0" w:space="0" w:color="auto"/>
                <w:right w:val="none" w:sz="0" w:space="0" w:color="auto"/>
              </w:divBdr>
              <w:divsChild>
                <w:div w:id="1118142228">
                  <w:marLeft w:val="0"/>
                  <w:marRight w:val="1"/>
                  <w:marTop w:val="0"/>
                  <w:marBottom w:val="0"/>
                  <w:divBdr>
                    <w:top w:val="none" w:sz="0" w:space="0" w:color="auto"/>
                    <w:left w:val="none" w:sz="0" w:space="0" w:color="auto"/>
                    <w:bottom w:val="none" w:sz="0" w:space="0" w:color="auto"/>
                    <w:right w:val="none" w:sz="0" w:space="0" w:color="auto"/>
                  </w:divBdr>
                  <w:divsChild>
                    <w:div w:id="1967933126">
                      <w:marLeft w:val="0"/>
                      <w:marRight w:val="0"/>
                      <w:marTop w:val="0"/>
                      <w:marBottom w:val="0"/>
                      <w:divBdr>
                        <w:top w:val="none" w:sz="0" w:space="0" w:color="auto"/>
                        <w:left w:val="none" w:sz="0" w:space="0" w:color="auto"/>
                        <w:bottom w:val="none" w:sz="0" w:space="0" w:color="auto"/>
                        <w:right w:val="none" w:sz="0" w:space="0" w:color="auto"/>
                      </w:divBdr>
                      <w:divsChild>
                        <w:div w:id="1435397948">
                          <w:marLeft w:val="0"/>
                          <w:marRight w:val="0"/>
                          <w:marTop w:val="0"/>
                          <w:marBottom w:val="0"/>
                          <w:divBdr>
                            <w:top w:val="none" w:sz="0" w:space="0" w:color="auto"/>
                            <w:left w:val="none" w:sz="0" w:space="0" w:color="auto"/>
                            <w:bottom w:val="none" w:sz="0" w:space="0" w:color="auto"/>
                            <w:right w:val="none" w:sz="0" w:space="0" w:color="auto"/>
                          </w:divBdr>
                          <w:divsChild>
                            <w:div w:id="2096002909">
                              <w:marLeft w:val="0"/>
                              <w:marRight w:val="0"/>
                              <w:marTop w:val="120"/>
                              <w:marBottom w:val="360"/>
                              <w:divBdr>
                                <w:top w:val="none" w:sz="0" w:space="0" w:color="auto"/>
                                <w:left w:val="none" w:sz="0" w:space="0" w:color="auto"/>
                                <w:bottom w:val="none" w:sz="0" w:space="0" w:color="auto"/>
                                <w:right w:val="none" w:sz="0" w:space="0" w:color="auto"/>
                              </w:divBdr>
                              <w:divsChild>
                                <w:div w:id="658583169">
                                  <w:marLeft w:val="0"/>
                                  <w:marRight w:val="0"/>
                                  <w:marTop w:val="0"/>
                                  <w:marBottom w:val="0"/>
                                  <w:divBdr>
                                    <w:top w:val="none" w:sz="0" w:space="0" w:color="auto"/>
                                    <w:left w:val="none" w:sz="0" w:space="0" w:color="auto"/>
                                    <w:bottom w:val="none" w:sz="0" w:space="0" w:color="auto"/>
                                    <w:right w:val="none" w:sz="0" w:space="0" w:color="auto"/>
                                  </w:divBdr>
                                </w:div>
                                <w:div w:id="5060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648276">
      <w:bodyDiv w:val="1"/>
      <w:marLeft w:val="0"/>
      <w:marRight w:val="0"/>
      <w:marTop w:val="0"/>
      <w:marBottom w:val="0"/>
      <w:divBdr>
        <w:top w:val="none" w:sz="0" w:space="0" w:color="auto"/>
        <w:left w:val="none" w:sz="0" w:space="0" w:color="auto"/>
        <w:bottom w:val="none" w:sz="0" w:space="0" w:color="auto"/>
        <w:right w:val="none" w:sz="0" w:space="0" w:color="auto"/>
      </w:divBdr>
      <w:divsChild>
        <w:div w:id="1965890965">
          <w:marLeft w:val="0"/>
          <w:marRight w:val="1"/>
          <w:marTop w:val="0"/>
          <w:marBottom w:val="0"/>
          <w:divBdr>
            <w:top w:val="none" w:sz="0" w:space="0" w:color="auto"/>
            <w:left w:val="none" w:sz="0" w:space="0" w:color="auto"/>
            <w:bottom w:val="none" w:sz="0" w:space="0" w:color="auto"/>
            <w:right w:val="none" w:sz="0" w:space="0" w:color="auto"/>
          </w:divBdr>
          <w:divsChild>
            <w:div w:id="533884892">
              <w:marLeft w:val="0"/>
              <w:marRight w:val="0"/>
              <w:marTop w:val="0"/>
              <w:marBottom w:val="0"/>
              <w:divBdr>
                <w:top w:val="none" w:sz="0" w:space="0" w:color="auto"/>
                <w:left w:val="none" w:sz="0" w:space="0" w:color="auto"/>
                <w:bottom w:val="none" w:sz="0" w:space="0" w:color="auto"/>
                <w:right w:val="none" w:sz="0" w:space="0" w:color="auto"/>
              </w:divBdr>
              <w:divsChild>
                <w:div w:id="857737754">
                  <w:marLeft w:val="0"/>
                  <w:marRight w:val="1"/>
                  <w:marTop w:val="0"/>
                  <w:marBottom w:val="0"/>
                  <w:divBdr>
                    <w:top w:val="none" w:sz="0" w:space="0" w:color="auto"/>
                    <w:left w:val="none" w:sz="0" w:space="0" w:color="auto"/>
                    <w:bottom w:val="none" w:sz="0" w:space="0" w:color="auto"/>
                    <w:right w:val="none" w:sz="0" w:space="0" w:color="auto"/>
                  </w:divBdr>
                  <w:divsChild>
                    <w:div w:id="981806391">
                      <w:marLeft w:val="0"/>
                      <w:marRight w:val="0"/>
                      <w:marTop w:val="0"/>
                      <w:marBottom w:val="0"/>
                      <w:divBdr>
                        <w:top w:val="none" w:sz="0" w:space="0" w:color="auto"/>
                        <w:left w:val="none" w:sz="0" w:space="0" w:color="auto"/>
                        <w:bottom w:val="none" w:sz="0" w:space="0" w:color="auto"/>
                        <w:right w:val="none" w:sz="0" w:space="0" w:color="auto"/>
                      </w:divBdr>
                      <w:divsChild>
                        <w:div w:id="1734348402">
                          <w:marLeft w:val="0"/>
                          <w:marRight w:val="0"/>
                          <w:marTop w:val="0"/>
                          <w:marBottom w:val="0"/>
                          <w:divBdr>
                            <w:top w:val="none" w:sz="0" w:space="0" w:color="auto"/>
                            <w:left w:val="none" w:sz="0" w:space="0" w:color="auto"/>
                            <w:bottom w:val="none" w:sz="0" w:space="0" w:color="auto"/>
                            <w:right w:val="none" w:sz="0" w:space="0" w:color="auto"/>
                          </w:divBdr>
                          <w:divsChild>
                            <w:div w:id="429594224">
                              <w:marLeft w:val="0"/>
                              <w:marRight w:val="0"/>
                              <w:marTop w:val="120"/>
                              <w:marBottom w:val="360"/>
                              <w:divBdr>
                                <w:top w:val="none" w:sz="0" w:space="0" w:color="auto"/>
                                <w:left w:val="none" w:sz="0" w:space="0" w:color="auto"/>
                                <w:bottom w:val="none" w:sz="0" w:space="0" w:color="auto"/>
                                <w:right w:val="none" w:sz="0" w:space="0" w:color="auto"/>
                              </w:divBdr>
                              <w:divsChild>
                                <w:div w:id="801267780">
                                  <w:marLeft w:val="0"/>
                                  <w:marRight w:val="0"/>
                                  <w:marTop w:val="0"/>
                                  <w:marBottom w:val="0"/>
                                  <w:divBdr>
                                    <w:top w:val="none" w:sz="0" w:space="0" w:color="auto"/>
                                    <w:left w:val="none" w:sz="0" w:space="0" w:color="auto"/>
                                    <w:bottom w:val="none" w:sz="0" w:space="0" w:color="auto"/>
                                    <w:right w:val="none" w:sz="0" w:space="0" w:color="auto"/>
                                  </w:divBdr>
                                </w:div>
                                <w:div w:id="7405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yperlink" Target="https://www.tga.gov.au/product-information-pi" TargetMode="External"/><Relationship Id="rId18" Type="http://schemas.openxmlformats.org/officeDocument/2006/relationships/hyperlink" Target="mailto:vaccines@health.gov.a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tga.gov.au/guidance-7-certified-product-details" TargetMode="External"/><Relationship Id="rId25" Type="http://schemas.openxmlformats.org/officeDocument/2006/relationships/hyperlink" Target="https://www.tga.gov.au"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nfo@tga.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tga.gov.au/product-information-p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yperlink" Target="mailto:vaccines@health.gov.au"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ubmed/?term=Caramaschi%20F%5BAuthor%5D&amp;cauthor=true&amp;cauthor_uid=22940713" TargetMode="External"/><Relationship Id="rId13" Type="http://schemas.openxmlformats.org/officeDocument/2006/relationships/hyperlink" Target="https://www.ncbi.nlm.nih.gov/pubmed/?term=Van%20Buynder%20PG%5BAuthor%5D&amp;cauthor=true&amp;cauthor_uid=23933368" TargetMode="External"/><Relationship Id="rId18" Type="http://schemas.openxmlformats.org/officeDocument/2006/relationships/hyperlink" Target="https://www.ncbi.nlm.nih.gov/pubmed/?term=Ramler%20G%5BAuthor%5D&amp;cauthor=true&amp;cauthor_uid=23933368" TargetMode="External"/><Relationship Id="rId3" Type="http://schemas.openxmlformats.org/officeDocument/2006/relationships/hyperlink" Target="https://www.ncbi.nlm.nih.gov/pubmed/?term=Apolone%20G%5BAuthor%5D&amp;cauthor=true&amp;cauthor_uid=22940713" TargetMode="External"/><Relationship Id="rId21" Type="http://schemas.openxmlformats.org/officeDocument/2006/relationships/hyperlink" Target="http://ausvaxsafety.org.au/" TargetMode="External"/><Relationship Id="rId7" Type="http://schemas.openxmlformats.org/officeDocument/2006/relationships/hyperlink" Target="https://www.ncbi.nlm.nih.gov/pubmed/?term=Boldori%20L%5BAuthor%5D&amp;cauthor=true&amp;cauthor_uid=22940713" TargetMode="External"/><Relationship Id="rId12" Type="http://schemas.openxmlformats.org/officeDocument/2006/relationships/hyperlink" Target="https://www.ncbi.nlm.nih.gov/pubmed/22940713" TargetMode="External"/><Relationship Id="rId17" Type="http://schemas.openxmlformats.org/officeDocument/2006/relationships/hyperlink" Target="https://www.ncbi.nlm.nih.gov/pubmed/?term=Krajden%20M%5BAuthor%5D&amp;cauthor=true&amp;cauthor_uid=23933368" TargetMode="External"/><Relationship Id="rId2" Type="http://schemas.openxmlformats.org/officeDocument/2006/relationships/hyperlink" Target="https://www.ncbi.nlm.nih.gov/pubmed/?term=Villa%20M%5BAuthor%5D&amp;cauthor=true&amp;cauthor_uid=22940713" TargetMode="External"/><Relationship Id="rId16" Type="http://schemas.openxmlformats.org/officeDocument/2006/relationships/hyperlink" Target="https://www.ncbi.nlm.nih.gov/pubmed/?term=Brodkin%20E%5BAuthor%5D&amp;cauthor=true&amp;cauthor_uid=23933368" TargetMode="External"/><Relationship Id="rId20" Type="http://schemas.openxmlformats.org/officeDocument/2006/relationships/hyperlink" Target="https://www.ncbi.nlm.nih.gov/pubmed/23933368" TargetMode="External"/><Relationship Id="rId1" Type="http://schemas.openxmlformats.org/officeDocument/2006/relationships/hyperlink" Target="https://www.ncbi.nlm.nih.gov/pubmed/?term=Mannino%20S%5BAuthor%5D&amp;cauthor=true&amp;cauthor_uid=22940713" TargetMode="External"/><Relationship Id="rId6" Type="http://schemas.openxmlformats.org/officeDocument/2006/relationships/hyperlink" Target="https://www.ncbi.nlm.nih.gov/pubmed/?term=Aquino%20I%5BAuthor%5D&amp;cauthor=true&amp;cauthor_uid=22940713" TargetMode="External"/><Relationship Id="rId11" Type="http://schemas.openxmlformats.org/officeDocument/2006/relationships/hyperlink" Target="https://www.ncbi.nlm.nih.gov/pubmed/?term=Rothman%20KJ%5BAuthor%5D&amp;cauthor=true&amp;cauthor_uid=22940713" TargetMode="External"/><Relationship Id="rId5" Type="http://schemas.openxmlformats.org/officeDocument/2006/relationships/hyperlink" Target="https://www.ncbi.nlm.nih.gov/pubmed/?term=Groth%20N%5BAuthor%5D&amp;cauthor=true&amp;cauthor_uid=22940713" TargetMode="External"/><Relationship Id="rId15" Type="http://schemas.openxmlformats.org/officeDocument/2006/relationships/hyperlink" Target="https://www.ncbi.nlm.nih.gov/pubmed/?term=Van%20Buynder%20JL%5BAuthor%5D&amp;cauthor=true&amp;cauthor_uid=23933368" TargetMode="External"/><Relationship Id="rId10" Type="http://schemas.openxmlformats.org/officeDocument/2006/relationships/hyperlink" Target="https://www.ncbi.nlm.nih.gov/pubmed/?term=Malchiodi%20G%5BAuthor%5D&amp;cauthor=true&amp;cauthor_uid=22940713" TargetMode="External"/><Relationship Id="rId19" Type="http://schemas.openxmlformats.org/officeDocument/2006/relationships/hyperlink" Target="https://www.ncbi.nlm.nih.gov/pubmed/?term=Bigham%20M%5BAuthor%5D&amp;cauthor=true&amp;cauthor_uid=23933368" TargetMode="External"/><Relationship Id="rId4" Type="http://schemas.openxmlformats.org/officeDocument/2006/relationships/hyperlink" Target="https://www.ncbi.nlm.nih.gov/pubmed/?term=Weiss%20NS%5BAuthor%5D&amp;cauthor=true&amp;cauthor_uid=22940713" TargetMode="External"/><Relationship Id="rId9" Type="http://schemas.openxmlformats.org/officeDocument/2006/relationships/hyperlink" Target="https://www.ncbi.nlm.nih.gov/pubmed/?term=Gattinoni%20A%5BAuthor%5D&amp;cauthor=true&amp;cauthor_uid=22940713" TargetMode="External"/><Relationship Id="rId14" Type="http://schemas.openxmlformats.org/officeDocument/2006/relationships/hyperlink" Target="https://www.ncbi.nlm.nih.gov/pubmed/?term=Konrad%20S%5BAuthor%5D&amp;cauthor=true&amp;cauthor_uid=23933368" TargetMode="External"/><Relationship Id="rId22" Type="http://schemas.openxmlformats.org/officeDocument/2006/relationships/hyperlink" Target="https://www.ncbi.nlm.nih.gov/pubmed/2571413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9060\D19-5975236%20%20AusPAR%20-%20template%20-%20streamlined.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07094-2E1D-4F4F-BCBA-F4A4CDE6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D19-5975236  AusPAR - template - streamlined.DOTX</Template>
  <TotalTime>32</TotalTime>
  <Pages>24</Pages>
  <Words>8251</Words>
  <Characters>47032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Department of Health Therapeutic Goods Administration</Company>
  <LinksUpToDate>false</LinksUpToDate>
  <CharactersWithSpaces>55173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Influenza virus haemagglutinin</dc:title>
  <dc:subject>prescription medicine regulation</dc:subject>
  <dc:creator>Therapeutic Goods Administration</dc:creator>
  <cp:keywords>AusPARs</cp:keywords>
  <cp:lastPrinted>2019-08-14T04:30:00Z</cp:lastPrinted>
  <dcterms:created xsi:type="dcterms:W3CDTF">2019-11-11T01:39:00Z</dcterms:created>
  <dcterms:modified xsi:type="dcterms:W3CDTF">2019-12-05T00:57:00Z</dcterms:modified>
  <cp:category>external publication</cp:category>
</cp:coreProperties>
</file>