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61"/>
      </w:tblGrid>
      <w:tr w:rsidR="008E7846" w:rsidRPr="00487162" w:rsidTr="002E6F0C">
        <w:trPr>
          <w:trHeight w:val="1984"/>
        </w:trPr>
        <w:tc>
          <w:tcPr>
            <w:tcW w:w="7861" w:type="dxa"/>
            <w:tcBorders>
              <w:top w:val="nil"/>
              <w:left w:val="nil"/>
              <w:bottom w:val="nil"/>
              <w:right w:val="nil"/>
            </w:tcBorders>
          </w:tcPr>
          <w:p w:rsidR="008E7846" w:rsidRPr="0017078F" w:rsidRDefault="002E6F0C" w:rsidP="0017078F">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23 February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2E6F0C" w:rsidRDefault="00E07F15" w:rsidP="002E6F0C">
            <w:pPr>
              <w:pStyle w:val="Title"/>
              <w:rPr>
                <w:color w:val="FFFFFF" w:themeColor="background1"/>
              </w:rPr>
            </w:pPr>
            <w:r w:rsidRPr="002E6F0C">
              <w:rPr>
                <w:color w:val="FFFFFF" w:themeColor="background1"/>
              </w:rPr>
              <w:t xml:space="preserve">Extract from the Clinical Evaluation Report for </w:t>
            </w:r>
            <w:r w:rsidR="002E6F0C" w:rsidRPr="002E6F0C">
              <w:rPr>
                <w:color w:val="FFFFFF" w:themeColor="background1"/>
              </w:rPr>
              <w:t>Ingenol Mebutate</w:t>
            </w:r>
          </w:p>
        </w:tc>
      </w:tr>
      <w:tr w:rsidR="00E07F15" w:rsidRPr="00B64760" w:rsidTr="00E07F15">
        <w:tc>
          <w:tcPr>
            <w:tcW w:w="9079" w:type="dxa"/>
          </w:tcPr>
          <w:p w:rsidR="00E07F15" w:rsidRPr="002E6F0C" w:rsidRDefault="00E07F15" w:rsidP="00E07F15">
            <w:pPr>
              <w:pStyle w:val="Subtitle"/>
              <w:rPr>
                <w:color w:val="FFFFFF" w:themeColor="background1"/>
              </w:rPr>
            </w:pPr>
            <w:r w:rsidRPr="002E6F0C">
              <w:rPr>
                <w:color w:val="FFFFFF" w:themeColor="background1"/>
              </w:rPr>
              <w:t xml:space="preserve">Proprietary Product Name: </w:t>
            </w:r>
            <w:r w:rsidR="002E6F0C" w:rsidRPr="002E6F0C">
              <w:rPr>
                <w:color w:val="FFFFFF" w:themeColor="background1"/>
              </w:rPr>
              <w:t>Picato Gel</w:t>
            </w:r>
          </w:p>
        </w:tc>
      </w:tr>
      <w:tr w:rsidR="00E07F15" w:rsidRPr="00B64760" w:rsidTr="00E07F15">
        <w:trPr>
          <w:trHeight w:val="486"/>
        </w:trPr>
        <w:tc>
          <w:tcPr>
            <w:tcW w:w="9079" w:type="dxa"/>
          </w:tcPr>
          <w:p w:rsidR="00E07F15" w:rsidRPr="002E6F0C" w:rsidRDefault="00E07F15" w:rsidP="002E6F0C">
            <w:pPr>
              <w:pStyle w:val="Subtitle"/>
              <w:rPr>
                <w:color w:val="FFFFFF" w:themeColor="background1"/>
              </w:rPr>
            </w:pPr>
            <w:r w:rsidRPr="002E6F0C">
              <w:rPr>
                <w:color w:val="FFFFFF" w:themeColor="background1"/>
              </w:rPr>
              <w:t>Sponsor:</w:t>
            </w:r>
            <w:r w:rsidR="00631F91" w:rsidRPr="00631F91">
              <w:rPr>
                <w:color w:val="FFFFFF" w:themeColor="background1"/>
              </w:rPr>
              <w:t xml:space="preserve"> </w:t>
            </w:r>
            <w:r w:rsidR="002E6F0C" w:rsidRPr="002E6F0C">
              <w:rPr>
                <w:color w:val="FFFFFF" w:themeColor="background1"/>
              </w:rPr>
              <w:t>Leo Pharmaceutical Products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D46A49" w:rsidRDefault="003D0A3B" w:rsidP="00D46A49">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9632BC">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0154E" w:rsidRDefault="00D54EB2">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127726" w:history="1">
            <w:r w:rsidR="0070154E" w:rsidRPr="00442AC7">
              <w:rPr>
                <w:rStyle w:val="Hyperlink"/>
                <w:noProof/>
                <w:lang w:eastAsia="en-AU"/>
              </w:rPr>
              <w:t>1.</w:t>
            </w:r>
            <w:r w:rsidR="0070154E">
              <w:rPr>
                <w:rFonts w:asciiTheme="minorHAnsi" w:eastAsiaTheme="minorEastAsia" w:hAnsiTheme="minorHAnsi" w:cstheme="minorBidi"/>
                <w:b w:val="0"/>
                <w:noProof/>
                <w:sz w:val="22"/>
                <w:lang w:eastAsia="en-AU"/>
              </w:rPr>
              <w:tab/>
            </w:r>
            <w:r w:rsidR="0070154E" w:rsidRPr="00442AC7">
              <w:rPr>
                <w:rStyle w:val="Hyperlink"/>
                <w:noProof/>
                <w:lang w:eastAsia="en-AU"/>
              </w:rPr>
              <w:t>Clinical rationale</w:t>
            </w:r>
            <w:r w:rsidR="0070154E">
              <w:rPr>
                <w:noProof/>
                <w:webHidden/>
              </w:rPr>
              <w:tab/>
            </w:r>
            <w:r w:rsidR="0070154E">
              <w:rPr>
                <w:noProof/>
                <w:webHidden/>
              </w:rPr>
              <w:fldChar w:fldCharType="begin"/>
            </w:r>
            <w:r w:rsidR="0070154E">
              <w:rPr>
                <w:noProof/>
                <w:webHidden/>
              </w:rPr>
              <w:instrText xml:space="preserve"> PAGEREF _Toc367127726 \h </w:instrText>
            </w:r>
            <w:r w:rsidR="0070154E">
              <w:rPr>
                <w:noProof/>
                <w:webHidden/>
              </w:rPr>
            </w:r>
            <w:r w:rsidR="0070154E">
              <w:rPr>
                <w:noProof/>
                <w:webHidden/>
              </w:rPr>
              <w:fldChar w:fldCharType="separate"/>
            </w:r>
            <w:r w:rsidR="0070154E">
              <w:rPr>
                <w:noProof/>
                <w:webHidden/>
              </w:rPr>
              <w:t>5</w:t>
            </w:r>
            <w:r w:rsidR="0070154E">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27" w:history="1">
            <w:r w:rsidRPr="00442AC7">
              <w:rPr>
                <w:rStyle w:val="Hyperlink"/>
                <w:noProof/>
                <w:lang w:eastAsia="en-AU"/>
              </w:rPr>
              <w:t>2.</w:t>
            </w:r>
            <w:r>
              <w:rPr>
                <w:rFonts w:asciiTheme="minorHAnsi" w:eastAsiaTheme="minorEastAsia" w:hAnsiTheme="minorHAnsi" w:cstheme="minorBidi"/>
                <w:b w:val="0"/>
                <w:noProof/>
                <w:sz w:val="22"/>
                <w:lang w:eastAsia="en-AU"/>
              </w:rPr>
              <w:tab/>
            </w:r>
            <w:r w:rsidRPr="00442AC7">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_Toc367127727 \h </w:instrText>
            </w:r>
            <w:r>
              <w:rPr>
                <w:noProof/>
                <w:webHidden/>
              </w:rPr>
            </w:r>
            <w:r>
              <w:rPr>
                <w:noProof/>
                <w:webHidden/>
              </w:rPr>
              <w:fldChar w:fldCharType="separate"/>
            </w:r>
            <w:r>
              <w:rPr>
                <w:noProof/>
                <w:webHidden/>
              </w:rPr>
              <w:t>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28" w:history="1">
            <w:r w:rsidRPr="00442AC7">
              <w:rPr>
                <w:rStyle w:val="Hyperlink"/>
                <w:noProof/>
              </w:rPr>
              <w:t>2.1.</w:t>
            </w:r>
            <w:r>
              <w:rPr>
                <w:rFonts w:asciiTheme="minorHAnsi" w:eastAsiaTheme="minorEastAsia" w:hAnsiTheme="minorHAnsi" w:cstheme="minorBidi"/>
                <w:noProof/>
                <w:lang w:eastAsia="en-AU"/>
              </w:rPr>
              <w:tab/>
            </w:r>
            <w:r w:rsidRPr="00442AC7">
              <w:rPr>
                <w:rStyle w:val="Hyperlink"/>
                <w:noProof/>
              </w:rPr>
              <w:t>Scope of the clinical dossier</w:t>
            </w:r>
            <w:r>
              <w:rPr>
                <w:noProof/>
                <w:webHidden/>
              </w:rPr>
              <w:tab/>
            </w:r>
            <w:r>
              <w:rPr>
                <w:noProof/>
                <w:webHidden/>
              </w:rPr>
              <w:fldChar w:fldCharType="begin"/>
            </w:r>
            <w:r>
              <w:rPr>
                <w:noProof/>
                <w:webHidden/>
              </w:rPr>
              <w:instrText xml:space="preserve"> PAGEREF _Toc367127728 \h </w:instrText>
            </w:r>
            <w:r>
              <w:rPr>
                <w:noProof/>
                <w:webHidden/>
              </w:rPr>
            </w:r>
            <w:r>
              <w:rPr>
                <w:noProof/>
                <w:webHidden/>
              </w:rPr>
              <w:fldChar w:fldCharType="separate"/>
            </w:r>
            <w:r>
              <w:rPr>
                <w:noProof/>
                <w:webHidden/>
              </w:rPr>
              <w:t>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29" w:history="1">
            <w:r w:rsidRPr="00442AC7">
              <w:rPr>
                <w:rStyle w:val="Hyperlink"/>
                <w:noProof/>
              </w:rPr>
              <w:t>2.2.</w:t>
            </w:r>
            <w:r>
              <w:rPr>
                <w:rFonts w:asciiTheme="minorHAnsi" w:eastAsiaTheme="minorEastAsia" w:hAnsiTheme="minorHAnsi" w:cstheme="minorBidi"/>
                <w:noProof/>
                <w:lang w:eastAsia="en-AU"/>
              </w:rPr>
              <w:tab/>
            </w:r>
            <w:r w:rsidRPr="00442AC7">
              <w:rPr>
                <w:rStyle w:val="Hyperlink"/>
                <w:noProof/>
              </w:rPr>
              <w:t>Paediatric data</w:t>
            </w:r>
            <w:r>
              <w:rPr>
                <w:noProof/>
                <w:webHidden/>
              </w:rPr>
              <w:tab/>
            </w:r>
            <w:r>
              <w:rPr>
                <w:noProof/>
                <w:webHidden/>
              </w:rPr>
              <w:fldChar w:fldCharType="begin"/>
            </w:r>
            <w:r>
              <w:rPr>
                <w:noProof/>
                <w:webHidden/>
              </w:rPr>
              <w:instrText xml:space="preserve"> PAGEREF _Toc367127729 \h </w:instrText>
            </w:r>
            <w:r>
              <w:rPr>
                <w:noProof/>
                <w:webHidden/>
              </w:rPr>
            </w:r>
            <w:r>
              <w:rPr>
                <w:noProof/>
                <w:webHidden/>
              </w:rPr>
              <w:fldChar w:fldCharType="separate"/>
            </w:r>
            <w:r>
              <w:rPr>
                <w:noProof/>
                <w:webHidden/>
              </w:rPr>
              <w:t>6</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0" w:history="1">
            <w:r w:rsidRPr="00442AC7">
              <w:rPr>
                <w:rStyle w:val="Hyperlink"/>
                <w:noProof/>
              </w:rPr>
              <w:t>2.3.</w:t>
            </w:r>
            <w:r>
              <w:rPr>
                <w:rFonts w:asciiTheme="minorHAnsi" w:eastAsiaTheme="minorEastAsia" w:hAnsiTheme="minorHAnsi" w:cstheme="minorBidi"/>
                <w:noProof/>
                <w:lang w:eastAsia="en-AU"/>
              </w:rPr>
              <w:tab/>
            </w:r>
            <w:r w:rsidRPr="00442AC7">
              <w:rPr>
                <w:rStyle w:val="Hyperlink"/>
                <w:noProof/>
              </w:rPr>
              <w:t>Good clinical practice</w:t>
            </w:r>
            <w:r>
              <w:rPr>
                <w:noProof/>
                <w:webHidden/>
              </w:rPr>
              <w:tab/>
            </w:r>
            <w:r>
              <w:rPr>
                <w:noProof/>
                <w:webHidden/>
              </w:rPr>
              <w:fldChar w:fldCharType="begin"/>
            </w:r>
            <w:r>
              <w:rPr>
                <w:noProof/>
                <w:webHidden/>
              </w:rPr>
              <w:instrText xml:space="preserve"> PAGEREF _Toc367127730 \h </w:instrText>
            </w:r>
            <w:r>
              <w:rPr>
                <w:noProof/>
                <w:webHidden/>
              </w:rPr>
            </w:r>
            <w:r>
              <w:rPr>
                <w:noProof/>
                <w:webHidden/>
              </w:rPr>
              <w:fldChar w:fldCharType="separate"/>
            </w:r>
            <w:r>
              <w:rPr>
                <w:noProof/>
                <w:webHidden/>
              </w:rPr>
              <w:t>6</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31" w:history="1">
            <w:r w:rsidRPr="00442AC7">
              <w:rPr>
                <w:rStyle w:val="Hyperlink"/>
                <w:noProof/>
              </w:rPr>
              <w:t>3.</w:t>
            </w:r>
            <w:r>
              <w:rPr>
                <w:rFonts w:asciiTheme="minorHAnsi" w:eastAsiaTheme="minorEastAsia" w:hAnsiTheme="minorHAnsi" w:cstheme="minorBidi"/>
                <w:b w:val="0"/>
                <w:noProof/>
                <w:sz w:val="22"/>
                <w:lang w:eastAsia="en-AU"/>
              </w:rPr>
              <w:tab/>
            </w:r>
            <w:r w:rsidRPr="00442AC7">
              <w:rPr>
                <w:rStyle w:val="Hyperlink"/>
                <w:noProof/>
              </w:rPr>
              <w:t>Pharmacokinetics</w:t>
            </w:r>
            <w:r>
              <w:rPr>
                <w:noProof/>
                <w:webHidden/>
              </w:rPr>
              <w:tab/>
            </w:r>
            <w:r>
              <w:rPr>
                <w:noProof/>
                <w:webHidden/>
              </w:rPr>
              <w:fldChar w:fldCharType="begin"/>
            </w:r>
            <w:r>
              <w:rPr>
                <w:noProof/>
                <w:webHidden/>
              </w:rPr>
              <w:instrText xml:space="preserve"> PAGEREF _Toc367127731 \h </w:instrText>
            </w:r>
            <w:r>
              <w:rPr>
                <w:noProof/>
                <w:webHidden/>
              </w:rPr>
            </w:r>
            <w:r>
              <w:rPr>
                <w:noProof/>
                <w:webHidden/>
              </w:rPr>
              <w:fldChar w:fldCharType="separate"/>
            </w:r>
            <w:r>
              <w:rPr>
                <w:noProof/>
                <w:webHidden/>
              </w:rPr>
              <w:t>6</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2" w:history="1">
            <w:r w:rsidRPr="00442AC7">
              <w:rPr>
                <w:rStyle w:val="Hyperlink"/>
                <w:noProof/>
              </w:rPr>
              <w:t>3.1.</w:t>
            </w:r>
            <w:r>
              <w:rPr>
                <w:rFonts w:asciiTheme="minorHAnsi" w:eastAsiaTheme="minorEastAsia" w:hAnsiTheme="minorHAnsi" w:cstheme="minorBidi"/>
                <w:noProof/>
                <w:lang w:eastAsia="en-AU"/>
              </w:rPr>
              <w:tab/>
            </w:r>
            <w:r w:rsidRPr="00442AC7">
              <w:rPr>
                <w:rStyle w:val="Hyperlink"/>
                <w:noProof/>
              </w:rPr>
              <w:t>Introduction</w:t>
            </w:r>
            <w:r>
              <w:rPr>
                <w:noProof/>
                <w:webHidden/>
              </w:rPr>
              <w:tab/>
            </w:r>
            <w:r>
              <w:rPr>
                <w:noProof/>
                <w:webHidden/>
              </w:rPr>
              <w:fldChar w:fldCharType="begin"/>
            </w:r>
            <w:r>
              <w:rPr>
                <w:noProof/>
                <w:webHidden/>
              </w:rPr>
              <w:instrText xml:space="preserve"> PAGEREF _Toc367127732 \h </w:instrText>
            </w:r>
            <w:r>
              <w:rPr>
                <w:noProof/>
                <w:webHidden/>
              </w:rPr>
            </w:r>
            <w:r>
              <w:rPr>
                <w:noProof/>
                <w:webHidden/>
              </w:rPr>
              <w:fldChar w:fldCharType="separate"/>
            </w:r>
            <w:r>
              <w:rPr>
                <w:noProof/>
                <w:webHidden/>
              </w:rPr>
              <w:t>6</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3" w:history="1">
            <w:r w:rsidRPr="00442AC7">
              <w:rPr>
                <w:rStyle w:val="Hyperlink"/>
                <w:noProof/>
              </w:rPr>
              <w:t>3.2.</w:t>
            </w:r>
            <w:r>
              <w:rPr>
                <w:rFonts w:asciiTheme="minorHAnsi" w:eastAsiaTheme="minorEastAsia" w:hAnsiTheme="minorHAnsi" w:cstheme="minorBidi"/>
                <w:noProof/>
                <w:lang w:eastAsia="en-AU"/>
              </w:rPr>
              <w:tab/>
            </w:r>
            <w:r w:rsidRPr="00442AC7">
              <w:rPr>
                <w:rStyle w:val="Hyperlink"/>
                <w:noProof/>
              </w:rPr>
              <w:t>Methods</w:t>
            </w:r>
            <w:r>
              <w:rPr>
                <w:noProof/>
                <w:webHidden/>
              </w:rPr>
              <w:tab/>
            </w:r>
            <w:r>
              <w:rPr>
                <w:noProof/>
                <w:webHidden/>
              </w:rPr>
              <w:fldChar w:fldCharType="begin"/>
            </w:r>
            <w:r>
              <w:rPr>
                <w:noProof/>
                <w:webHidden/>
              </w:rPr>
              <w:instrText xml:space="preserve"> PAGEREF _Toc367127733 \h </w:instrText>
            </w:r>
            <w:r>
              <w:rPr>
                <w:noProof/>
                <w:webHidden/>
              </w:rPr>
            </w:r>
            <w:r>
              <w:rPr>
                <w:noProof/>
                <w:webHidden/>
              </w:rPr>
              <w:fldChar w:fldCharType="separate"/>
            </w:r>
            <w:r>
              <w:rPr>
                <w:noProof/>
                <w:webHidden/>
              </w:rPr>
              <w:t>6</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4" w:history="1">
            <w:r w:rsidRPr="00442AC7">
              <w:rPr>
                <w:rStyle w:val="Hyperlink"/>
                <w:noProof/>
              </w:rPr>
              <w:t>3.3.</w:t>
            </w:r>
            <w:r>
              <w:rPr>
                <w:rFonts w:asciiTheme="minorHAnsi" w:eastAsiaTheme="minorEastAsia" w:hAnsiTheme="minorHAnsi" w:cstheme="minorBidi"/>
                <w:noProof/>
                <w:lang w:eastAsia="en-AU"/>
              </w:rPr>
              <w:tab/>
            </w:r>
            <w:r w:rsidRPr="00442AC7">
              <w:rPr>
                <w:rStyle w:val="Hyperlink"/>
                <w:noProof/>
              </w:rPr>
              <w:t>Absorption</w:t>
            </w:r>
            <w:r>
              <w:rPr>
                <w:noProof/>
                <w:webHidden/>
              </w:rPr>
              <w:tab/>
            </w:r>
            <w:r>
              <w:rPr>
                <w:noProof/>
                <w:webHidden/>
              </w:rPr>
              <w:fldChar w:fldCharType="begin"/>
            </w:r>
            <w:r>
              <w:rPr>
                <w:noProof/>
                <w:webHidden/>
              </w:rPr>
              <w:instrText xml:space="preserve"> PAGEREF _Toc367127734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5" w:history="1">
            <w:r w:rsidRPr="00442AC7">
              <w:rPr>
                <w:rStyle w:val="Hyperlink"/>
                <w:noProof/>
              </w:rPr>
              <w:t>3.4.</w:t>
            </w:r>
            <w:r>
              <w:rPr>
                <w:rFonts w:asciiTheme="minorHAnsi" w:eastAsiaTheme="minorEastAsia" w:hAnsiTheme="minorHAnsi" w:cstheme="minorBidi"/>
                <w:noProof/>
                <w:lang w:eastAsia="en-AU"/>
              </w:rPr>
              <w:tab/>
            </w:r>
            <w:r w:rsidRPr="00442AC7">
              <w:rPr>
                <w:rStyle w:val="Hyperlink"/>
                <w:noProof/>
              </w:rPr>
              <w:t>Distribution</w:t>
            </w:r>
            <w:r>
              <w:rPr>
                <w:noProof/>
                <w:webHidden/>
              </w:rPr>
              <w:tab/>
            </w:r>
            <w:r>
              <w:rPr>
                <w:noProof/>
                <w:webHidden/>
              </w:rPr>
              <w:fldChar w:fldCharType="begin"/>
            </w:r>
            <w:r>
              <w:rPr>
                <w:noProof/>
                <w:webHidden/>
              </w:rPr>
              <w:instrText xml:space="preserve"> PAGEREF _Toc367127735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6" w:history="1">
            <w:r w:rsidRPr="00442AC7">
              <w:rPr>
                <w:rStyle w:val="Hyperlink"/>
                <w:noProof/>
              </w:rPr>
              <w:t>3.5.</w:t>
            </w:r>
            <w:r>
              <w:rPr>
                <w:rFonts w:asciiTheme="minorHAnsi" w:eastAsiaTheme="minorEastAsia" w:hAnsiTheme="minorHAnsi" w:cstheme="minorBidi"/>
                <w:noProof/>
                <w:lang w:eastAsia="en-AU"/>
              </w:rPr>
              <w:tab/>
            </w:r>
            <w:r w:rsidRPr="00442AC7">
              <w:rPr>
                <w:rStyle w:val="Hyperlink"/>
                <w:noProof/>
              </w:rPr>
              <w:t>Elimination</w:t>
            </w:r>
            <w:r>
              <w:rPr>
                <w:noProof/>
                <w:webHidden/>
              </w:rPr>
              <w:tab/>
            </w:r>
            <w:r>
              <w:rPr>
                <w:noProof/>
                <w:webHidden/>
              </w:rPr>
              <w:fldChar w:fldCharType="begin"/>
            </w:r>
            <w:r>
              <w:rPr>
                <w:noProof/>
                <w:webHidden/>
              </w:rPr>
              <w:instrText xml:space="preserve"> PAGEREF _Toc367127736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7" w:history="1">
            <w:r w:rsidRPr="00442AC7">
              <w:rPr>
                <w:rStyle w:val="Hyperlink"/>
                <w:noProof/>
              </w:rPr>
              <w:t>3.6.</w:t>
            </w:r>
            <w:r>
              <w:rPr>
                <w:rFonts w:asciiTheme="minorHAnsi" w:eastAsiaTheme="minorEastAsia" w:hAnsiTheme="minorHAnsi" w:cstheme="minorBidi"/>
                <w:noProof/>
                <w:lang w:eastAsia="en-AU"/>
              </w:rPr>
              <w:tab/>
            </w:r>
            <w:r w:rsidRPr="00442AC7">
              <w:rPr>
                <w:rStyle w:val="Hyperlink"/>
                <w:noProof/>
              </w:rPr>
              <w:t>Dose proportionality and time dependency</w:t>
            </w:r>
            <w:r>
              <w:rPr>
                <w:noProof/>
                <w:webHidden/>
              </w:rPr>
              <w:tab/>
            </w:r>
            <w:r>
              <w:rPr>
                <w:noProof/>
                <w:webHidden/>
              </w:rPr>
              <w:fldChar w:fldCharType="begin"/>
            </w:r>
            <w:r>
              <w:rPr>
                <w:noProof/>
                <w:webHidden/>
              </w:rPr>
              <w:instrText xml:space="preserve"> PAGEREF _Toc367127737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8" w:history="1">
            <w:r w:rsidRPr="00442AC7">
              <w:rPr>
                <w:rStyle w:val="Hyperlink"/>
                <w:noProof/>
              </w:rPr>
              <w:t>3.7.</w:t>
            </w:r>
            <w:r>
              <w:rPr>
                <w:rFonts w:asciiTheme="minorHAnsi" w:eastAsiaTheme="minorEastAsia" w:hAnsiTheme="minorHAnsi" w:cstheme="minorBidi"/>
                <w:noProof/>
                <w:lang w:eastAsia="en-AU"/>
              </w:rPr>
              <w:tab/>
            </w:r>
            <w:r w:rsidRPr="00442AC7">
              <w:rPr>
                <w:rStyle w:val="Hyperlink"/>
                <w:noProof/>
              </w:rPr>
              <w:t>Intra- and inter-individual variability</w:t>
            </w:r>
            <w:r>
              <w:rPr>
                <w:noProof/>
                <w:webHidden/>
              </w:rPr>
              <w:tab/>
            </w:r>
            <w:r>
              <w:rPr>
                <w:noProof/>
                <w:webHidden/>
              </w:rPr>
              <w:fldChar w:fldCharType="begin"/>
            </w:r>
            <w:r>
              <w:rPr>
                <w:noProof/>
                <w:webHidden/>
              </w:rPr>
              <w:instrText xml:space="preserve"> PAGEREF _Toc367127738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39" w:history="1">
            <w:r w:rsidRPr="00442AC7">
              <w:rPr>
                <w:rStyle w:val="Hyperlink"/>
                <w:noProof/>
              </w:rPr>
              <w:t>3.8.</w:t>
            </w:r>
            <w:r>
              <w:rPr>
                <w:rFonts w:asciiTheme="minorHAnsi" w:eastAsiaTheme="minorEastAsia" w:hAnsiTheme="minorHAnsi" w:cstheme="minorBidi"/>
                <w:noProof/>
                <w:lang w:eastAsia="en-AU"/>
              </w:rPr>
              <w:tab/>
            </w:r>
            <w:r w:rsidRPr="00442AC7">
              <w:rPr>
                <w:rStyle w:val="Hyperlink"/>
                <w:noProof/>
              </w:rPr>
              <w:t>Pharmacokinetics in the target population</w:t>
            </w:r>
            <w:r>
              <w:rPr>
                <w:noProof/>
                <w:webHidden/>
              </w:rPr>
              <w:tab/>
            </w:r>
            <w:r>
              <w:rPr>
                <w:noProof/>
                <w:webHidden/>
              </w:rPr>
              <w:fldChar w:fldCharType="begin"/>
            </w:r>
            <w:r>
              <w:rPr>
                <w:noProof/>
                <w:webHidden/>
              </w:rPr>
              <w:instrText xml:space="preserve"> PAGEREF _Toc367127739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0" w:history="1">
            <w:r w:rsidRPr="00442AC7">
              <w:rPr>
                <w:rStyle w:val="Hyperlink"/>
                <w:noProof/>
              </w:rPr>
              <w:t>3.9.</w:t>
            </w:r>
            <w:r>
              <w:rPr>
                <w:rFonts w:asciiTheme="minorHAnsi" w:eastAsiaTheme="minorEastAsia" w:hAnsiTheme="minorHAnsi" w:cstheme="minorBidi"/>
                <w:noProof/>
                <w:lang w:eastAsia="en-AU"/>
              </w:rPr>
              <w:tab/>
            </w:r>
            <w:r w:rsidRPr="00442AC7">
              <w:rPr>
                <w:rStyle w:val="Hyperlink"/>
                <w:noProof/>
              </w:rPr>
              <w:t>Pharmacokinetics in special populations</w:t>
            </w:r>
            <w:r>
              <w:rPr>
                <w:noProof/>
                <w:webHidden/>
              </w:rPr>
              <w:tab/>
            </w:r>
            <w:r>
              <w:rPr>
                <w:noProof/>
                <w:webHidden/>
              </w:rPr>
              <w:fldChar w:fldCharType="begin"/>
            </w:r>
            <w:r>
              <w:rPr>
                <w:noProof/>
                <w:webHidden/>
              </w:rPr>
              <w:instrText xml:space="preserve"> PAGEREF _Toc367127740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41" w:history="1">
            <w:r w:rsidRPr="00442AC7">
              <w:rPr>
                <w:rStyle w:val="Hyperlink"/>
                <w:noProof/>
              </w:rPr>
              <w:t>3.10.</w:t>
            </w:r>
            <w:r>
              <w:rPr>
                <w:rFonts w:asciiTheme="minorHAnsi" w:eastAsiaTheme="minorEastAsia" w:hAnsiTheme="minorHAnsi" w:cstheme="minorBidi"/>
                <w:noProof/>
                <w:lang w:eastAsia="en-AU"/>
              </w:rPr>
              <w:tab/>
            </w:r>
            <w:r w:rsidRPr="00442AC7">
              <w:rPr>
                <w:rStyle w:val="Hyperlink"/>
                <w:noProof/>
              </w:rPr>
              <w:t>Pharmacokinetic drug interactions</w:t>
            </w:r>
            <w:r>
              <w:rPr>
                <w:noProof/>
                <w:webHidden/>
              </w:rPr>
              <w:tab/>
            </w:r>
            <w:r>
              <w:rPr>
                <w:noProof/>
                <w:webHidden/>
              </w:rPr>
              <w:fldChar w:fldCharType="begin"/>
            </w:r>
            <w:r>
              <w:rPr>
                <w:noProof/>
                <w:webHidden/>
              </w:rPr>
              <w:instrText xml:space="preserve"> PAGEREF _Toc367127741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42" w:history="1">
            <w:r w:rsidRPr="00442AC7">
              <w:rPr>
                <w:rStyle w:val="Hyperlink"/>
                <w:noProof/>
              </w:rPr>
              <w:t>3.11.</w:t>
            </w:r>
            <w:r>
              <w:rPr>
                <w:rFonts w:asciiTheme="minorHAnsi" w:eastAsiaTheme="minorEastAsia" w:hAnsiTheme="minorHAnsi" w:cstheme="minorBidi"/>
                <w:noProof/>
                <w:lang w:eastAsia="en-AU"/>
              </w:rPr>
              <w:tab/>
            </w:r>
            <w:r w:rsidRPr="00442AC7">
              <w:rPr>
                <w:rStyle w:val="Hyperlink"/>
                <w:noProof/>
              </w:rPr>
              <w:t>Exposure relevant for safety evaluation</w:t>
            </w:r>
            <w:r>
              <w:rPr>
                <w:noProof/>
                <w:webHidden/>
              </w:rPr>
              <w:tab/>
            </w:r>
            <w:r>
              <w:rPr>
                <w:noProof/>
                <w:webHidden/>
              </w:rPr>
              <w:fldChar w:fldCharType="begin"/>
            </w:r>
            <w:r>
              <w:rPr>
                <w:noProof/>
                <w:webHidden/>
              </w:rPr>
              <w:instrText xml:space="preserve"> PAGEREF _Toc367127742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43" w:history="1">
            <w:r w:rsidRPr="00442AC7">
              <w:rPr>
                <w:rStyle w:val="Hyperlink"/>
                <w:noProof/>
              </w:rPr>
              <w:t>3.12.</w:t>
            </w:r>
            <w:r>
              <w:rPr>
                <w:rFonts w:asciiTheme="minorHAnsi" w:eastAsiaTheme="minorEastAsia" w:hAnsiTheme="minorHAnsi" w:cstheme="minorBidi"/>
                <w:noProof/>
                <w:lang w:eastAsia="en-AU"/>
              </w:rPr>
              <w:tab/>
            </w:r>
            <w:r w:rsidRPr="00442AC7">
              <w:rPr>
                <w:rStyle w:val="Hyperlink"/>
                <w:noProof/>
              </w:rPr>
              <w:t>Evaluator’s overall conclusions on pharmacokinetics</w:t>
            </w:r>
            <w:r>
              <w:rPr>
                <w:noProof/>
                <w:webHidden/>
              </w:rPr>
              <w:tab/>
            </w:r>
            <w:r>
              <w:rPr>
                <w:noProof/>
                <w:webHidden/>
              </w:rPr>
              <w:fldChar w:fldCharType="begin"/>
            </w:r>
            <w:r>
              <w:rPr>
                <w:noProof/>
                <w:webHidden/>
              </w:rPr>
              <w:instrText xml:space="preserve"> PAGEREF _Toc367127743 \h </w:instrText>
            </w:r>
            <w:r>
              <w:rPr>
                <w:noProof/>
                <w:webHidden/>
              </w:rPr>
            </w:r>
            <w:r>
              <w:rPr>
                <w:noProof/>
                <w:webHidden/>
              </w:rPr>
              <w:fldChar w:fldCharType="separate"/>
            </w:r>
            <w:r>
              <w:rPr>
                <w:noProof/>
                <w:webHidden/>
              </w:rPr>
              <w:t>7</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44" w:history="1">
            <w:r w:rsidRPr="00442AC7">
              <w:rPr>
                <w:rStyle w:val="Hyperlink"/>
                <w:noProof/>
              </w:rPr>
              <w:t>4.</w:t>
            </w:r>
            <w:r>
              <w:rPr>
                <w:rFonts w:asciiTheme="minorHAnsi" w:eastAsiaTheme="minorEastAsia" w:hAnsiTheme="minorHAnsi" w:cstheme="minorBidi"/>
                <w:b w:val="0"/>
                <w:noProof/>
                <w:sz w:val="22"/>
                <w:lang w:eastAsia="en-AU"/>
              </w:rPr>
              <w:tab/>
            </w:r>
            <w:r w:rsidRPr="00442AC7">
              <w:rPr>
                <w:rStyle w:val="Hyperlink"/>
                <w:noProof/>
              </w:rPr>
              <w:t>Pharmacodynamics</w:t>
            </w:r>
            <w:r>
              <w:rPr>
                <w:noProof/>
                <w:webHidden/>
              </w:rPr>
              <w:tab/>
            </w:r>
            <w:r>
              <w:rPr>
                <w:noProof/>
                <w:webHidden/>
              </w:rPr>
              <w:fldChar w:fldCharType="begin"/>
            </w:r>
            <w:r>
              <w:rPr>
                <w:noProof/>
                <w:webHidden/>
              </w:rPr>
              <w:instrText xml:space="preserve"> PAGEREF _Toc367127744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5" w:history="1">
            <w:r w:rsidRPr="00442AC7">
              <w:rPr>
                <w:rStyle w:val="Hyperlink"/>
                <w:noProof/>
              </w:rPr>
              <w:t>4.1.</w:t>
            </w:r>
            <w:r>
              <w:rPr>
                <w:rFonts w:asciiTheme="minorHAnsi" w:eastAsiaTheme="minorEastAsia" w:hAnsiTheme="minorHAnsi" w:cstheme="minorBidi"/>
                <w:noProof/>
                <w:lang w:eastAsia="en-AU"/>
              </w:rPr>
              <w:tab/>
            </w:r>
            <w:r w:rsidRPr="00442AC7">
              <w:rPr>
                <w:rStyle w:val="Hyperlink"/>
                <w:noProof/>
              </w:rPr>
              <w:t>Introduction</w:t>
            </w:r>
            <w:r>
              <w:rPr>
                <w:noProof/>
                <w:webHidden/>
              </w:rPr>
              <w:tab/>
            </w:r>
            <w:r>
              <w:rPr>
                <w:noProof/>
                <w:webHidden/>
              </w:rPr>
              <w:fldChar w:fldCharType="begin"/>
            </w:r>
            <w:r>
              <w:rPr>
                <w:noProof/>
                <w:webHidden/>
              </w:rPr>
              <w:instrText xml:space="preserve"> PAGEREF _Toc367127745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6" w:history="1">
            <w:r w:rsidRPr="00442AC7">
              <w:rPr>
                <w:rStyle w:val="Hyperlink"/>
                <w:noProof/>
              </w:rPr>
              <w:t>4.2.</w:t>
            </w:r>
            <w:r>
              <w:rPr>
                <w:rFonts w:asciiTheme="minorHAnsi" w:eastAsiaTheme="minorEastAsia" w:hAnsiTheme="minorHAnsi" w:cstheme="minorBidi"/>
                <w:noProof/>
                <w:lang w:eastAsia="en-AU"/>
              </w:rPr>
              <w:tab/>
            </w:r>
            <w:r w:rsidRPr="00442AC7">
              <w:rPr>
                <w:rStyle w:val="Hyperlink"/>
                <w:noProof/>
              </w:rPr>
              <w:t>Mechanism of action</w:t>
            </w:r>
            <w:r>
              <w:rPr>
                <w:noProof/>
                <w:webHidden/>
              </w:rPr>
              <w:tab/>
            </w:r>
            <w:r>
              <w:rPr>
                <w:noProof/>
                <w:webHidden/>
              </w:rPr>
              <w:fldChar w:fldCharType="begin"/>
            </w:r>
            <w:r>
              <w:rPr>
                <w:noProof/>
                <w:webHidden/>
              </w:rPr>
              <w:instrText xml:space="preserve"> PAGEREF _Toc367127746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7" w:history="1">
            <w:r w:rsidRPr="00442AC7">
              <w:rPr>
                <w:rStyle w:val="Hyperlink"/>
                <w:noProof/>
              </w:rPr>
              <w:t>4.3.</w:t>
            </w:r>
            <w:r>
              <w:rPr>
                <w:rFonts w:asciiTheme="minorHAnsi" w:eastAsiaTheme="minorEastAsia" w:hAnsiTheme="minorHAnsi" w:cstheme="minorBidi"/>
                <w:noProof/>
                <w:lang w:eastAsia="en-AU"/>
              </w:rPr>
              <w:tab/>
            </w:r>
            <w:r w:rsidRPr="00442AC7">
              <w:rPr>
                <w:rStyle w:val="Hyperlink"/>
                <w:noProof/>
              </w:rPr>
              <w:t>Primary pharmacology</w:t>
            </w:r>
            <w:r>
              <w:rPr>
                <w:noProof/>
                <w:webHidden/>
              </w:rPr>
              <w:tab/>
            </w:r>
            <w:r>
              <w:rPr>
                <w:noProof/>
                <w:webHidden/>
              </w:rPr>
              <w:fldChar w:fldCharType="begin"/>
            </w:r>
            <w:r>
              <w:rPr>
                <w:noProof/>
                <w:webHidden/>
              </w:rPr>
              <w:instrText xml:space="preserve"> PAGEREF _Toc367127747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8" w:history="1">
            <w:r w:rsidRPr="00442AC7">
              <w:rPr>
                <w:rStyle w:val="Hyperlink"/>
                <w:noProof/>
              </w:rPr>
              <w:t>4.4.</w:t>
            </w:r>
            <w:r>
              <w:rPr>
                <w:rFonts w:asciiTheme="minorHAnsi" w:eastAsiaTheme="minorEastAsia" w:hAnsiTheme="minorHAnsi" w:cstheme="minorBidi"/>
                <w:noProof/>
                <w:lang w:eastAsia="en-AU"/>
              </w:rPr>
              <w:tab/>
            </w:r>
            <w:r w:rsidRPr="00442AC7">
              <w:rPr>
                <w:rStyle w:val="Hyperlink"/>
                <w:noProof/>
              </w:rPr>
              <w:t>Secondary pharmacology</w:t>
            </w:r>
            <w:r>
              <w:rPr>
                <w:noProof/>
                <w:webHidden/>
              </w:rPr>
              <w:tab/>
            </w:r>
            <w:r>
              <w:rPr>
                <w:noProof/>
                <w:webHidden/>
              </w:rPr>
              <w:fldChar w:fldCharType="begin"/>
            </w:r>
            <w:r>
              <w:rPr>
                <w:noProof/>
                <w:webHidden/>
              </w:rPr>
              <w:instrText xml:space="preserve"> PAGEREF _Toc367127748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49" w:history="1">
            <w:r w:rsidRPr="00442AC7">
              <w:rPr>
                <w:rStyle w:val="Hyperlink"/>
                <w:noProof/>
              </w:rPr>
              <w:t>4.5.</w:t>
            </w:r>
            <w:r>
              <w:rPr>
                <w:rFonts w:asciiTheme="minorHAnsi" w:eastAsiaTheme="minorEastAsia" w:hAnsiTheme="minorHAnsi" w:cstheme="minorBidi"/>
                <w:noProof/>
                <w:lang w:eastAsia="en-AU"/>
              </w:rPr>
              <w:tab/>
            </w:r>
            <w:r w:rsidRPr="00442AC7">
              <w:rPr>
                <w:rStyle w:val="Hyperlink"/>
                <w:noProof/>
              </w:rPr>
              <w:t>Relationship between plasma concentration and effect</w:t>
            </w:r>
            <w:r>
              <w:rPr>
                <w:noProof/>
                <w:webHidden/>
              </w:rPr>
              <w:tab/>
            </w:r>
            <w:r>
              <w:rPr>
                <w:noProof/>
                <w:webHidden/>
              </w:rPr>
              <w:fldChar w:fldCharType="begin"/>
            </w:r>
            <w:r>
              <w:rPr>
                <w:noProof/>
                <w:webHidden/>
              </w:rPr>
              <w:instrText xml:space="preserve"> PAGEREF _Toc367127749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0" w:history="1">
            <w:r w:rsidRPr="00442AC7">
              <w:rPr>
                <w:rStyle w:val="Hyperlink"/>
                <w:noProof/>
              </w:rPr>
              <w:t>4.6.</w:t>
            </w:r>
            <w:r>
              <w:rPr>
                <w:rFonts w:asciiTheme="minorHAnsi" w:eastAsiaTheme="minorEastAsia" w:hAnsiTheme="minorHAnsi" w:cstheme="minorBidi"/>
                <w:noProof/>
                <w:lang w:eastAsia="en-AU"/>
              </w:rPr>
              <w:tab/>
            </w:r>
            <w:r w:rsidRPr="00442AC7">
              <w:rPr>
                <w:rStyle w:val="Hyperlink"/>
                <w:noProof/>
              </w:rPr>
              <w:t>Pharmacodynamic drug-drug interactions</w:t>
            </w:r>
            <w:r>
              <w:rPr>
                <w:noProof/>
                <w:webHidden/>
              </w:rPr>
              <w:tab/>
            </w:r>
            <w:r>
              <w:rPr>
                <w:noProof/>
                <w:webHidden/>
              </w:rPr>
              <w:fldChar w:fldCharType="begin"/>
            </w:r>
            <w:r>
              <w:rPr>
                <w:noProof/>
                <w:webHidden/>
              </w:rPr>
              <w:instrText xml:space="preserve"> PAGEREF _Toc367127750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1" w:history="1">
            <w:r w:rsidRPr="00442AC7">
              <w:rPr>
                <w:rStyle w:val="Hyperlink"/>
                <w:noProof/>
              </w:rPr>
              <w:t>4.7.</w:t>
            </w:r>
            <w:r>
              <w:rPr>
                <w:rFonts w:asciiTheme="minorHAnsi" w:eastAsiaTheme="minorEastAsia" w:hAnsiTheme="minorHAnsi" w:cstheme="minorBidi"/>
                <w:noProof/>
                <w:lang w:eastAsia="en-AU"/>
              </w:rPr>
              <w:tab/>
            </w:r>
            <w:r w:rsidRPr="00442AC7">
              <w:rPr>
                <w:rStyle w:val="Hyperlink"/>
                <w:noProof/>
              </w:rPr>
              <w:t>Genetic differences in pharmacodynamic response</w:t>
            </w:r>
            <w:r>
              <w:rPr>
                <w:noProof/>
                <w:webHidden/>
              </w:rPr>
              <w:tab/>
            </w:r>
            <w:r>
              <w:rPr>
                <w:noProof/>
                <w:webHidden/>
              </w:rPr>
              <w:fldChar w:fldCharType="begin"/>
            </w:r>
            <w:r>
              <w:rPr>
                <w:noProof/>
                <w:webHidden/>
              </w:rPr>
              <w:instrText xml:space="preserve"> PAGEREF _Toc367127751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2" w:history="1">
            <w:r w:rsidRPr="00442AC7">
              <w:rPr>
                <w:rStyle w:val="Hyperlink"/>
                <w:noProof/>
              </w:rPr>
              <w:t>4.8.</w:t>
            </w:r>
            <w:r>
              <w:rPr>
                <w:rFonts w:asciiTheme="minorHAnsi" w:eastAsiaTheme="minorEastAsia" w:hAnsiTheme="minorHAnsi" w:cstheme="minorBidi"/>
                <w:noProof/>
                <w:lang w:eastAsia="en-AU"/>
              </w:rPr>
              <w:tab/>
            </w:r>
            <w:r w:rsidRPr="00442AC7">
              <w:rPr>
                <w:rStyle w:val="Hyperlink"/>
                <w:noProof/>
              </w:rPr>
              <w:t>Evaluator’s overall conclusions on pharmacodynamics</w:t>
            </w:r>
            <w:r>
              <w:rPr>
                <w:noProof/>
                <w:webHidden/>
              </w:rPr>
              <w:tab/>
            </w:r>
            <w:r>
              <w:rPr>
                <w:noProof/>
                <w:webHidden/>
              </w:rPr>
              <w:fldChar w:fldCharType="begin"/>
            </w:r>
            <w:r>
              <w:rPr>
                <w:noProof/>
                <w:webHidden/>
              </w:rPr>
              <w:instrText xml:space="preserve"> PAGEREF _Toc367127752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53" w:history="1">
            <w:r w:rsidRPr="00442AC7">
              <w:rPr>
                <w:rStyle w:val="Hyperlink"/>
                <w:noProof/>
              </w:rPr>
              <w:t>5.</w:t>
            </w:r>
            <w:r>
              <w:rPr>
                <w:rFonts w:asciiTheme="minorHAnsi" w:eastAsiaTheme="minorEastAsia" w:hAnsiTheme="minorHAnsi" w:cstheme="minorBidi"/>
                <w:b w:val="0"/>
                <w:noProof/>
                <w:sz w:val="22"/>
                <w:lang w:eastAsia="en-AU"/>
              </w:rPr>
              <w:tab/>
            </w:r>
            <w:r w:rsidRPr="00442AC7">
              <w:rPr>
                <w:rStyle w:val="Hyperlink"/>
                <w:noProof/>
              </w:rPr>
              <w:t>Dosage selection for the pivotal studies</w:t>
            </w:r>
            <w:r>
              <w:rPr>
                <w:noProof/>
                <w:webHidden/>
              </w:rPr>
              <w:tab/>
            </w:r>
            <w:r>
              <w:rPr>
                <w:noProof/>
                <w:webHidden/>
              </w:rPr>
              <w:fldChar w:fldCharType="begin"/>
            </w:r>
            <w:r>
              <w:rPr>
                <w:noProof/>
                <w:webHidden/>
              </w:rPr>
              <w:instrText xml:space="preserve"> PAGEREF _Toc367127753 \h </w:instrText>
            </w:r>
            <w:r>
              <w:rPr>
                <w:noProof/>
                <w:webHidden/>
              </w:rPr>
            </w:r>
            <w:r>
              <w:rPr>
                <w:noProof/>
                <w:webHidden/>
              </w:rPr>
              <w:fldChar w:fldCharType="separate"/>
            </w:r>
            <w:r>
              <w:rPr>
                <w:noProof/>
                <w:webHidden/>
              </w:rPr>
              <w:t>8</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54" w:history="1">
            <w:r w:rsidRPr="00442AC7">
              <w:rPr>
                <w:rStyle w:val="Hyperlink"/>
                <w:noProof/>
              </w:rPr>
              <w:t>6.</w:t>
            </w:r>
            <w:r>
              <w:rPr>
                <w:rFonts w:asciiTheme="minorHAnsi" w:eastAsiaTheme="minorEastAsia" w:hAnsiTheme="minorHAnsi" w:cstheme="minorBidi"/>
                <w:b w:val="0"/>
                <w:noProof/>
                <w:sz w:val="22"/>
                <w:lang w:eastAsia="en-AU"/>
              </w:rPr>
              <w:tab/>
            </w:r>
            <w:r w:rsidRPr="00442AC7">
              <w:rPr>
                <w:rStyle w:val="Hyperlink"/>
                <w:noProof/>
              </w:rPr>
              <w:t>Clinical efficacy</w:t>
            </w:r>
            <w:r>
              <w:rPr>
                <w:noProof/>
                <w:webHidden/>
              </w:rPr>
              <w:tab/>
            </w:r>
            <w:r>
              <w:rPr>
                <w:noProof/>
                <w:webHidden/>
              </w:rPr>
              <w:fldChar w:fldCharType="begin"/>
            </w:r>
            <w:r>
              <w:rPr>
                <w:noProof/>
                <w:webHidden/>
              </w:rPr>
              <w:instrText xml:space="preserve"> PAGEREF _Toc367127754 \h </w:instrText>
            </w:r>
            <w:r>
              <w:rPr>
                <w:noProof/>
                <w:webHidden/>
              </w:rPr>
            </w:r>
            <w:r>
              <w:rPr>
                <w:noProof/>
                <w:webHidden/>
              </w:rPr>
              <w:fldChar w:fldCharType="separate"/>
            </w:r>
            <w:r>
              <w:rPr>
                <w:noProof/>
                <w:webHidden/>
              </w:rPr>
              <w:t>9</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5" w:history="1">
            <w:r w:rsidRPr="00442AC7">
              <w:rPr>
                <w:rStyle w:val="Hyperlink"/>
                <w:noProof/>
              </w:rPr>
              <w:t>6.1.</w:t>
            </w:r>
            <w:r>
              <w:rPr>
                <w:rFonts w:asciiTheme="minorHAnsi" w:eastAsiaTheme="minorEastAsia" w:hAnsiTheme="minorHAnsi" w:cstheme="minorBidi"/>
                <w:noProof/>
                <w:lang w:eastAsia="en-AU"/>
              </w:rPr>
              <w:tab/>
            </w:r>
            <w:r w:rsidRPr="00442AC7">
              <w:rPr>
                <w:rStyle w:val="Hyperlink"/>
                <w:noProof/>
              </w:rPr>
              <w:t>Introduction</w:t>
            </w:r>
            <w:r>
              <w:rPr>
                <w:noProof/>
                <w:webHidden/>
              </w:rPr>
              <w:tab/>
            </w:r>
            <w:r>
              <w:rPr>
                <w:noProof/>
                <w:webHidden/>
              </w:rPr>
              <w:fldChar w:fldCharType="begin"/>
            </w:r>
            <w:r>
              <w:rPr>
                <w:noProof/>
                <w:webHidden/>
              </w:rPr>
              <w:instrText xml:space="preserve"> PAGEREF _Toc367127755 \h </w:instrText>
            </w:r>
            <w:r>
              <w:rPr>
                <w:noProof/>
                <w:webHidden/>
              </w:rPr>
            </w:r>
            <w:r>
              <w:rPr>
                <w:noProof/>
                <w:webHidden/>
              </w:rPr>
              <w:fldChar w:fldCharType="separate"/>
            </w:r>
            <w:r>
              <w:rPr>
                <w:noProof/>
                <w:webHidden/>
              </w:rPr>
              <w:t>9</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6" w:history="1">
            <w:r w:rsidRPr="00442AC7">
              <w:rPr>
                <w:rStyle w:val="Hyperlink"/>
                <w:noProof/>
              </w:rPr>
              <w:t>6.2.</w:t>
            </w:r>
            <w:r>
              <w:rPr>
                <w:rFonts w:asciiTheme="minorHAnsi" w:eastAsiaTheme="minorEastAsia" w:hAnsiTheme="minorHAnsi" w:cstheme="minorBidi"/>
                <w:noProof/>
                <w:lang w:eastAsia="en-AU"/>
              </w:rPr>
              <w:tab/>
            </w:r>
            <w:r w:rsidRPr="00442AC7">
              <w:rPr>
                <w:rStyle w:val="Hyperlink"/>
                <w:noProof/>
              </w:rPr>
              <w:t>Dose response studies and main clinical studies</w:t>
            </w:r>
            <w:r>
              <w:rPr>
                <w:noProof/>
                <w:webHidden/>
              </w:rPr>
              <w:tab/>
            </w:r>
            <w:r>
              <w:rPr>
                <w:noProof/>
                <w:webHidden/>
              </w:rPr>
              <w:fldChar w:fldCharType="begin"/>
            </w:r>
            <w:r>
              <w:rPr>
                <w:noProof/>
                <w:webHidden/>
              </w:rPr>
              <w:instrText xml:space="preserve"> PAGEREF _Toc367127756 \h </w:instrText>
            </w:r>
            <w:r>
              <w:rPr>
                <w:noProof/>
                <w:webHidden/>
              </w:rPr>
            </w:r>
            <w:r>
              <w:rPr>
                <w:noProof/>
                <w:webHidden/>
              </w:rPr>
              <w:fldChar w:fldCharType="separate"/>
            </w:r>
            <w:r>
              <w:rPr>
                <w:noProof/>
                <w:webHidden/>
              </w:rPr>
              <w:t>18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7" w:history="1">
            <w:r w:rsidRPr="00442AC7">
              <w:rPr>
                <w:rStyle w:val="Hyperlink"/>
                <w:noProof/>
              </w:rPr>
              <w:t>6.3.</w:t>
            </w:r>
            <w:r>
              <w:rPr>
                <w:rFonts w:asciiTheme="minorHAnsi" w:eastAsiaTheme="minorEastAsia" w:hAnsiTheme="minorHAnsi" w:cstheme="minorBidi"/>
                <w:noProof/>
                <w:lang w:eastAsia="en-AU"/>
              </w:rPr>
              <w:tab/>
            </w:r>
            <w:r w:rsidRPr="00442AC7">
              <w:rPr>
                <w:rStyle w:val="Hyperlink"/>
                <w:noProof/>
              </w:rPr>
              <w:t>Clinical studies in special populations</w:t>
            </w:r>
            <w:r>
              <w:rPr>
                <w:noProof/>
                <w:webHidden/>
              </w:rPr>
              <w:tab/>
            </w:r>
            <w:r>
              <w:rPr>
                <w:noProof/>
                <w:webHidden/>
              </w:rPr>
              <w:fldChar w:fldCharType="begin"/>
            </w:r>
            <w:r>
              <w:rPr>
                <w:noProof/>
                <w:webHidden/>
              </w:rPr>
              <w:instrText xml:space="preserve"> PAGEREF _Toc367127757 \h </w:instrText>
            </w:r>
            <w:r>
              <w:rPr>
                <w:noProof/>
                <w:webHidden/>
              </w:rPr>
            </w:r>
            <w:r>
              <w:rPr>
                <w:noProof/>
                <w:webHidden/>
              </w:rPr>
              <w:fldChar w:fldCharType="separate"/>
            </w:r>
            <w:r>
              <w:rPr>
                <w:noProof/>
                <w:webHidden/>
              </w:rPr>
              <w:t>31</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8" w:history="1">
            <w:r w:rsidRPr="00442AC7">
              <w:rPr>
                <w:rStyle w:val="Hyperlink"/>
                <w:noProof/>
              </w:rPr>
              <w:t>6.4.</w:t>
            </w:r>
            <w:r>
              <w:rPr>
                <w:rFonts w:asciiTheme="minorHAnsi" w:eastAsiaTheme="minorEastAsia" w:hAnsiTheme="minorHAnsi" w:cstheme="minorBidi"/>
                <w:noProof/>
                <w:lang w:eastAsia="en-AU"/>
              </w:rPr>
              <w:tab/>
            </w:r>
            <w:r w:rsidRPr="00442AC7">
              <w:rPr>
                <w:rStyle w:val="Hyperlink"/>
                <w:noProof/>
              </w:rPr>
              <w:t>Analysis performed across trials (pooled analyses and meta-analysis)</w:t>
            </w:r>
            <w:r>
              <w:rPr>
                <w:noProof/>
                <w:webHidden/>
              </w:rPr>
              <w:tab/>
            </w:r>
            <w:r>
              <w:rPr>
                <w:noProof/>
                <w:webHidden/>
              </w:rPr>
              <w:fldChar w:fldCharType="begin"/>
            </w:r>
            <w:r>
              <w:rPr>
                <w:noProof/>
                <w:webHidden/>
              </w:rPr>
              <w:instrText xml:space="preserve"> PAGEREF _Toc367127758 \h </w:instrText>
            </w:r>
            <w:r>
              <w:rPr>
                <w:noProof/>
                <w:webHidden/>
              </w:rPr>
            </w:r>
            <w:r>
              <w:rPr>
                <w:noProof/>
                <w:webHidden/>
              </w:rPr>
              <w:fldChar w:fldCharType="separate"/>
            </w:r>
            <w:r>
              <w:rPr>
                <w:noProof/>
                <w:webHidden/>
              </w:rPr>
              <w:t>31</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59" w:history="1">
            <w:r w:rsidRPr="00442AC7">
              <w:rPr>
                <w:rStyle w:val="Hyperlink"/>
                <w:noProof/>
              </w:rPr>
              <w:t>6.5.</w:t>
            </w:r>
            <w:r>
              <w:rPr>
                <w:rFonts w:asciiTheme="minorHAnsi" w:eastAsiaTheme="minorEastAsia" w:hAnsiTheme="minorHAnsi" w:cstheme="minorBidi"/>
                <w:noProof/>
                <w:lang w:eastAsia="en-AU"/>
              </w:rPr>
              <w:tab/>
            </w:r>
            <w:r w:rsidRPr="00442AC7">
              <w:rPr>
                <w:rStyle w:val="Hyperlink"/>
                <w:noProof/>
              </w:rPr>
              <w:t>Supportive studies</w:t>
            </w:r>
            <w:r>
              <w:rPr>
                <w:noProof/>
                <w:webHidden/>
              </w:rPr>
              <w:tab/>
            </w:r>
            <w:r>
              <w:rPr>
                <w:noProof/>
                <w:webHidden/>
              </w:rPr>
              <w:fldChar w:fldCharType="begin"/>
            </w:r>
            <w:r>
              <w:rPr>
                <w:noProof/>
                <w:webHidden/>
              </w:rPr>
              <w:instrText xml:space="preserve"> PAGEREF _Toc367127759 \h </w:instrText>
            </w:r>
            <w:r>
              <w:rPr>
                <w:noProof/>
                <w:webHidden/>
              </w:rPr>
            </w:r>
            <w:r>
              <w:rPr>
                <w:noProof/>
                <w:webHidden/>
              </w:rPr>
              <w:fldChar w:fldCharType="separate"/>
            </w:r>
            <w:r>
              <w:rPr>
                <w:noProof/>
                <w:webHidden/>
              </w:rPr>
              <w:t>35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0" w:history="1">
            <w:r w:rsidRPr="00442AC7">
              <w:rPr>
                <w:rStyle w:val="Hyperlink"/>
                <w:noProof/>
              </w:rPr>
              <w:t>6.6.</w:t>
            </w:r>
            <w:r>
              <w:rPr>
                <w:rFonts w:asciiTheme="minorHAnsi" w:eastAsiaTheme="minorEastAsia" w:hAnsiTheme="minorHAnsi" w:cstheme="minorBidi"/>
                <w:noProof/>
                <w:lang w:eastAsia="en-AU"/>
              </w:rPr>
              <w:tab/>
            </w:r>
            <w:r w:rsidRPr="00442AC7">
              <w:rPr>
                <w:rStyle w:val="Hyperlink"/>
                <w:noProof/>
              </w:rPr>
              <w:t>Evaluator’s overall conclusions on clinical efficacy</w:t>
            </w:r>
            <w:r>
              <w:rPr>
                <w:noProof/>
                <w:webHidden/>
              </w:rPr>
              <w:tab/>
            </w:r>
            <w:r>
              <w:rPr>
                <w:noProof/>
                <w:webHidden/>
              </w:rPr>
              <w:fldChar w:fldCharType="begin"/>
            </w:r>
            <w:r>
              <w:rPr>
                <w:noProof/>
                <w:webHidden/>
              </w:rPr>
              <w:instrText xml:space="preserve"> PAGEREF _Toc367127760 \h </w:instrText>
            </w:r>
            <w:r>
              <w:rPr>
                <w:noProof/>
                <w:webHidden/>
              </w:rPr>
            </w:r>
            <w:r>
              <w:rPr>
                <w:noProof/>
                <w:webHidden/>
              </w:rPr>
              <w:fldChar w:fldCharType="separate"/>
            </w:r>
            <w:r>
              <w:rPr>
                <w:noProof/>
                <w:webHidden/>
              </w:rPr>
              <w:t>61</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61" w:history="1">
            <w:r w:rsidRPr="00442AC7">
              <w:rPr>
                <w:rStyle w:val="Hyperlink"/>
                <w:noProof/>
              </w:rPr>
              <w:t>7.</w:t>
            </w:r>
            <w:r>
              <w:rPr>
                <w:rFonts w:asciiTheme="minorHAnsi" w:eastAsiaTheme="minorEastAsia" w:hAnsiTheme="minorHAnsi" w:cstheme="minorBidi"/>
                <w:b w:val="0"/>
                <w:noProof/>
                <w:sz w:val="22"/>
                <w:lang w:eastAsia="en-AU"/>
              </w:rPr>
              <w:tab/>
            </w:r>
            <w:r w:rsidRPr="00442AC7">
              <w:rPr>
                <w:rStyle w:val="Hyperlink"/>
                <w:noProof/>
              </w:rPr>
              <w:t>Clinical safety</w:t>
            </w:r>
            <w:r>
              <w:rPr>
                <w:noProof/>
                <w:webHidden/>
              </w:rPr>
              <w:tab/>
            </w:r>
            <w:r>
              <w:rPr>
                <w:noProof/>
                <w:webHidden/>
              </w:rPr>
              <w:fldChar w:fldCharType="begin"/>
            </w:r>
            <w:r>
              <w:rPr>
                <w:noProof/>
                <w:webHidden/>
              </w:rPr>
              <w:instrText xml:space="preserve"> PAGEREF _Toc367127761 \h </w:instrText>
            </w:r>
            <w:r>
              <w:rPr>
                <w:noProof/>
                <w:webHidden/>
              </w:rPr>
            </w:r>
            <w:r>
              <w:rPr>
                <w:noProof/>
                <w:webHidden/>
              </w:rPr>
              <w:fldChar w:fldCharType="separate"/>
            </w:r>
            <w:r>
              <w:rPr>
                <w:noProof/>
                <w:webHidden/>
              </w:rPr>
              <w:t>65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2" w:history="1">
            <w:r w:rsidRPr="00442AC7">
              <w:rPr>
                <w:rStyle w:val="Hyperlink"/>
                <w:noProof/>
              </w:rPr>
              <w:t>7.1.</w:t>
            </w:r>
            <w:r>
              <w:rPr>
                <w:rFonts w:asciiTheme="minorHAnsi" w:eastAsiaTheme="minorEastAsia" w:hAnsiTheme="minorHAnsi" w:cstheme="minorBidi"/>
                <w:noProof/>
                <w:lang w:eastAsia="en-AU"/>
              </w:rPr>
              <w:tab/>
            </w:r>
            <w:r w:rsidRPr="00442AC7">
              <w:rPr>
                <w:rStyle w:val="Hyperlink"/>
                <w:noProof/>
              </w:rPr>
              <w:t>Introduction</w:t>
            </w:r>
            <w:r>
              <w:rPr>
                <w:noProof/>
                <w:webHidden/>
              </w:rPr>
              <w:tab/>
            </w:r>
            <w:r>
              <w:rPr>
                <w:noProof/>
                <w:webHidden/>
              </w:rPr>
              <w:fldChar w:fldCharType="begin"/>
            </w:r>
            <w:r>
              <w:rPr>
                <w:noProof/>
                <w:webHidden/>
              </w:rPr>
              <w:instrText xml:space="preserve"> PAGEREF _Toc367127762 \h </w:instrText>
            </w:r>
            <w:r>
              <w:rPr>
                <w:noProof/>
                <w:webHidden/>
              </w:rPr>
            </w:r>
            <w:r>
              <w:rPr>
                <w:noProof/>
                <w:webHidden/>
              </w:rPr>
              <w:fldChar w:fldCharType="separate"/>
            </w:r>
            <w:r>
              <w:rPr>
                <w:noProof/>
                <w:webHidden/>
              </w:rPr>
              <w:t>65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3" w:history="1">
            <w:r w:rsidRPr="00442AC7">
              <w:rPr>
                <w:rStyle w:val="Hyperlink"/>
                <w:noProof/>
              </w:rPr>
              <w:t>7.2.</w:t>
            </w:r>
            <w:r>
              <w:rPr>
                <w:rFonts w:asciiTheme="minorHAnsi" w:eastAsiaTheme="minorEastAsia" w:hAnsiTheme="minorHAnsi" w:cstheme="minorBidi"/>
                <w:noProof/>
                <w:lang w:eastAsia="en-AU"/>
              </w:rPr>
              <w:tab/>
            </w:r>
            <w:r w:rsidRPr="00442AC7">
              <w:rPr>
                <w:rStyle w:val="Hyperlink"/>
                <w:noProof/>
              </w:rPr>
              <w:t>PEP005-005</w:t>
            </w:r>
            <w:r>
              <w:rPr>
                <w:noProof/>
                <w:webHidden/>
              </w:rPr>
              <w:tab/>
            </w:r>
            <w:r>
              <w:rPr>
                <w:noProof/>
                <w:webHidden/>
              </w:rPr>
              <w:fldChar w:fldCharType="begin"/>
            </w:r>
            <w:r>
              <w:rPr>
                <w:noProof/>
                <w:webHidden/>
              </w:rPr>
              <w:instrText xml:space="preserve"> PAGEREF _Toc367127763 \h </w:instrText>
            </w:r>
            <w:r>
              <w:rPr>
                <w:noProof/>
                <w:webHidden/>
              </w:rPr>
            </w:r>
            <w:r>
              <w:rPr>
                <w:noProof/>
                <w:webHidden/>
              </w:rPr>
              <w:fldChar w:fldCharType="separate"/>
            </w:r>
            <w:r>
              <w:rPr>
                <w:noProof/>
                <w:webHidden/>
              </w:rPr>
              <w:t>65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4" w:history="1">
            <w:r w:rsidRPr="00442AC7">
              <w:rPr>
                <w:rStyle w:val="Hyperlink"/>
                <w:noProof/>
              </w:rPr>
              <w:t>7.3.</w:t>
            </w:r>
            <w:r>
              <w:rPr>
                <w:rFonts w:asciiTheme="minorHAnsi" w:eastAsiaTheme="minorEastAsia" w:hAnsiTheme="minorHAnsi" w:cstheme="minorBidi"/>
                <w:noProof/>
                <w:lang w:eastAsia="en-AU"/>
              </w:rPr>
              <w:tab/>
            </w:r>
            <w:r w:rsidRPr="00442AC7">
              <w:rPr>
                <w:rStyle w:val="Hyperlink"/>
                <w:noProof/>
              </w:rPr>
              <w:t>PEP005-023</w:t>
            </w:r>
            <w:r>
              <w:rPr>
                <w:noProof/>
                <w:webHidden/>
              </w:rPr>
              <w:tab/>
            </w:r>
            <w:r>
              <w:rPr>
                <w:noProof/>
                <w:webHidden/>
              </w:rPr>
              <w:fldChar w:fldCharType="begin"/>
            </w:r>
            <w:r>
              <w:rPr>
                <w:noProof/>
                <w:webHidden/>
              </w:rPr>
              <w:instrText xml:space="preserve"> PAGEREF _Toc367127764 \h </w:instrText>
            </w:r>
            <w:r>
              <w:rPr>
                <w:noProof/>
                <w:webHidden/>
              </w:rPr>
            </w:r>
            <w:r>
              <w:rPr>
                <w:noProof/>
                <w:webHidden/>
              </w:rPr>
              <w:fldChar w:fldCharType="separate"/>
            </w:r>
            <w:r>
              <w:rPr>
                <w:noProof/>
                <w:webHidden/>
              </w:rPr>
              <w:t>66</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5" w:history="1">
            <w:r w:rsidRPr="00442AC7">
              <w:rPr>
                <w:rStyle w:val="Hyperlink"/>
                <w:noProof/>
              </w:rPr>
              <w:t>7.4.</w:t>
            </w:r>
            <w:r>
              <w:rPr>
                <w:rFonts w:asciiTheme="minorHAnsi" w:eastAsiaTheme="minorEastAsia" w:hAnsiTheme="minorHAnsi" w:cstheme="minorBidi"/>
                <w:noProof/>
                <w:lang w:eastAsia="en-AU"/>
              </w:rPr>
              <w:tab/>
            </w:r>
            <w:r w:rsidRPr="00442AC7">
              <w:rPr>
                <w:rStyle w:val="Hyperlink"/>
                <w:noProof/>
              </w:rPr>
              <w:t>PEP005-024</w:t>
            </w:r>
            <w:r>
              <w:rPr>
                <w:noProof/>
                <w:webHidden/>
              </w:rPr>
              <w:tab/>
            </w:r>
            <w:r>
              <w:rPr>
                <w:noProof/>
                <w:webHidden/>
              </w:rPr>
              <w:fldChar w:fldCharType="begin"/>
            </w:r>
            <w:r>
              <w:rPr>
                <w:noProof/>
                <w:webHidden/>
              </w:rPr>
              <w:instrText xml:space="preserve"> PAGEREF _Toc367127765 \h </w:instrText>
            </w:r>
            <w:r>
              <w:rPr>
                <w:noProof/>
                <w:webHidden/>
              </w:rPr>
            </w:r>
            <w:r>
              <w:rPr>
                <w:noProof/>
                <w:webHidden/>
              </w:rPr>
              <w:fldChar w:fldCharType="separate"/>
            </w:r>
            <w:r>
              <w:rPr>
                <w:noProof/>
                <w:webHidden/>
              </w:rPr>
              <w:t>67</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6" w:history="1">
            <w:r w:rsidRPr="00442AC7">
              <w:rPr>
                <w:rStyle w:val="Hyperlink"/>
                <w:noProof/>
              </w:rPr>
              <w:t>7.5.</w:t>
            </w:r>
            <w:r>
              <w:rPr>
                <w:rFonts w:asciiTheme="minorHAnsi" w:eastAsiaTheme="minorEastAsia" w:hAnsiTheme="minorHAnsi" w:cstheme="minorBidi"/>
                <w:noProof/>
                <w:lang w:eastAsia="en-AU"/>
              </w:rPr>
              <w:tab/>
            </w:r>
            <w:r w:rsidRPr="00442AC7">
              <w:rPr>
                <w:rStyle w:val="Hyperlink"/>
                <w:noProof/>
              </w:rPr>
              <w:t>PEP005-002</w:t>
            </w:r>
            <w:r>
              <w:rPr>
                <w:noProof/>
                <w:webHidden/>
              </w:rPr>
              <w:tab/>
            </w:r>
            <w:r>
              <w:rPr>
                <w:noProof/>
                <w:webHidden/>
              </w:rPr>
              <w:fldChar w:fldCharType="begin"/>
            </w:r>
            <w:r>
              <w:rPr>
                <w:noProof/>
                <w:webHidden/>
              </w:rPr>
              <w:instrText xml:space="preserve"> PAGEREF _Toc367127766 \h </w:instrText>
            </w:r>
            <w:r>
              <w:rPr>
                <w:noProof/>
                <w:webHidden/>
              </w:rPr>
            </w:r>
            <w:r>
              <w:rPr>
                <w:noProof/>
                <w:webHidden/>
              </w:rPr>
              <w:fldChar w:fldCharType="separate"/>
            </w:r>
            <w:r>
              <w:rPr>
                <w:noProof/>
                <w:webHidden/>
              </w:rPr>
              <w:t>68</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7" w:history="1">
            <w:r w:rsidRPr="00442AC7">
              <w:rPr>
                <w:rStyle w:val="Hyperlink"/>
                <w:noProof/>
              </w:rPr>
              <w:t>7.6.</w:t>
            </w:r>
            <w:r>
              <w:rPr>
                <w:rFonts w:asciiTheme="minorHAnsi" w:eastAsiaTheme="minorEastAsia" w:hAnsiTheme="minorHAnsi" w:cstheme="minorBidi"/>
                <w:noProof/>
                <w:lang w:eastAsia="en-AU"/>
              </w:rPr>
              <w:tab/>
            </w:r>
            <w:r w:rsidRPr="00442AC7">
              <w:rPr>
                <w:rStyle w:val="Hyperlink"/>
                <w:noProof/>
              </w:rPr>
              <w:t>PEP005-003</w:t>
            </w:r>
            <w:r>
              <w:rPr>
                <w:noProof/>
                <w:webHidden/>
              </w:rPr>
              <w:tab/>
            </w:r>
            <w:r>
              <w:rPr>
                <w:noProof/>
                <w:webHidden/>
              </w:rPr>
              <w:fldChar w:fldCharType="begin"/>
            </w:r>
            <w:r>
              <w:rPr>
                <w:noProof/>
                <w:webHidden/>
              </w:rPr>
              <w:instrText xml:space="preserve"> PAGEREF _Toc367127767 \h </w:instrText>
            </w:r>
            <w:r>
              <w:rPr>
                <w:noProof/>
                <w:webHidden/>
              </w:rPr>
            </w:r>
            <w:r>
              <w:rPr>
                <w:noProof/>
                <w:webHidden/>
              </w:rPr>
              <w:fldChar w:fldCharType="separate"/>
            </w:r>
            <w:r>
              <w:rPr>
                <w:noProof/>
                <w:webHidden/>
              </w:rPr>
              <w:t>71</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8" w:history="1">
            <w:r w:rsidRPr="00442AC7">
              <w:rPr>
                <w:rStyle w:val="Hyperlink"/>
                <w:noProof/>
              </w:rPr>
              <w:t>7.7.</w:t>
            </w:r>
            <w:r>
              <w:rPr>
                <w:rFonts w:asciiTheme="minorHAnsi" w:eastAsiaTheme="minorEastAsia" w:hAnsiTheme="minorHAnsi" w:cstheme="minorBidi"/>
                <w:noProof/>
                <w:lang w:eastAsia="en-AU"/>
              </w:rPr>
              <w:tab/>
            </w:r>
            <w:r w:rsidRPr="00442AC7">
              <w:rPr>
                <w:rStyle w:val="Hyperlink"/>
                <w:noProof/>
              </w:rPr>
              <w:t>PEP005-008</w:t>
            </w:r>
            <w:r>
              <w:rPr>
                <w:noProof/>
                <w:webHidden/>
              </w:rPr>
              <w:tab/>
            </w:r>
            <w:r>
              <w:rPr>
                <w:noProof/>
                <w:webHidden/>
              </w:rPr>
              <w:fldChar w:fldCharType="begin"/>
            </w:r>
            <w:r>
              <w:rPr>
                <w:noProof/>
                <w:webHidden/>
              </w:rPr>
              <w:instrText xml:space="preserve"> PAGEREF _Toc367127768 \h </w:instrText>
            </w:r>
            <w:r>
              <w:rPr>
                <w:noProof/>
                <w:webHidden/>
              </w:rPr>
            </w:r>
            <w:r>
              <w:rPr>
                <w:noProof/>
                <w:webHidden/>
              </w:rPr>
              <w:fldChar w:fldCharType="separate"/>
            </w:r>
            <w:r>
              <w:rPr>
                <w:noProof/>
                <w:webHidden/>
              </w:rPr>
              <w:t>73</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69" w:history="1">
            <w:r w:rsidRPr="00442AC7">
              <w:rPr>
                <w:rStyle w:val="Hyperlink"/>
                <w:noProof/>
              </w:rPr>
              <w:t>7.8.</w:t>
            </w:r>
            <w:r>
              <w:rPr>
                <w:rFonts w:asciiTheme="minorHAnsi" w:eastAsiaTheme="minorEastAsia" w:hAnsiTheme="minorHAnsi" w:cstheme="minorBidi"/>
                <w:noProof/>
                <w:lang w:eastAsia="en-AU"/>
              </w:rPr>
              <w:tab/>
            </w:r>
            <w:r w:rsidRPr="00442AC7">
              <w:rPr>
                <w:rStyle w:val="Hyperlink"/>
                <w:noProof/>
              </w:rPr>
              <w:t>PEP005-009</w:t>
            </w:r>
            <w:r>
              <w:rPr>
                <w:noProof/>
                <w:webHidden/>
              </w:rPr>
              <w:tab/>
            </w:r>
            <w:r>
              <w:rPr>
                <w:noProof/>
                <w:webHidden/>
              </w:rPr>
              <w:fldChar w:fldCharType="begin"/>
            </w:r>
            <w:r>
              <w:rPr>
                <w:noProof/>
                <w:webHidden/>
              </w:rPr>
              <w:instrText xml:space="preserve"> PAGEREF _Toc367127769 \h </w:instrText>
            </w:r>
            <w:r>
              <w:rPr>
                <w:noProof/>
                <w:webHidden/>
              </w:rPr>
            </w:r>
            <w:r>
              <w:rPr>
                <w:noProof/>
                <w:webHidden/>
              </w:rPr>
              <w:fldChar w:fldCharType="separate"/>
            </w:r>
            <w:r>
              <w:rPr>
                <w:noProof/>
                <w:webHidden/>
              </w:rPr>
              <w:t>74</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70" w:history="1">
            <w:r w:rsidRPr="00442AC7">
              <w:rPr>
                <w:rStyle w:val="Hyperlink"/>
                <w:noProof/>
              </w:rPr>
              <w:t>7.9.</w:t>
            </w:r>
            <w:r>
              <w:rPr>
                <w:rFonts w:asciiTheme="minorHAnsi" w:eastAsiaTheme="minorEastAsia" w:hAnsiTheme="minorHAnsi" w:cstheme="minorBidi"/>
                <w:noProof/>
                <w:lang w:eastAsia="en-AU"/>
              </w:rPr>
              <w:tab/>
            </w:r>
            <w:r w:rsidRPr="00442AC7">
              <w:rPr>
                <w:rStyle w:val="Hyperlink"/>
                <w:noProof/>
              </w:rPr>
              <w:t>Patient exposure</w:t>
            </w:r>
            <w:r>
              <w:rPr>
                <w:noProof/>
                <w:webHidden/>
              </w:rPr>
              <w:tab/>
            </w:r>
            <w:r>
              <w:rPr>
                <w:noProof/>
                <w:webHidden/>
              </w:rPr>
              <w:fldChar w:fldCharType="begin"/>
            </w:r>
            <w:r>
              <w:rPr>
                <w:noProof/>
                <w:webHidden/>
              </w:rPr>
              <w:instrText xml:space="preserve"> PAGEREF _Toc367127770 \h </w:instrText>
            </w:r>
            <w:r>
              <w:rPr>
                <w:noProof/>
                <w:webHidden/>
              </w:rPr>
            </w:r>
            <w:r>
              <w:rPr>
                <w:noProof/>
                <w:webHidden/>
              </w:rPr>
              <w:fldChar w:fldCharType="separate"/>
            </w:r>
            <w:r>
              <w:rPr>
                <w:noProof/>
                <w:webHidden/>
              </w:rPr>
              <w:t>76</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1" w:history="1">
            <w:r w:rsidRPr="00442AC7">
              <w:rPr>
                <w:rStyle w:val="Hyperlink"/>
                <w:noProof/>
              </w:rPr>
              <w:t>7.10.</w:t>
            </w:r>
            <w:r>
              <w:rPr>
                <w:rFonts w:asciiTheme="minorHAnsi" w:eastAsiaTheme="minorEastAsia" w:hAnsiTheme="minorHAnsi" w:cstheme="minorBidi"/>
                <w:noProof/>
                <w:lang w:eastAsia="en-AU"/>
              </w:rPr>
              <w:tab/>
            </w:r>
            <w:r w:rsidRPr="00442AC7">
              <w:rPr>
                <w:rStyle w:val="Hyperlink"/>
                <w:noProof/>
              </w:rPr>
              <w:t>Adverse events</w:t>
            </w:r>
            <w:r>
              <w:rPr>
                <w:noProof/>
                <w:webHidden/>
              </w:rPr>
              <w:tab/>
            </w:r>
            <w:r>
              <w:rPr>
                <w:noProof/>
                <w:webHidden/>
              </w:rPr>
              <w:fldChar w:fldCharType="begin"/>
            </w:r>
            <w:r>
              <w:rPr>
                <w:noProof/>
                <w:webHidden/>
              </w:rPr>
              <w:instrText xml:space="preserve"> PAGEREF _Toc367127771 \h </w:instrText>
            </w:r>
            <w:r>
              <w:rPr>
                <w:noProof/>
                <w:webHidden/>
              </w:rPr>
            </w:r>
            <w:r>
              <w:rPr>
                <w:noProof/>
                <w:webHidden/>
              </w:rPr>
              <w:fldChar w:fldCharType="separate"/>
            </w:r>
            <w:r>
              <w:rPr>
                <w:noProof/>
                <w:webHidden/>
              </w:rPr>
              <w:t>77</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2" w:history="1">
            <w:r w:rsidRPr="00442AC7">
              <w:rPr>
                <w:rStyle w:val="Hyperlink"/>
                <w:noProof/>
              </w:rPr>
              <w:t>7.11.</w:t>
            </w:r>
            <w:r>
              <w:rPr>
                <w:rFonts w:asciiTheme="minorHAnsi" w:eastAsiaTheme="minorEastAsia" w:hAnsiTheme="minorHAnsi" w:cstheme="minorBidi"/>
                <w:noProof/>
                <w:lang w:eastAsia="en-AU"/>
              </w:rPr>
              <w:tab/>
            </w:r>
            <w:r w:rsidRPr="00442AC7">
              <w:rPr>
                <w:rStyle w:val="Hyperlink"/>
                <w:noProof/>
              </w:rPr>
              <w:t>Serious adverse events and deaths</w:t>
            </w:r>
            <w:r>
              <w:rPr>
                <w:noProof/>
                <w:webHidden/>
              </w:rPr>
              <w:tab/>
            </w:r>
            <w:r>
              <w:rPr>
                <w:noProof/>
                <w:webHidden/>
              </w:rPr>
              <w:fldChar w:fldCharType="begin"/>
            </w:r>
            <w:r>
              <w:rPr>
                <w:noProof/>
                <w:webHidden/>
              </w:rPr>
              <w:instrText xml:space="preserve"> PAGEREF _Toc367127772 \h </w:instrText>
            </w:r>
            <w:r>
              <w:rPr>
                <w:noProof/>
                <w:webHidden/>
              </w:rPr>
            </w:r>
            <w:r>
              <w:rPr>
                <w:noProof/>
                <w:webHidden/>
              </w:rPr>
              <w:fldChar w:fldCharType="separate"/>
            </w:r>
            <w:r>
              <w:rPr>
                <w:noProof/>
                <w:webHidden/>
              </w:rPr>
              <w:t>85</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3" w:history="1">
            <w:r w:rsidRPr="00442AC7">
              <w:rPr>
                <w:rStyle w:val="Hyperlink"/>
                <w:noProof/>
              </w:rPr>
              <w:t>7.12.</w:t>
            </w:r>
            <w:r>
              <w:rPr>
                <w:rFonts w:asciiTheme="minorHAnsi" w:eastAsiaTheme="minorEastAsia" w:hAnsiTheme="minorHAnsi" w:cstheme="minorBidi"/>
                <w:noProof/>
                <w:lang w:eastAsia="en-AU"/>
              </w:rPr>
              <w:tab/>
            </w:r>
            <w:r w:rsidRPr="00442AC7">
              <w:rPr>
                <w:rStyle w:val="Hyperlink"/>
                <w:noProof/>
              </w:rPr>
              <w:t>Laboratory findings</w:t>
            </w:r>
            <w:r>
              <w:rPr>
                <w:noProof/>
                <w:webHidden/>
              </w:rPr>
              <w:tab/>
            </w:r>
            <w:r>
              <w:rPr>
                <w:noProof/>
                <w:webHidden/>
              </w:rPr>
              <w:fldChar w:fldCharType="begin"/>
            </w:r>
            <w:r>
              <w:rPr>
                <w:noProof/>
                <w:webHidden/>
              </w:rPr>
              <w:instrText xml:space="preserve"> PAGEREF _Toc367127773 \h </w:instrText>
            </w:r>
            <w:r>
              <w:rPr>
                <w:noProof/>
                <w:webHidden/>
              </w:rPr>
            </w:r>
            <w:r>
              <w:rPr>
                <w:noProof/>
                <w:webHidden/>
              </w:rPr>
              <w:fldChar w:fldCharType="separate"/>
            </w:r>
            <w:r>
              <w:rPr>
                <w:noProof/>
                <w:webHidden/>
              </w:rPr>
              <w:t>88</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4" w:history="1">
            <w:r w:rsidRPr="00442AC7">
              <w:rPr>
                <w:rStyle w:val="Hyperlink"/>
                <w:noProof/>
              </w:rPr>
              <w:t>7.13.</w:t>
            </w:r>
            <w:r>
              <w:rPr>
                <w:rFonts w:asciiTheme="minorHAnsi" w:eastAsiaTheme="minorEastAsia" w:hAnsiTheme="minorHAnsi" w:cstheme="minorBidi"/>
                <w:noProof/>
                <w:lang w:eastAsia="en-AU"/>
              </w:rPr>
              <w:tab/>
            </w:r>
            <w:r w:rsidRPr="00442AC7">
              <w:rPr>
                <w:rStyle w:val="Hyperlink"/>
                <w:noProof/>
              </w:rPr>
              <w:t>Safety in special populations</w:t>
            </w:r>
            <w:r>
              <w:rPr>
                <w:noProof/>
                <w:webHidden/>
              </w:rPr>
              <w:tab/>
            </w:r>
            <w:r>
              <w:rPr>
                <w:noProof/>
                <w:webHidden/>
              </w:rPr>
              <w:fldChar w:fldCharType="begin"/>
            </w:r>
            <w:r>
              <w:rPr>
                <w:noProof/>
                <w:webHidden/>
              </w:rPr>
              <w:instrText xml:space="preserve"> PAGEREF _Toc367127774 \h </w:instrText>
            </w:r>
            <w:r>
              <w:rPr>
                <w:noProof/>
                <w:webHidden/>
              </w:rPr>
            </w:r>
            <w:r>
              <w:rPr>
                <w:noProof/>
                <w:webHidden/>
              </w:rPr>
              <w:fldChar w:fldCharType="separate"/>
            </w:r>
            <w:r>
              <w:rPr>
                <w:noProof/>
                <w:webHidden/>
              </w:rPr>
              <w:t>88</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5" w:history="1">
            <w:r w:rsidRPr="00442AC7">
              <w:rPr>
                <w:rStyle w:val="Hyperlink"/>
                <w:noProof/>
              </w:rPr>
              <w:t>7.14.</w:t>
            </w:r>
            <w:r>
              <w:rPr>
                <w:rFonts w:asciiTheme="minorHAnsi" w:eastAsiaTheme="minorEastAsia" w:hAnsiTheme="minorHAnsi" w:cstheme="minorBidi"/>
                <w:noProof/>
                <w:lang w:eastAsia="en-AU"/>
              </w:rPr>
              <w:tab/>
            </w:r>
            <w:r w:rsidRPr="00442AC7">
              <w:rPr>
                <w:rStyle w:val="Hyperlink"/>
                <w:noProof/>
              </w:rPr>
              <w:t>Immunological events</w:t>
            </w:r>
            <w:r>
              <w:rPr>
                <w:noProof/>
                <w:webHidden/>
              </w:rPr>
              <w:tab/>
            </w:r>
            <w:r>
              <w:rPr>
                <w:noProof/>
                <w:webHidden/>
              </w:rPr>
              <w:fldChar w:fldCharType="begin"/>
            </w:r>
            <w:r>
              <w:rPr>
                <w:noProof/>
                <w:webHidden/>
              </w:rPr>
              <w:instrText xml:space="preserve"> PAGEREF _Toc367127775 \h </w:instrText>
            </w:r>
            <w:r>
              <w:rPr>
                <w:noProof/>
                <w:webHidden/>
              </w:rPr>
            </w:r>
            <w:r>
              <w:rPr>
                <w:noProof/>
                <w:webHidden/>
              </w:rPr>
              <w:fldChar w:fldCharType="separate"/>
            </w:r>
            <w:r>
              <w:rPr>
                <w:noProof/>
                <w:webHidden/>
              </w:rPr>
              <w:t>88</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6" w:history="1">
            <w:r w:rsidRPr="00442AC7">
              <w:rPr>
                <w:rStyle w:val="Hyperlink"/>
                <w:noProof/>
              </w:rPr>
              <w:t>7.15.</w:t>
            </w:r>
            <w:r>
              <w:rPr>
                <w:rFonts w:asciiTheme="minorHAnsi" w:eastAsiaTheme="minorEastAsia" w:hAnsiTheme="minorHAnsi" w:cstheme="minorBidi"/>
                <w:noProof/>
                <w:lang w:eastAsia="en-AU"/>
              </w:rPr>
              <w:tab/>
            </w:r>
            <w:r w:rsidRPr="00442AC7">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_Toc367127776 \h </w:instrText>
            </w:r>
            <w:r>
              <w:rPr>
                <w:noProof/>
                <w:webHidden/>
              </w:rPr>
            </w:r>
            <w:r>
              <w:rPr>
                <w:noProof/>
                <w:webHidden/>
              </w:rPr>
              <w:fldChar w:fldCharType="separate"/>
            </w:r>
            <w:r>
              <w:rPr>
                <w:noProof/>
                <w:webHidden/>
              </w:rPr>
              <w:t>88</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7" w:history="1">
            <w:r w:rsidRPr="00442AC7">
              <w:rPr>
                <w:rStyle w:val="Hyperlink"/>
                <w:noProof/>
              </w:rPr>
              <w:t>7.16.</w:t>
            </w:r>
            <w:r>
              <w:rPr>
                <w:rFonts w:asciiTheme="minorHAnsi" w:eastAsiaTheme="minorEastAsia" w:hAnsiTheme="minorHAnsi" w:cstheme="minorBidi"/>
                <w:noProof/>
                <w:lang w:eastAsia="en-AU"/>
              </w:rPr>
              <w:tab/>
            </w:r>
            <w:r w:rsidRPr="00442AC7">
              <w:rPr>
                <w:rStyle w:val="Hyperlink"/>
                <w:noProof/>
              </w:rPr>
              <w:t>Discontinuation due to adverse events</w:t>
            </w:r>
            <w:r>
              <w:rPr>
                <w:noProof/>
                <w:webHidden/>
              </w:rPr>
              <w:tab/>
            </w:r>
            <w:r>
              <w:rPr>
                <w:noProof/>
                <w:webHidden/>
              </w:rPr>
              <w:fldChar w:fldCharType="begin"/>
            </w:r>
            <w:r>
              <w:rPr>
                <w:noProof/>
                <w:webHidden/>
              </w:rPr>
              <w:instrText xml:space="preserve"> PAGEREF _Toc367127777 \h </w:instrText>
            </w:r>
            <w:r>
              <w:rPr>
                <w:noProof/>
                <w:webHidden/>
              </w:rPr>
            </w:r>
            <w:r>
              <w:rPr>
                <w:noProof/>
                <w:webHidden/>
              </w:rPr>
              <w:fldChar w:fldCharType="separate"/>
            </w:r>
            <w:r>
              <w:rPr>
                <w:noProof/>
                <w:webHidden/>
              </w:rPr>
              <w:t>88</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8" w:history="1">
            <w:r w:rsidRPr="00442AC7">
              <w:rPr>
                <w:rStyle w:val="Hyperlink"/>
                <w:noProof/>
              </w:rPr>
              <w:t>7.17.</w:t>
            </w:r>
            <w:r>
              <w:rPr>
                <w:rFonts w:asciiTheme="minorHAnsi" w:eastAsiaTheme="minorEastAsia" w:hAnsiTheme="minorHAnsi" w:cstheme="minorBidi"/>
                <w:noProof/>
                <w:lang w:eastAsia="en-AU"/>
              </w:rPr>
              <w:tab/>
            </w:r>
            <w:r w:rsidRPr="00442AC7">
              <w:rPr>
                <w:rStyle w:val="Hyperlink"/>
                <w:noProof/>
              </w:rPr>
              <w:t>Postmarketing experience</w:t>
            </w:r>
            <w:r>
              <w:rPr>
                <w:noProof/>
                <w:webHidden/>
              </w:rPr>
              <w:tab/>
            </w:r>
            <w:r>
              <w:rPr>
                <w:noProof/>
                <w:webHidden/>
              </w:rPr>
              <w:fldChar w:fldCharType="begin"/>
            </w:r>
            <w:r>
              <w:rPr>
                <w:noProof/>
                <w:webHidden/>
              </w:rPr>
              <w:instrText xml:space="preserve"> PAGEREF _Toc367127778 \h </w:instrText>
            </w:r>
            <w:r>
              <w:rPr>
                <w:noProof/>
                <w:webHidden/>
              </w:rPr>
            </w:r>
            <w:r>
              <w:rPr>
                <w:noProof/>
                <w:webHidden/>
              </w:rPr>
              <w:fldChar w:fldCharType="separate"/>
            </w:r>
            <w:r>
              <w:rPr>
                <w:noProof/>
                <w:webHidden/>
              </w:rPr>
              <w:t>89</w:t>
            </w:r>
            <w:r>
              <w:rPr>
                <w:noProof/>
                <w:webHidden/>
              </w:rPr>
              <w:fldChar w:fldCharType="end"/>
            </w:r>
          </w:hyperlink>
        </w:p>
        <w:p w:rsidR="0070154E" w:rsidRDefault="0070154E">
          <w:pPr>
            <w:pStyle w:val="TOC3"/>
            <w:tabs>
              <w:tab w:val="left" w:pos="1920"/>
            </w:tabs>
            <w:rPr>
              <w:rFonts w:asciiTheme="minorHAnsi" w:eastAsiaTheme="minorEastAsia" w:hAnsiTheme="minorHAnsi" w:cstheme="minorBidi"/>
              <w:noProof/>
              <w:lang w:eastAsia="en-AU"/>
            </w:rPr>
          </w:pPr>
          <w:hyperlink w:anchor="_Toc367127779" w:history="1">
            <w:r w:rsidRPr="00442AC7">
              <w:rPr>
                <w:rStyle w:val="Hyperlink"/>
                <w:noProof/>
              </w:rPr>
              <w:t>7.18.</w:t>
            </w:r>
            <w:r>
              <w:rPr>
                <w:rFonts w:asciiTheme="minorHAnsi" w:eastAsiaTheme="minorEastAsia" w:hAnsiTheme="minorHAnsi" w:cstheme="minorBidi"/>
                <w:noProof/>
                <w:lang w:eastAsia="en-AU"/>
              </w:rPr>
              <w:tab/>
            </w:r>
            <w:r w:rsidRPr="00442AC7">
              <w:rPr>
                <w:rStyle w:val="Hyperlink"/>
                <w:noProof/>
              </w:rPr>
              <w:t>Evaluator’s overall conclusions on clinical safety</w:t>
            </w:r>
            <w:r>
              <w:rPr>
                <w:noProof/>
                <w:webHidden/>
              </w:rPr>
              <w:tab/>
            </w:r>
            <w:r>
              <w:rPr>
                <w:noProof/>
                <w:webHidden/>
              </w:rPr>
              <w:fldChar w:fldCharType="begin"/>
            </w:r>
            <w:r>
              <w:rPr>
                <w:noProof/>
                <w:webHidden/>
              </w:rPr>
              <w:instrText xml:space="preserve"> PAGEREF _Toc367127779 \h </w:instrText>
            </w:r>
            <w:r>
              <w:rPr>
                <w:noProof/>
                <w:webHidden/>
              </w:rPr>
            </w:r>
            <w:r>
              <w:rPr>
                <w:noProof/>
                <w:webHidden/>
              </w:rPr>
              <w:fldChar w:fldCharType="separate"/>
            </w:r>
            <w:r>
              <w:rPr>
                <w:noProof/>
                <w:webHidden/>
              </w:rPr>
              <w:t>89</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80" w:history="1">
            <w:r w:rsidRPr="00442AC7">
              <w:rPr>
                <w:rStyle w:val="Hyperlink"/>
                <w:noProof/>
              </w:rPr>
              <w:t>8.</w:t>
            </w:r>
            <w:r>
              <w:rPr>
                <w:rFonts w:asciiTheme="minorHAnsi" w:eastAsiaTheme="minorEastAsia" w:hAnsiTheme="minorHAnsi" w:cstheme="minorBidi"/>
                <w:b w:val="0"/>
                <w:noProof/>
                <w:sz w:val="22"/>
                <w:lang w:eastAsia="en-AU"/>
              </w:rPr>
              <w:tab/>
            </w:r>
            <w:r w:rsidRPr="00442AC7">
              <w:rPr>
                <w:rStyle w:val="Hyperlink"/>
                <w:noProof/>
              </w:rPr>
              <w:t>Summary and discussion</w:t>
            </w:r>
            <w:r>
              <w:rPr>
                <w:noProof/>
                <w:webHidden/>
              </w:rPr>
              <w:tab/>
            </w:r>
            <w:r>
              <w:rPr>
                <w:noProof/>
                <w:webHidden/>
              </w:rPr>
              <w:fldChar w:fldCharType="begin"/>
            </w:r>
            <w:r>
              <w:rPr>
                <w:noProof/>
                <w:webHidden/>
              </w:rPr>
              <w:instrText xml:space="preserve"> PAGEREF _Toc367127780 \h </w:instrText>
            </w:r>
            <w:r>
              <w:rPr>
                <w:noProof/>
                <w:webHidden/>
              </w:rPr>
            </w:r>
            <w:r>
              <w:rPr>
                <w:noProof/>
                <w:webHidden/>
              </w:rPr>
              <w:fldChar w:fldCharType="separate"/>
            </w:r>
            <w:r>
              <w:rPr>
                <w:noProof/>
                <w:webHidden/>
              </w:rPr>
              <w:t>91</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81" w:history="1">
            <w:r w:rsidRPr="00442AC7">
              <w:rPr>
                <w:rStyle w:val="Hyperlink"/>
                <w:noProof/>
              </w:rPr>
              <w:t>8.1.</w:t>
            </w:r>
            <w:r>
              <w:rPr>
                <w:rFonts w:asciiTheme="minorHAnsi" w:eastAsiaTheme="minorEastAsia" w:hAnsiTheme="minorHAnsi" w:cstheme="minorBidi"/>
                <w:noProof/>
                <w:lang w:eastAsia="en-AU"/>
              </w:rPr>
              <w:tab/>
            </w:r>
            <w:r w:rsidRPr="00442AC7">
              <w:rPr>
                <w:rStyle w:val="Hyperlink"/>
                <w:noProof/>
              </w:rPr>
              <w:t>Clinical aspects</w:t>
            </w:r>
            <w:r>
              <w:rPr>
                <w:noProof/>
                <w:webHidden/>
              </w:rPr>
              <w:tab/>
            </w:r>
            <w:r>
              <w:rPr>
                <w:noProof/>
                <w:webHidden/>
              </w:rPr>
              <w:fldChar w:fldCharType="begin"/>
            </w:r>
            <w:r>
              <w:rPr>
                <w:noProof/>
                <w:webHidden/>
              </w:rPr>
              <w:instrText xml:space="preserve"> PAGEREF _Toc367127781 \h </w:instrText>
            </w:r>
            <w:r>
              <w:rPr>
                <w:noProof/>
                <w:webHidden/>
              </w:rPr>
            </w:r>
            <w:r>
              <w:rPr>
                <w:noProof/>
                <w:webHidden/>
              </w:rPr>
              <w:fldChar w:fldCharType="separate"/>
            </w:r>
            <w:r>
              <w:rPr>
                <w:noProof/>
                <w:webHidden/>
              </w:rPr>
              <w:t>91</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82" w:history="1">
            <w:r w:rsidRPr="00442AC7">
              <w:rPr>
                <w:rStyle w:val="Hyperlink"/>
                <w:noProof/>
              </w:rPr>
              <w:t>9.</w:t>
            </w:r>
            <w:r>
              <w:rPr>
                <w:rFonts w:asciiTheme="minorHAnsi" w:eastAsiaTheme="minorEastAsia" w:hAnsiTheme="minorHAnsi" w:cstheme="minorBidi"/>
                <w:b w:val="0"/>
                <w:noProof/>
                <w:sz w:val="22"/>
                <w:lang w:eastAsia="en-AU"/>
              </w:rPr>
              <w:tab/>
            </w:r>
            <w:r w:rsidRPr="00442AC7">
              <w:rPr>
                <w:rStyle w:val="Hyperlink"/>
                <w:noProof/>
              </w:rPr>
              <w:t>First round benefit-risk assessment</w:t>
            </w:r>
            <w:r>
              <w:rPr>
                <w:noProof/>
                <w:webHidden/>
              </w:rPr>
              <w:tab/>
            </w:r>
            <w:r>
              <w:rPr>
                <w:noProof/>
                <w:webHidden/>
              </w:rPr>
              <w:fldChar w:fldCharType="begin"/>
            </w:r>
            <w:r>
              <w:rPr>
                <w:noProof/>
                <w:webHidden/>
              </w:rPr>
              <w:instrText xml:space="preserve"> PAGEREF _Toc367127782 \h </w:instrText>
            </w:r>
            <w:r>
              <w:rPr>
                <w:noProof/>
                <w:webHidden/>
              </w:rPr>
            </w:r>
            <w:r>
              <w:rPr>
                <w:noProof/>
                <w:webHidden/>
              </w:rPr>
              <w:fldChar w:fldCharType="separate"/>
            </w:r>
            <w:r>
              <w:rPr>
                <w:noProof/>
                <w:webHidden/>
              </w:rPr>
              <w:t>95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83" w:history="1">
            <w:r w:rsidRPr="00442AC7">
              <w:rPr>
                <w:rStyle w:val="Hyperlink"/>
                <w:noProof/>
              </w:rPr>
              <w:t>9.1.</w:t>
            </w:r>
            <w:r>
              <w:rPr>
                <w:rFonts w:asciiTheme="minorHAnsi" w:eastAsiaTheme="minorEastAsia" w:hAnsiTheme="minorHAnsi" w:cstheme="minorBidi"/>
                <w:noProof/>
                <w:lang w:eastAsia="en-AU"/>
              </w:rPr>
              <w:tab/>
            </w:r>
            <w:r w:rsidRPr="00442AC7">
              <w:rPr>
                <w:rStyle w:val="Hyperlink"/>
                <w:noProof/>
              </w:rPr>
              <w:t>Benefits</w:t>
            </w:r>
            <w:r>
              <w:rPr>
                <w:noProof/>
                <w:webHidden/>
              </w:rPr>
              <w:tab/>
            </w:r>
            <w:r>
              <w:rPr>
                <w:noProof/>
                <w:webHidden/>
              </w:rPr>
              <w:fldChar w:fldCharType="begin"/>
            </w:r>
            <w:r>
              <w:rPr>
                <w:noProof/>
                <w:webHidden/>
              </w:rPr>
              <w:instrText xml:space="preserve"> PAGEREF _Toc367127783 \h </w:instrText>
            </w:r>
            <w:r>
              <w:rPr>
                <w:noProof/>
                <w:webHidden/>
              </w:rPr>
            </w:r>
            <w:r>
              <w:rPr>
                <w:noProof/>
                <w:webHidden/>
              </w:rPr>
              <w:fldChar w:fldCharType="separate"/>
            </w:r>
            <w:r>
              <w:rPr>
                <w:noProof/>
                <w:webHidden/>
              </w:rPr>
              <w:t>95</w:t>
            </w:r>
            <w:r>
              <w:rPr>
                <w:noProof/>
                <w:webHidden/>
              </w:rPr>
              <w:fldChar w:fldCharType="end"/>
            </w:r>
          </w:hyperlink>
        </w:p>
        <w:p w:rsidR="0070154E" w:rsidRDefault="0070154E">
          <w:pPr>
            <w:pStyle w:val="TOC3"/>
            <w:tabs>
              <w:tab w:val="left" w:pos="1680"/>
            </w:tabs>
            <w:rPr>
              <w:rFonts w:asciiTheme="minorHAnsi" w:eastAsiaTheme="minorEastAsia" w:hAnsiTheme="minorHAnsi" w:cstheme="minorBidi"/>
              <w:noProof/>
              <w:lang w:eastAsia="en-AU"/>
            </w:rPr>
          </w:pPr>
          <w:hyperlink w:anchor="_Toc367127784" w:history="1">
            <w:r w:rsidRPr="00442AC7">
              <w:rPr>
                <w:rStyle w:val="Hyperlink"/>
                <w:noProof/>
              </w:rPr>
              <w:t>9.2.</w:t>
            </w:r>
            <w:r>
              <w:rPr>
                <w:rFonts w:asciiTheme="minorHAnsi" w:eastAsiaTheme="minorEastAsia" w:hAnsiTheme="minorHAnsi" w:cstheme="minorBidi"/>
                <w:noProof/>
                <w:lang w:eastAsia="en-AU"/>
              </w:rPr>
              <w:tab/>
            </w:r>
            <w:r w:rsidRPr="00442AC7">
              <w:rPr>
                <w:rStyle w:val="Hyperlink"/>
                <w:noProof/>
              </w:rPr>
              <w:t>Risks</w:t>
            </w:r>
            <w:r>
              <w:rPr>
                <w:noProof/>
                <w:webHidden/>
              </w:rPr>
              <w:tab/>
            </w:r>
            <w:r>
              <w:rPr>
                <w:noProof/>
                <w:webHidden/>
              </w:rPr>
              <w:fldChar w:fldCharType="begin"/>
            </w:r>
            <w:r>
              <w:rPr>
                <w:noProof/>
                <w:webHidden/>
              </w:rPr>
              <w:instrText xml:space="preserve"> PAGEREF _Toc367127784 \h </w:instrText>
            </w:r>
            <w:r>
              <w:rPr>
                <w:noProof/>
                <w:webHidden/>
              </w:rPr>
            </w:r>
            <w:r>
              <w:rPr>
                <w:noProof/>
                <w:webHidden/>
              </w:rPr>
              <w:fldChar w:fldCharType="separate"/>
            </w:r>
            <w:r>
              <w:rPr>
                <w:noProof/>
                <w:webHidden/>
              </w:rPr>
              <w:t>96</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85" w:history="1">
            <w:r w:rsidRPr="00442AC7">
              <w:rPr>
                <w:rStyle w:val="Hyperlink"/>
                <w:noProof/>
              </w:rPr>
              <w:t>10.</w:t>
            </w:r>
            <w:r>
              <w:rPr>
                <w:rFonts w:asciiTheme="minorHAnsi" w:eastAsiaTheme="minorEastAsia" w:hAnsiTheme="minorHAnsi" w:cstheme="minorBidi"/>
                <w:b w:val="0"/>
                <w:noProof/>
                <w:sz w:val="22"/>
                <w:lang w:eastAsia="en-AU"/>
              </w:rPr>
              <w:tab/>
            </w:r>
            <w:r w:rsidRPr="00442AC7">
              <w:rPr>
                <w:rStyle w:val="Hyperlink"/>
                <w:noProof/>
              </w:rPr>
              <w:t>First round recommendation regarding authorisation</w:t>
            </w:r>
            <w:r>
              <w:rPr>
                <w:noProof/>
                <w:webHidden/>
              </w:rPr>
              <w:tab/>
            </w:r>
            <w:r>
              <w:rPr>
                <w:noProof/>
                <w:webHidden/>
              </w:rPr>
              <w:fldChar w:fldCharType="begin"/>
            </w:r>
            <w:r>
              <w:rPr>
                <w:noProof/>
                <w:webHidden/>
              </w:rPr>
              <w:instrText xml:space="preserve"> PAGEREF _Toc367127785 \h </w:instrText>
            </w:r>
            <w:r>
              <w:rPr>
                <w:noProof/>
                <w:webHidden/>
              </w:rPr>
            </w:r>
            <w:r>
              <w:rPr>
                <w:noProof/>
                <w:webHidden/>
              </w:rPr>
              <w:fldChar w:fldCharType="separate"/>
            </w:r>
            <w:r>
              <w:rPr>
                <w:noProof/>
                <w:webHidden/>
              </w:rPr>
              <w:t>97</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86" w:history="1">
            <w:r w:rsidRPr="00442AC7">
              <w:rPr>
                <w:rStyle w:val="Hyperlink"/>
                <w:noProof/>
              </w:rPr>
              <w:t>11.</w:t>
            </w:r>
            <w:r>
              <w:rPr>
                <w:rFonts w:asciiTheme="minorHAnsi" w:eastAsiaTheme="minorEastAsia" w:hAnsiTheme="minorHAnsi" w:cstheme="minorBidi"/>
                <w:b w:val="0"/>
                <w:noProof/>
                <w:sz w:val="22"/>
                <w:lang w:eastAsia="en-AU"/>
              </w:rPr>
              <w:tab/>
            </w:r>
            <w:r w:rsidRPr="00442AC7">
              <w:rPr>
                <w:rStyle w:val="Hyperlink"/>
                <w:noProof/>
              </w:rPr>
              <w:t>Clinical questions</w:t>
            </w:r>
            <w:r>
              <w:rPr>
                <w:noProof/>
                <w:webHidden/>
              </w:rPr>
              <w:tab/>
            </w:r>
            <w:r>
              <w:rPr>
                <w:noProof/>
                <w:webHidden/>
              </w:rPr>
              <w:fldChar w:fldCharType="begin"/>
            </w:r>
            <w:r>
              <w:rPr>
                <w:noProof/>
                <w:webHidden/>
              </w:rPr>
              <w:instrText xml:space="preserve"> PAGEREF _Toc367127786 \h </w:instrText>
            </w:r>
            <w:r>
              <w:rPr>
                <w:noProof/>
                <w:webHidden/>
              </w:rPr>
            </w:r>
            <w:r>
              <w:rPr>
                <w:noProof/>
                <w:webHidden/>
              </w:rPr>
              <w:fldChar w:fldCharType="separate"/>
            </w:r>
            <w:r>
              <w:rPr>
                <w:noProof/>
                <w:webHidden/>
              </w:rPr>
              <w:t>97</w:t>
            </w:r>
            <w:r>
              <w:rPr>
                <w:noProof/>
                <w:webHidden/>
              </w:rPr>
              <w:fldChar w:fldCharType="end"/>
            </w:r>
          </w:hyperlink>
        </w:p>
        <w:p w:rsidR="0070154E" w:rsidRDefault="0070154E">
          <w:pPr>
            <w:pStyle w:val="TOC2"/>
            <w:tabs>
              <w:tab w:val="left" w:pos="1247"/>
            </w:tabs>
            <w:rPr>
              <w:rFonts w:asciiTheme="minorHAnsi" w:eastAsiaTheme="minorEastAsia" w:hAnsiTheme="minorHAnsi" w:cstheme="minorBidi"/>
              <w:b w:val="0"/>
              <w:noProof/>
              <w:sz w:val="22"/>
              <w:lang w:eastAsia="en-AU"/>
            </w:rPr>
          </w:pPr>
          <w:hyperlink w:anchor="_Toc367127787" w:history="1">
            <w:r w:rsidRPr="00442AC7">
              <w:rPr>
                <w:rStyle w:val="Hyperlink"/>
                <w:noProof/>
              </w:rPr>
              <w:t>12.</w:t>
            </w:r>
            <w:r>
              <w:rPr>
                <w:rFonts w:asciiTheme="minorHAnsi" w:eastAsiaTheme="minorEastAsia" w:hAnsiTheme="minorHAnsi" w:cstheme="minorBidi"/>
                <w:b w:val="0"/>
                <w:noProof/>
                <w:sz w:val="22"/>
                <w:lang w:eastAsia="en-AU"/>
              </w:rPr>
              <w:tab/>
            </w:r>
            <w:r w:rsidRPr="00442AC7">
              <w:rPr>
                <w:rStyle w:val="Hyperlink"/>
                <w:noProof/>
              </w:rPr>
              <w:t>References</w:t>
            </w:r>
            <w:r>
              <w:rPr>
                <w:noProof/>
                <w:webHidden/>
              </w:rPr>
              <w:tab/>
            </w:r>
            <w:r>
              <w:rPr>
                <w:noProof/>
                <w:webHidden/>
              </w:rPr>
              <w:fldChar w:fldCharType="begin"/>
            </w:r>
            <w:r>
              <w:rPr>
                <w:noProof/>
                <w:webHidden/>
              </w:rPr>
              <w:instrText xml:space="preserve"> PAGEREF _Toc367127787 \h </w:instrText>
            </w:r>
            <w:r>
              <w:rPr>
                <w:noProof/>
                <w:webHidden/>
              </w:rPr>
            </w:r>
            <w:r>
              <w:rPr>
                <w:noProof/>
                <w:webHidden/>
              </w:rPr>
              <w:fldChar w:fldCharType="separate"/>
            </w:r>
            <w:r>
              <w:rPr>
                <w:noProof/>
                <w:webHidden/>
              </w:rPr>
              <w:t>97</w:t>
            </w:r>
            <w:r>
              <w:rPr>
                <w:noProof/>
                <w:webHidden/>
              </w:rPr>
              <w:fldChar w:fldCharType="end"/>
            </w:r>
          </w:hyperlink>
        </w:p>
        <w:p w:rsidR="003A7F6C" w:rsidRPr="00B811C6" w:rsidRDefault="00D54EB2" w:rsidP="00B811C6">
          <w:pPr>
            <w:pStyle w:val="TOC2"/>
          </w:pPr>
          <w:r>
            <w:fldChar w:fldCharType="end"/>
          </w:r>
        </w:p>
      </w:sdtContent>
    </w:sdt>
    <w:bookmarkStart w:id="2" w:name="_Toc314842482" w:displacedByCustomXml="prev"/>
    <w:p w:rsidR="00586F98" w:rsidRDefault="00586F98" w:rsidP="0043797D">
      <w:pPr>
        <w:pStyle w:val="Heading2"/>
        <w:pageBreakBefore/>
        <w:rPr>
          <w:lang w:eastAsia="en-AU"/>
        </w:rPr>
      </w:pPr>
      <w:bookmarkStart w:id="3" w:name="_Toc351718900"/>
      <w:bookmarkStart w:id="4" w:name="_Toc355338635"/>
      <w:bookmarkStart w:id="5" w:name="_Toc367127726"/>
      <w:r>
        <w:rPr>
          <w:lang w:eastAsia="en-AU"/>
        </w:rPr>
        <w:lastRenderedPageBreak/>
        <w:t>Clinical rationale</w:t>
      </w:r>
      <w:bookmarkEnd w:id="5"/>
    </w:p>
    <w:p w:rsidR="002E6F0C" w:rsidRDefault="002E6F0C" w:rsidP="002E6F0C">
      <w:r>
        <w:t>This application is for Category 1 Australian registration of Picato Gel, a new chemical entity. The active pharmaceutical ingredient in Picato Gel is ingenol mebutate. The finished product is available in 2 strengths of active ingredient, 0.015% w/w and 0.05% w/w. The proposed indication for the 0.015% strength is for the treatment of solar (actinic) keratoses (SK) on the face and scalp, while the proposed indication for the 0.05% strength is for the treatment of SK on the body (non-head regions). The recommended dosage for the treatment of SK lesions on the face and scalp is 0.015% Picato Gel topically applied to the affected area once daily for 3 consecutive days. The recommended dosage for the treatment of SK lesions on the trunk and extremities is 0.05% Picato Gel topically applied to the affected area once daily for 2 days.</w:t>
      </w:r>
    </w:p>
    <w:p w:rsidR="00586F98" w:rsidRDefault="00586F98" w:rsidP="00586F98">
      <w:pPr>
        <w:pStyle w:val="Heading2"/>
        <w:rPr>
          <w:lang w:eastAsia="en-AU"/>
        </w:rPr>
      </w:pPr>
      <w:bookmarkStart w:id="6" w:name="_Toc367127727"/>
      <w:r>
        <w:rPr>
          <w:lang w:eastAsia="en-AU"/>
        </w:rPr>
        <w:t>Contents of the clinical dossier</w:t>
      </w:r>
      <w:bookmarkEnd w:id="3"/>
      <w:bookmarkEnd w:id="4"/>
      <w:bookmarkEnd w:id="6"/>
    </w:p>
    <w:p w:rsidR="00586F98" w:rsidRDefault="00586F98" w:rsidP="00586F98">
      <w:pPr>
        <w:pStyle w:val="Heading3"/>
      </w:pPr>
      <w:bookmarkStart w:id="7" w:name="_Toc367127728"/>
      <w:r>
        <w:t>Scope of the clinical dossier</w:t>
      </w:r>
      <w:bookmarkEnd w:id="7"/>
    </w:p>
    <w:p w:rsidR="002E6F0C" w:rsidRDefault="002E6F0C" w:rsidP="002E6F0C">
      <w:r>
        <w:t>A total of 25 clinical studies were provided in support of this application as illustrated below. In these studies, Picato Gel was identified as PEP005 Gel. In addition, there were noted to be three ongoing safety studies, PEP005-033, PEP005-036 and LP0041-01. Minimal information was provided on these ongoing studies.</w:t>
      </w:r>
    </w:p>
    <w:p w:rsidR="005C3B0E" w:rsidRDefault="005C3B0E" w:rsidP="005C3B0E">
      <w:pPr>
        <w:pStyle w:val="FigureTitle"/>
        <w:keepNext/>
      </w:pPr>
      <w:r>
        <w:t>Figure 1. Overview of the Completed Clinical studies for PEP005 Gel</w:t>
      </w:r>
    </w:p>
    <w:p w:rsidR="002E6F0C" w:rsidRDefault="002E6F0C" w:rsidP="004E671B">
      <w:r>
        <w:rPr>
          <w:noProof/>
          <w:lang w:eastAsia="en-AU"/>
        </w:rPr>
        <w:drawing>
          <wp:inline distT="0" distB="0" distL="0" distR="0">
            <wp:extent cx="5000625" cy="4596838"/>
            <wp:effectExtent l="19050" t="0" r="9525" b="0"/>
            <wp:docPr id="1" name="Picture 2" descr="Figure 1. Overview of the Completed Clinical studies for PEP005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93" b="2513"/>
                    <a:stretch>
                      <a:fillRect/>
                    </a:stretch>
                  </pic:blipFill>
                  <pic:spPr bwMode="auto">
                    <a:xfrm>
                      <a:off x="0" y="0"/>
                      <a:ext cx="5000625" cy="4596838"/>
                    </a:xfrm>
                    <a:prstGeom prst="rect">
                      <a:avLst/>
                    </a:prstGeom>
                    <a:noFill/>
                    <a:ln>
                      <a:noFill/>
                    </a:ln>
                  </pic:spPr>
                </pic:pic>
              </a:graphicData>
            </a:graphic>
          </wp:inline>
        </w:drawing>
      </w:r>
      <w:bookmarkStart w:id="8" w:name="_GoBack"/>
      <w:bookmarkEnd w:id="8"/>
    </w:p>
    <w:p w:rsidR="002E6F0C" w:rsidRDefault="002E6F0C" w:rsidP="004E671B">
      <w:r>
        <w:t xml:space="preserve">Of these 25 completed studies, 18 were conducted in patients with SK lesions. The remaining 7 studies contributed data to the safety profile of Picato Gel and included 3 topical safety studies </w:t>
      </w:r>
      <w:r>
        <w:lastRenderedPageBreak/>
        <w:t>performed in healthy volunteers and 4 safety studies in patients with no</w:t>
      </w:r>
      <w:r w:rsidR="004E671B">
        <w:t>n malignant skin cancer (NMSC).</w:t>
      </w:r>
    </w:p>
    <w:p w:rsidR="002E6F0C" w:rsidRDefault="002E6F0C" w:rsidP="002E6F0C">
      <w:r>
        <w:t>The minimum effective dose for both indications was identified in 2 dose-ranging studies, PEP005-015 for the head and neck indication (0.015% Picato Gel) and PEP005-006 for the trunk and extremities indication (0.05% Picato Gel). These s</w:t>
      </w:r>
      <w:r w:rsidR="005C3B0E">
        <w:t xml:space="preserve">tudies are further described </w:t>
      </w:r>
      <w:r w:rsidR="005C3B0E" w:rsidRPr="005C3B0E">
        <w:rPr>
          <w:i/>
        </w:rPr>
        <w:t>Dose repose studies and Main clinical studies</w:t>
      </w:r>
      <w:r w:rsidR="005C3B0E">
        <w:t xml:space="preserve"> and </w:t>
      </w:r>
      <w:r w:rsidR="005C3B0E" w:rsidRPr="005C3B0E">
        <w:rPr>
          <w:i/>
        </w:rPr>
        <w:t>Supportive studies</w:t>
      </w:r>
      <w:r w:rsidR="004E671B">
        <w:t xml:space="preserve"> below.</w:t>
      </w:r>
    </w:p>
    <w:p w:rsidR="002E6F0C" w:rsidRDefault="002E6F0C" w:rsidP="002E6F0C">
      <w:r>
        <w:t xml:space="preserve">Information provided on pharmacology focussed on demonstrating that PEP005 was not systemically absorbed. Pharmacokinetic information was obtained from a total of 32 subjects as well as predicted using allometric scaling from </w:t>
      </w:r>
      <w:r w:rsidR="005C3B0E" w:rsidRPr="005C3B0E">
        <w:rPr>
          <w:i/>
        </w:rPr>
        <w:t>in vivo</w:t>
      </w:r>
      <w:r>
        <w:t xml:space="preserve"> animal PK and </w:t>
      </w:r>
      <w:r w:rsidR="005C3B0E" w:rsidRPr="005C3B0E">
        <w:rPr>
          <w:i/>
        </w:rPr>
        <w:t>in vitro</w:t>
      </w:r>
      <w:r>
        <w:t xml:space="preserve"> percutaneous absorption data. This is further discussed </w:t>
      </w:r>
      <w:r w:rsidR="005C3B0E">
        <w:t xml:space="preserve">under </w:t>
      </w:r>
      <w:r w:rsidR="005C3B0E" w:rsidRPr="005C3B0E">
        <w:rPr>
          <w:i/>
        </w:rPr>
        <w:t>Pharmacokinetics</w:t>
      </w:r>
      <w:r>
        <w:t>. This information is consistent with that provided in the draft PI. The precise mechanism of action of PEP005 gel is unknown, although possible mechanisms were postulated in the draft PI.</w:t>
      </w:r>
    </w:p>
    <w:p w:rsidR="002E6F0C" w:rsidRDefault="002E6F0C" w:rsidP="002E6F0C">
      <w:r>
        <w:t xml:space="preserve">The dose proposed in the draft PI was used in the pivotal studies. The pivotal studies were all placebo-controlled, with a clinically acceptable superiority margin. This is further discussed </w:t>
      </w:r>
      <w:r w:rsidR="005C3B0E">
        <w:t xml:space="preserve">under </w:t>
      </w:r>
      <w:r w:rsidR="005C3B0E" w:rsidRPr="005C3B0E">
        <w:rPr>
          <w:i/>
        </w:rPr>
        <w:t>Dose repose studies and Main clinical studies</w:t>
      </w:r>
      <w:r w:rsidR="005C3B0E" w:rsidRPr="005C3B0E">
        <w:t xml:space="preserve"> and </w:t>
      </w:r>
      <w:r w:rsidR="005C3B0E" w:rsidRPr="005C3B0E">
        <w:rPr>
          <w:i/>
        </w:rPr>
        <w:t>Supportive studies</w:t>
      </w:r>
      <w:r w:rsidR="005C3B0E" w:rsidRPr="005C3B0E">
        <w:t xml:space="preserve"> below</w:t>
      </w:r>
      <w:r>
        <w:t xml:space="preserve">. There were no active controlled studies. Data on recurrence was provided from 3 long term studies (PEP005-030, PEP005-031 and PEP005-032) and is discussed further </w:t>
      </w:r>
      <w:r w:rsidR="005C3B0E">
        <w:t xml:space="preserve">under </w:t>
      </w:r>
      <w:r w:rsidRPr="005C3B0E">
        <w:rPr>
          <w:i/>
        </w:rPr>
        <w:t>Analysis performed across trials (pooled analyses and meta-analysis)</w:t>
      </w:r>
      <w:r>
        <w:t xml:space="preserve"> and </w:t>
      </w:r>
      <w:r w:rsidR="005C3B0E" w:rsidRPr="005C3B0E">
        <w:rPr>
          <w:i/>
        </w:rPr>
        <w:t>S</w:t>
      </w:r>
      <w:r w:rsidRPr="005C3B0E">
        <w:rPr>
          <w:i/>
        </w:rPr>
        <w:t>upporting studies</w:t>
      </w:r>
      <w:r w:rsidR="004E671B">
        <w:t>.</w:t>
      </w:r>
    </w:p>
    <w:p w:rsidR="002E6F0C" w:rsidRDefault="002E6F0C" w:rsidP="002E6F0C">
      <w:r>
        <w:t xml:space="preserve">Limited information on histological confirmation of clearance was provided, and is further discussed in </w:t>
      </w:r>
      <w:r w:rsidR="005C3B0E">
        <w:t xml:space="preserve">the </w:t>
      </w:r>
      <w:r w:rsidR="005C3B0E" w:rsidRPr="005C3B0E">
        <w:rPr>
          <w:i/>
        </w:rPr>
        <w:t>Introduction</w:t>
      </w:r>
      <w:r w:rsidR="005C3B0E">
        <w:t xml:space="preserve"> to </w:t>
      </w:r>
      <w:r w:rsidR="005C3B0E" w:rsidRPr="005C3B0E">
        <w:rPr>
          <w:i/>
        </w:rPr>
        <w:t>Clinical Efficacy</w:t>
      </w:r>
      <w:r>
        <w:t xml:space="preserve">, including results from study PEP005-001. Efficacy endpoints are also discussed in </w:t>
      </w:r>
      <w:r w:rsidR="005C3B0E">
        <w:t>this section</w:t>
      </w:r>
      <w:r>
        <w:t>, and were consistently applied across all pivotal studies. Limited objective measures were used.</w:t>
      </w:r>
    </w:p>
    <w:p w:rsidR="00586F98" w:rsidRDefault="00586F98" w:rsidP="004E671B">
      <w:pPr>
        <w:pStyle w:val="Heading3"/>
      </w:pPr>
      <w:bookmarkStart w:id="9" w:name="_Toc367127729"/>
      <w:r>
        <w:t>Paediatric data</w:t>
      </w:r>
      <w:bookmarkEnd w:id="9"/>
    </w:p>
    <w:p w:rsidR="00586F98" w:rsidRDefault="002E6F0C" w:rsidP="004E671B">
      <w:pPr>
        <w:rPr>
          <w:lang w:eastAsia="ja-JP"/>
        </w:rPr>
      </w:pPr>
      <w:r>
        <w:rPr>
          <w:lang w:eastAsia="ja-JP"/>
        </w:rPr>
        <w:t>Not applicable.</w:t>
      </w:r>
    </w:p>
    <w:p w:rsidR="00586F98" w:rsidRDefault="00586F98" w:rsidP="00586F98">
      <w:pPr>
        <w:pStyle w:val="Heading3"/>
      </w:pPr>
      <w:bookmarkStart w:id="10" w:name="_Toc367127730"/>
      <w:r>
        <w:t>Good clinical practice</w:t>
      </w:r>
      <w:bookmarkEnd w:id="10"/>
    </w:p>
    <w:p w:rsidR="002E6F0C" w:rsidRDefault="002E6F0C" w:rsidP="002E6F0C">
      <w:r>
        <w:t>No significant GCP aspects were identified in the development of this product.</w:t>
      </w:r>
    </w:p>
    <w:p w:rsidR="00586F98" w:rsidRDefault="00586F98" w:rsidP="004E671B">
      <w:pPr>
        <w:pStyle w:val="Heading2"/>
      </w:pPr>
      <w:bookmarkStart w:id="11" w:name="_Toc355338639"/>
      <w:bookmarkStart w:id="12" w:name="_Toc367127731"/>
      <w:r>
        <w:t>Pharmacokinetics</w:t>
      </w:r>
      <w:bookmarkEnd w:id="11"/>
      <w:bookmarkEnd w:id="12"/>
    </w:p>
    <w:p w:rsidR="002E6F0C" w:rsidRDefault="002E6F0C" w:rsidP="002E6F0C">
      <w:pPr>
        <w:pStyle w:val="Heading3"/>
      </w:pPr>
      <w:bookmarkStart w:id="13" w:name="_Toc241374285"/>
      <w:bookmarkStart w:id="14" w:name="_Toc314158718"/>
      <w:bookmarkStart w:id="15" w:name="_Toc367127732"/>
      <w:r>
        <w:t>Introduction</w:t>
      </w:r>
      <w:bookmarkEnd w:id="13"/>
      <w:bookmarkEnd w:id="14"/>
      <w:bookmarkEnd w:id="15"/>
    </w:p>
    <w:p w:rsidR="002E6F0C" w:rsidRDefault="005C3B0E" w:rsidP="002E6F0C">
      <w:r>
        <w:t>P</w:t>
      </w:r>
      <w:r w:rsidR="002E6F0C">
        <w:t xml:space="preserve">icato Gel is applied topically and not absorbed systemically. Ingenol mebutate, at the concentrations applied topically for treatment of SK lesions, has no detectable systemic absorption. The human PK profile was predicted using allometric scaling from </w:t>
      </w:r>
      <w:r w:rsidRPr="005C3B0E">
        <w:rPr>
          <w:i/>
        </w:rPr>
        <w:t>in vivo</w:t>
      </w:r>
      <w:r w:rsidR="002E6F0C">
        <w:t xml:space="preserve"> animal PK and </w:t>
      </w:r>
      <w:r w:rsidRPr="005C3B0E">
        <w:rPr>
          <w:i/>
        </w:rPr>
        <w:t>in vitro</w:t>
      </w:r>
      <w:r w:rsidR="002E6F0C">
        <w:t xml:space="preserve"> percutaneous absorption data. This profile suggested that the maximum intended clinical dose (2 micrograms/kg/day) would not produce measurable systemic blood levels of ingenol mebutate, and that a minimum topical dose of 2000 micro</w:t>
      </w:r>
      <w:r w:rsidR="004E671B">
        <w:t>grams/kg/day would be required.</w:t>
      </w:r>
    </w:p>
    <w:p w:rsidR="002E6F0C" w:rsidRDefault="002E6F0C" w:rsidP="004E671B">
      <w:pPr>
        <w:pStyle w:val="Heading3"/>
      </w:pPr>
      <w:bookmarkStart w:id="16" w:name="_Toc241374286"/>
      <w:bookmarkStart w:id="17" w:name="_Toc314158719"/>
      <w:bookmarkStart w:id="18" w:name="_Toc367127733"/>
      <w:r>
        <w:t>Methods</w:t>
      </w:r>
      <w:bookmarkEnd w:id="16"/>
      <w:bookmarkEnd w:id="17"/>
      <w:bookmarkEnd w:id="18"/>
    </w:p>
    <w:p w:rsidR="002E6F0C" w:rsidRDefault="002E6F0C" w:rsidP="004E671B">
      <w:pPr>
        <w:pStyle w:val="Heading4"/>
      </w:pPr>
      <w:r>
        <w:t>Analytical methods</w:t>
      </w:r>
    </w:p>
    <w:p w:rsidR="002E6F0C" w:rsidRDefault="002E6F0C" w:rsidP="002E6F0C">
      <w:pPr>
        <w:autoSpaceDE w:val="0"/>
        <w:autoSpaceDN w:val="0"/>
        <w:adjustRightInd w:val="0"/>
      </w:pPr>
      <w:r>
        <w:t xml:space="preserve">Pharmacokinetic samples were collected from a total of 32 patients (25 on Picato Gel and 7 on vehicle) enrolled in 4 independent Picato Gel clinical studies for the treatment of non-head SK lesions (AGN 204332-004, PEP005-004, PEP005-013 and PEP005-017). These studies are described in the section on </w:t>
      </w:r>
      <w:r w:rsidRPr="005C3B0E">
        <w:rPr>
          <w:i/>
        </w:rPr>
        <w:t>Clinical Efficacy</w:t>
      </w:r>
      <w:r>
        <w:t>, as they were primarily designed as efficacy or safety studies.</w:t>
      </w:r>
    </w:p>
    <w:p w:rsidR="002E6F0C" w:rsidRDefault="002E6F0C" w:rsidP="004E671B">
      <w:pPr>
        <w:pStyle w:val="Heading4"/>
      </w:pPr>
      <w:r>
        <w:lastRenderedPageBreak/>
        <w:t>Pharmacokinetic data analysis</w:t>
      </w:r>
    </w:p>
    <w:p w:rsidR="002E6F0C" w:rsidRDefault="002E6F0C" w:rsidP="002E6F0C">
      <w:pPr>
        <w:autoSpaceDE w:val="0"/>
        <w:autoSpaceDN w:val="0"/>
        <w:adjustRightInd w:val="0"/>
      </w:pPr>
      <w:r>
        <w:t>The highest concentration and treatment area evaluated was 0.05% microgram/mm</w:t>
      </w:r>
      <w:r w:rsidRPr="00B376C5">
        <w:rPr>
          <w:vertAlign w:val="superscript"/>
        </w:rPr>
        <w:t>2</w:t>
      </w:r>
      <w:r>
        <w:rPr>
          <w:vertAlign w:val="superscript"/>
        </w:rPr>
        <w:t xml:space="preserve"> </w:t>
      </w:r>
      <w:r>
        <w:t>of 0.05% Picato Gel applied once daily to a 100 cm</w:t>
      </w:r>
      <w:r w:rsidRPr="005C3B0E">
        <w:rPr>
          <w:vertAlign w:val="superscript"/>
        </w:rPr>
        <w:t>2</w:t>
      </w:r>
      <w:r>
        <w:t xml:space="preserve"> area for 2 consecutive days (PEP005-013 and PEP005-017). No systemic levels of ingenol mebutate or its 2 isomers PEP015 or PEP025 were quantifiable in any of the blood samples collected for PK analysis.</w:t>
      </w:r>
    </w:p>
    <w:p w:rsidR="002E6F0C" w:rsidRDefault="002E6F0C" w:rsidP="005C3B0E">
      <w:pPr>
        <w:pStyle w:val="Heading4"/>
      </w:pPr>
      <w:r>
        <w:t>Statistical analysis</w:t>
      </w:r>
    </w:p>
    <w:p w:rsidR="002E6F0C" w:rsidRDefault="002E6F0C" w:rsidP="002E6F0C">
      <w:pPr>
        <w:autoSpaceDE w:val="0"/>
        <w:autoSpaceDN w:val="0"/>
        <w:adjustRightInd w:val="0"/>
      </w:pPr>
      <w:r>
        <w:t>Statistical analysis was limited to descriptive analysis only.</w:t>
      </w:r>
    </w:p>
    <w:p w:rsidR="002E6F0C" w:rsidRDefault="002E6F0C" w:rsidP="004E671B">
      <w:pPr>
        <w:pStyle w:val="Heading3"/>
      </w:pPr>
      <w:bookmarkStart w:id="19" w:name="_Toc241374287"/>
      <w:bookmarkStart w:id="20" w:name="_Toc314158720"/>
      <w:bookmarkStart w:id="21" w:name="_Toc367127734"/>
      <w:r>
        <w:t>Absorption</w:t>
      </w:r>
      <w:bookmarkEnd w:id="19"/>
      <w:bookmarkEnd w:id="20"/>
      <w:bookmarkEnd w:id="21"/>
    </w:p>
    <w:p w:rsidR="002E6F0C" w:rsidRDefault="002E6F0C" w:rsidP="00D46A49">
      <w:r>
        <w:t>Not applicable.</w:t>
      </w:r>
    </w:p>
    <w:p w:rsidR="002E6F0C" w:rsidRDefault="002E6F0C" w:rsidP="005C3B0E">
      <w:pPr>
        <w:pStyle w:val="Heading3"/>
      </w:pPr>
      <w:bookmarkStart w:id="22" w:name="_Toc241374288"/>
      <w:bookmarkStart w:id="23" w:name="_Toc314158721"/>
      <w:bookmarkStart w:id="24" w:name="_Toc367127735"/>
      <w:r>
        <w:t>Distribution</w:t>
      </w:r>
      <w:bookmarkEnd w:id="22"/>
      <w:bookmarkEnd w:id="23"/>
      <w:bookmarkEnd w:id="24"/>
    </w:p>
    <w:p w:rsidR="002E6F0C" w:rsidRDefault="002E6F0C" w:rsidP="002E6F0C">
      <w:pPr>
        <w:autoSpaceDE w:val="0"/>
        <w:autoSpaceDN w:val="0"/>
        <w:adjustRightInd w:val="0"/>
      </w:pPr>
      <w:r>
        <w:t>Not applicable.</w:t>
      </w:r>
    </w:p>
    <w:p w:rsidR="002E6F0C" w:rsidRDefault="002E6F0C" w:rsidP="005C3B0E">
      <w:pPr>
        <w:pStyle w:val="Heading3"/>
      </w:pPr>
      <w:bookmarkStart w:id="25" w:name="_Toc241374289"/>
      <w:bookmarkStart w:id="26" w:name="_Toc314158722"/>
      <w:bookmarkStart w:id="27" w:name="_Toc367127736"/>
      <w:r>
        <w:t>Elimination</w:t>
      </w:r>
      <w:bookmarkEnd w:id="25"/>
      <w:bookmarkEnd w:id="26"/>
      <w:bookmarkEnd w:id="27"/>
    </w:p>
    <w:p w:rsidR="002E6F0C" w:rsidRDefault="002E6F0C" w:rsidP="002E6F0C">
      <w:pPr>
        <w:autoSpaceDE w:val="0"/>
        <w:autoSpaceDN w:val="0"/>
        <w:adjustRightInd w:val="0"/>
      </w:pPr>
      <w:r>
        <w:t>Not applicable.</w:t>
      </w:r>
    </w:p>
    <w:p w:rsidR="002E6F0C" w:rsidRDefault="002E6F0C" w:rsidP="004E671B">
      <w:pPr>
        <w:pStyle w:val="Heading3"/>
      </w:pPr>
      <w:bookmarkStart w:id="28" w:name="_Toc241374290"/>
      <w:bookmarkStart w:id="29" w:name="_Toc314158723"/>
      <w:bookmarkStart w:id="30" w:name="_Toc367127737"/>
      <w:r>
        <w:t>Dose proportionality and time dependency</w:t>
      </w:r>
      <w:bookmarkEnd w:id="28"/>
      <w:bookmarkEnd w:id="29"/>
      <w:bookmarkEnd w:id="30"/>
    </w:p>
    <w:p w:rsidR="002E6F0C" w:rsidRDefault="002E6F0C" w:rsidP="002E6F0C">
      <w:pPr>
        <w:autoSpaceDE w:val="0"/>
        <w:autoSpaceDN w:val="0"/>
        <w:adjustRightInd w:val="0"/>
      </w:pPr>
      <w:r>
        <w:t>Not applicable.</w:t>
      </w:r>
    </w:p>
    <w:p w:rsidR="002E6F0C" w:rsidRDefault="002E6F0C" w:rsidP="00631F91">
      <w:pPr>
        <w:pStyle w:val="Heading3"/>
      </w:pPr>
      <w:bookmarkStart w:id="31" w:name="_Toc241374291"/>
      <w:bookmarkStart w:id="32" w:name="_Toc314158724"/>
      <w:bookmarkStart w:id="33" w:name="_Toc367127738"/>
      <w:r>
        <w:t>Intra- and inter-individual variability</w:t>
      </w:r>
      <w:bookmarkEnd w:id="31"/>
      <w:bookmarkEnd w:id="32"/>
      <w:bookmarkEnd w:id="33"/>
    </w:p>
    <w:p w:rsidR="002E6F0C" w:rsidRDefault="002E6F0C" w:rsidP="002E6F0C">
      <w:pPr>
        <w:autoSpaceDE w:val="0"/>
        <w:autoSpaceDN w:val="0"/>
        <w:adjustRightInd w:val="0"/>
      </w:pPr>
      <w:r>
        <w:t>Not applicable.</w:t>
      </w:r>
    </w:p>
    <w:p w:rsidR="002E6F0C" w:rsidRDefault="002E6F0C" w:rsidP="002E6F0C">
      <w:pPr>
        <w:pStyle w:val="Heading3"/>
      </w:pPr>
      <w:bookmarkStart w:id="34" w:name="_Toc241374292"/>
      <w:bookmarkStart w:id="35" w:name="_Toc314158725"/>
      <w:bookmarkStart w:id="36" w:name="_Toc367127739"/>
      <w:r>
        <w:t>Pharmacokinetics in the target population</w:t>
      </w:r>
      <w:bookmarkEnd w:id="34"/>
      <w:bookmarkEnd w:id="35"/>
      <w:bookmarkEnd w:id="36"/>
    </w:p>
    <w:p w:rsidR="002E6F0C" w:rsidRDefault="002E6F0C" w:rsidP="002E6F0C">
      <w:pPr>
        <w:autoSpaceDE w:val="0"/>
        <w:autoSpaceDN w:val="0"/>
        <w:adjustRightInd w:val="0"/>
      </w:pPr>
      <w:r>
        <w:t>Not applicable.</w:t>
      </w:r>
    </w:p>
    <w:p w:rsidR="002E6F0C" w:rsidRDefault="002E6F0C" w:rsidP="002E6F0C">
      <w:pPr>
        <w:pStyle w:val="Heading3"/>
      </w:pPr>
      <w:bookmarkStart w:id="37" w:name="_Toc241374293"/>
      <w:bookmarkStart w:id="38" w:name="_Toc314158726"/>
      <w:bookmarkStart w:id="39" w:name="_Toc367127740"/>
      <w:r>
        <w:t>Pharmacokinetics in special populations</w:t>
      </w:r>
      <w:bookmarkEnd w:id="37"/>
      <w:bookmarkEnd w:id="38"/>
      <w:bookmarkEnd w:id="39"/>
    </w:p>
    <w:p w:rsidR="002E6F0C" w:rsidRDefault="002E6F0C" w:rsidP="002E6F0C">
      <w:pPr>
        <w:autoSpaceDE w:val="0"/>
        <w:autoSpaceDN w:val="0"/>
        <w:adjustRightInd w:val="0"/>
      </w:pPr>
      <w:r>
        <w:t>Not applicable.</w:t>
      </w:r>
    </w:p>
    <w:p w:rsidR="002E6F0C" w:rsidRDefault="002E6F0C" w:rsidP="00631F91">
      <w:pPr>
        <w:pStyle w:val="Heading3"/>
      </w:pPr>
      <w:bookmarkStart w:id="40" w:name="_Toc241374294"/>
      <w:bookmarkStart w:id="41" w:name="_Toc314158727"/>
      <w:bookmarkStart w:id="42" w:name="_Toc367127741"/>
      <w:r>
        <w:t xml:space="preserve">Pharmacokinetic </w:t>
      </w:r>
      <w:r w:rsidR="00D46A49">
        <w:t xml:space="preserve">drug </w:t>
      </w:r>
      <w:r>
        <w:t>interactions</w:t>
      </w:r>
      <w:bookmarkEnd w:id="40"/>
      <w:bookmarkEnd w:id="42"/>
      <w:r>
        <w:t xml:space="preserve"> </w:t>
      </w:r>
      <w:bookmarkEnd w:id="41"/>
    </w:p>
    <w:p w:rsidR="002E6F0C" w:rsidRDefault="002E6F0C" w:rsidP="00D46A49">
      <w:r>
        <w:t>Not applicable.</w:t>
      </w:r>
    </w:p>
    <w:p w:rsidR="002E6F0C" w:rsidRDefault="002E6F0C" w:rsidP="00631F91">
      <w:pPr>
        <w:pStyle w:val="Heading3"/>
      </w:pPr>
      <w:bookmarkStart w:id="43" w:name="_Toc241374295"/>
      <w:bookmarkStart w:id="44" w:name="_Toc314158728"/>
      <w:bookmarkStart w:id="45" w:name="_Toc367127742"/>
      <w:r>
        <w:t>Exposure relevant for safety evaluation</w:t>
      </w:r>
      <w:bookmarkEnd w:id="43"/>
      <w:bookmarkEnd w:id="44"/>
      <w:bookmarkEnd w:id="45"/>
    </w:p>
    <w:p w:rsidR="002E6F0C" w:rsidRDefault="002E6F0C" w:rsidP="002E6F0C">
      <w:pPr>
        <w:autoSpaceDE w:val="0"/>
        <w:autoSpaceDN w:val="0"/>
        <w:adjustRightInd w:val="0"/>
      </w:pPr>
      <w:r>
        <w:t>Not applicable.</w:t>
      </w:r>
    </w:p>
    <w:p w:rsidR="002E6F0C" w:rsidRDefault="002E6F0C" w:rsidP="00631F91">
      <w:pPr>
        <w:pStyle w:val="Heading3"/>
      </w:pPr>
      <w:bookmarkStart w:id="46" w:name="_Toc241374296"/>
      <w:bookmarkStart w:id="47" w:name="_Toc314158729"/>
      <w:bookmarkStart w:id="48" w:name="_Toc367127743"/>
      <w:r>
        <w:t>Evaluator’s overall conclusions on pharmacokinetics</w:t>
      </w:r>
      <w:bookmarkEnd w:id="46"/>
      <w:bookmarkEnd w:id="47"/>
      <w:bookmarkEnd w:id="48"/>
    </w:p>
    <w:p w:rsidR="002E6F0C" w:rsidRDefault="002E6F0C" w:rsidP="002E6F0C">
      <w:pPr>
        <w:autoSpaceDE w:val="0"/>
        <w:autoSpaceDN w:val="0"/>
        <w:adjustRightInd w:val="0"/>
      </w:pPr>
      <w:r>
        <w:t>Picato Gel is applied topically and not absorbed systemically. Ingenol mebutate, at the concentrations applied topically for treatment of SK lesions, has no detectable systemic absorption. This is supported by the human PK profile from allometric scaling, as well as some limited PK data obtained from subjects in 4 clinical studies.</w:t>
      </w:r>
    </w:p>
    <w:p w:rsidR="00586F98" w:rsidRDefault="00586F98" w:rsidP="004E671B">
      <w:pPr>
        <w:pStyle w:val="Heading2"/>
      </w:pPr>
      <w:bookmarkStart w:id="49" w:name="_Toc367127744"/>
      <w:r>
        <w:lastRenderedPageBreak/>
        <w:t>Pharmacodynamics</w:t>
      </w:r>
      <w:bookmarkEnd w:id="49"/>
    </w:p>
    <w:p w:rsidR="002E6F0C" w:rsidRDefault="002E6F0C" w:rsidP="002E6F0C">
      <w:pPr>
        <w:pStyle w:val="Heading3"/>
      </w:pPr>
      <w:bookmarkStart w:id="50" w:name="_Toc241374298"/>
      <w:bookmarkStart w:id="51" w:name="_Toc314158731"/>
      <w:bookmarkStart w:id="52" w:name="_Toc367127745"/>
      <w:r>
        <w:t>Introduction</w:t>
      </w:r>
      <w:bookmarkEnd w:id="50"/>
      <w:bookmarkEnd w:id="51"/>
      <w:bookmarkEnd w:id="52"/>
    </w:p>
    <w:p w:rsidR="002E6F0C" w:rsidRDefault="002E6F0C" w:rsidP="002E6F0C">
      <w:pPr>
        <w:autoSpaceDE w:val="0"/>
        <w:autoSpaceDN w:val="0"/>
        <w:adjustRightInd w:val="0"/>
      </w:pPr>
      <w:r>
        <w:t xml:space="preserve">No clinical studies on human pharmacodynamics </w:t>
      </w:r>
      <w:r w:rsidR="00631F91">
        <w:t xml:space="preserve">(PDs) </w:t>
      </w:r>
      <w:r>
        <w:t>were conducted. As such, human PD data was not available, and no PK/PD correlation studies were performed nor PK/PD relationship established. The mode of action of PEP005 has been established on preclinical models using cell lines and animal models.</w:t>
      </w:r>
    </w:p>
    <w:p w:rsidR="002E6F0C" w:rsidRDefault="002E6F0C" w:rsidP="004E671B">
      <w:pPr>
        <w:pStyle w:val="Heading3"/>
      </w:pPr>
      <w:bookmarkStart w:id="53" w:name="_Toc241374299"/>
      <w:bookmarkStart w:id="54" w:name="_Toc314158732"/>
      <w:bookmarkStart w:id="55" w:name="_Toc367127746"/>
      <w:r>
        <w:t>Mechanism of action</w:t>
      </w:r>
      <w:bookmarkEnd w:id="53"/>
      <w:bookmarkEnd w:id="54"/>
      <w:bookmarkEnd w:id="55"/>
    </w:p>
    <w:p w:rsidR="002E6F0C" w:rsidRDefault="002E6F0C" w:rsidP="002E6F0C">
      <w:pPr>
        <w:autoSpaceDE w:val="0"/>
        <w:autoSpaceDN w:val="0"/>
        <w:adjustRightInd w:val="0"/>
      </w:pPr>
      <w:r>
        <w:t>Ingenol mebutate is a pleiotropic effector which possesses a novel, dual mechanism of action in neoplastic conditions. Initially, ingenol mebutate rapidly induces necrosis, resulting in the debulking of locally affected tumour cells. Secondarily, it induces a tumour cell-specific immune response characterised by antibody dependent cellular cytotoxicity which results in removal of residual disease. Ingenol mebutate also stimulates cluster of differentiation (CD) 8+ T-cells and CD4+ T-cell responses, resulting in further anti-tumour activity and possible long-term immunity. The mechanism of action in SK is not fully understood, but appears to be a combination of induction of local lesion cell death and promotion of an inflammatory response with neutrophils and other immuno</w:t>
      </w:r>
      <w:r w:rsidR="0041198F">
        <w:t>-</w:t>
      </w:r>
      <w:r>
        <w:t>competent cells.</w:t>
      </w:r>
    </w:p>
    <w:p w:rsidR="002E6F0C" w:rsidRDefault="002E6F0C" w:rsidP="002E6F0C">
      <w:pPr>
        <w:pStyle w:val="Heading3"/>
      </w:pPr>
      <w:bookmarkStart w:id="56" w:name="_Toc241374300"/>
      <w:bookmarkStart w:id="57" w:name="_Toc314158733"/>
      <w:bookmarkStart w:id="58" w:name="_Toc367127747"/>
      <w:r>
        <w:t>Primary pharmacology</w:t>
      </w:r>
      <w:bookmarkEnd w:id="56"/>
      <w:bookmarkEnd w:id="57"/>
      <w:bookmarkEnd w:id="58"/>
    </w:p>
    <w:p w:rsidR="002E6F0C" w:rsidRDefault="002E6F0C" w:rsidP="002E6F0C">
      <w:pPr>
        <w:autoSpaceDE w:val="0"/>
        <w:autoSpaceDN w:val="0"/>
        <w:adjustRightInd w:val="0"/>
      </w:pPr>
      <w:r>
        <w:t>Not applicable.</w:t>
      </w:r>
    </w:p>
    <w:p w:rsidR="002E6F0C" w:rsidRDefault="002E6F0C" w:rsidP="002E6F0C">
      <w:pPr>
        <w:pStyle w:val="Heading3"/>
      </w:pPr>
      <w:bookmarkStart w:id="59" w:name="_Toc241374301"/>
      <w:bookmarkStart w:id="60" w:name="_Toc314158734"/>
      <w:bookmarkStart w:id="61" w:name="_Toc367127748"/>
      <w:r>
        <w:t>Secondary pharmacology</w:t>
      </w:r>
      <w:bookmarkEnd w:id="59"/>
      <w:bookmarkEnd w:id="60"/>
      <w:bookmarkEnd w:id="61"/>
    </w:p>
    <w:p w:rsidR="002E6F0C" w:rsidRDefault="002E6F0C" w:rsidP="002E6F0C">
      <w:pPr>
        <w:autoSpaceDE w:val="0"/>
        <w:autoSpaceDN w:val="0"/>
        <w:adjustRightInd w:val="0"/>
      </w:pPr>
      <w:r>
        <w:t>Not applicable.</w:t>
      </w:r>
    </w:p>
    <w:p w:rsidR="002E6F0C" w:rsidRDefault="002E6F0C" w:rsidP="002E6F0C">
      <w:pPr>
        <w:pStyle w:val="Heading3"/>
      </w:pPr>
      <w:bookmarkStart w:id="62" w:name="_Toc241374302"/>
      <w:bookmarkStart w:id="63" w:name="_Toc314158735"/>
      <w:bookmarkStart w:id="64" w:name="_Toc367127749"/>
      <w:r>
        <w:t>Relationship between plasma concentration and effect</w:t>
      </w:r>
      <w:bookmarkEnd w:id="62"/>
      <w:bookmarkEnd w:id="63"/>
      <w:bookmarkEnd w:id="64"/>
    </w:p>
    <w:p w:rsidR="002E6F0C" w:rsidRDefault="002E6F0C" w:rsidP="002E6F0C">
      <w:r>
        <w:t>Not applicable.</w:t>
      </w:r>
    </w:p>
    <w:p w:rsidR="002E6F0C" w:rsidRDefault="002E6F0C" w:rsidP="002E6F0C">
      <w:pPr>
        <w:pStyle w:val="Heading3"/>
      </w:pPr>
      <w:bookmarkStart w:id="65" w:name="_Toc241374303"/>
      <w:bookmarkStart w:id="66" w:name="_Toc314158736"/>
      <w:bookmarkStart w:id="67" w:name="_Toc367127750"/>
      <w:r>
        <w:t xml:space="preserve">Pharmacodynamic </w:t>
      </w:r>
      <w:r w:rsidR="00252740">
        <w:t xml:space="preserve">drug-drug </w:t>
      </w:r>
      <w:r>
        <w:t>interactions</w:t>
      </w:r>
      <w:bookmarkEnd w:id="65"/>
      <w:bookmarkEnd w:id="66"/>
      <w:bookmarkEnd w:id="67"/>
    </w:p>
    <w:p w:rsidR="002E6F0C" w:rsidRDefault="002E6F0C" w:rsidP="002E6F0C">
      <w:r>
        <w:t>Not applicable.</w:t>
      </w:r>
    </w:p>
    <w:p w:rsidR="002E6F0C" w:rsidRDefault="002E6F0C" w:rsidP="002E6F0C">
      <w:pPr>
        <w:pStyle w:val="Heading3"/>
      </w:pPr>
      <w:bookmarkStart w:id="68" w:name="_Toc241374304"/>
      <w:bookmarkStart w:id="69" w:name="_Toc314158737"/>
      <w:bookmarkStart w:id="70" w:name="_Toc367127751"/>
      <w:r>
        <w:t>Genetic differences in pharmacodynamic response</w:t>
      </w:r>
      <w:bookmarkEnd w:id="68"/>
      <w:bookmarkEnd w:id="69"/>
      <w:bookmarkEnd w:id="70"/>
    </w:p>
    <w:p w:rsidR="002E6F0C" w:rsidRDefault="002E6F0C" w:rsidP="002E6F0C">
      <w:r>
        <w:t>Not applicable.</w:t>
      </w:r>
    </w:p>
    <w:p w:rsidR="002E6F0C" w:rsidRDefault="002E6F0C" w:rsidP="00631F91">
      <w:pPr>
        <w:pStyle w:val="Heading3"/>
      </w:pPr>
      <w:bookmarkStart w:id="71" w:name="_Toc241374305"/>
      <w:bookmarkStart w:id="72" w:name="_Toc314158738"/>
      <w:bookmarkStart w:id="73" w:name="_Toc367127752"/>
      <w:r>
        <w:t>Evaluator’s overall conclusions on pharmacodynamics</w:t>
      </w:r>
      <w:bookmarkEnd w:id="71"/>
      <w:bookmarkEnd w:id="72"/>
      <w:bookmarkEnd w:id="73"/>
    </w:p>
    <w:p w:rsidR="002E6F0C" w:rsidRDefault="002E6F0C" w:rsidP="002E6F0C">
      <w:pPr>
        <w:autoSpaceDE w:val="0"/>
        <w:autoSpaceDN w:val="0"/>
        <w:adjustRightInd w:val="0"/>
      </w:pPr>
      <w:r>
        <w:t>No clinical studies on human pharmacodynamics were conducted.</w:t>
      </w:r>
      <w:r w:rsidR="00631F91" w:rsidRPr="00631F91">
        <w:t xml:space="preserve"> </w:t>
      </w:r>
      <w:r>
        <w:t>The mechanism of action in SK is not fully understood, but appears to be a combination of induction of local lesion cell death and promotion of an inflammatory response with neutrophils and other immuno</w:t>
      </w:r>
      <w:r w:rsidR="0041198F">
        <w:t>-</w:t>
      </w:r>
      <w:r>
        <w:t>competent cells.</w:t>
      </w:r>
    </w:p>
    <w:p w:rsidR="00586F98" w:rsidRDefault="00C22678" w:rsidP="004E671B">
      <w:pPr>
        <w:pStyle w:val="Heading2"/>
      </w:pPr>
      <w:bookmarkStart w:id="74" w:name="_Toc367127753"/>
      <w:r>
        <w:t>Dosage selection for the pivotal studies</w:t>
      </w:r>
      <w:bookmarkEnd w:id="74"/>
    </w:p>
    <w:p w:rsidR="00C22678" w:rsidRPr="00586F98" w:rsidRDefault="00823F04" w:rsidP="00C22678">
      <w:pPr>
        <w:rPr>
          <w:lang w:eastAsia="ja-JP"/>
        </w:rPr>
      </w:pPr>
      <w:r>
        <w:rPr>
          <w:lang w:eastAsia="ja-JP"/>
        </w:rPr>
        <w:t xml:space="preserve">See </w:t>
      </w:r>
      <w:r w:rsidR="00D46A49">
        <w:rPr>
          <w:lang w:eastAsia="ja-JP"/>
        </w:rPr>
        <w:t xml:space="preserve">sections under </w:t>
      </w:r>
      <w:r w:rsidR="00D46A49" w:rsidRPr="00D46A49">
        <w:rPr>
          <w:i/>
          <w:lang w:eastAsia="ja-JP"/>
        </w:rPr>
        <w:t xml:space="preserve">Clinical Efficacy </w:t>
      </w:r>
      <w:r>
        <w:rPr>
          <w:lang w:eastAsia="ja-JP"/>
        </w:rPr>
        <w:t>below.</w:t>
      </w:r>
    </w:p>
    <w:p w:rsidR="00C22678" w:rsidRDefault="00C22678" w:rsidP="004E671B">
      <w:pPr>
        <w:pStyle w:val="Heading2"/>
      </w:pPr>
      <w:bookmarkStart w:id="75" w:name="_Toc367127754"/>
      <w:r>
        <w:lastRenderedPageBreak/>
        <w:t>Clinical efficacy</w:t>
      </w:r>
      <w:bookmarkEnd w:id="75"/>
    </w:p>
    <w:p w:rsidR="002E6F0C" w:rsidRDefault="002E6F0C" w:rsidP="00631F91">
      <w:pPr>
        <w:pStyle w:val="Heading3"/>
      </w:pPr>
      <w:bookmarkStart w:id="76" w:name="_Toc241374307"/>
      <w:bookmarkStart w:id="77" w:name="_Toc314158740"/>
      <w:bookmarkStart w:id="78" w:name="_Toc367127755"/>
      <w:r>
        <w:t>Introduction</w:t>
      </w:r>
      <w:bookmarkEnd w:id="76"/>
      <w:bookmarkEnd w:id="77"/>
      <w:bookmarkEnd w:id="78"/>
    </w:p>
    <w:p w:rsidR="002E6F0C" w:rsidRDefault="002E6F0C" w:rsidP="002E6F0C">
      <w:pPr>
        <w:autoSpaceDE w:val="0"/>
        <w:autoSpaceDN w:val="0"/>
        <w:adjustRightInd w:val="0"/>
      </w:pPr>
      <w:r>
        <w:t>Information on clinical efficacy was provided for the 2 specific indications, the treatment of solar (actinic) keratoses (SK) on the face and scalp (0.015% Picato Gel), and for the treatment of SK on the body (non-head regions) (0.05% Picato Gel). For the first indication, there were 7 studies that evaluated Picato Gel. Of these studies, five (PEP005-016, PEP005-025, PEP005-015, PEP005-006 and PEP005-007) provided efficacy data for field treatment of Picato Gel to a defined 25 cm2 skin area containing 4 to 8 SK lesions located on the head with efficacy assessed at Day 57 (study exit). The sixth trial (PEP005-030) was a long-term follow-up study in patients who achieved complete clearance at Day 57 in studies PEP005-016 and PEP005-025. No study medication was administered during this study. The seventh trial was a lesion specific study (PEP005-001) which allowed up to five lesions to be treate</w:t>
      </w:r>
      <w:r w:rsidR="004E671B">
        <w:t>d on multiple anatomical sites.</w:t>
      </w:r>
    </w:p>
    <w:p w:rsidR="002E6F0C" w:rsidRDefault="002E6F0C" w:rsidP="002E6F0C">
      <w:pPr>
        <w:autoSpaceDE w:val="0"/>
        <w:autoSpaceDN w:val="0"/>
        <w:adjustRightInd w:val="0"/>
      </w:pPr>
      <w:r>
        <w:t xml:space="preserve">Of these studies, PEP005-015, PEP005-016 and PEP005-025 were randomised, double-blind, vehicle-controlled, parallel-group studies, and were the pivotal studies for this indication. PEP005-015 was a dose-ranging study that included the proposed dosage regimen treatment on head locations. PEP005-016 and PEP005-025 were </w:t>
      </w:r>
      <w:r w:rsidR="00631F91" w:rsidRPr="00631F91">
        <w:t>Phase III</w:t>
      </w:r>
      <w:r>
        <w:t xml:space="preserve"> studies that evaluated the proposed dosage regimen of Picato Gel for treatment of head locations. This study development program is summarised below.</w:t>
      </w:r>
    </w:p>
    <w:p w:rsidR="00631F91" w:rsidRDefault="00631F91" w:rsidP="00631F91">
      <w:pPr>
        <w:pStyle w:val="FigureTitle"/>
        <w:keepNext/>
      </w:pPr>
      <w:r>
        <w:t>Figure 2. Clinical studies included in the efficacy evaluation of Head Locations</w:t>
      </w:r>
    </w:p>
    <w:p w:rsidR="002E6F0C" w:rsidRDefault="002E6F0C" w:rsidP="004E671B">
      <w:r>
        <w:rPr>
          <w:noProof/>
          <w:lang w:eastAsia="en-AU"/>
        </w:rPr>
        <w:drawing>
          <wp:inline distT="0" distB="0" distL="0" distR="0">
            <wp:extent cx="4800600" cy="4467249"/>
            <wp:effectExtent l="19050" t="0" r="0" b="0"/>
            <wp:docPr id="3" name="Picture 3" descr="Figure 2. Clinical studies included in the efficacy evaluation of 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14"/>
                    <a:stretch>
                      <a:fillRect/>
                    </a:stretch>
                  </pic:blipFill>
                  <pic:spPr bwMode="auto">
                    <a:xfrm>
                      <a:off x="0" y="0"/>
                      <a:ext cx="4800600" cy="4467249"/>
                    </a:xfrm>
                    <a:prstGeom prst="rect">
                      <a:avLst/>
                    </a:prstGeom>
                    <a:noFill/>
                    <a:ln>
                      <a:noFill/>
                    </a:ln>
                  </pic:spPr>
                </pic:pic>
              </a:graphicData>
            </a:graphic>
          </wp:inline>
        </w:drawing>
      </w:r>
    </w:p>
    <w:p w:rsidR="002E6F0C" w:rsidRDefault="002E6F0C" w:rsidP="002E6F0C">
      <w:pPr>
        <w:autoSpaceDE w:val="0"/>
        <w:autoSpaceDN w:val="0"/>
        <w:adjustRightInd w:val="0"/>
      </w:pPr>
      <w:r>
        <w:t>For the second indication (trunk and extremities), 11 studies evaluated Picato Gel. Of these studies, six provided efficacy data for field treatment of Picato Gel to a defined 25 cm</w:t>
      </w:r>
      <w:r w:rsidRPr="00405A92">
        <w:rPr>
          <w:vertAlign w:val="superscript"/>
        </w:rPr>
        <w:t>2</w:t>
      </w:r>
      <w:r>
        <w:t xml:space="preserve"> skin area containing four to 8 SK lesions located on trunk and extremities with efficacy assessed at Day 57 (PEP005-014, PEP005-028, PEP005-006, PEP005-017, PEP005-018, and PEP005-020). Two trials (PEP005-031 and PEP005-032) were long-term follow-up studies in patients who achieved complete clearance at </w:t>
      </w:r>
      <w:r>
        <w:lastRenderedPageBreak/>
        <w:t>Day 57 in previous trials. One study (PEP005-004) assessed efficacy where Picato Gel was applied to a small field of treatment (9 cm</w:t>
      </w:r>
      <w:r w:rsidRPr="00405A92">
        <w:rPr>
          <w:vertAlign w:val="superscript"/>
        </w:rPr>
        <w:t>2</w:t>
      </w:r>
      <w:r>
        <w:t>) that included a single target lesion with efficacy endpoints assessed at Day 29. There were also two lesion-specific studies where Picato Gel was applied to individual SK lesions rather than to a field of skin (AGN204332-004 and PEP005-001).</w:t>
      </w:r>
    </w:p>
    <w:p w:rsidR="002E6F0C" w:rsidRDefault="002E6F0C" w:rsidP="002E6F0C">
      <w:pPr>
        <w:autoSpaceDE w:val="0"/>
        <w:autoSpaceDN w:val="0"/>
        <w:adjustRightInd w:val="0"/>
      </w:pPr>
      <w:r>
        <w:t xml:space="preserve">Of these studies, PEP005-014 and PEP005-028 were well-controlled </w:t>
      </w:r>
      <w:r w:rsidR="00631F91" w:rsidRPr="00631F91">
        <w:t>Phase III</w:t>
      </w:r>
      <w:r>
        <w:t xml:space="preserve"> studies that evaluated the proposed dosage regimen application of Picato Gel for treatment of non-head locations, and should be regarded as the pivotal studies for this indication. This study development is summarised below.</w:t>
      </w:r>
    </w:p>
    <w:p w:rsidR="002E6F0C" w:rsidRDefault="00631F91" w:rsidP="00F20B2D">
      <w:pPr>
        <w:pStyle w:val="FigureTitle"/>
      </w:pPr>
      <w:r>
        <w:t>Figure 3. Clinical studies included in the Efficacy evaluation of Non-Head Locations.</w:t>
      </w:r>
    </w:p>
    <w:p w:rsidR="002E6F0C" w:rsidRDefault="002E6F0C" w:rsidP="00F20B2D">
      <w:r>
        <w:rPr>
          <w:noProof/>
          <w:lang w:eastAsia="en-AU"/>
        </w:rPr>
        <w:drawing>
          <wp:inline distT="0" distB="0" distL="0" distR="0">
            <wp:extent cx="4963414" cy="5057775"/>
            <wp:effectExtent l="19050" t="0" r="8636" b="0"/>
            <wp:docPr id="4" name="Picture 4" descr="Figure 3. Clinical studies included in the Efficacy evaluation of Non-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92" b="880"/>
                    <a:stretch>
                      <a:fillRect/>
                    </a:stretch>
                  </pic:blipFill>
                  <pic:spPr bwMode="auto">
                    <a:xfrm>
                      <a:off x="0" y="0"/>
                      <a:ext cx="4963414" cy="5057775"/>
                    </a:xfrm>
                    <a:prstGeom prst="rect">
                      <a:avLst/>
                    </a:prstGeom>
                    <a:noFill/>
                    <a:ln>
                      <a:noFill/>
                    </a:ln>
                  </pic:spPr>
                </pic:pic>
              </a:graphicData>
            </a:graphic>
          </wp:inline>
        </w:drawing>
      </w:r>
    </w:p>
    <w:p w:rsidR="002E6F0C" w:rsidRDefault="002E6F0C" w:rsidP="002E6F0C">
      <w:pPr>
        <w:autoSpaceDE w:val="0"/>
        <w:autoSpaceDN w:val="0"/>
        <w:adjustRightInd w:val="0"/>
      </w:pPr>
      <w:r>
        <w:t>For the pivotal studies, a</w:t>
      </w:r>
      <w:r w:rsidRPr="00F77D80">
        <w:t xml:space="preserve"> study design using an active comparator was not employed because of the potential to</w:t>
      </w:r>
      <w:r>
        <w:t xml:space="preserve"> </w:t>
      </w:r>
      <w:r w:rsidRPr="00F77D80">
        <w:t>introduce bias with regard to the selection and timing of study endpoints. PEP005 Gel and</w:t>
      </w:r>
      <w:r>
        <w:t xml:space="preserve"> </w:t>
      </w:r>
      <w:r w:rsidRPr="00F77D80">
        <w:t>any available active comparator used in the same patient population represent different</w:t>
      </w:r>
      <w:r>
        <w:t xml:space="preserve"> </w:t>
      </w:r>
      <w:r w:rsidRPr="00F77D80">
        <w:t>modalities of treatment. As a result, efficacy endpoints would have been measured at different</w:t>
      </w:r>
      <w:r>
        <w:t xml:space="preserve"> </w:t>
      </w:r>
      <w:r w:rsidRPr="00F77D80">
        <w:t>times during a comparator trial.</w:t>
      </w:r>
      <w:r w:rsidRPr="00F77D80">
        <w:rPr>
          <w:rFonts w:ascii="TimesNewRoman" w:hAnsi="TimesNewRoman" w:cs="TimesNewRoman"/>
        </w:rPr>
        <w:t xml:space="preserve"> </w:t>
      </w:r>
      <w:r w:rsidRPr="00F77D80">
        <w:t xml:space="preserve">The duration of treatment for PEP005 Gel </w:t>
      </w:r>
      <w:r>
        <w:t>is</w:t>
      </w:r>
      <w:r w:rsidRPr="00F77D80">
        <w:t xml:space="preserve"> 2 or 3 days with efficacy assessment at Day 57</w:t>
      </w:r>
      <w:r>
        <w:t xml:space="preserve"> </w:t>
      </w:r>
      <w:r w:rsidRPr="00F77D80">
        <w:t>following study medication application. Other products have longer durations of treatment,</w:t>
      </w:r>
      <w:r>
        <w:t xml:space="preserve"> </w:t>
      </w:r>
      <w:r w:rsidRPr="00F77D80">
        <w:t>may require repeat treatment periods and take longer to achieve efficacy.</w:t>
      </w:r>
      <w:r>
        <w:t xml:space="preserve"> </w:t>
      </w:r>
      <w:r w:rsidRPr="00F505B2">
        <w:t>Therefore, the Applicant considered that an unbiased comparator trial would not be feasible.</w:t>
      </w:r>
    </w:p>
    <w:p w:rsidR="002E6F0C" w:rsidRPr="002B4026" w:rsidRDefault="002E6F0C" w:rsidP="002E6F0C">
      <w:pPr>
        <w:autoSpaceDE w:val="0"/>
        <w:autoSpaceDN w:val="0"/>
        <w:adjustRightInd w:val="0"/>
        <w:rPr>
          <w:color w:val="000000"/>
        </w:rPr>
      </w:pPr>
      <w:r>
        <w:t>For the pivotal studies, t</w:t>
      </w:r>
      <w:r w:rsidRPr="00F505B2">
        <w:t xml:space="preserve">he majority of </w:t>
      </w:r>
      <w:r>
        <w:t>S</w:t>
      </w:r>
      <w:r w:rsidRPr="00F505B2">
        <w:t xml:space="preserve">Ks </w:t>
      </w:r>
      <w:r>
        <w:t>we</w:t>
      </w:r>
      <w:r w:rsidRPr="00F505B2">
        <w:t>re diagnosed clinically, not histologically</w:t>
      </w:r>
      <w:r>
        <w:t xml:space="preserve">. </w:t>
      </w:r>
      <w:r w:rsidRPr="00F505B2">
        <w:rPr>
          <w:color w:val="000000"/>
        </w:rPr>
        <w:t xml:space="preserve">In a study where 271 lesions were biopsied to correlate </w:t>
      </w:r>
      <w:r>
        <w:rPr>
          <w:color w:val="000000"/>
        </w:rPr>
        <w:t>S</w:t>
      </w:r>
      <w:r w:rsidRPr="00F505B2">
        <w:rPr>
          <w:color w:val="000000"/>
        </w:rPr>
        <w:t>K</w:t>
      </w:r>
      <w:r>
        <w:rPr>
          <w:color w:val="000000"/>
        </w:rPr>
        <w:t xml:space="preserve"> </w:t>
      </w:r>
      <w:r w:rsidRPr="00F505B2">
        <w:rPr>
          <w:color w:val="000000"/>
        </w:rPr>
        <w:t>and SCC, clinical diagnosis and histopathologic findings agreed in 91% of the biopsies</w:t>
      </w:r>
      <w:r>
        <w:rPr>
          <w:color w:val="000000"/>
        </w:rPr>
        <w:t xml:space="preserve"> </w:t>
      </w:r>
      <w:r w:rsidRPr="00F505B2">
        <w:rPr>
          <w:color w:val="000000"/>
        </w:rPr>
        <w:t xml:space="preserve">further supporting the appropriateness of a clinical diagnosis for </w:t>
      </w:r>
      <w:r>
        <w:rPr>
          <w:color w:val="000000"/>
        </w:rPr>
        <w:t>S</w:t>
      </w:r>
      <w:r w:rsidRPr="00F505B2">
        <w:rPr>
          <w:color w:val="000000"/>
        </w:rPr>
        <w:t>K</w:t>
      </w:r>
      <w:r w:rsidRPr="002B4026">
        <w:rPr>
          <w:color w:val="000000"/>
        </w:rPr>
        <w:t>.</w:t>
      </w:r>
      <w:r w:rsidR="00631F91" w:rsidRPr="00631F91">
        <w:rPr>
          <w:color w:val="000000"/>
        </w:rPr>
        <w:t xml:space="preserve"> </w:t>
      </w:r>
      <w:r w:rsidRPr="002B4026">
        <w:rPr>
          <w:rFonts w:cs="AdvUnivers"/>
          <w:szCs w:val="18"/>
        </w:rPr>
        <w:t xml:space="preserve">Punch biopsies of 220 clinically diagnosed untreated AKs were </w:t>
      </w:r>
      <w:r>
        <w:rPr>
          <w:rFonts w:cs="AdvUnivers"/>
          <w:szCs w:val="18"/>
        </w:rPr>
        <w:t>p</w:t>
      </w:r>
      <w:r w:rsidRPr="002B4026">
        <w:rPr>
          <w:rFonts w:cs="AdvUnivers"/>
          <w:szCs w:val="18"/>
        </w:rPr>
        <w:t>erformed at</w:t>
      </w:r>
      <w:r>
        <w:rPr>
          <w:rFonts w:cs="AdvUnivers"/>
          <w:szCs w:val="18"/>
        </w:rPr>
        <w:t xml:space="preserve"> </w:t>
      </w:r>
      <w:r w:rsidRPr="002B4026">
        <w:rPr>
          <w:rFonts w:cs="AdvUnivers"/>
          <w:szCs w:val="18"/>
        </w:rPr>
        <w:t>baseline plus 51 lesions unresponsive to treatment (total, 271).</w:t>
      </w:r>
      <w:r>
        <w:rPr>
          <w:rFonts w:cs="AdvUnivers"/>
          <w:szCs w:val="18"/>
        </w:rPr>
        <w:t xml:space="preserve"> </w:t>
      </w:r>
      <w:r w:rsidRPr="002B4026">
        <w:rPr>
          <w:rFonts w:cs="AdvUnivers"/>
          <w:szCs w:val="18"/>
        </w:rPr>
        <w:t xml:space="preserve">Clinical diagnosis and </w:t>
      </w:r>
      <w:r w:rsidRPr="002B4026">
        <w:rPr>
          <w:rFonts w:cs="AdvUnivers"/>
          <w:szCs w:val="18"/>
        </w:rPr>
        <w:lastRenderedPageBreak/>
        <w:t>histopathologic findings agreed in 91% (246/271) of the</w:t>
      </w:r>
      <w:r>
        <w:rPr>
          <w:rFonts w:cs="AdvUnivers"/>
          <w:szCs w:val="18"/>
        </w:rPr>
        <w:t xml:space="preserve"> </w:t>
      </w:r>
      <w:r w:rsidRPr="002B4026">
        <w:rPr>
          <w:rFonts w:cs="AdvUnivers"/>
          <w:szCs w:val="18"/>
        </w:rPr>
        <w:t xml:space="preserve">lesions biopsied. The </w:t>
      </w:r>
      <w:r w:rsidR="00D46A49">
        <w:rPr>
          <w:rFonts w:cs="AdvUnivers"/>
          <w:szCs w:val="18"/>
        </w:rPr>
        <w:t>results</w:t>
      </w:r>
      <w:r w:rsidRPr="002B4026">
        <w:rPr>
          <w:rFonts w:cs="AdvUnivers"/>
          <w:szCs w:val="18"/>
        </w:rPr>
        <w:t xml:space="preserve"> of the biopsied lesions were: (1) benign changes 4% (11/271)</w:t>
      </w:r>
      <w:r>
        <w:rPr>
          <w:rFonts w:cs="AdvUnivers"/>
          <w:szCs w:val="18"/>
        </w:rPr>
        <w:t xml:space="preserve"> </w:t>
      </w:r>
      <w:r w:rsidRPr="002B4026">
        <w:rPr>
          <w:rFonts w:cs="AdvUnivers"/>
          <w:szCs w:val="18"/>
        </w:rPr>
        <w:t>and (2) occult cutaneous malignancy in 5% (14/271) of the cases, 12 squamous cell carcinomas</w:t>
      </w:r>
      <w:r>
        <w:rPr>
          <w:rFonts w:cs="AdvUnivers"/>
          <w:szCs w:val="18"/>
        </w:rPr>
        <w:t xml:space="preserve"> </w:t>
      </w:r>
      <w:r w:rsidRPr="002B4026">
        <w:rPr>
          <w:rFonts w:cs="AdvUnivers"/>
          <w:szCs w:val="18"/>
        </w:rPr>
        <w:t>and 2 basal cell carcinomas.</w:t>
      </w:r>
    </w:p>
    <w:p w:rsidR="002E6F0C" w:rsidRDefault="002E6F0C" w:rsidP="002E6F0C">
      <w:pPr>
        <w:autoSpaceDE w:val="0"/>
        <w:autoSpaceDN w:val="0"/>
        <w:adjustRightInd w:val="0"/>
      </w:pPr>
      <w:r w:rsidRPr="00F505B2">
        <w:rPr>
          <w:color w:val="000000"/>
        </w:rPr>
        <w:t xml:space="preserve">Early in this clinical development programme, histological data were evaluated in a </w:t>
      </w:r>
      <w:r w:rsidR="00631F91" w:rsidRPr="00631F91">
        <w:rPr>
          <w:color w:val="000000"/>
        </w:rPr>
        <w:t>Phase I</w:t>
      </w:r>
      <w:r w:rsidRPr="00F505B2">
        <w:rPr>
          <w:color w:val="000000"/>
        </w:rPr>
        <w:t>,</w:t>
      </w:r>
      <w:r>
        <w:rPr>
          <w:color w:val="000000"/>
        </w:rPr>
        <w:t xml:space="preserve"> </w:t>
      </w:r>
      <w:r w:rsidRPr="00F505B2">
        <w:rPr>
          <w:color w:val="000000"/>
        </w:rPr>
        <w:t>lesion-specific study (</w:t>
      </w:r>
      <w:r w:rsidRPr="00F505B2">
        <w:t>PEP005-001</w:t>
      </w:r>
      <w:r w:rsidRPr="00F505B2">
        <w:rPr>
          <w:color w:val="000000"/>
        </w:rPr>
        <w:t>). Two single applications of study medication were</w:t>
      </w:r>
      <w:r>
        <w:rPr>
          <w:color w:val="000000"/>
        </w:rPr>
        <w:t xml:space="preserve"> </w:t>
      </w:r>
      <w:r w:rsidRPr="00F505B2">
        <w:rPr>
          <w:color w:val="000000"/>
        </w:rPr>
        <w:t>applied directly to each selected lesion using PEP005 Gel at concentrations of 0.0025%,</w:t>
      </w:r>
      <w:r>
        <w:rPr>
          <w:color w:val="000000"/>
        </w:rPr>
        <w:t xml:space="preserve"> </w:t>
      </w:r>
      <w:r w:rsidRPr="00F505B2">
        <w:rPr>
          <w:color w:val="000000"/>
        </w:rPr>
        <w:t>0.01%, 0.05%, or vehicle gel. Punch biopsy samples were obtained pre-treatment to confirm</w:t>
      </w:r>
      <w:r>
        <w:rPr>
          <w:color w:val="000000"/>
        </w:rPr>
        <w:t xml:space="preserve"> </w:t>
      </w:r>
      <w:r w:rsidRPr="00F505B2">
        <w:rPr>
          <w:color w:val="000000"/>
        </w:rPr>
        <w:t xml:space="preserve">the presence of </w:t>
      </w:r>
      <w:r>
        <w:rPr>
          <w:color w:val="000000"/>
        </w:rPr>
        <w:t>S</w:t>
      </w:r>
      <w:r w:rsidRPr="00F505B2">
        <w:rPr>
          <w:color w:val="000000"/>
        </w:rPr>
        <w:t>K, and post-treatment on Day 85 to determine lesion clearance. All biopsies</w:t>
      </w:r>
      <w:r>
        <w:rPr>
          <w:color w:val="000000"/>
        </w:rPr>
        <w:t xml:space="preserve"> </w:t>
      </w:r>
      <w:r w:rsidRPr="00F505B2">
        <w:rPr>
          <w:color w:val="000000"/>
        </w:rPr>
        <w:t xml:space="preserve">were reviewed by a central dermatopathologist. Results showed absence of </w:t>
      </w:r>
      <w:r>
        <w:rPr>
          <w:color w:val="000000"/>
        </w:rPr>
        <w:t>S</w:t>
      </w:r>
      <w:r w:rsidRPr="00F505B2">
        <w:rPr>
          <w:color w:val="000000"/>
        </w:rPr>
        <w:t>K lesions on</w:t>
      </w:r>
      <w:r>
        <w:rPr>
          <w:color w:val="000000"/>
        </w:rPr>
        <w:t xml:space="preserve"> </w:t>
      </w:r>
      <w:r w:rsidRPr="00F505B2">
        <w:rPr>
          <w:color w:val="000000"/>
        </w:rPr>
        <w:t>post-treatment biopsy for approximately 50% of the biopsies performed across all treatment</w:t>
      </w:r>
      <w:r>
        <w:rPr>
          <w:color w:val="000000"/>
        </w:rPr>
        <w:t xml:space="preserve"> </w:t>
      </w:r>
      <w:r w:rsidRPr="00F505B2">
        <w:rPr>
          <w:color w:val="000000"/>
        </w:rPr>
        <w:t>groups</w:t>
      </w:r>
      <w:r w:rsidRPr="00834431">
        <w:rPr>
          <w:color w:val="000000"/>
        </w:rPr>
        <w:t>.</w:t>
      </w:r>
      <w:r>
        <w:t xml:space="preserve"> Results from th</w:t>
      </w:r>
      <w:r w:rsidR="00631F91">
        <w:t xml:space="preserve">is study are further described under </w:t>
      </w:r>
      <w:r w:rsidR="00631F91" w:rsidRPr="00631F91">
        <w:rPr>
          <w:i/>
        </w:rPr>
        <w:t>Supportive studies</w:t>
      </w:r>
      <w:r>
        <w:t xml:space="preserve">, including proportion of pre- and post-treatment biopsies, and the number who had complete clearance. </w:t>
      </w:r>
      <w:r w:rsidRPr="00F505B2">
        <w:rPr>
          <w:color w:val="000000"/>
        </w:rPr>
        <w:t>Although based on few patients these findings provide evidence of histological</w:t>
      </w:r>
      <w:r>
        <w:rPr>
          <w:color w:val="000000"/>
        </w:rPr>
        <w:t xml:space="preserve"> </w:t>
      </w:r>
      <w:r w:rsidRPr="00F505B2">
        <w:rPr>
          <w:color w:val="000000"/>
        </w:rPr>
        <w:t>clearance.</w:t>
      </w:r>
    </w:p>
    <w:p w:rsidR="002E6F0C" w:rsidRDefault="002E6F0C" w:rsidP="002E6F0C">
      <w:pPr>
        <w:autoSpaceDE w:val="0"/>
        <w:autoSpaceDN w:val="0"/>
        <w:adjustRightInd w:val="0"/>
        <w:rPr>
          <w:color w:val="000000"/>
        </w:rPr>
      </w:pPr>
      <w:r>
        <w:t>For the pivotal studies, t</w:t>
      </w:r>
      <w:r w:rsidRPr="00F505B2">
        <w:t>he comparative efficacy analyses for head and non-head locations used the same efficacy</w:t>
      </w:r>
      <w:r>
        <w:t xml:space="preserve"> </w:t>
      </w:r>
      <w:r w:rsidRPr="00F505B2">
        <w:t>endpoints. For the combined studies populations, the primary efficacy endpoint was complete</w:t>
      </w:r>
      <w:r>
        <w:t xml:space="preserve"> </w:t>
      </w:r>
      <w:r w:rsidRPr="00F505B2">
        <w:rPr>
          <w:color w:val="000000"/>
        </w:rPr>
        <w:t xml:space="preserve">clearance, defined as the proportion of patients at Day 57 with no clinically visible </w:t>
      </w:r>
      <w:r>
        <w:rPr>
          <w:color w:val="000000"/>
        </w:rPr>
        <w:t>S</w:t>
      </w:r>
      <w:r w:rsidRPr="00F505B2">
        <w:rPr>
          <w:color w:val="000000"/>
        </w:rPr>
        <w:t>K lesions</w:t>
      </w:r>
      <w:r>
        <w:rPr>
          <w:color w:val="000000"/>
        </w:rPr>
        <w:t xml:space="preserve"> </w:t>
      </w:r>
      <w:r w:rsidRPr="00F505B2">
        <w:rPr>
          <w:color w:val="000000"/>
        </w:rPr>
        <w:t>in the selected treatment area. For the head location, this endpoint was pre</w:t>
      </w:r>
      <w:r>
        <w:rPr>
          <w:color w:val="000000"/>
        </w:rPr>
        <w:t>-</w:t>
      </w:r>
      <w:r w:rsidRPr="00F505B2">
        <w:rPr>
          <w:color w:val="000000"/>
        </w:rPr>
        <w:t>specified as the</w:t>
      </w:r>
      <w:r>
        <w:rPr>
          <w:color w:val="000000"/>
        </w:rPr>
        <w:t xml:space="preserve"> </w:t>
      </w:r>
      <w:r w:rsidRPr="00F505B2">
        <w:rPr>
          <w:color w:val="000000"/>
        </w:rPr>
        <w:t xml:space="preserve">primary endpoint in the two adequate and well-controlled </w:t>
      </w:r>
      <w:r w:rsidR="00631F91" w:rsidRPr="00631F91">
        <w:rPr>
          <w:color w:val="000000"/>
        </w:rPr>
        <w:t>Phase III</w:t>
      </w:r>
      <w:r w:rsidRPr="00F505B2">
        <w:rPr>
          <w:color w:val="000000"/>
        </w:rPr>
        <w:t xml:space="preserve"> studies (</w:t>
      </w:r>
      <w:r w:rsidRPr="00F505B2">
        <w:t>PEP005-016</w:t>
      </w:r>
      <w:r w:rsidRPr="00F505B2">
        <w:rPr>
          <w:color w:val="0000FF"/>
        </w:rPr>
        <w:t xml:space="preserve"> </w:t>
      </w:r>
      <w:r w:rsidRPr="00F505B2">
        <w:rPr>
          <w:color w:val="000000"/>
        </w:rPr>
        <w:t>and</w:t>
      </w:r>
      <w:r>
        <w:rPr>
          <w:color w:val="000000"/>
        </w:rPr>
        <w:t xml:space="preserve"> </w:t>
      </w:r>
      <w:r w:rsidRPr="00F505B2">
        <w:t>PEP005-025</w:t>
      </w:r>
      <w:r w:rsidRPr="00F505B2">
        <w:rPr>
          <w:color w:val="000000"/>
        </w:rPr>
        <w:t xml:space="preserve">) and the Phase </w:t>
      </w:r>
      <w:r w:rsidR="00631F91">
        <w:rPr>
          <w:color w:val="000000"/>
        </w:rPr>
        <w:t>II</w:t>
      </w:r>
      <w:r w:rsidRPr="00F505B2">
        <w:rPr>
          <w:color w:val="000000"/>
        </w:rPr>
        <w:t xml:space="preserve"> dose-ranging study (</w:t>
      </w:r>
      <w:r w:rsidRPr="00F505B2">
        <w:t>PEP005-015</w:t>
      </w:r>
      <w:r w:rsidRPr="00F505B2">
        <w:rPr>
          <w:color w:val="000000"/>
        </w:rPr>
        <w:t>). For the non-head location,</w:t>
      </w:r>
      <w:r>
        <w:rPr>
          <w:color w:val="000000"/>
        </w:rPr>
        <w:t xml:space="preserve"> </w:t>
      </w:r>
      <w:r w:rsidRPr="00F505B2">
        <w:rPr>
          <w:color w:val="000000"/>
        </w:rPr>
        <w:t>this endpoint was pre</w:t>
      </w:r>
      <w:r>
        <w:rPr>
          <w:color w:val="000000"/>
        </w:rPr>
        <w:t>-</w:t>
      </w:r>
      <w:r w:rsidRPr="00F505B2">
        <w:rPr>
          <w:color w:val="000000"/>
        </w:rPr>
        <w:t>specified as the primary endpoint in the two adequate and well</w:t>
      </w:r>
      <w:r>
        <w:rPr>
          <w:color w:val="000000"/>
        </w:rPr>
        <w:t xml:space="preserve"> </w:t>
      </w:r>
      <w:r w:rsidRPr="00F505B2">
        <w:rPr>
          <w:color w:val="000000"/>
        </w:rPr>
        <w:t>controlled</w:t>
      </w:r>
      <w:r>
        <w:rPr>
          <w:color w:val="000000"/>
        </w:rPr>
        <w:t xml:space="preserve"> </w:t>
      </w:r>
      <w:r w:rsidR="00631F91" w:rsidRPr="00631F91">
        <w:rPr>
          <w:color w:val="000000"/>
        </w:rPr>
        <w:t>Phase III</w:t>
      </w:r>
      <w:r w:rsidRPr="00F505B2">
        <w:rPr>
          <w:color w:val="000000"/>
        </w:rPr>
        <w:t xml:space="preserve"> studies (</w:t>
      </w:r>
      <w:r w:rsidRPr="00F505B2">
        <w:t>PEP005-014</w:t>
      </w:r>
      <w:r w:rsidRPr="00F505B2">
        <w:rPr>
          <w:color w:val="0000FF"/>
        </w:rPr>
        <w:t xml:space="preserve"> </w:t>
      </w:r>
      <w:r w:rsidRPr="00F505B2">
        <w:rPr>
          <w:color w:val="000000"/>
        </w:rPr>
        <w:t xml:space="preserve">and </w:t>
      </w:r>
      <w:r w:rsidRPr="00F505B2">
        <w:t>PEP005-028</w:t>
      </w:r>
      <w:r w:rsidRPr="00F505B2">
        <w:rPr>
          <w:color w:val="000000"/>
        </w:rPr>
        <w:t>) but was a secondary endpoint in</w:t>
      </w:r>
      <w:r>
        <w:rPr>
          <w:color w:val="000000"/>
        </w:rPr>
        <w:t xml:space="preserve"> </w:t>
      </w:r>
      <w:r w:rsidRPr="00F505B2">
        <w:rPr>
          <w:color w:val="000000"/>
        </w:rPr>
        <w:t xml:space="preserve">the </w:t>
      </w:r>
      <w:r w:rsidR="00631F91" w:rsidRPr="00631F91">
        <w:rPr>
          <w:color w:val="000000"/>
        </w:rPr>
        <w:t>Phase II</w:t>
      </w:r>
      <w:r w:rsidRPr="00F505B2">
        <w:rPr>
          <w:color w:val="000000"/>
        </w:rPr>
        <w:t xml:space="preserve"> dose-ranging study (</w:t>
      </w:r>
      <w:r w:rsidRPr="00F505B2">
        <w:t>PEP005-006</w:t>
      </w:r>
      <w:r w:rsidRPr="00F505B2">
        <w:rPr>
          <w:color w:val="000000"/>
        </w:rPr>
        <w:t>). The secondary endpoint was partial clearance</w:t>
      </w:r>
      <w:r>
        <w:rPr>
          <w:color w:val="000000"/>
        </w:rPr>
        <w:t xml:space="preserve"> </w:t>
      </w:r>
      <w:r w:rsidRPr="00F505B2">
        <w:rPr>
          <w:color w:val="000000"/>
        </w:rPr>
        <w:t>rate, defined as the proportion of patients at Day 57 with a 75% or greater reduction in the</w:t>
      </w:r>
      <w:r>
        <w:rPr>
          <w:color w:val="000000"/>
        </w:rPr>
        <w:t xml:space="preserve"> </w:t>
      </w:r>
      <w:r w:rsidRPr="00F505B2">
        <w:rPr>
          <w:color w:val="000000"/>
        </w:rPr>
        <w:t xml:space="preserve">number of clinically visible </w:t>
      </w:r>
      <w:r>
        <w:rPr>
          <w:color w:val="000000"/>
        </w:rPr>
        <w:t>S</w:t>
      </w:r>
      <w:r w:rsidRPr="00F505B2">
        <w:rPr>
          <w:color w:val="000000"/>
        </w:rPr>
        <w:t>K lesions identified at baseline in the selected treatment area.</w:t>
      </w:r>
      <w:r>
        <w:rPr>
          <w:color w:val="000000"/>
        </w:rPr>
        <w:t xml:space="preserve"> </w:t>
      </w:r>
      <w:r w:rsidRPr="00F505B2">
        <w:rPr>
          <w:color w:val="000000"/>
        </w:rPr>
        <w:t xml:space="preserve">Percent reduction from baseline in the total number of </w:t>
      </w:r>
      <w:r>
        <w:rPr>
          <w:color w:val="000000"/>
        </w:rPr>
        <w:t>S</w:t>
      </w:r>
      <w:r w:rsidRPr="00F505B2">
        <w:rPr>
          <w:color w:val="000000"/>
        </w:rPr>
        <w:t>K lesions at Day 57 was an additional</w:t>
      </w:r>
      <w:r>
        <w:rPr>
          <w:color w:val="000000"/>
        </w:rPr>
        <w:t xml:space="preserve"> </w:t>
      </w:r>
      <w:r w:rsidRPr="00F505B2">
        <w:rPr>
          <w:color w:val="000000"/>
        </w:rPr>
        <w:t>endpoint.</w:t>
      </w:r>
    </w:p>
    <w:p w:rsidR="002E6F0C" w:rsidRPr="004826F6" w:rsidRDefault="002E6F0C" w:rsidP="002E6F0C">
      <w:pPr>
        <w:autoSpaceDE w:val="0"/>
        <w:autoSpaceDN w:val="0"/>
        <w:adjustRightInd w:val="0"/>
        <w:rPr>
          <w:rFonts w:cs="TimesNewRoman"/>
          <w:color w:val="000000"/>
        </w:rPr>
      </w:pPr>
      <w:r w:rsidRPr="004826F6">
        <w:rPr>
          <w:rFonts w:cs="TimesNewRoman"/>
          <w:color w:val="000000"/>
        </w:rPr>
        <w:t xml:space="preserve">For the head locations, the primary efficacy analysis in the </w:t>
      </w:r>
      <w:r w:rsidR="00631F91" w:rsidRPr="00631F91">
        <w:rPr>
          <w:rFonts w:cs="TimesNewRoman"/>
          <w:color w:val="000000"/>
        </w:rPr>
        <w:t>Phase III</w:t>
      </w:r>
      <w:r w:rsidRPr="004826F6">
        <w:rPr>
          <w:rFonts w:cs="TimesNewRoman"/>
          <w:color w:val="000000"/>
        </w:rPr>
        <w:t xml:space="preserve"> studies (</w:t>
      </w:r>
      <w:r w:rsidRPr="00A35C61">
        <w:rPr>
          <w:rFonts w:cs="TimesNewRoman"/>
        </w:rPr>
        <w:t>PEP005-016</w:t>
      </w:r>
      <w:r w:rsidRPr="004826F6">
        <w:rPr>
          <w:rFonts w:cs="TimesNewRoman"/>
          <w:color w:val="0000FF"/>
        </w:rPr>
        <w:t xml:space="preserve"> </w:t>
      </w:r>
      <w:r w:rsidRPr="004826F6">
        <w:rPr>
          <w:rFonts w:cs="TimesNewRoman"/>
          <w:color w:val="000000"/>
        </w:rPr>
        <w:t>and</w:t>
      </w:r>
      <w:r w:rsidR="00631F91">
        <w:rPr>
          <w:rFonts w:cs="TimesNewRoman"/>
          <w:color w:val="000000"/>
        </w:rPr>
        <w:t xml:space="preserve"> </w:t>
      </w:r>
      <w:r w:rsidRPr="00A35C61">
        <w:rPr>
          <w:rFonts w:cs="TimesNewRoman"/>
        </w:rPr>
        <w:t>PEP005-025</w:t>
      </w:r>
      <w:r w:rsidRPr="004826F6">
        <w:rPr>
          <w:rFonts w:cs="TimesNewRoman"/>
          <w:color w:val="000000"/>
        </w:rPr>
        <w:t>) compared complete clearance rates across treatment groups (active vs. vehicle)</w:t>
      </w:r>
      <w:r w:rsidR="00631F91">
        <w:rPr>
          <w:rFonts w:cs="TimesNewRoman"/>
          <w:color w:val="000000"/>
        </w:rPr>
        <w:t xml:space="preserve"> </w:t>
      </w:r>
      <w:r w:rsidRPr="004826F6">
        <w:rPr>
          <w:rFonts w:cs="TimesNewRoman"/>
          <w:color w:val="000000"/>
        </w:rPr>
        <w:t>using the Cochran-Mantel-Haenszel (CMH) test statistic. In each of these studies, in order to</w:t>
      </w:r>
      <w:r w:rsidR="00631F91">
        <w:rPr>
          <w:rFonts w:cs="TimesNewRoman"/>
          <w:color w:val="000000"/>
        </w:rPr>
        <w:t xml:space="preserve"> </w:t>
      </w:r>
      <w:r w:rsidRPr="004826F6">
        <w:rPr>
          <w:rFonts w:cs="TimesNewRoman"/>
          <w:color w:val="000000"/>
        </w:rPr>
        <w:t>obtain at least eight patients per site per treatment group, study sites yielding fewer than 16</w:t>
      </w:r>
      <w:r w:rsidR="00631F91">
        <w:rPr>
          <w:rFonts w:cs="TimesNewRoman"/>
          <w:color w:val="000000"/>
        </w:rPr>
        <w:t xml:space="preserve"> </w:t>
      </w:r>
      <w:r w:rsidRPr="004826F6">
        <w:rPr>
          <w:rFonts w:cs="TimesNewRoman"/>
          <w:color w:val="000000"/>
        </w:rPr>
        <w:t>patients were combined in order of geographical proximity, referred to as “analysis sites”.</w:t>
      </w:r>
    </w:p>
    <w:p w:rsidR="002E6F0C" w:rsidRDefault="002E6F0C" w:rsidP="002E6F0C">
      <w:pPr>
        <w:autoSpaceDE w:val="0"/>
        <w:autoSpaceDN w:val="0"/>
        <w:adjustRightInd w:val="0"/>
        <w:rPr>
          <w:rFonts w:cs="TimesNewRoman"/>
          <w:color w:val="000000"/>
        </w:rPr>
      </w:pPr>
      <w:r w:rsidRPr="004826F6">
        <w:rPr>
          <w:rFonts w:cs="TimesNewRoman"/>
          <w:color w:val="000000"/>
        </w:rPr>
        <w:t>The exact composition of these “analysis sites” was determined and documented prior to</w:t>
      </w:r>
      <w:r w:rsidR="00631F91">
        <w:rPr>
          <w:rFonts w:cs="TimesNewRoman"/>
          <w:color w:val="000000"/>
        </w:rPr>
        <w:t xml:space="preserve"> </w:t>
      </w:r>
      <w:r w:rsidRPr="004826F6">
        <w:rPr>
          <w:rFonts w:cs="TimesNewRoman"/>
          <w:color w:val="000000"/>
        </w:rPr>
        <w:t>breaking the study blind. The stratification for CMH analyses was based on the analysis sites,</w:t>
      </w:r>
      <w:r w:rsidR="00631F91">
        <w:rPr>
          <w:rFonts w:cs="TimesNewRoman"/>
          <w:color w:val="000000"/>
        </w:rPr>
        <w:t xml:space="preserve"> </w:t>
      </w:r>
      <w:r w:rsidRPr="004826F6">
        <w:rPr>
          <w:rFonts w:cs="TimesNewRoman"/>
          <w:color w:val="000000"/>
        </w:rPr>
        <w:t>not on the actual study sites.</w:t>
      </w:r>
      <w:r>
        <w:rPr>
          <w:rFonts w:cs="TimesNewRoman"/>
          <w:color w:val="000000"/>
        </w:rPr>
        <w:t xml:space="preserve"> </w:t>
      </w:r>
      <w:r w:rsidRPr="004826F6">
        <w:rPr>
          <w:rFonts w:cs="TimesNewRoman"/>
          <w:color w:val="000000"/>
        </w:rPr>
        <w:t xml:space="preserve">For the non-head locations, the primary efficacy analysis in the </w:t>
      </w:r>
      <w:r w:rsidR="00631F91" w:rsidRPr="00631F91">
        <w:rPr>
          <w:rFonts w:cs="TimesNewRoman"/>
          <w:color w:val="000000"/>
        </w:rPr>
        <w:t>Phase III</w:t>
      </w:r>
      <w:r w:rsidRPr="004826F6">
        <w:rPr>
          <w:rFonts w:cs="TimesNewRoman"/>
          <w:color w:val="000000"/>
        </w:rPr>
        <w:t xml:space="preserve"> studies (</w:t>
      </w:r>
      <w:r w:rsidRPr="00A35C61">
        <w:rPr>
          <w:rFonts w:cs="TimesNewRoman"/>
        </w:rPr>
        <w:t>PEP005-014</w:t>
      </w:r>
      <w:r>
        <w:rPr>
          <w:rFonts w:cs="TimesNewRoman"/>
          <w:color w:val="0000FF"/>
        </w:rPr>
        <w:t xml:space="preserve"> </w:t>
      </w:r>
      <w:r w:rsidRPr="004826F6">
        <w:rPr>
          <w:rFonts w:cs="TimesNewRoman"/>
          <w:color w:val="000000"/>
        </w:rPr>
        <w:t xml:space="preserve">and </w:t>
      </w:r>
      <w:r w:rsidRPr="00A35C61">
        <w:rPr>
          <w:rFonts w:cs="TimesNewRoman"/>
        </w:rPr>
        <w:t>PEP005-028</w:t>
      </w:r>
      <w:r w:rsidRPr="004826F6">
        <w:rPr>
          <w:rFonts w:cs="TimesNewRoman"/>
          <w:color w:val="000000"/>
        </w:rPr>
        <w:t>) also compared complete clearance rates across treatment groups (active vs.</w:t>
      </w:r>
      <w:r>
        <w:rPr>
          <w:rFonts w:cs="TimesNewRoman"/>
          <w:color w:val="000000"/>
        </w:rPr>
        <w:t xml:space="preserve"> </w:t>
      </w:r>
      <w:r w:rsidRPr="004826F6">
        <w:rPr>
          <w:rFonts w:cs="TimesNewRoman"/>
          <w:color w:val="000000"/>
        </w:rPr>
        <w:t>vehicle) using the CMH test statistic. The CMH analysis for PEP005-014 was stratified on</w:t>
      </w:r>
      <w:r>
        <w:rPr>
          <w:rFonts w:cs="TimesNewRoman"/>
          <w:color w:val="000000"/>
        </w:rPr>
        <w:t xml:space="preserve"> </w:t>
      </w:r>
      <w:r w:rsidRPr="004826F6">
        <w:rPr>
          <w:rFonts w:cs="TimesNewRoman"/>
          <w:color w:val="000000"/>
        </w:rPr>
        <w:t>anatomical location and the CMH analysis for study PEP005-028 was stratified on analysis</w:t>
      </w:r>
      <w:r>
        <w:rPr>
          <w:rFonts w:cs="TimesNewRoman"/>
          <w:color w:val="000000"/>
        </w:rPr>
        <w:t xml:space="preserve"> </w:t>
      </w:r>
      <w:r w:rsidRPr="004826F6">
        <w:rPr>
          <w:rFonts w:cs="TimesNewRoman"/>
          <w:color w:val="000000"/>
        </w:rPr>
        <w:t>site. As part of this efficacy summary a CMH analysis for PEP005-014 stratified on analysis</w:t>
      </w:r>
      <w:r>
        <w:rPr>
          <w:rFonts w:cs="TimesNewRoman"/>
          <w:color w:val="000000"/>
        </w:rPr>
        <w:t xml:space="preserve"> </w:t>
      </w:r>
      <w:r w:rsidRPr="004826F6">
        <w:rPr>
          <w:rFonts w:cs="TimesNewRoman"/>
          <w:color w:val="000000"/>
        </w:rPr>
        <w:t>site is also presented.</w:t>
      </w:r>
    </w:p>
    <w:p w:rsidR="002E6F0C" w:rsidRPr="00F77D80" w:rsidRDefault="002E6F0C" w:rsidP="002E6F0C">
      <w:pPr>
        <w:autoSpaceDE w:val="0"/>
        <w:autoSpaceDN w:val="0"/>
        <w:adjustRightInd w:val="0"/>
        <w:sectPr w:rsidR="002E6F0C" w:rsidRPr="00F77D80">
          <w:footerReference w:type="default" r:id="rId17"/>
          <w:endnotePr>
            <w:numFmt w:val="decimal"/>
          </w:endnotePr>
          <w:pgSz w:w="11906" w:h="16838" w:code="9"/>
          <w:pgMar w:top="1134" w:right="1134" w:bottom="1134" w:left="1440" w:header="737" w:footer="737" w:gutter="0"/>
          <w:cols w:space="720"/>
        </w:sectPr>
      </w:pPr>
      <w:r w:rsidRPr="004826F6">
        <w:rPr>
          <w:rFonts w:cs="TimesNewRoman"/>
          <w:color w:val="000000"/>
        </w:rPr>
        <w:t xml:space="preserve">For each </w:t>
      </w:r>
      <w:r w:rsidR="00631F91" w:rsidRPr="00631F91">
        <w:rPr>
          <w:rFonts w:cs="TimesNewRoman"/>
          <w:color w:val="000000"/>
        </w:rPr>
        <w:t>Phase III</w:t>
      </w:r>
      <w:r w:rsidRPr="004826F6">
        <w:rPr>
          <w:rFonts w:cs="TimesNewRoman"/>
          <w:color w:val="000000"/>
        </w:rPr>
        <w:t xml:space="preserve"> study for the head and non-head locations, missing values were imputed</w:t>
      </w:r>
      <w:r>
        <w:rPr>
          <w:rFonts w:cs="TimesNewRoman"/>
          <w:color w:val="000000"/>
        </w:rPr>
        <w:t xml:space="preserve"> </w:t>
      </w:r>
      <w:r w:rsidRPr="004826F6">
        <w:rPr>
          <w:rFonts w:cs="TimesNewRoman"/>
          <w:color w:val="000000"/>
        </w:rPr>
        <w:t>using the last observation carried forward (LOCF) method. A sensitivity analysis of complete</w:t>
      </w:r>
      <w:r>
        <w:rPr>
          <w:rFonts w:cs="TimesNewRoman"/>
          <w:color w:val="000000"/>
        </w:rPr>
        <w:t xml:space="preserve"> </w:t>
      </w:r>
      <w:r w:rsidRPr="004826F6">
        <w:rPr>
          <w:rFonts w:cs="TimesNewRoman"/>
          <w:color w:val="000000"/>
        </w:rPr>
        <w:t>clearance assumed that all patients who missed the Day 57 visit or were outside the visit</w:t>
      </w:r>
      <w:r>
        <w:rPr>
          <w:rFonts w:cs="TimesNewRoman"/>
          <w:color w:val="000000"/>
        </w:rPr>
        <w:t xml:space="preserve"> </w:t>
      </w:r>
      <w:r w:rsidRPr="004826F6">
        <w:rPr>
          <w:rFonts w:cs="TimesNewRoman"/>
          <w:color w:val="000000"/>
        </w:rPr>
        <w:t>window (≤Day 50 or ≥Day 85) did not achieve complete clearance. In addition, complete</w:t>
      </w:r>
      <w:r>
        <w:rPr>
          <w:rFonts w:cs="TimesNewRoman"/>
          <w:color w:val="000000"/>
        </w:rPr>
        <w:t xml:space="preserve"> </w:t>
      </w:r>
      <w:r w:rsidRPr="004826F6">
        <w:rPr>
          <w:rFonts w:cs="TimesNewRoman"/>
          <w:color w:val="000000"/>
        </w:rPr>
        <w:t>clearance rates were compared across treatment groups by location of treatment area (face or</w:t>
      </w:r>
      <w:r>
        <w:rPr>
          <w:rFonts w:cs="TimesNewRoman"/>
          <w:color w:val="000000"/>
        </w:rPr>
        <w:t xml:space="preserve"> </w:t>
      </w:r>
      <w:r w:rsidRPr="004826F6">
        <w:rPr>
          <w:rFonts w:cs="TimesNewRoman"/>
          <w:color w:val="000000"/>
        </w:rPr>
        <w:t>scalp for head and arm, back of hand, or “other” [back, shoulder, leg or chest] for non-head).</w:t>
      </w:r>
      <w:r>
        <w:rPr>
          <w:rFonts w:cs="TimesNewRoman"/>
          <w:color w:val="000000"/>
        </w:rPr>
        <w:t xml:space="preserve"> </w:t>
      </w:r>
      <w:r w:rsidRPr="004826F6">
        <w:rPr>
          <w:rFonts w:cs="TimesNewRoman"/>
          <w:color w:val="000000"/>
        </w:rPr>
        <w:t>Statistical tests were two-sided with a significance level of α = 0.05.</w:t>
      </w:r>
      <w:r w:rsidRPr="00EA5C5E">
        <w:rPr>
          <w:rFonts w:ascii="TimesNewRoman" w:hAnsi="TimesNewRoman" w:cs="TimesNewRoman"/>
        </w:rPr>
        <w:t xml:space="preserve"> </w:t>
      </w:r>
      <w:r w:rsidRPr="00EA5C5E">
        <w:rPr>
          <w:rFonts w:cs="TimesNewRoman"/>
        </w:rPr>
        <w:t>Analyses of study results were prespecified prior to database lock and unblinding. As part of this efficacy</w:t>
      </w:r>
      <w:r>
        <w:rPr>
          <w:rFonts w:cs="TimesNewRoman"/>
        </w:rPr>
        <w:t xml:space="preserve"> </w:t>
      </w:r>
      <w:r w:rsidRPr="00EA5C5E">
        <w:rPr>
          <w:rFonts w:cs="TimesNewRoman"/>
        </w:rPr>
        <w:t>summary, two additional analyses of complete clearance were performed for each study. An</w:t>
      </w:r>
      <w:r>
        <w:rPr>
          <w:rFonts w:cs="TimesNewRoman"/>
        </w:rPr>
        <w:t xml:space="preserve"> </w:t>
      </w:r>
      <w:r w:rsidRPr="00EA5C5E">
        <w:rPr>
          <w:rFonts w:cs="TimesNewRoman"/>
        </w:rPr>
        <w:t>additional sensitivity analysis was performed for complete clearance rates in which all active</w:t>
      </w:r>
      <w:r>
        <w:rPr>
          <w:rFonts w:cs="TimesNewRoman"/>
        </w:rPr>
        <w:t xml:space="preserve"> </w:t>
      </w:r>
      <w:r w:rsidRPr="00EA5C5E">
        <w:rPr>
          <w:rFonts w:cs="TimesNewRoman"/>
        </w:rPr>
        <w:t>treatment patients who missed the Day 57 visit or were outside the visit window (≤Day 50 or</w:t>
      </w:r>
      <w:r>
        <w:rPr>
          <w:rFonts w:cs="TimesNewRoman"/>
        </w:rPr>
        <w:t xml:space="preserve"> </w:t>
      </w:r>
      <w:r w:rsidRPr="00EA5C5E">
        <w:rPr>
          <w:rFonts w:cs="TimesNewRoman"/>
        </w:rPr>
        <w:t>≥Day 85) were considered as not achieving complete clearance and all vehicle patients who</w:t>
      </w:r>
      <w:r>
        <w:rPr>
          <w:rFonts w:cs="TimesNewRoman"/>
        </w:rPr>
        <w:t xml:space="preserve"> </w:t>
      </w:r>
      <w:r w:rsidRPr="00EA5C5E">
        <w:rPr>
          <w:rFonts w:cs="TimesNewRoman"/>
        </w:rPr>
        <w:t>missed the Day 57 visit or were outside the visit window were considered as achieving</w:t>
      </w:r>
      <w:r>
        <w:rPr>
          <w:rFonts w:cs="TimesNewRoman"/>
        </w:rPr>
        <w:t xml:space="preserve"> </w:t>
      </w:r>
      <w:r w:rsidRPr="00EA5C5E">
        <w:rPr>
          <w:rFonts w:cs="TimesNewRoman"/>
        </w:rPr>
        <w:t>complete clearance. Furthermore, clearance rates were compared across treatment groups</w:t>
      </w:r>
      <w:r>
        <w:rPr>
          <w:rFonts w:cs="TimesNewRoman"/>
        </w:rPr>
        <w:t xml:space="preserve"> </w:t>
      </w:r>
      <w:r w:rsidRPr="00EA5C5E">
        <w:rPr>
          <w:rFonts w:cs="TimesNewRoman"/>
        </w:rPr>
        <w:t>using a logistic regression model with terms for treatment, analysis site, and anatomical</w:t>
      </w:r>
      <w:r>
        <w:rPr>
          <w:rFonts w:cs="TimesNewRoman"/>
        </w:rPr>
        <w:t xml:space="preserve"> </w:t>
      </w:r>
      <w:r w:rsidRPr="00EA5C5E">
        <w:rPr>
          <w:rFonts w:cs="TimesNewRoman"/>
        </w:rPr>
        <w:t>location.</w:t>
      </w:r>
    </w:p>
    <w:p w:rsidR="002E6F0C" w:rsidRDefault="002E6F0C" w:rsidP="00F20B2D">
      <w:pPr>
        <w:pStyle w:val="TableTitle"/>
      </w:pPr>
      <w:r>
        <w:lastRenderedPageBreak/>
        <w:t xml:space="preserve">Table </w:t>
      </w:r>
      <w:r w:rsidR="00D54EB2">
        <w:fldChar w:fldCharType="begin"/>
      </w:r>
      <w:r w:rsidR="000E20F7">
        <w:instrText xml:space="preserve"> SEQ Table \* ARABIC </w:instrText>
      </w:r>
      <w:r w:rsidR="00D54EB2">
        <w:fldChar w:fldCharType="separate"/>
      </w:r>
      <w:r w:rsidR="00CE46E8">
        <w:rPr>
          <w:noProof/>
        </w:rPr>
        <w:t>1</w:t>
      </w:r>
      <w:r w:rsidR="00D54EB2">
        <w:fldChar w:fldCharType="end"/>
      </w:r>
      <w:r>
        <w:t>.</w:t>
      </w:r>
      <w:r w:rsidR="00631F91" w:rsidRPr="00631F91">
        <w:t xml:space="preserve"> </w:t>
      </w:r>
      <w:r>
        <w:t>Tabular Listing of Clinical Studies.</w:t>
      </w:r>
      <w:r>
        <w:rPr>
          <w:noProof/>
          <w:lang w:eastAsia="en-AU"/>
        </w:rPr>
        <w:drawing>
          <wp:inline distT="0" distB="0" distL="0" distR="0">
            <wp:extent cx="9715500" cy="4692650"/>
            <wp:effectExtent l="19050" t="0" r="0" b="0"/>
            <wp:docPr id="5" name="Picture 5" descr="Table 1.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60"/>
                    <a:stretch>
                      <a:fillRect/>
                    </a:stretch>
                  </pic:blipFill>
                  <pic:spPr bwMode="auto">
                    <a:xfrm>
                      <a:off x="0" y="0"/>
                      <a:ext cx="9715500" cy="4692650"/>
                    </a:xfrm>
                    <a:prstGeom prst="rect">
                      <a:avLst/>
                    </a:prstGeom>
                    <a:noFill/>
                    <a:ln>
                      <a:noFill/>
                    </a:ln>
                  </pic:spPr>
                </pic:pic>
              </a:graphicData>
            </a:graphic>
          </wp:inline>
        </w:drawing>
      </w:r>
    </w:p>
    <w:p w:rsidR="00F20B2D" w:rsidRDefault="00F20B2D">
      <w:pPr>
        <w:spacing w:before="0" w:after="200" w:line="0" w:lineRule="auto"/>
        <w:rPr>
          <w:b/>
          <w:sz w:val="20"/>
        </w:rPr>
      </w:pPr>
      <w:r>
        <w:br w:type="page"/>
      </w:r>
    </w:p>
    <w:p w:rsidR="002E6F0C" w:rsidRDefault="002E6F0C" w:rsidP="00F20B2D">
      <w:pPr>
        <w:pStyle w:val="TableTitle"/>
      </w:pPr>
      <w:r w:rsidRPr="00631F91">
        <w:lastRenderedPageBreak/>
        <w:t xml:space="preserve">Table </w:t>
      </w:r>
      <w:r w:rsidR="00631F91">
        <w:t>1 continued</w:t>
      </w:r>
      <w:r w:rsidRPr="00631F91">
        <w:t>.</w:t>
      </w:r>
      <w:r w:rsidR="00631F91" w:rsidRPr="00631F91">
        <w:t xml:space="preserve"> </w:t>
      </w:r>
      <w:r w:rsidRPr="00631F91">
        <w:t>Tabular Listing of Clinical Studies</w:t>
      </w:r>
    </w:p>
    <w:p w:rsidR="002E6F0C" w:rsidRDefault="002E6F0C" w:rsidP="0090031D">
      <w:r>
        <w:rPr>
          <w:noProof/>
          <w:lang w:eastAsia="en-AU"/>
        </w:rPr>
        <w:drawing>
          <wp:inline distT="0" distB="0" distL="0" distR="0">
            <wp:extent cx="9554210" cy="5146675"/>
            <wp:effectExtent l="19050" t="0" r="8890" b="0"/>
            <wp:docPr id="6" name="Picture 6" descr="Table 1 continued.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4210" cy="5146675"/>
                    </a:xfrm>
                    <a:prstGeom prst="rect">
                      <a:avLst/>
                    </a:prstGeom>
                    <a:noFill/>
                    <a:ln>
                      <a:noFill/>
                    </a:ln>
                  </pic:spPr>
                </pic:pic>
              </a:graphicData>
            </a:graphic>
          </wp:inline>
        </w:drawing>
      </w:r>
    </w:p>
    <w:p w:rsidR="00823F04" w:rsidRDefault="00823F04" w:rsidP="00823F04">
      <w:pPr>
        <w:autoSpaceDE w:val="0"/>
        <w:autoSpaceDN w:val="0"/>
        <w:adjustRightInd w:val="0"/>
        <w:rPr>
          <w:b/>
        </w:rPr>
      </w:pPr>
    </w:p>
    <w:p w:rsidR="002E6F0C" w:rsidRPr="00823F04" w:rsidRDefault="002E6F0C" w:rsidP="0090031D">
      <w:pPr>
        <w:pStyle w:val="TableTitle"/>
      </w:pPr>
      <w:r w:rsidRPr="00823F04">
        <w:lastRenderedPageBreak/>
        <w:t xml:space="preserve">Table </w:t>
      </w:r>
      <w:r w:rsidR="00823F04" w:rsidRPr="00823F04">
        <w:t>1</w:t>
      </w:r>
      <w:r w:rsidR="00631F91" w:rsidRPr="00823F04">
        <w:t xml:space="preserve"> continued</w:t>
      </w:r>
      <w:r w:rsidRPr="00823F04">
        <w:t>.</w:t>
      </w:r>
      <w:r w:rsidR="00631F91" w:rsidRPr="00823F04">
        <w:t xml:space="preserve"> </w:t>
      </w:r>
      <w:r w:rsidRPr="00823F04">
        <w:t>Tabular Listing of Clinical Studies</w:t>
      </w:r>
    </w:p>
    <w:p w:rsidR="002E6F0C" w:rsidRDefault="002E6F0C" w:rsidP="0090031D">
      <w:r>
        <w:rPr>
          <w:noProof/>
          <w:lang w:eastAsia="en-AU"/>
        </w:rPr>
        <w:drawing>
          <wp:inline distT="0" distB="0" distL="0" distR="0">
            <wp:extent cx="9530715" cy="4537075"/>
            <wp:effectExtent l="19050" t="0" r="0" b="0"/>
            <wp:docPr id="7" name="Picture 7" descr="Table 1 continued.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0715" cy="4537075"/>
                    </a:xfrm>
                    <a:prstGeom prst="rect">
                      <a:avLst/>
                    </a:prstGeom>
                    <a:noFill/>
                    <a:ln>
                      <a:noFill/>
                    </a:ln>
                  </pic:spPr>
                </pic:pic>
              </a:graphicData>
            </a:graphic>
          </wp:inline>
        </w:drawing>
      </w:r>
    </w:p>
    <w:p w:rsidR="002E6F0C" w:rsidRDefault="002E6F0C" w:rsidP="002E6F0C">
      <w:pPr>
        <w:autoSpaceDE w:val="0"/>
        <w:autoSpaceDN w:val="0"/>
        <w:adjustRightInd w:val="0"/>
      </w:pPr>
    </w:p>
    <w:p w:rsidR="00823F04" w:rsidRPr="00823F04" w:rsidRDefault="00823F04" w:rsidP="00803532">
      <w:pPr>
        <w:pStyle w:val="TableTitle"/>
      </w:pPr>
      <w:r w:rsidRPr="00823F04">
        <w:lastRenderedPageBreak/>
        <w:t>Table 1 continued. Tabular Listing of Clinical Studies</w:t>
      </w:r>
    </w:p>
    <w:p w:rsidR="002E6F0C" w:rsidRDefault="002E6F0C" w:rsidP="00803532">
      <w:r>
        <w:rPr>
          <w:noProof/>
          <w:lang w:eastAsia="en-AU"/>
        </w:rPr>
        <w:drawing>
          <wp:inline distT="0" distB="0" distL="0" distR="0">
            <wp:extent cx="9566275" cy="5146675"/>
            <wp:effectExtent l="19050" t="0" r="0" b="0"/>
            <wp:docPr id="8" name="Picture 8" descr="Table 1 continued.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6275" cy="5146675"/>
                    </a:xfrm>
                    <a:prstGeom prst="rect">
                      <a:avLst/>
                    </a:prstGeom>
                    <a:noFill/>
                    <a:ln>
                      <a:noFill/>
                    </a:ln>
                  </pic:spPr>
                </pic:pic>
              </a:graphicData>
            </a:graphic>
          </wp:inline>
        </w:drawing>
      </w:r>
    </w:p>
    <w:p w:rsidR="002E6F0C" w:rsidRDefault="002E6F0C" w:rsidP="00823F04">
      <w:pPr>
        <w:autoSpaceDE w:val="0"/>
        <w:autoSpaceDN w:val="0"/>
        <w:adjustRightInd w:val="0"/>
      </w:pPr>
    </w:p>
    <w:p w:rsidR="00823F04" w:rsidRPr="00823F04" w:rsidRDefault="00823F04" w:rsidP="00451379">
      <w:pPr>
        <w:pStyle w:val="TableTitle"/>
      </w:pPr>
      <w:r w:rsidRPr="00823F04">
        <w:lastRenderedPageBreak/>
        <w:t>Table 1 continued. Tabular Listing of Clinical Studies</w:t>
      </w:r>
    </w:p>
    <w:p w:rsidR="002E6F0C" w:rsidRDefault="002E6F0C" w:rsidP="00451379">
      <w:r>
        <w:rPr>
          <w:noProof/>
          <w:lang w:eastAsia="en-AU"/>
        </w:rPr>
        <w:drawing>
          <wp:inline distT="0" distB="0" distL="0" distR="0">
            <wp:extent cx="9777095" cy="4572000"/>
            <wp:effectExtent l="19050" t="0" r="0" b="0"/>
            <wp:docPr id="9" name="Picture 9" descr="Table 1 continued.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7095" cy="4572000"/>
                    </a:xfrm>
                    <a:prstGeom prst="rect">
                      <a:avLst/>
                    </a:prstGeom>
                    <a:noFill/>
                    <a:ln>
                      <a:noFill/>
                    </a:ln>
                  </pic:spPr>
                </pic:pic>
              </a:graphicData>
            </a:graphic>
          </wp:inline>
        </w:drawing>
      </w:r>
    </w:p>
    <w:p w:rsidR="002E6F0C" w:rsidRDefault="002E6F0C" w:rsidP="002E6F0C">
      <w:pPr>
        <w:autoSpaceDE w:val="0"/>
        <w:autoSpaceDN w:val="0"/>
        <w:adjustRightInd w:val="0"/>
      </w:pPr>
    </w:p>
    <w:p w:rsidR="00823F04" w:rsidRPr="00823F04" w:rsidRDefault="00823F04" w:rsidP="00451379">
      <w:pPr>
        <w:pStyle w:val="TableTitle"/>
      </w:pPr>
      <w:r w:rsidRPr="00823F04">
        <w:lastRenderedPageBreak/>
        <w:t>Table 1 continued. Tabular Listing of Clinical Studies</w:t>
      </w:r>
    </w:p>
    <w:p w:rsidR="002E6F0C" w:rsidRDefault="002E6F0C" w:rsidP="002E6F0C">
      <w:pPr>
        <w:autoSpaceDE w:val="0"/>
        <w:autoSpaceDN w:val="0"/>
        <w:adjustRightInd w:val="0"/>
        <w:sectPr w:rsidR="002E6F0C">
          <w:footerReference w:type="default" r:id="rId23"/>
          <w:endnotePr>
            <w:numFmt w:val="decimal"/>
          </w:endnotePr>
          <w:pgSz w:w="16838" w:h="11906" w:orient="landscape" w:code="9"/>
          <w:pgMar w:top="1440" w:right="1134" w:bottom="1134" w:left="1134" w:header="737" w:footer="737" w:gutter="0"/>
          <w:cols w:space="720"/>
        </w:sectPr>
      </w:pPr>
      <w:r>
        <w:rPr>
          <w:noProof/>
          <w:lang w:eastAsia="en-AU"/>
        </w:rPr>
        <w:drawing>
          <wp:inline distT="0" distB="0" distL="0" distR="0">
            <wp:extent cx="9777095" cy="4771390"/>
            <wp:effectExtent l="19050" t="0" r="0" b="0"/>
            <wp:docPr id="10" name="Picture 10" descr="Table 1 continued. Tabular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7095" cy="4771390"/>
                    </a:xfrm>
                    <a:prstGeom prst="rect">
                      <a:avLst/>
                    </a:prstGeom>
                    <a:noFill/>
                    <a:ln>
                      <a:noFill/>
                    </a:ln>
                  </pic:spPr>
                </pic:pic>
              </a:graphicData>
            </a:graphic>
          </wp:inline>
        </w:drawing>
      </w:r>
    </w:p>
    <w:p w:rsidR="002E6F0C" w:rsidRPr="001F03DE" w:rsidRDefault="002E6F0C" w:rsidP="002C6C33">
      <w:pPr>
        <w:pStyle w:val="Heading3"/>
      </w:pPr>
      <w:bookmarkStart w:id="79" w:name="_Toc314158741"/>
      <w:bookmarkStart w:id="80" w:name="_Toc367127756"/>
      <w:r>
        <w:lastRenderedPageBreak/>
        <w:t xml:space="preserve">Dose response studies and </w:t>
      </w:r>
      <w:r w:rsidR="00451379">
        <w:t>m</w:t>
      </w:r>
      <w:r>
        <w:t>ain clinical studies</w:t>
      </w:r>
      <w:bookmarkEnd w:id="79"/>
      <w:bookmarkEnd w:id="80"/>
    </w:p>
    <w:p w:rsidR="002E6F0C" w:rsidRDefault="002C6C33" w:rsidP="00823F04">
      <w:pPr>
        <w:pStyle w:val="Heading4"/>
      </w:pPr>
      <w:bookmarkStart w:id="81" w:name="_Toc241374309"/>
      <w:bookmarkStart w:id="82" w:name="_Toc314158742"/>
      <w:r>
        <w:t>Head and s</w:t>
      </w:r>
      <w:r w:rsidR="00FD29D8">
        <w:t>calp in</w:t>
      </w:r>
      <w:r w:rsidR="002E6F0C">
        <w:t>dication</w:t>
      </w:r>
      <w:bookmarkEnd w:id="81"/>
      <w:bookmarkEnd w:id="82"/>
    </w:p>
    <w:p w:rsidR="002E6F0C" w:rsidRDefault="002E6F0C" w:rsidP="00FF6E73">
      <w:pPr>
        <w:pStyle w:val="Heading5"/>
      </w:pPr>
      <w:r w:rsidRPr="0057531B">
        <w:t>PEP005-015</w:t>
      </w:r>
    </w:p>
    <w:p w:rsidR="002E6F0C" w:rsidRDefault="002E6F0C" w:rsidP="002E6F0C">
      <w:pPr>
        <w:autoSpaceDE w:val="0"/>
        <w:autoSpaceDN w:val="0"/>
        <w:adjustRightInd w:val="0"/>
        <w:rPr>
          <w:sz w:val="19"/>
          <w:szCs w:val="19"/>
        </w:rPr>
      </w:pPr>
      <w:r>
        <w:t>This study was a multi-centre, randomized, double-blind, vehicle-controlled, dose ranging study conducted in the USA and Australia between June 2008 and October 2008. The primary objective of the study was to evaluate the safety, tolerability and efficacy of PEP005 Gel (0.005%, 0.01% and 0.015%) compared to vehicle gel, administered once daily as either a two or three consecutive day treatment regimen, to a 25 cm</w:t>
      </w:r>
      <w:r w:rsidRPr="00405A92">
        <w:rPr>
          <w:vertAlign w:val="superscript"/>
        </w:rPr>
        <w:t>2</w:t>
      </w:r>
      <w:r>
        <w:t xml:space="preserve"> contiguous SK treatment area on the face or scalp. The primary efficacy variable was the complete </w:t>
      </w:r>
      <w:r w:rsidRPr="00815FA2">
        <w:t>clearance rate, defined as the proportion of patients at the Day 57 visit with no clinically visible</w:t>
      </w:r>
      <w:r>
        <w:t xml:space="preserve"> S</w:t>
      </w:r>
      <w:r w:rsidRPr="00815FA2">
        <w:t>K lesions in the selected treatment area</w:t>
      </w:r>
      <w:r>
        <w:rPr>
          <w:sz w:val="19"/>
          <w:szCs w:val="19"/>
        </w:rPr>
        <w:t xml:space="preserve">. </w:t>
      </w:r>
      <w:r w:rsidRPr="00815FA2">
        <w:t>The secondary</w:t>
      </w:r>
      <w:r>
        <w:t xml:space="preserve"> efficacy variable was the </w:t>
      </w:r>
      <w:r w:rsidRPr="00815FA2">
        <w:t>partial clearance rate, defined as the proportion of patients at the Day 57 visit with a 75% or greater reduction in</w:t>
      </w:r>
      <w:r>
        <w:t xml:space="preserve"> </w:t>
      </w:r>
      <w:r w:rsidRPr="00815FA2">
        <w:t xml:space="preserve">the number of </w:t>
      </w:r>
      <w:r>
        <w:t>S</w:t>
      </w:r>
      <w:r w:rsidRPr="00815FA2">
        <w:t>K lesions identified at baseline, in the selected treatment area</w:t>
      </w:r>
      <w:r>
        <w:rPr>
          <w:sz w:val="19"/>
          <w:szCs w:val="19"/>
        </w:rPr>
        <w:t xml:space="preserve">. </w:t>
      </w:r>
      <w:r w:rsidRPr="00815FA2">
        <w:t>Patients were screened and randomized to one of three PEP005 Gel concentrations (0.005%, 0.01%, 0.015%) or</w:t>
      </w:r>
      <w:r>
        <w:t xml:space="preserve"> </w:t>
      </w:r>
      <w:r w:rsidRPr="00815FA2">
        <w:t>vehicle gel and were treated once daily for either two or three consecutive days. Patients were evaluated on the</w:t>
      </w:r>
      <w:r>
        <w:t xml:space="preserve"> </w:t>
      </w:r>
      <w:r w:rsidRPr="00815FA2">
        <w:t>basis of safety, tolerability, and efficacy for 57 days following study treatment.</w:t>
      </w:r>
    </w:p>
    <w:p w:rsidR="002E6F0C" w:rsidRDefault="002E6F0C" w:rsidP="00B52245">
      <w:pPr>
        <w:rPr>
          <w:sz w:val="19"/>
          <w:szCs w:val="19"/>
        </w:rPr>
      </w:pPr>
      <w:r w:rsidRPr="00690C2D">
        <w:t>A total of 265 patients were randomized and 260 patients completed the study. All randomized patients were</w:t>
      </w:r>
      <w:r>
        <w:t xml:space="preserve"> </w:t>
      </w:r>
      <w:r w:rsidRPr="00690C2D">
        <w:t xml:space="preserve">included in the intent-to-treat (ITT) population; 250 patients were included in the per-protocol </w:t>
      </w:r>
      <w:r>
        <w:t>(</w:t>
      </w:r>
      <w:r w:rsidRPr="00690C2D">
        <w:t>PP) population. The</w:t>
      </w:r>
      <w:r>
        <w:t xml:space="preserve"> </w:t>
      </w:r>
      <w:r w:rsidRPr="00690C2D">
        <w:t>safety population included 264 patients</w:t>
      </w:r>
      <w:r>
        <w:rPr>
          <w:sz w:val="19"/>
          <w:szCs w:val="19"/>
        </w:rPr>
        <w:t>.</w:t>
      </w:r>
      <w:r w:rsidRPr="00690C2D">
        <w:rPr>
          <w:sz w:val="19"/>
          <w:szCs w:val="19"/>
        </w:rPr>
        <w:t xml:space="preserve"> </w:t>
      </w:r>
      <w:r w:rsidRPr="00690C2D">
        <w:t>Subjects were</w:t>
      </w:r>
      <w:r>
        <w:rPr>
          <w:sz w:val="19"/>
          <w:szCs w:val="19"/>
        </w:rPr>
        <w:t xml:space="preserve"> </w:t>
      </w:r>
      <w:r w:rsidRPr="00690C2D">
        <w:t xml:space="preserve">male or female patients at least 18 years of age with four to eight clinically typical, visible, and discrete </w:t>
      </w:r>
      <w:r>
        <w:t>S</w:t>
      </w:r>
      <w:r w:rsidRPr="00690C2D">
        <w:t>K lesions</w:t>
      </w:r>
      <w:r>
        <w:t xml:space="preserve"> </w:t>
      </w:r>
      <w:r w:rsidRPr="00690C2D">
        <w:t>within a contiguous 25 cm</w:t>
      </w:r>
      <w:r w:rsidRPr="00405A92">
        <w:rPr>
          <w:vertAlign w:val="superscript"/>
        </w:rPr>
        <w:t xml:space="preserve">2 </w:t>
      </w:r>
      <w:r w:rsidRPr="00690C2D">
        <w:t>treatment area on the face or scalp</w:t>
      </w:r>
      <w:r>
        <w:t>.</w:t>
      </w:r>
      <w:r w:rsidRPr="00690C2D">
        <w:rPr>
          <w:sz w:val="19"/>
          <w:szCs w:val="19"/>
        </w:rPr>
        <w:t xml:space="preserve"> </w:t>
      </w:r>
      <w:r w:rsidRPr="00690C2D">
        <w:t>Patients were randomized centrally, to treatment in a 1:1:1:1:1:1:1:1 fashion and were stratified across</w:t>
      </w:r>
      <w:r>
        <w:t xml:space="preserve"> </w:t>
      </w:r>
      <w:r w:rsidRPr="00690C2D">
        <w:t xml:space="preserve">treatment groups (as per the </w:t>
      </w:r>
      <w:r w:rsidR="00823F04">
        <w:t>T</w:t>
      </w:r>
      <w:r w:rsidRPr="00690C2D">
        <w:t xml:space="preserve">able </w:t>
      </w:r>
      <w:r w:rsidR="00823F04">
        <w:t xml:space="preserve">2 </w:t>
      </w:r>
      <w:r w:rsidRPr="00690C2D">
        <w:t xml:space="preserve">below) based on location of </w:t>
      </w:r>
      <w:r>
        <w:t>S</w:t>
      </w:r>
      <w:r w:rsidRPr="00690C2D">
        <w:t>K lesions on the head (i.e., face or scalp)</w:t>
      </w:r>
      <w:r>
        <w:rPr>
          <w:sz w:val="19"/>
          <w:szCs w:val="19"/>
        </w:rPr>
        <w:t>.</w:t>
      </w:r>
    </w:p>
    <w:p w:rsidR="00823F04" w:rsidRDefault="00823F04" w:rsidP="00B52245">
      <w:pPr>
        <w:pStyle w:val="TableTitle"/>
      </w:pPr>
      <w:r>
        <w:t>Table 2. Treatment groups</w:t>
      </w:r>
    </w:p>
    <w:p w:rsidR="002E6F0C" w:rsidRDefault="002E6F0C" w:rsidP="002E6F0C">
      <w:pPr>
        <w:autoSpaceDE w:val="0"/>
        <w:autoSpaceDN w:val="0"/>
        <w:adjustRightInd w:val="0"/>
        <w:rPr>
          <w:sz w:val="19"/>
          <w:szCs w:val="19"/>
        </w:rPr>
      </w:pPr>
      <w:r>
        <w:rPr>
          <w:noProof/>
          <w:sz w:val="19"/>
          <w:szCs w:val="19"/>
          <w:lang w:eastAsia="en-AU"/>
        </w:rPr>
        <w:drawing>
          <wp:inline distT="0" distB="0" distL="0" distR="0">
            <wp:extent cx="3646170" cy="1875790"/>
            <wp:effectExtent l="19050" t="0" r="0" b="0"/>
            <wp:docPr id="11" name="Picture 11" descr="Table 2.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170" cy="1875790"/>
                    </a:xfrm>
                    <a:prstGeom prst="rect">
                      <a:avLst/>
                    </a:prstGeom>
                    <a:noFill/>
                    <a:ln>
                      <a:noFill/>
                    </a:ln>
                  </pic:spPr>
                </pic:pic>
              </a:graphicData>
            </a:graphic>
          </wp:inline>
        </w:drawing>
      </w:r>
    </w:p>
    <w:p w:rsidR="002E6F0C" w:rsidRPr="007062B5" w:rsidRDefault="002E6F0C" w:rsidP="002E6F0C">
      <w:pPr>
        <w:autoSpaceDE w:val="0"/>
        <w:autoSpaceDN w:val="0"/>
        <w:adjustRightInd w:val="0"/>
      </w:pPr>
      <w:r w:rsidRPr="007062B5">
        <w:t>Approximately 240 patients (30 per group) w</w:t>
      </w:r>
      <w:r>
        <w:t>ere</w:t>
      </w:r>
      <w:r w:rsidRPr="007062B5">
        <w:t xml:space="preserve"> sufficient to detect an odds ratio of 10.45 in 2</w:t>
      </w:r>
      <w:r>
        <w:t xml:space="preserve"> </w:t>
      </w:r>
      <w:r w:rsidRPr="007062B5">
        <w:t>strata with 0.2:0.8 proportion and 6%:6% vehicle response rates in the complete clearance of AK</w:t>
      </w:r>
      <w:r w:rsidR="00823F04">
        <w:t xml:space="preserve"> </w:t>
      </w:r>
      <w:r w:rsidRPr="007062B5">
        <w:t>lesions at Day 57, assuming a 15% attrition rate. This w</w:t>
      </w:r>
      <w:r>
        <w:t xml:space="preserve">ould </w:t>
      </w:r>
      <w:r w:rsidRPr="007062B5">
        <w:t xml:space="preserve">detect a difference in the </w:t>
      </w:r>
      <w:r w:rsidRPr="007062B5">
        <w:rPr>
          <w:i/>
          <w:iCs/>
        </w:rPr>
        <w:t>complete</w:t>
      </w:r>
      <w:r w:rsidR="00823F04">
        <w:rPr>
          <w:i/>
          <w:iCs/>
        </w:rPr>
        <w:t xml:space="preserve"> </w:t>
      </w:r>
      <w:r w:rsidRPr="007062B5">
        <w:rPr>
          <w:i/>
          <w:iCs/>
        </w:rPr>
        <w:t xml:space="preserve">clearance rate </w:t>
      </w:r>
      <w:r w:rsidRPr="007062B5">
        <w:t>of AK lesions, allowing for at least a 34% difference between the treatment group</w:t>
      </w:r>
      <w:r w:rsidR="00823F04">
        <w:t xml:space="preserve"> </w:t>
      </w:r>
      <w:r w:rsidRPr="007062B5">
        <w:t>and vehicle group (40% vs. 6%).</w:t>
      </w:r>
      <w:r>
        <w:t xml:space="preserve"> </w:t>
      </w:r>
      <w:r w:rsidRPr="007062B5">
        <w:t>Based on clinical judgment and results of prior PEP005 Topical Gel AK clinical studies, this</w:t>
      </w:r>
      <w:r>
        <w:t xml:space="preserve"> </w:t>
      </w:r>
      <w:r w:rsidRPr="007062B5">
        <w:t>sample size w</w:t>
      </w:r>
      <w:r>
        <w:t>ould</w:t>
      </w:r>
      <w:r w:rsidRPr="007062B5">
        <w:t xml:space="preserve"> provide at least 85% power with a two-sided alpha=0.05 using a continuity</w:t>
      </w:r>
      <w:r>
        <w:t xml:space="preserve"> </w:t>
      </w:r>
      <w:r w:rsidRPr="007062B5">
        <w:t>corrected</w:t>
      </w:r>
      <w:r>
        <w:t xml:space="preserve"> </w:t>
      </w:r>
      <w:r w:rsidRPr="007062B5">
        <w:t>CMH test of OR=10.45 for 2x2 tables in 2 strata, assuming 15% attrition rate.</w:t>
      </w:r>
    </w:p>
    <w:p w:rsidR="002E6F0C" w:rsidRDefault="00823F04" w:rsidP="002E6F0C">
      <w:pPr>
        <w:autoSpaceDE w:val="0"/>
        <w:autoSpaceDN w:val="0"/>
        <w:adjustRightInd w:val="0"/>
        <w:rPr>
          <w:sz w:val="19"/>
          <w:szCs w:val="19"/>
        </w:rPr>
      </w:pPr>
      <w:r>
        <w:t xml:space="preserve"> </w:t>
      </w:r>
      <w:r w:rsidR="002E6F0C" w:rsidRPr="00186EA2">
        <w:t>All hypotheses were tested for statistical significance with two-tailed tests. Results of all tests were considered</w:t>
      </w:r>
      <w:r w:rsidR="002E6F0C">
        <w:t xml:space="preserve"> </w:t>
      </w:r>
      <w:r w:rsidR="002E6F0C" w:rsidRPr="00186EA2">
        <w:t>statistically significant if their p-value was less than or equal to 0.05, with the exception of Hochberg's multiple</w:t>
      </w:r>
      <w:r w:rsidR="002E6F0C">
        <w:t xml:space="preserve"> </w:t>
      </w:r>
      <w:r w:rsidR="002E6F0C" w:rsidRPr="00186EA2">
        <w:t>comparison procedure. Results of Hochberg's multiple comparisons were considered statistically significant if the</w:t>
      </w:r>
      <w:r w:rsidR="002E6F0C">
        <w:t xml:space="preserve"> </w:t>
      </w:r>
      <w:r w:rsidR="002E6F0C" w:rsidRPr="00186EA2">
        <w:t xml:space="preserve">p-value was less than or equal to </w:t>
      </w:r>
      <w:r w:rsidR="002E6F0C" w:rsidRPr="00186EA2">
        <w:lastRenderedPageBreak/>
        <w:t>0.05, 0.025, or 0.0167, according to the procedure</w:t>
      </w:r>
      <w:r w:rsidR="002E6F0C">
        <w:t xml:space="preserve">. </w:t>
      </w:r>
      <w:r w:rsidR="002E6F0C" w:rsidRPr="00186EA2">
        <w:t xml:space="preserve">The primary efficacy endpoint was the </w:t>
      </w:r>
      <w:r w:rsidR="002E6F0C" w:rsidRPr="00186EA2">
        <w:rPr>
          <w:i/>
          <w:iCs/>
        </w:rPr>
        <w:t xml:space="preserve">complete clearance rate </w:t>
      </w:r>
      <w:r w:rsidR="002E6F0C" w:rsidRPr="00186EA2">
        <w:t xml:space="preserve">of </w:t>
      </w:r>
      <w:r w:rsidR="002E6F0C">
        <w:t>S</w:t>
      </w:r>
      <w:r w:rsidR="002E6F0C" w:rsidRPr="00186EA2">
        <w:t>K lesions at Day 57. A</w:t>
      </w:r>
      <w:r w:rsidR="002E6F0C">
        <w:t xml:space="preserve"> </w:t>
      </w:r>
      <w:r w:rsidR="002E6F0C" w:rsidRPr="00186EA2">
        <w:t>Cochran-Mantel-Haenszel (CMH) test, adjusting for treatment area (face, scalp), was used to test for treatment</w:t>
      </w:r>
      <w:r w:rsidR="002E6F0C">
        <w:t xml:space="preserve"> </w:t>
      </w:r>
      <w:r w:rsidR="002E6F0C" w:rsidRPr="00186EA2">
        <w:t xml:space="preserve">effect. The secondary efficacy endpoint was the </w:t>
      </w:r>
      <w:r w:rsidR="002E6F0C" w:rsidRPr="00186EA2">
        <w:rPr>
          <w:i/>
          <w:iCs/>
        </w:rPr>
        <w:t xml:space="preserve">partial clearance rate </w:t>
      </w:r>
      <w:r w:rsidR="002E6F0C" w:rsidRPr="00186EA2">
        <w:t xml:space="preserve">of </w:t>
      </w:r>
      <w:r w:rsidR="002E6F0C">
        <w:t>S</w:t>
      </w:r>
      <w:r w:rsidR="002E6F0C" w:rsidRPr="00186EA2">
        <w:t>K lesions at Day 57. The statistical</w:t>
      </w:r>
      <w:r>
        <w:t xml:space="preserve"> </w:t>
      </w:r>
      <w:r w:rsidR="002E6F0C" w:rsidRPr="00186EA2">
        <w:t>analysis was the same as the one used for the primary efficacy endpoint.</w:t>
      </w:r>
      <w:r w:rsidR="002E6F0C">
        <w:t xml:space="preserve"> </w:t>
      </w:r>
      <w:r w:rsidR="002E6F0C" w:rsidRPr="00186EA2">
        <w:t>Dose effect was explored by inspection of observed means or rates for the PEP005 Gel and vehicle gel groups</w:t>
      </w:r>
      <w:r>
        <w:t xml:space="preserve"> </w:t>
      </w:r>
      <w:r w:rsidR="002E6F0C" w:rsidRPr="00186EA2">
        <w:t>within each treatment regimen</w:t>
      </w:r>
      <w:r w:rsidR="002E6F0C">
        <w:rPr>
          <w:sz w:val="19"/>
          <w:szCs w:val="19"/>
        </w:rPr>
        <w:t xml:space="preserve">. </w:t>
      </w:r>
      <w:r w:rsidR="002E6F0C" w:rsidRPr="00186EA2">
        <w:t>Results</w:t>
      </w:r>
      <w:r w:rsidR="002E6F0C">
        <w:rPr>
          <w:sz w:val="19"/>
          <w:szCs w:val="19"/>
        </w:rPr>
        <w:t xml:space="preserve"> </w:t>
      </w:r>
      <w:r w:rsidR="002E6F0C" w:rsidRPr="00186EA2">
        <w:t>from this study are included below</w:t>
      </w:r>
      <w:r w:rsidR="00B52245">
        <w:rPr>
          <w:sz w:val="19"/>
          <w:szCs w:val="19"/>
        </w:rPr>
        <w:t>.</w:t>
      </w:r>
    </w:p>
    <w:p w:rsidR="00823F04" w:rsidRDefault="00823F04" w:rsidP="00B52245">
      <w:pPr>
        <w:pStyle w:val="TableTitle"/>
      </w:pPr>
      <w:r>
        <w:t>Table 3. Observed Complete Clearance Rate of the Face and Scalp at Day 57. ITT population.</w:t>
      </w:r>
    </w:p>
    <w:p w:rsidR="002E6F0C" w:rsidRDefault="002E6F0C" w:rsidP="002E6F0C">
      <w:pPr>
        <w:autoSpaceDE w:val="0"/>
        <w:autoSpaceDN w:val="0"/>
        <w:adjustRightInd w:val="0"/>
        <w:rPr>
          <w:sz w:val="19"/>
          <w:szCs w:val="19"/>
        </w:rPr>
      </w:pPr>
      <w:r>
        <w:rPr>
          <w:noProof/>
          <w:sz w:val="19"/>
          <w:szCs w:val="19"/>
          <w:lang w:eastAsia="en-AU"/>
        </w:rPr>
        <w:drawing>
          <wp:inline distT="0" distB="0" distL="0" distR="0">
            <wp:extent cx="6076950" cy="2838511"/>
            <wp:effectExtent l="19050" t="0" r="0" b="0"/>
            <wp:docPr id="12" name="Picture 12" descr="Table 3. Observed Complete Clearance Rate of the Face and Scalp at Day 5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37" b="7418"/>
                    <a:stretch>
                      <a:fillRect/>
                    </a:stretch>
                  </pic:blipFill>
                  <pic:spPr bwMode="auto">
                    <a:xfrm>
                      <a:off x="0" y="0"/>
                      <a:ext cx="6076950" cy="2838511"/>
                    </a:xfrm>
                    <a:prstGeom prst="rect">
                      <a:avLst/>
                    </a:prstGeom>
                    <a:noFill/>
                    <a:ln>
                      <a:noFill/>
                    </a:ln>
                  </pic:spPr>
                </pic:pic>
              </a:graphicData>
            </a:graphic>
          </wp:inline>
        </w:drawing>
      </w:r>
    </w:p>
    <w:p w:rsidR="00823F04" w:rsidRDefault="00823F04" w:rsidP="00B52245">
      <w:pPr>
        <w:pStyle w:val="TableTitle"/>
      </w:pPr>
      <w:r>
        <w:t>Table 4. Observed Partial Clearance Rate of the Face and Scalp at Day 57. ITT population.</w:t>
      </w:r>
    </w:p>
    <w:p w:rsidR="002E6F0C" w:rsidRDefault="002E6F0C" w:rsidP="002E6F0C">
      <w:pPr>
        <w:autoSpaceDE w:val="0"/>
        <w:autoSpaceDN w:val="0"/>
        <w:adjustRightInd w:val="0"/>
        <w:rPr>
          <w:sz w:val="19"/>
          <w:szCs w:val="19"/>
        </w:rPr>
      </w:pPr>
      <w:r>
        <w:rPr>
          <w:noProof/>
          <w:sz w:val="19"/>
          <w:szCs w:val="19"/>
          <w:lang w:eastAsia="en-AU"/>
        </w:rPr>
        <w:drawing>
          <wp:inline distT="0" distB="0" distL="0" distR="0">
            <wp:extent cx="6171362" cy="2781300"/>
            <wp:effectExtent l="19050" t="0" r="838" b="0"/>
            <wp:docPr id="13" name="Picture 13" descr="Table 4. Observed Partial Clearance Rate of the Face and Scalp at Day 5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66" b="6628"/>
                    <a:stretch>
                      <a:fillRect/>
                    </a:stretch>
                  </pic:blipFill>
                  <pic:spPr bwMode="auto">
                    <a:xfrm>
                      <a:off x="0" y="0"/>
                      <a:ext cx="6171362" cy="2781300"/>
                    </a:xfrm>
                    <a:prstGeom prst="rect">
                      <a:avLst/>
                    </a:prstGeom>
                    <a:noFill/>
                    <a:ln>
                      <a:noFill/>
                    </a:ln>
                  </pic:spPr>
                </pic:pic>
              </a:graphicData>
            </a:graphic>
          </wp:inline>
        </w:drawing>
      </w:r>
    </w:p>
    <w:p w:rsidR="00823F04" w:rsidRDefault="00823F04" w:rsidP="00B52245">
      <w:pPr>
        <w:pStyle w:val="TableTitle"/>
      </w:pPr>
      <w:r>
        <w:lastRenderedPageBreak/>
        <w:t>Table 5. Summary of the Number if AK lesions on the Face and Scalp and Percent Change from baseline at Day 57. PP population.</w:t>
      </w:r>
    </w:p>
    <w:p w:rsidR="002E6F0C" w:rsidRDefault="002E6F0C" w:rsidP="002E6F0C">
      <w:pPr>
        <w:autoSpaceDE w:val="0"/>
        <w:autoSpaceDN w:val="0"/>
        <w:adjustRightInd w:val="0"/>
        <w:rPr>
          <w:sz w:val="19"/>
          <w:szCs w:val="19"/>
        </w:rPr>
      </w:pPr>
      <w:r>
        <w:rPr>
          <w:noProof/>
          <w:sz w:val="19"/>
          <w:szCs w:val="19"/>
          <w:lang w:eastAsia="en-AU"/>
        </w:rPr>
        <w:drawing>
          <wp:inline distT="0" distB="0" distL="0" distR="0">
            <wp:extent cx="5896610" cy="3136900"/>
            <wp:effectExtent l="19050" t="0" r="8890" b="0"/>
            <wp:docPr id="14" name="Picture 14" descr="Table 5. Summary of the Number if AK lesions on the Face and Scalp and Percent Change from baseline at Day 57.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39" b="6352"/>
                    <a:stretch>
                      <a:fillRect/>
                    </a:stretch>
                  </pic:blipFill>
                  <pic:spPr bwMode="auto">
                    <a:xfrm>
                      <a:off x="0" y="0"/>
                      <a:ext cx="5896610" cy="3136900"/>
                    </a:xfrm>
                    <a:prstGeom prst="rect">
                      <a:avLst/>
                    </a:prstGeom>
                    <a:noFill/>
                    <a:ln>
                      <a:noFill/>
                    </a:ln>
                  </pic:spPr>
                </pic:pic>
              </a:graphicData>
            </a:graphic>
          </wp:inline>
        </w:drawing>
      </w:r>
    </w:p>
    <w:p w:rsidR="002E6F0C" w:rsidRDefault="002E6F0C" w:rsidP="002E6F0C">
      <w:pPr>
        <w:autoSpaceDE w:val="0"/>
        <w:autoSpaceDN w:val="0"/>
        <w:adjustRightInd w:val="0"/>
      </w:pPr>
      <w:r w:rsidRPr="0040521D">
        <w:t>Five of the six</w:t>
      </w:r>
      <w:r>
        <w:t xml:space="preserve"> </w:t>
      </w:r>
      <w:r w:rsidRPr="0040521D">
        <w:t>PEP005 Gel groups demonstrated statistically significant, higher complete clearance rates versus vehicle gel (CMH</w:t>
      </w:r>
      <w:r>
        <w:t xml:space="preserve"> </w:t>
      </w:r>
      <w:r w:rsidRPr="0040521D">
        <w:t>test corrected for multiple comparisons) based on both the PP and ITT populations.</w:t>
      </w:r>
      <w:r>
        <w:t xml:space="preserve"> </w:t>
      </w:r>
      <w:r w:rsidRPr="0040521D">
        <w:t>Observed complete clearance rates were concentration and treatment regimen-dependent with the highest observed</w:t>
      </w:r>
      <w:r>
        <w:t xml:space="preserve"> </w:t>
      </w:r>
      <w:r w:rsidRPr="0040521D">
        <w:t>complete clearance rates in the 0.015% two-day and three-day groups. The observed complete clearance rates for</w:t>
      </w:r>
      <w:r>
        <w:t xml:space="preserve"> </w:t>
      </w:r>
      <w:r w:rsidRPr="0040521D">
        <w:t>PEP005 Gel at Day 57 for the ITT population ranged from 15% in the 0.005% two-day group to 50% in the 0.015%</w:t>
      </w:r>
      <w:r w:rsidR="00823F04">
        <w:t xml:space="preserve"> </w:t>
      </w:r>
      <w:r w:rsidRPr="0040521D">
        <w:t>three-day group.</w:t>
      </w:r>
      <w:r>
        <w:t xml:space="preserve"> </w:t>
      </w:r>
      <w:r w:rsidRPr="0040521D">
        <w:t>Five of the six</w:t>
      </w:r>
      <w:r>
        <w:t xml:space="preserve"> </w:t>
      </w:r>
      <w:r w:rsidRPr="0040521D">
        <w:t>PEP005 Gel groups demonstrated statistically significant, higher partial clearance rates versus vehicle gel (CMH test</w:t>
      </w:r>
      <w:r>
        <w:t xml:space="preserve"> </w:t>
      </w:r>
      <w:r w:rsidRPr="0040521D">
        <w:t>corrected for multiple comparisons) based on both the PP and ITT populations. Partial clearance rates were</w:t>
      </w:r>
      <w:r>
        <w:t xml:space="preserve"> </w:t>
      </w:r>
      <w:r w:rsidRPr="0040521D">
        <w:t>concentration and treatment regimen-dependent with the highest observed complete clearance rates in the 0.015%</w:t>
      </w:r>
      <w:r>
        <w:t xml:space="preserve"> </w:t>
      </w:r>
      <w:r w:rsidRPr="0040521D">
        <w:t>two-day and three-day groups. The observed partial clearance rates for PEP005 Gel at Day 57 for the ITT</w:t>
      </w:r>
      <w:r w:rsidR="00823F04">
        <w:t xml:space="preserve"> </w:t>
      </w:r>
      <w:r w:rsidRPr="0040521D">
        <w:t>population ranged from 33.3% in the 0.005% two-day group to 71.9% in the 0.015% three-day group.</w:t>
      </w:r>
      <w:r>
        <w:t xml:space="preserve"> Overall </w:t>
      </w:r>
      <w:r w:rsidRPr="0040521D">
        <w:t>PEP005 Gel, at a concentration of 0.01% once daily for two consecutive days and at a concentration of 0.015% once</w:t>
      </w:r>
      <w:r>
        <w:t xml:space="preserve"> </w:t>
      </w:r>
      <w:r w:rsidRPr="0040521D">
        <w:t>daily for two or three consecutive days, demonstrated statistically significant and clinically meaningful</w:t>
      </w:r>
      <w:r>
        <w:t xml:space="preserve"> </w:t>
      </w:r>
      <w:r w:rsidRPr="0040521D">
        <w:t xml:space="preserve">improvements in complete clearance of </w:t>
      </w:r>
      <w:r>
        <w:t>S</w:t>
      </w:r>
      <w:r w:rsidRPr="0040521D">
        <w:t>K lesions on the face and scalp compared to vehicle gel. The median</w:t>
      </w:r>
      <w:r>
        <w:t xml:space="preserve"> </w:t>
      </w:r>
      <w:r w:rsidRPr="0040521D">
        <w:t xml:space="preserve">number of </w:t>
      </w:r>
      <w:r>
        <w:t>S</w:t>
      </w:r>
      <w:r w:rsidRPr="0040521D">
        <w:t>K lesions was reduced with all PEP005 Gel concentrations and regimens tested with the highest</w:t>
      </w:r>
      <w:r>
        <w:t xml:space="preserve"> </w:t>
      </w:r>
      <w:r w:rsidRPr="0040521D">
        <w:t>reduction in the 0.015% two-day and three-day groups</w:t>
      </w:r>
      <w:r>
        <w:t>.</w:t>
      </w:r>
    </w:p>
    <w:p w:rsidR="002E6F0C" w:rsidRPr="0040521D" w:rsidRDefault="002E6F0C" w:rsidP="00823F04">
      <w:pPr>
        <w:pStyle w:val="Heading5"/>
      </w:pPr>
      <w:r w:rsidRPr="0040521D">
        <w:t>PEP005-016</w:t>
      </w:r>
    </w:p>
    <w:p w:rsidR="002E6F0C" w:rsidRDefault="002E6F0C" w:rsidP="002E6F0C">
      <w:pPr>
        <w:autoSpaceDE w:val="0"/>
        <w:autoSpaceDN w:val="0"/>
        <w:adjustRightInd w:val="0"/>
      </w:pPr>
      <w:r>
        <w:t>This study was a multi-centre, randomized, double-blind, vehicle-controlled, dose ranging study</w:t>
      </w:r>
      <w:r>
        <w:rPr>
          <w:rStyle w:val="FootnoteReference"/>
        </w:rPr>
        <w:footnoteReference w:id="1"/>
      </w:r>
      <w:r>
        <w:t xml:space="preserve"> conducted in the USA and Australia between June 2009 and September 2009. The objective of the study was t</w:t>
      </w:r>
      <w:r w:rsidRPr="00814BE7">
        <w:t>o evaluate the efficacy and safety of PEP005 Gel, 0.015%, compared to vehicle gel when administered once daily</w:t>
      </w:r>
      <w:r>
        <w:t xml:space="preserve"> </w:t>
      </w:r>
      <w:r w:rsidRPr="00814BE7">
        <w:t>for three consecutive days to a contiguous 25 cm</w:t>
      </w:r>
      <w:r w:rsidRPr="00405A92">
        <w:rPr>
          <w:vertAlign w:val="superscript"/>
        </w:rPr>
        <w:t>2</w:t>
      </w:r>
      <w:r w:rsidRPr="00814BE7">
        <w:t xml:space="preserve"> area of skin on the head (face or scalp).</w:t>
      </w:r>
      <w:r w:rsidRPr="00814BE7">
        <w:rPr>
          <w:sz w:val="20"/>
          <w:szCs w:val="20"/>
        </w:rPr>
        <w:t xml:space="preserve"> </w:t>
      </w:r>
      <w:r w:rsidRPr="00814BE7">
        <w:t>Patients were randomized to receive treatment with PEP005 Gel, 0.015%, or vehicle gel once daily for three</w:t>
      </w:r>
      <w:r>
        <w:t xml:space="preserve"> </w:t>
      </w:r>
      <w:r w:rsidRPr="00814BE7">
        <w:t>consecutive days. Efficacy assessments were conducted at baseline</w:t>
      </w:r>
      <w:r>
        <w:t xml:space="preserve"> </w:t>
      </w:r>
      <w:r w:rsidRPr="00814BE7">
        <w:t>(Day 1 pre-dose) and on Day 57 (End of Study). A total of 269 patients were randomized (135 to PEP005 Gel 0.015% and 134 to vehicle gel);</w:t>
      </w:r>
      <w:r>
        <w:t xml:space="preserve"> </w:t>
      </w:r>
      <w:r w:rsidRPr="00814BE7">
        <w:t xml:space="preserve">259 patients completed the study. All randomized patients were included in the intent-to-treat (ITT) </w:t>
      </w:r>
      <w:r w:rsidRPr="00814BE7">
        <w:lastRenderedPageBreak/>
        <w:t>population;</w:t>
      </w:r>
      <w:r>
        <w:t xml:space="preserve"> </w:t>
      </w:r>
      <w:r w:rsidRPr="00814BE7">
        <w:t xml:space="preserve">246 patients were included in the per-protocol (PP) population. </w:t>
      </w:r>
      <w:r>
        <w:t>Subjects were m</w:t>
      </w:r>
      <w:r w:rsidRPr="00814BE7">
        <w:t xml:space="preserve">ale or female patients at least 18 years of age with four to eight clinically typical, visible and discrete </w:t>
      </w:r>
      <w:r>
        <w:t>SK</w:t>
      </w:r>
      <w:r w:rsidRPr="00814BE7">
        <w:t xml:space="preserve"> lesions within a contiguous 25 cm</w:t>
      </w:r>
      <w:r w:rsidRPr="00405A92">
        <w:rPr>
          <w:vertAlign w:val="superscript"/>
        </w:rPr>
        <w:t>2</w:t>
      </w:r>
      <w:r w:rsidRPr="00814BE7">
        <w:t xml:space="preserve"> treatment area on the head (face or scalp).</w:t>
      </w:r>
      <w:r w:rsidRPr="00814BE7">
        <w:rPr>
          <w:sz w:val="20"/>
          <w:szCs w:val="20"/>
        </w:rPr>
        <w:t xml:space="preserve"> </w:t>
      </w:r>
      <w:r w:rsidRPr="00814BE7">
        <w:t xml:space="preserve">The primary efficacy </w:t>
      </w:r>
      <w:r>
        <w:t>endpoint</w:t>
      </w:r>
      <w:r w:rsidRPr="00814BE7">
        <w:t xml:space="preserve"> was</w:t>
      </w:r>
      <w:r>
        <w:rPr>
          <w:sz w:val="20"/>
          <w:szCs w:val="20"/>
        </w:rPr>
        <w:t xml:space="preserve"> </w:t>
      </w:r>
      <w:r w:rsidRPr="00814BE7">
        <w:t xml:space="preserve">complete </w:t>
      </w:r>
      <w:r>
        <w:t>c</w:t>
      </w:r>
      <w:r w:rsidRPr="00814BE7">
        <w:t xml:space="preserve">learance rate of </w:t>
      </w:r>
      <w:r>
        <w:t>S</w:t>
      </w:r>
      <w:r w:rsidRPr="00814BE7">
        <w:t xml:space="preserve">K lesions at the Day 57 visit. A patient with no clinically visible </w:t>
      </w:r>
      <w:r>
        <w:t>S</w:t>
      </w:r>
      <w:r w:rsidRPr="00814BE7">
        <w:t>K lesions in the</w:t>
      </w:r>
      <w:r>
        <w:t xml:space="preserve"> </w:t>
      </w:r>
      <w:r w:rsidRPr="00814BE7">
        <w:t xml:space="preserve">selected treatment area was defined to have complete clearance. </w:t>
      </w:r>
      <w:r>
        <w:t>The secondary efficacy endpoint was the p</w:t>
      </w:r>
      <w:r w:rsidRPr="00814BE7">
        <w:t xml:space="preserve">artial clearance rate of </w:t>
      </w:r>
      <w:r>
        <w:t>S</w:t>
      </w:r>
      <w:r w:rsidRPr="00814BE7">
        <w:t>K lesions at the Day 57 visit. A patient with a 75% or greater reduction in the number of</w:t>
      </w:r>
      <w:r>
        <w:t xml:space="preserve"> </w:t>
      </w:r>
      <w:r w:rsidRPr="00814BE7">
        <w:t xml:space="preserve">clinically visible </w:t>
      </w:r>
      <w:r>
        <w:t>S</w:t>
      </w:r>
      <w:r w:rsidRPr="00814BE7">
        <w:t>K lesions identified at baseline, in the selected treatment area was defined to have partial</w:t>
      </w:r>
      <w:r w:rsidR="00823F04">
        <w:t xml:space="preserve"> </w:t>
      </w:r>
      <w:r w:rsidRPr="00814BE7">
        <w:t>clearance</w:t>
      </w:r>
      <w:r>
        <w:rPr>
          <w:sz w:val="20"/>
          <w:szCs w:val="20"/>
        </w:rPr>
        <w:t xml:space="preserve">. </w:t>
      </w:r>
      <w:r w:rsidRPr="00B25752">
        <w:t>The primary efficacy analysis was based on the intent-to-treat (ITT) population. All treatment comparisons were tested with two-tailed tests and a 0.05 significance level.</w:t>
      </w:r>
    </w:p>
    <w:p w:rsidR="002E6F0C" w:rsidRDefault="002E6F0C" w:rsidP="002E6F0C">
      <w:pPr>
        <w:autoSpaceDE w:val="0"/>
        <w:autoSpaceDN w:val="0"/>
        <w:adjustRightInd w:val="0"/>
      </w:pPr>
      <w:r>
        <w:t xml:space="preserve">Sample size was based on the </w:t>
      </w:r>
      <w:r w:rsidR="00631F91" w:rsidRPr="00631F91">
        <w:t>Phase II</w:t>
      </w:r>
      <w:r>
        <w:t xml:space="preserve">b study, PEP005-015, which demonstrated a complete clearance rate of 50% for PEP005 Gel, 0.015%, compared to a 9% clearance rate for vehicle gel, 57 days following treatment for three consecutive days in a study design similar to PEP005-016. Thus, statistical power greater than 95% may be achieved in a sample as small as 25 patients per treatment group. The choice of a sample size of 125 patients per group, in this </w:t>
      </w:r>
      <w:r w:rsidR="00631F91" w:rsidRPr="00631F91">
        <w:t>Phase III</w:t>
      </w:r>
      <w:r>
        <w:t xml:space="preserve"> study was not, therefore, motivated by statistical considerations of efficacy, but rather by the need to treat a sufficient number of individuals in pre-marketing studies to be able to estimate the incidence of common adverse drug events. Enrolment of 125 patients per group in each of two </w:t>
      </w:r>
      <w:r w:rsidR="00631F91" w:rsidRPr="00631F91">
        <w:t>Phase III</w:t>
      </w:r>
      <w:r>
        <w:t xml:space="preserve"> pivotal studies (PEP005-016 and PEP005-025) was consistent with this goal.</w:t>
      </w:r>
    </w:p>
    <w:p w:rsidR="002E6F0C" w:rsidRDefault="002E6F0C" w:rsidP="002E6F0C">
      <w:pPr>
        <w:autoSpaceDE w:val="0"/>
        <w:autoSpaceDN w:val="0"/>
        <w:adjustRightInd w:val="0"/>
      </w:pPr>
      <w:r w:rsidRPr="00B25752">
        <w:t>The complete clearance rate was compared between treatment groups using the Cochran-</w:t>
      </w:r>
      <w:r>
        <w:t xml:space="preserve"> </w:t>
      </w:r>
      <w:r w:rsidRPr="00B25752">
        <w:t>Mantel-Haenszel (CMH) test, stratified by analysis site. The secondary efficacy endpoint was the partial clearance</w:t>
      </w:r>
      <w:r>
        <w:t xml:space="preserve"> </w:t>
      </w:r>
      <w:r w:rsidRPr="00B25752">
        <w:t xml:space="preserve">rate of </w:t>
      </w:r>
      <w:r>
        <w:t>S</w:t>
      </w:r>
      <w:r w:rsidRPr="00B25752">
        <w:t>K lesions at Day 57. The statistical analysis was the same as that used for the primary efficacy endpoint</w:t>
      </w:r>
      <w:r>
        <w:rPr>
          <w:sz w:val="20"/>
          <w:szCs w:val="20"/>
        </w:rPr>
        <w:t xml:space="preserve">. </w:t>
      </w:r>
      <w:r w:rsidRPr="00B25752">
        <w:t>Results from this study are included below.</w:t>
      </w:r>
    </w:p>
    <w:p w:rsidR="00823F04" w:rsidRDefault="00823F04" w:rsidP="00B52245">
      <w:pPr>
        <w:pStyle w:val="TableTitle"/>
      </w:pPr>
      <w:r w:rsidRPr="00823F04">
        <w:t xml:space="preserve">Table </w:t>
      </w:r>
      <w:r>
        <w:t>6. Complete Clearance Rate of Actinic Keratosis Lesions at Day 57. Overall and by Anatomical Location. ITT population.</w:t>
      </w:r>
    </w:p>
    <w:p w:rsidR="002E6F0C" w:rsidRDefault="002E6F0C" w:rsidP="002E6F0C">
      <w:pPr>
        <w:autoSpaceDE w:val="0"/>
        <w:autoSpaceDN w:val="0"/>
        <w:adjustRightInd w:val="0"/>
        <w:rPr>
          <w:sz w:val="20"/>
          <w:szCs w:val="20"/>
        </w:rPr>
      </w:pPr>
      <w:r>
        <w:rPr>
          <w:noProof/>
          <w:sz w:val="20"/>
          <w:szCs w:val="20"/>
          <w:lang w:eastAsia="en-AU"/>
        </w:rPr>
        <w:drawing>
          <wp:inline distT="0" distB="0" distL="0" distR="0">
            <wp:extent cx="6125474" cy="3276600"/>
            <wp:effectExtent l="19050" t="0" r="8626" b="0"/>
            <wp:docPr id="15" name="Picture 15" descr="Table 6. Complete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68" b="5410"/>
                    <a:stretch>
                      <a:fillRect/>
                    </a:stretch>
                  </pic:blipFill>
                  <pic:spPr bwMode="auto">
                    <a:xfrm>
                      <a:off x="0" y="0"/>
                      <a:ext cx="6134084" cy="3281206"/>
                    </a:xfrm>
                    <a:prstGeom prst="rect">
                      <a:avLst/>
                    </a:prstGeom>
                    <a:noFill/>
                    <a:ln>
                      <a:noFill/>
                    </a:ln>
                  </pic:spPr>
                </pic:pic>
              </a:graphicData>
            </a:graphic>
          </wp:inline>
        </w:drawing>
      </w:r>
    </w:p>
    <w:p w:rsidR="00823F04" w:rsidRDefault="00823F04" w:rsidP="002E6F0C">
      <w:pPr>
        <w:autoSpaceDE w:val="0"/>
        <w:autoSpaceDN w:val="0"/>
        <w:adjustRightInd w:val="0"/>
        <w:rPr>
          <w:sz w:val="20"/>
          <w:szCs w:val="20"/>
        </w:rPr>
      </w:pPr>
    </w:p>
    <w:p w:rsidR="00823F04" w:rsidRDefault="00823F04" w:rsidP="00B52245">
      <w:pPr>
        <w:pStyle w:val="TableTitle"/>
      </w:pPr>
      <w:r>
        <w:lastRenderedPageBreak/>
        <w:t>Table 7. Partial</w:t>
      </w:r>
      <w:r w:rsidRPr="00823F04">
        <w:t xml:space="preserve"> Clearance Rate of Actinic Keratosis Lesions at Day 57. Overall and by Anatomical Location. ITT population.</w:t>
      </w:r>
    </w:p>
    <w:p w:rsidR="002E6F0C" w:rsidRDefault="002E6F0C" w:rsidP="00B52245">
      <w:r>
        <w:rPr>
          <w:noProof/>
          <w:lang w:eastAsia="en-AU"/>
        </w:rPr>
        <w:drawing>
          <wp:inline distT="0" distB="0" distL="0" distR="0">
            <wp:extent cx="5910580" cy="2914253"/>
            <wp:effectExtent l="19050" t="0" r="0" b="0"/>
            <wp:docPr id="16" name="Picture 16" descr="Table 7. Partial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6" t="12601" b="6166"/>
                    <a:stretch>
                      <a:fillRect/>
                    </a:stretch>
                  </pic:blipFill>
                  <pic:spPr bwMode="auto">
                    <a:xfrm>
                      <a:off x="0" y="0"/>
                      <a:ext cx="5910580" cy="2914253"/>
                    </a:xfrm>
                    <a:prstGeom prst="rect">
                      <a:avLst/>
                    </a:prstGeom>
                    <a:noFill/>
                    <a:ln>
                      <a:noFill/>
                    </a:ln>
                  </pic:spPr>
                </pic:pic>
              </a:graphicData>
            </a:graphic>
          </wp:inline>
        </w:drawing>
      </w:r>
    </w:p>
    <w:p w:rsidR="00823F04" w:rsidRPr="00823F04" w:rsidRDefault="00823F04" w:rsidP="00B52245">
      <w:pPr>
        <w:pStyle w:val="TableTitle"/>
      </w:pPr>
      <w:r w:rsidRPr="00823F04">
        <w:t xml:space="preserve">Table </w:t>
      </w:r>
      <w:r>
        <w:t>8</w:t>
      </w:r>
      <w:r w:rsidRPr="00823F04">
        <w:t xml:space="preserve">. </w:t>
      </w:r>
      <w:r>
        <w:t xml:space="preserve">Percent change from baseline in </w:t>
      </w:r>
      <w:r w:rsidRPr="00823F04">
        <w:t>Actinic Keratosis Lesion</w:t>
      </w:r>
      <w:r>
        <w:t xml:space="preserve"> count</w:t>
      </w:r>
      <w:r w:rsidRPr="00823F04">
        <w:t xml:space="preserve"> at Day 57. Overall and by Anatomical Location. ITT population.</w:t>
      </w:r>
    </w:p>
    <w:p w:rsidR="002E6F0C" w:rsidRDefault="002E6F0C" w:rsidP="00B52245">
      <w:r>
        <w:rPr>
          <w:noProof/>
          <w:lang w:eastAsia="en-AU"/>
        </w:rPr>
        <w:drawing>
          <wp:inline distT="0" distB="0" distL="0" distR="0">
            <wp:extent cx="5920105" cy="3422650"/>
            <wp:effectExtent l="19050" t="0" r="4445" b="0"/>
            <wp:docPr id="17" name="Picture 17" descr="Table 8. Percent change from baseline in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18" b="6574"/>
                    <a:stretch>
                      <a:fillRect/>
                    </a:stretch>
                  </pic:blipFill>
                  <pic:spPr bwMode="auto">
                    <a:xfrm>
                      <a:off x="0" y="0"/>
                      <a:ext cx="5920105" cy="3422650"/>
                    </a:xfrm>
                    <a:prstGeom prst="rect">
                      <a:avLst/>
                    </a:prstGeom>
                    <a:noFill/>
                    <a:ln>
                      <a:noFill/>
                    </a:ln>
                  </pic:spPr>
                </pic:pic>
              </a:graphicData>
            </a:graphic>
          </wp:inline>
        </w:drawing>
      </w:r>
    </w:p>
    <w:p w:rsidR="002E6F0C" w:rsidRDefault="002E6F0C" w:rsidP="002E6F0C">
      <w:pPr>
        <w:autoSpaceDE w:val="0"/>
        <w:autoSpaceDN w:val="0"/>
        <w:adjustRightInd w:val="0"/>
      </w:pPr>
      <w:r w:rsidRPr="00B25752">
        <w:t>The</w:t>
      </w:r>
      <w:r>
        <w:t xml:space="preserve"> </w:t>
      </w:r>
      <w:r w:rsidRPr="00B25752">
        <w:t>PEP005 Gel group demonstrated a statistically significant, higher complete clearance rate versus vehicle gel (37%</w:t>
      </w:r>
      <w:r>
        <w:t xml:space="preserve"> </w:t>
      </w:r>
      <w:r w:rsidRPr="00B25752">
        <w:t>compared to 2%, p&lt;0.001, CMH test stratified by analysis site) based on the ITT population. The results of the PP</w:t>
      </w:r>
      <w:r>
        <w:t xml:space="preserve"> </w:t>
      </w:r>
      <w:r w:rsidRPr="00B25752">
        <w:t>population were consistent with the results of the ITT population. For the secondary endpoint the PEP005 Gel group demonstrated a statistically significant, higher partial clearance rate versus</w:t>
      </w:r>
      <w:r>
        <w:t xml:space="preserve"> </w:t>
      </w:r>
      <w:r w:rsidRPr="00B25752">
        <w:t>vehicle gel (60% compared to 7%, p&lt;0.001, CMH test stratified by analysis site) based on the ITT population. The</w:t>
      </w:r>
      <w:r>
        <w:t xml:space="preserve"> </w:t>
      </w:r>
      <w:r w:rsidRPr="00B25752">
        <w:t>results of the PP population were consistent with the results of the ITT population.</w:t>
      </w:r>
    </w:p>
    <w:p w:rsidR="002E6F0C" w:rsidRPr="00B25752" w:rsidRDefault="002E6F0C" w:rsidP="00823F04">
      <w:pPr>
        <w:pStyle w:val="Heading5"/>
      </w:pPr>
      <w:r w:rsidRPr="00B25752">
        <w:lastRenderedPageBreak/>
        <w:t>PEP005-025</w:t>
      </w:r>
    </w:p>
    <w:p w:rsidR="002E6F0C" w:rsidRDefault="002E6F0C" w:rsidP="002E6F0C">
      <w:pPr>
        <w:autoSpaceDE w:val="0"/>
        <w:autoSpaceDN w:val="0"/>
        <w:adjustRightInd w:val="0"/>
        <w:rPr>
          <w:sz w:val="20"/>
          <w:szCs w:val="20"/>
        </w:rPr>
      </w:pPr>
      <w:r>
        <w:t>This study was a multi-centre, randomized, double-blind, vehicle-controlled, dose ranging study</w:t>
      </w:r>
      <w:r>
        <w:rPr>
          <w:rStyle w:val="FootnoteReference"/>
        </w:rPr>
        <w:footnoteReference w:id="2"/>
      </w:r>
      <w:r>
        <w:t xml:space="preserve"> conducted in the USA and Australia between June 2009 and September 2009. The objective of the study was t</w:t>
      </w:r>
      <w:r w:rsidRPr="00F456E2">
        <w:t>o evaluate the efficacy and safety of PEP005 Gel, 0.015%, compared to vehicle gel when administered once daily</w:t>
      </w:r>
      <w:r>
        <w:t xml:space="preserve"> </w:t>
      </w:r>
      <w:r w:rsidRPr="00F456E2">
        <w:t>for three consecutive days to a contiguous 25 cm</w:t>
      </w:r>
      <w:r w:rsidRPr="00405A92">
        <w:rPr>
          <w:vertAlign w:val="superscript"/>
        </w:rPr>
        <w:t>2</w:t>
      </w:r>
      <w:r w:rsidRPr="00F456E2">
        <w:t xml:space="preserve"> area of skin on the head (face or scalp).</w:t>
      </w:r>
      <w:r>
        <w:t xml:space="preserve"> </w:t>
      </w:r>
      <w:r w:rsidRPr="00EC5CCD">
        <w:t>Patients were randomized to receive treatment with PEP005 Gel, 0.015%, or vehicle gel once daily for three</w:t>
      </w:r>
      <w:r>
        <w:t xml:space="preserve"> </w:t>
      </w:r>
      <w:r w:rsidRPr="00EC5CCD">
        <w:t>consecutive days. Efficacy assessments were conducted at</w:t>
      </w:r>
      <w:r>
        <w:t xml:space="preserve"> </w:t>
      </w:r>
      <w:r w:rsidRPr="00EC5CCD">
        <w:t>baseline (Day 1 pre-dose) and on Day 57 (End of Study). A total of 278 patients were randomized (142 to PEP005 Gel 0.015% and 136 to vehicle gel);</w:t>
      </w:r>
      <w:r>
        <w:t xml:space="preserve"> </w:t>
      </w:r>
      <w:r w:rsidRPr="00EC5CCD">
        <w:t xml:space="preserve">277 patients completed the study. </w:t>
      </w:r>
      <w:r>
        <w:t>Subjects were m</w:t>
      </w:r>
      <w:r w:rsidRPr="00EC5CCD">
        <w:t xml:space="preserve">ale or female patients at least 18 years of age with four to eight clinically typical, visible and discrete </w:t>
      </w:r>
      <w:r>
        <w:t>SK</w:t>
      </w:r>
      <w:r w:rsidRPr="00EC5CCD">
        <w:t xml:space="preserve"> lesions within a contiguous 25 cm</w:t>
      </w:r>
      <w:r w:rsidRPr="00405A92">
        <w:rPr>
          <w:vertAlign w:val="superscript"/>
        </w:rPr>
        <w:t>2</w:t>
      </w:r>
      <w:r w:rsidRPr="00EC5CCD">
        <w:t xml:space="preserve"> treatment area on the head (face or scalp).</w:t>
      </w:r>
      <w:r w:rsidRPr="00EC5CCD">
        <w:rPr>
          <w:sz w:val="20"/>
          <w:szCs w:val="20"/>
        </w:rPr>
        <w:t xml:space="preserve"> </w:t>
      </w:r>
      <w:r w:rsidRPr="00EC5CCD">
        <w:t>The primary efficacy endpoint was the complete clearance rate of SK lesions at the Day 57 visit. A patient with no clinically visible SK lesions in the</w:t>
      </w:r>
      <w:r>
        <w:t xml:space="preserve"> </w:t>
      </w:r>
      <w:r w:rsidRPr="00EC5CCD">
        <w:t>selected treatment area was defined to have complete clearance. The secondary efficacy endpoint was the partial clearance rate of SK lesions at the Day 57 visit. A patient with a 75% or greater reduction in the number of</w:t>
      </w:r>
      <w:r>
        <w:t xml:space="preserve"> </w:t>
      </w:r>
      <w:r w:rsidRPr="00EC5CCD">
        <w:t>clinically visible SK lesions identified at baseline, in the selected treatment area was defined to have partial</w:t>
      </w:r>
      <w:r>
        <w:t xml:space="preserve"> </w:t>
      </w:r>
      <w:r w:rsidRPr="00EC5CCD">
        <w:t>clearance.</w:t>
      </w:r>
    </w:p>
    <w:p w:rsidR="002E6F0C" w:rsidRDefault="002E6F0C" w:rsidP="002E6F0C">
      <w:pPr>
        <w:autoSpaceDE w:val="0"/>
        <w:autoSpaceDN w:val="0"/>
        <w:adjustRightInd w:val="0"/>
      </w:pPr>
      <w:r>
        <w:t xml:space="preserve">Sample size was based on the </w:t>
      </w:r>
      <w:r w:rsidR="00631F91" w:rsidRPr="00631F91">
        <w:t>Phase II</w:t>
      </w:r>
      <w:r>
        <w:t xml:space="preserve">b study, PEP005-015, which demonstrated a complete clearance rate of 50% for PEP005 Gel, 0.015%, compared to a 9% clearance rate for vehicle gel, 57 days following treatment for three consecutive days in a study design similar to PEP005-016. Thus, statistical power greater than 95% may be achieved in a sample as small as 25 patients per treatment group. The choice of a sample size of 125 patients per group, in this </w:t>
      </w:r>
      <w:r w:rsidR="00631F91" w:rsidRPr="00631F91">
        <w:t>Phase III</w:t>
      </w:r>
      <w:r>
        <w:t xml:space="preserve"> study was not, therefore, motivated by statistical considerations of efficacy, but rather by the need to treat a sufficient number of individuals in pre-marketing studies to be able to estimate the incidence of common adverse drug events. Enrolment of 125 patients per group in each of two </w:t>
      </w:r>
      <w:r w:rsidR="00631F91" w:rsidRPr="00631F91">
        <w:t>Phase III</w:t>
      </w:r>
      <w:r>
        <w:t xml:space="preserve"> pivotal studies (PEP005-016 and PEP005-025) was consistent with this goal.</w:t>
      </w:r>
    </w:p>
    <w:p w:rsidR="002E6F0C" w:rsidRDefault="002E6F0C" w:rsidP="002E6F0C">
      <w:pPr>
        <w:autoSpaceDE w:val="0"/>
        <w:autoSpaceDN w:val="0"/>
        <w:adjustRightInd w:val="0"/>
      </w:pPr>
      <w:r w:rsidRPr="008A5A9E">
        <w:t xml:space="preserve">The complete clearance rate was compared between </w:t>
      </w:r>
      <w:r>
        <w:t>treatment</w:t>
      </w:r>
      <w:r w:rsidRPr="008A5A9E">
        <w:t xml:space="preserve"> groups using the Cochran-Mantel-Haenszel (CMH) test, stratified by analysis site.</w:t>
      </w:r>
      <w:r w:rsidR="00631F91" w:rsidRPr="00631F91">
        <w:t xml:space="preserve"> </w:t>
      </w:r>
      <w:r w:rsidRPr="008A5A9E">
        <w:t>The statistical analysis</w:t>
      </w:r>
      <w:r>
        <w:t xml:space="preserve"> for the </w:t>
      </w:r>
      <w:r w:rsidRPr="008A5A9E">
        <w:t>secondary efficacy endpoint was the same as that used for the primary efficacy endpoint. All treatment comparisons were tested with two-tailed tests and a 0.05 significance level.</w:t>
      </w:r>
      <w:r>
        <w:t xml:space="preserve"> Results from this study are included below.</w:t>
      </w:r>
    </w:p>
    <w:p w:rsidR="00823F04" w:rsidRPr="00B52245" w:rsidRDefault="00823F04" w:rsidP="00B52245">
      <w:pPr>
        <w:pStyle w:val="TableTitle"/>
      </w:pPr>
      <w:r w:rsidRPr="008C39BC">
        <w:lastRenderedPageBreak/>
        <w:t xml:space="preserve">Table </w:t>
      </w:r>
      <w:r w:rsidR="008C39BC">
        <w:t>9</w:t>
      </w:r>
      <w:r w:rsidRPr="008C39BC">
        <w:t xml:space="preserve">. </w:t>
      </w:r>
      <w:r w:rsidR="008C39BC">
        <w:t>Complete clearance rate of</w:t>
      </w:r>
      <w:r w:rsidRPr="008C39BC">
        <w:t xml:space="preserve"> Actinic Keratosis Lesion</w:t>
      </w:r>
      <w:r w:rsidR="008C39BC">
        <w:t>s</w:t>
      </w:r>
      <w:r w:rsidRPr="008C39BC">
        <w:t xml:space="preserve"> at Day 57. Overall and by Anatomical Location. ITT population.</w:t>
      </w:r>
    </w:p>
    <w:p w:rsidR="002E6F0C" w:rsidRDefault="002E6F0C" w:rsidP="00B52245">
      <w:r>
        <w:rPr>
          <w:noProof/>
          <w:lang w:eastAsia="en-AU"/>
        </w:rPr>
        <w:drawing>
          <wp:inline distT="0" distB="0" distL="0" distR="0">
            <wp:extent cx="6019800" cy="2819400"/>
            <wp:effectExtent l="19050" t="0" r="0" b="0"/>
            <wp:docPr id="18" name="Picture 18" descr="Table 9. Complete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9" t="11939" r="2443" b="6123"/>
                    <a:stretch>
                      <a:fillRect/>
                    </a:stretch>
                  </pic:blipFill>
                  <pic:spPr bwMode="auto">
                    <a:xfrm>
                      <a:off x="0" y="0"/>
                      <a:ext cx="6019800" cy="2819400"/>
                    </a:xfrm>
                    <a:prstGeom prst="rect">
                      <a:avLst/>
                    </a:prstGeom>
                    <a:noFill/>
                    <a:ln>
                      <a:noFill/>
                    </a:ln>
                  </pic:spPr>
                </pic:pic>
              </a:graphicData>
            </a:graphic>
          </wp:inline>
        </w:drawing>
      </w:r>
    </w:p>
    <w:p w:rsidR="008C39BC" w:rsidRDefault="008C39BC" w:rsidP="00B52245">
      <w:pPr>
        <w:pStyle w:val="TableTitle"/>
      </w:pPr>
      <w:r>
        <w:t>Table 10. Partial</w:t>
      </w:r>
      <w:r w:rsidRPr="008C39BC">
        <w:t xml:space="preserve"> clearance rate of</w:t>
      </w:r>
      <w:r w:rsidR="00823F04" w:rsidRPr="008C39BC">
        <w:t xml:space="preserve"> Actinic Keratosis Lesion</w:t>
      </w:r>
      <w:r w:rsidRPr="008C39BC">
        <w:t>s</w:t>
      </w:r>
      <w:r w:rsidR="00823F04" w:rsidRPr="008C39BC">
        <w:t xml:space="preserve"> at Day 57. Overall and by Anatomical Location. ITT population.</w:t>
      </w:r>
    </w:p>
    <w:p w:rsidR="002E6F0C" w:rsidRDefault="002E6F0C" w:rsidP="002E6F0C">
      <w:pPr>
        <w:autoSpaceDE w:val="0"/>
        <w:autoSpaceDN w:val="0"/>
        <w:adjustRightInd w:val="0"/>
      </w:pPr>
      <w:r>
        <w:rPr>
          <w:noProof/>
          <w:lang w:eastAsia="en-AU"/>
        </w:rPr>
        <w:drawing>
          <wp:inline distT="0" distB="0" distL="0" distR="0">
            <wp:extent cx="5967730" cy="2842081"/>
            <wp:effectExtent l="19050" t="0" r="0" b="0"/>
            <wp:docPr id="19" name="Picture 19" descr="Table 10. Partial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84" b="6216"/>
                    <a:stretch>
                      <a:fillRect/>
                    </a:stretch>
                  </pic:blipFill>
                  <pic:spPr bwMode="auto">
                    <a:xfrm>
                      <a:off x="0" y="0"/>
                      <a:ext cx="5967730" cy="2842081"/>
                    </a:xfrm>
                    <a:prstGeom prst="rect">
                      <a:avLst/>
                    </a:prstGeom>
                    <a:noFill/>
                    <a:ln>
                      <a:noFill/>
                    </a:ln>
                  </pic:spPr>
                </pic:pic>
              </a:graphicData>
            </a:graphic>
          </wp:inline>
        </w:drawing>
      </w:r>
    </w:p>
    <w:p w:rsidR="008C39BC" w:rsidRDefault="008C39BC" w:rsidP="00B52245">
      <w:pPr>
        <w:pStyle w:val="TableTitle"/>
      </w:pPr>
      <w:r>
        <w:lastRenderedPageBreak/>
        <w:t xml:space="preserve">Table 11. </w:t>
      </w:r>
      <w:r w:rsidR="00823F04" w:rsidRPr="008C39BC">
        <w:t>Percent change from baseline in Actinic Keratosis Lesion count at Day 57. Overall and by Anatomical Location. ITT population.</w:t>
      </w:r>
    </w:p>
    <w:p w:rsidR="002E6F0C" w:rsidRPr="00B445A9" w:rsidRDefault="002E6F0C" w:rsidP="00B52245">
      <w:r>
        <w:rPr>
          <w:noProof/>
          <w:lang w:eastAsia="en-AU"/>
        </w:rPr>
        <w:drawing>
          <wp:inline distT="0" distB="0" distL="0" distR="0">
            <wp:extent cx="5920105" cy="3261995"/>
            <wp:effectExtent l="19050" t="0" r="4445" b="0"/>
            <wp:docPr id="20" name="Picture 20" descr="Table 11. Percent change from baseline in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65" b="5925"/>
                    <a:stretch>
                      <a:fillRect/>
                    </a:stretch>
                  </pic:blipFill>
                  <pic:spPr bwMode="auto">
                    <a:xfrm>
                      <a:off x="0" y="0"/>
                      <a:ext cx="5920105" cy="3261995"/>
                    </a:xfrm>
                    <a:prstGeom prst="rect">
                      <a:avLst/>
                    </a:prstGeom>
                    <a:noFill/>
                    <a:ln>
                      <a:noFill/>
                    </a:ln>
                  </pic:spPr>
                </pic:pic>
              </a:graphicData>
            </a:graphic>
          </wp:inline>
        </w:drawing>
      </w:r>
    </w:p>
    <w:p w:rsidR="002E6F0C" w:rsidRDefault="002E6F0C" w:rsidP="002E6F0C">
      <w:pPr>
        <w:autoSpaceDE w:val="0"/>
        <w:autoSpaceDN w:val="0"/>
        <w:adjustRightInd w:val="0"/>
      </w:pPr>
      <w:r w:rsidRPr="008A5A9E">
        <w:t>The</w:t>
      </w:r>
      <w:r>
        <w:t xml:space="preserve"> </w:t>
      </w:r>
      <w:r w:rsidRPr="008A5A9E">
        <w:t>PEP005 Gel group demonstrated a statistically significant, higher complete clearance rate versus vehicle gel</w:t>
      </w:r>
      <w:r>
        <w:t xml:space="preserve"> </w:t>
      </w:r>
      <w:r w:rsidRPr="008A5A9E">
        <w:t>(47% compared to 5%, p &lt; 0.001, CMH test stratified by analysis site) based on the ITT population. The results for</w:t>
      </w:r>
      <w:r>
        <w:t xml:space="preserve"> </w:t>
      </w:r>
      <w:r w:rsidRPr="008A5A9E">
        <w:t xml:space="preserve">the PP population were consistent with the results for the ITT population. </w:t>
      </w:r>
      <w:r>
        <w:t xml:space="preserve">For the secondary efficacy </w:t>
      </w:r>
      <w:r w:rsidRPr="008A5A9E">
        <w:t>endpoint, the PEP005 Gel group demonstrated a statistically significant, higher partial clearance rate versus</w:t>
      </w:r>
      <w:r>
        <w:t xml:space="preserve"> </w:t>
      </w:r>
      <w:r w:rsidRPr="008A5A9E">
        <w:t>vehicle gel (68% compared to 8%, p &lt; 0.001, CMH test stratified by analysis site) based on the ITT population. The</w:t>
      </w:r>
      <w:r>
        <w:t xml:space="preserve"> </w:t>
      </w:r>
      <w:r w:rsidRPr="008A5A9E">
        <w:t xml:space="preserve">results for the PP population were consistent with the results for the ITT population. </w:t>
      </w:r>
      <w:r>
        <w:t>Overall, t</w:t>
      </w:r>
      <w:r w:rsidRPr="008A5A9E">
        <w:t>he treatment regimen of PEP005 Gel, 0.015% applied daily for three consecutive days was shown to be</w:t>
      </w:r>
      <w:r w:rsidR="008C39BC">
        <w:t xml:space="preserve"> </w:t>
      </w:r>
      <w:r w:rsidRPr="008A5A9E">
        <w:t xml:space="preserve">effective in completely clearing a contiguous 25cm2 treatment area of </w:t>
      </w:r>
      <w:r>
        <w:t>S</w:t>
      </w:r>
      <w:r w:rsidRPr="008A5A9E">
        <w:t>K lesions on the head (face and</w:t>
      </w:r>
      <w:r>
        <w:t xml:space="preserve"> </w:t>
      </w:r>
      <w:r w:rsidRPr="008A5A9E">
        <w:t>scalp)</w:t>
      </w:r>
      <w:r>
        <w:t>.</w:t>
      </w:r>
    </w:p>
    <w:p w:rsidR="002E6F0C" w:rsidRDefault="002E6F0C" w:rsidP="00B52245">
      <w:pPr>
        <w:pStyle w:val="Heading4"/>
      </w:pPr>
      <w:bookmarkStart w:id="83" w:name="_Toc241374310"/>
      <w:bookmarkStart w:id="84" w:name="_Toc314158743"/>
      <w:r>
        <w:t xml:space="preserve">Trunk and </w:t>
      </w:r>
      <w:r w:rsidR="00B52245">
        <w:t>e</w:t>
      </w:r>
      <w:r>
        <w:t xml:space="preserve">xtremities </w:t>
      </w:r>
      <w:r w:rsidR="00B52245">
        <w:t>i</w:t>
      </w:r>
      <w:r>
        <w:t>ndication</w:t>
      </w:r>
      <w:bookmarkEnd w:id="83"/>
      <w:bookmarkEnd w:id="84"/>
    </w:p>
    <w:p w:rsidR="002E6F0C" w:rsidRPr="00AD335F" w:rsidRDefault="002E6F0C" w:rsidP="00B52245">
      <w:pPr>
        <w:pStyle w:val="Heading5"/>
      </w:pPr>
      <w:r w:rsidRPr="00AD335F">
        <w:t>PEP005-014</w:t>
      </w:r>
    </w:p>
    <w:p w:rsidR="002E6F0C" w:rsidRDefault="002E6F0C" w:rsidP="002E6F0C">
      <w:pPr>
        <w:autoSpaceDE w:val="0"/>
        <w:autoSpaceDN w:val="0"/>
        <w:adjustRightInd w:val="0"/>
      </w:pPr>
      <w:r>
        <w:t>This study was a multi-centre, randomized, parallel group, double-blind, vehicle-controlled, study conducted in the USA and Australia between September 2008 and February 2009. The objective of the study was t</w:t>
      </w:r>
      <w:r w:rsidRPr="00AD335F">
        <w:t>o evaluate the efficacy and safety of PEP005 Gel, 0.05% compared to vehicle gel, when administered once daily</w:t>
      </w:r>
      <w:r>
        <w:t xml:space="preserve"> </w:t>
      </w:r>
      <w:r w:rsidRPr="00AD335F">
        <w:t xml:space="preserve">for two consecutive days (Day 1 and Day 2) to a 25 cm2 contiguous </w:t>
      </w:r>
      <w:r>
        <w:t>SK</w:t>
      </w:r>
      <w:r w:rsidRPr="00AD335F">
        <w:t xml:space="preserve"> treatment area on non</w:t>
      </w:r>
      <w:r>
        <w:t>-</w:t>
      </w:r>
      <w:r w:rsidRPr="00AD335F">
        <w:t>head</w:t>
      </w:r>
      <w:r>
        <w:t xml:space="preserve"> </w:t>
      </w:r>
      <w:r w:rsidRPr="00AD335F">
        <w:t>locations</w:t>
      </w:r>
      <w:r>
        <w:t xml:space="preserve">. </w:t>
      </w:r>
      <w:r w:rsidRPr="00CD3BCB">
        <w:t>Efficacy</w:t>
      </w:r>
      <w:r>
        <w:t xml:space="preserve"> </w:t>
      </w:r>
      <w:r w:rsidRPr="00CD3BCB">
        <w:t xml:space="preserve">assessments were performed at baseline (Day 1 predose) and Day 57 (end of study). </w:t>
      </w:r>
      <w:r>
        <w:t xml:space="preserve">A total of </w:t>
      </w:r>
      <w:r w:rsidRPr="00CD3BCB">
        <w:t>255 patients</w:t>
      </w:r>
      <w:r>
        <w:t xml:space="preserve"> were enrolled</w:t>
      </w:r>
      <w:r w:rsidRPr="00CD3BCB">
        <w:t xml:space="preserve"> (126 to PEP005 Gel, 0.05% and 129 to vehicle gel)</w:t>
      </w:r>
      <w:r>
        <w:t>.</w:t>
      </w:r>
      <w:r w:rsidRPr="00CD3BCB">
        <w:t xml:space="preserve"> </w:t>
      </w:r>
      <w:r>
        <w:t>Subjects were m</w:t>
      </w:r>
      <w:r w:rsidRPr="00CD3BCB">
        <w:t xml:space="preserve">ale or female patients at least 18 years of age with 4 to 8 clinically typical, visible, and discrete </w:t>
      </w:r>
      <w:r>
        <w:t>S</w:t>
      </w:r>
      <w:r w:rsidRPr="00CD3BCB">
        <w:t>K lesions within</w:t>
      </w:r>
      <w:r>
        <w:t xml:space="preserve"> </w:t>
      </w:r>
      <w:r w:rsidRPr="00CD3BCB">
        <w:t>a contiguous 25 cm</w:t>
      </w:r>
      <w:r w:rsidRPr="00CD3BCB">
        <w:rPr>
          <w:vertAlign w:val="superscript"/>
        </w:rPr>
        <w:t>2</w:t>
      </w:r>
      <w:r w:rsidRPr="00CD3BCB">
        <w:t xml:space="preserve"> treatment area on the trunk and extremities (i.e., non-head locations). </w:t>
      </w:r>
      <w:r>
        <w:t>The primary efficacy endpoint was c</w:t>
      </w:r>
      <w:r w:rsidRPr="00CD3BCB">
        <w:t xml:space="preserve">omplete clearance rate of </w:t>
      </w:r>
      <w:r>
        <w:t>S</w:t>
      </w:r>
      <w:r w:rsidRPr="00CD3BCB">
        <w:t xml:space="preserve">K lesions at Day 57, defined as the proportion of patients with no clinically visible </w:t>
      </w:r>
      <w:r>
        <w:t>S</w:t>
      </w:r>
      <w:r w:rsidRPr="00CD3BCB">
        <w:t>K</w:t>
      </w:r>
      <w:r>
        <w:t xml:space="preserve"> </w:t>
      </w:r>
      <w:r w:rsidRPr="00CD3BCB">
        <w:t xml:space="preserve">lesions in the selected treatment area at Day 57. </w:t>
      </w:r>
      <w:r>
        <w:t>The secondary efficacy endpoint was the p</w:t>
      </w:r>
      <w:r w:rsidRPr="00CD3BCB">
        <w:t xml:space="preserve">artial clearance rate of </w:t>
      </w:r>
      <w:r>
        <w:t>S</w:t>
      </w:r>
      <w:r w:rsidRPr="00CD3BCB">
        <w:t xml:space="preserve">K lesions at Day 57, defined as the </w:t>
      </w:r>
      <w:r>
        <w:t>proportion</w:t>
      </w:r>
      <w:r w:rsidRPr="00CD3BCB">
        <w:t xml:space="preserve"> of patients at Day 57 with a 75% or greater</w:t>
      </w:r>
      <w:r>
        <w:t xml:space="preserve"> </w:t>
      </w:r>
      <w:r w:rsidRPr="00CD3BCB">
        <w:t xml:space="preserve">reduction in the number of </w:t>
      </w:r>
      <w:r>
        <w:t>S</w:t>
      </w:r>
      <w:r w:rsidRPr="00CD3BCB">
        <w:t>K lesions identified at baseline in the selected treatment area.</w:t>
      </w:r>
    </w:p>
    <w:p w:rsidR="002E6F0C" w:rsidRDefault="002E6F0C" w:rsidP="00B52245">
      <w:r w:rsidRPr="00511F33">
        <w:t>A study population of approximately 250 patients (125 patients per treatment group) was</w:t>
      </w:r>
      <w:r>
        <w:t xml:space="preserve"> </w:t>
      </w:r>
      <w:r w:rsidRPr="00511F33">
        <w:t>considered sufficient to detect a difference in the complete clearance rate of AK lesions,</w:t>
      </w:r>
      <w:r>
        <w:t xml:space="preserve"> </w:t>
      </w:r>
      <w:r w:rsidRPr="00511F33">
        <w:t>allowing for at least a 20% difference between the treatment group and vehicle group</w:t>
      </w:r>
      <w:r>
        <w:t xml:space="preserve"> </w:t>
      </w:r>
      <w:r w:rsidRPr="00511F33">
        <w:t xml:space="preserve">(40% versus 20%) </w:t>
      </w:r>
      <w:r w:rsidRPr="00511F33">
        <w:lastRenderedPageBreak/>
        <w:t>at Day 57. These rates correspond to an active-to-vehicle odds ratio of</w:t>
      </w:r>
      <w:r>
        <w:t xml:space="preserve"> </w:t>
      </w:r>
      <w:r w:rsidRPr="00511F33">
        <w:t>clearance rates of 2.67. Based on previous results of clinical studies, this sample size would</w:t>
      </w:r>
      <w:r>
        <w:t xml:space="preserve"> </w:t>
      </w:r>
      <w:r w:rsidRPr="00511F33">
        <w:t>provide at</w:t>
      </w:r>
      <w:r w:rsidR="00631F91" w:rsidRPr="00631F91">
        <w:t xml:space="preserve"> </w:t>
      </w:r>
      <w:r>
        <w:t>l</w:t>
      </w:r>
      <w:r w:rsidRPr="00511F33">
        <w:t xml:space="preserve">east 90% power with a two-sided </w:t>
      </w:r>
      <w:r w:rsidRPr="00511F33">
        <w:rPr>
          <w:rFonts w:eastAsia="TimesNewRomanPSMT" w:cs="TimesNewRomanPSMT" w:hint="eastAsia"/>
        </w:rPr>
        <w:t>α</w:t>
      </w:r>
      <w:r w:rsidRPr="00511F33">
        <w:rPr>
          <w:rFonts w:eastAsia="TimesNewRomanPSMT" w:cs="TimesNewRomanPSMT"/>
        </w:rPr>
        <w:t xml:space="preserve"> </w:t>
      </w:r>
      <w:r w:rsidRPr="00511F33">
        <w:t>= 0.05 using Fisher's exact test, assuming a</w:t>
      </w:r>
      <w:r>
        <w:t xml:space="preserve"> </w:t>
      </w:r>
      <w:r w:rsidRPr="00511F33">
        <w:t>5% drop-out rate.</w:t>
      </w:r>
    </w:p>
    <w:p w:rsidR="008C39BC" w:rsidRDefault="002E6F0C" w:rsidP="00B52245">
      <w:r w:rsidRPr="00CD3BCB">
        <w:t>Complete clearance rates were calculated using observed rates and using weighted estimates based on the Cochran-Mantel-Haenszel (CMH) test statistic stratifying on anatomical location. Treatment groups were compared using the</w:t>
      </w:r>
      <w:r>
        <w:t xml:space="preserve"> </w:t>
      </w:r>
      <w:r w:rsidRPr="00CD3BCB">
        <w:t>CMH test. A logistic analysis of variance (ANOVA) with treatment, anatomical location, and country as factors</w:t>
      </w:r>
      <w:r>
        <w:t xml:space="preserve"> </w:t>
      </w:r>
      <w:r w:rsidRPr="00CD3BCB">
        <w:t>was also used to test for treatment effect. Partial clearance rates were calculated and the treatment groups were</w:t>
      </w:r>
      <w:r>
        <w:t xml:space="preserve"> </w:t>
      </w:r>
      <w:r w:rsidRPr="00CD3BCB">
        <w:t>compared using the same methods as those used for the primary efficacy endpoint</w:t>
      </w:r>
      <w:r>
        <w:t>.</w:t>
      </w:r>
      <w:r w:rsidRPr="00CD3BCB">
        <w:rPr>
          <w:sz w:val="20"/>
          <w:szCs w:val="20"/>
        </w:rPr>
        <w:t xml:space="preserve"> </w:t>
      </w:r>
      <w:r w:rsidRPr="00CD3BCB">
        <w:t xml:space="preserve">All statistical tests were two-sided with a </w:t>
      </w:r>
      <w:r>
        <w:t>s</w:t>
      </w:r>
      <w:r w:rsidRPr="00CD3BCB">
        <w:t xml:space="preserve">ignificance level of </w:t>
      </w:r>
      <w:r w:rsidRPr="00CD3BCB">
        <w:rPr>
          <w:rFonts w:ascii="TimesNewRomanPSMT" w:eastAsia="TimesNewRomanPSMT" w:cs="TimesNewRomanPSMT" w:hint="eastAsia"/>
        </w:rPr>
        <w:t>α</w:t>
      </w:r>
      <w:r w:rsidRPr="00CD3BCB">
        <w:rPr>
          <w:rFonts w:ascii="TimesNewRomanPSMT" w:eastAsia="TimesNewRomanPSMT" w:cs="TimesNewRomanPSMT"/>
        </w:rPr>
        <w:t xml:space="preserve"> </w:t>
      </w:r>
      <w:r w:rsidRPr="00CD3BCB">
        <w:t>= 0.05, unless specified otherwise.</w:t>
      </w:r>
      <w:r>
        <w:t xml:space="preserve"> Results from this study are included below.</w:t>
      </w:r>
    </w:p>
    <w:p w:rsidR="002E6F0C" w:rsidRDefault="008C39BC" w:rsidP="00B52245">
      <w:r>
        <w:t>Table 12. Complete clearance rate of</w:t>
      </w:r>
      <w:r w:rsidR="00823F04" w:rsidRPr="008C39BC">
        <w:t xml:space="preserve"> Actinic Keratosis Lesion</w:t>
      </w:r>
      <w:r w:rsidR="003658C0">
        <w:t>s</w:t>
      </w:r>
      <w:r w:rsidR="00823F04" w:rsidRPr="008C39BC">
        <w:t xml:space="preserve"> at Day 57. Overall and by Anatomical Location. ITT population.</w:t>
      </w:r>
      <w:r w:rsidR="002E6F0C">
        <w:rPr>
          <w:noProof/>
          <w:lang w:eastAsia="en-AU"/>
        </w:rPr>
        <w:drawing>
          <wp:inline distT="0" distB="0" distL="0" distR="0">
            <wp:extent cx="5475884" cy="6105525"/>
            <wp:effectExtent l="19050" t="0" r="0" b="0"/>
            <wp:docPr id="21" name="Picture 21" descr="Table 12. Complete clearance rate of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29" b="4036"/>
                    <a:stretch>
                      <a:fillRect/>
                    </a:stretch>
                  </pic:blipFill>
                  <pic:spPr bwMode="auto">
                    <a:xfrm>
                      <a:off x="0" y="0"/>
                      <a:ext cx="5475884" cy="6105525"/>
                    </a:xfrm>
                    <a:prstGeom prst="rect">
                      <a:avLst/>
                    </a:prstGeom>
                    <a:noFill/>
                    <a:ln>
                      <a:noFill/>
                    </a:ln>
                  </pic:spPr>
                </pic:pic>
              </a:graphicData>
            </a:graphic>
          </wp:inline>
        </w:drawing>
      </w:r>
    </w:p>
    <w:p w:rsidR="008C39BC" w:rsidRDefault="008C39BC" w:rsidP="00B52245">
      <w:pPr>
        <w:pStyle w:val="TableTitle"/>
      </w:pPr>
      <w:r w:rsidRPr="008C39BC">
        <w:lastRenderedPageBreak/>
        <w:t>Table 1</w:t>
      </w:r>
      <w:r>
        <w:t>3</w:t>
      </w:r>
      <w:r w:rsidRPr="008C39BC">
        <w:t xml:space="preserve">. </w:t>
      </w:r>
      <w:r>
        <w:t>Partial</w:t>
      </w:r>
      <w:r w:rsidRPr="008C39BC">
        <w:t xml:space="preserve"> clearance rate of</w:t>
      </w:r>
      <w:r w:rsidR="00823F04" w:rsidRPr="008C39BC">
        <w:t xml:space="preserve"> Actinic Keratosis Lesion</w:t>
      </w:r>
      <w:r w:rsidR="003658C0">
        <w:t>s</w:t>
      </w:r>
      <w:r w:rsidR="00823F04" w:rsidRPr="008C39BC">
        <w:t xml:space="preserve"> at Day 57. Overall and by Anatomical Location. ITT population</w:t>
      </w:r>
    </w:p>
    <w:p w:rsidR="002E6F0C" w:rsidRDefault="002E6F0C" w:rsidP="00B52245">
      <w:r>
        <w:rPr>
          <w:noProof/>
          <w:lang w:eastAsia="en-AU"/>
        </w:rPr>
        <w:drawing>
          <wp:inline distT="0" distB="0" distL="0" distR="0">
            <wp:extent cx="5920105" cy="6343650"/>
            <wp:effectExtent l="19050" t="0" r="4445" b="0"/>
            <wp:docPr id="22" name="Picture 22" descr="Table 13. Partial clearance rate of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95" b="2993"/>
                    <a:stretch>
                      <a:fillRect/>
                    </a:stretch>
                  </pic:blipFill>
                  <pic:spPr bwMode="auto">
                    <a:xfrm>
                      <a:off x="0" y="0"/>
                      <a:ext cx="5920105" cy="6343650"/>
                    </a:xfrm>
                    <a:prstGeom prst="rect">
                      <a:avLst/>
                    </a:prstGeom>
                    <a:noFill/>
                    <a:ln>
                      <a:noFill/>
                    </a:ln>
                  </pic:spPr>
                </pic:pic>
              </a:graphicData>
            </a:graphic>
          </wp:inline>
        </w:drawing>
      </w:r>
    </w:p>
    <w:p w:rsidR="002E6F0C" w:rsidRPr="008C39BC" w:rsidRDefault="008C39BC" w:rsidP="00B52245">
      <w:pPr>
        <w:pStyle w:val="TableTitle"/>
      </w:pPr>
      <w:r w:rsidRPr="008C39BC">
        <w:lastRenderedPageBreak/>
        <w:t>Table 1</w:t>
      </w:r>
      <w:r>
        <w:t>4</w:t>
      </w:r>
      <w:r w:rsidRPr="008C39BC">
        <w:t xml:space="preserve">. </w:t>
      </w:r>
      <w:r>
        <w:t>Percent reduction from Baseline in</w:t>
      </w:r>
      <w:r w:rsidR="00823F04" w:rsidRPr="008C39BC">
        <w:t xml:space="preserve"> Actinic Keratosis Lesion count at Day 57. Overall and by Anatomical Location. ITT population</w:t>
      </w:r>
    </w:p>
    <w:p w:rsidR="002E6F0C" w:rsidRPr="006069AE" w:rsidRDefault="002E6F0C" w:rsidP="00B52245">
      <w:r>
        <w:rPr>
          <w:noProof/>
          <w:lang w:eastAsia="en-AU"/>
        </w:rPr>
        <w:drawing>
          <wp:inline distT="0" distB="0" distL="0" distR="0">
            <wp:extent cx="5920105" cy="4543425"/>
            <wp:effectExtent l="19050" t="0" r="4445" b="0"/>
            <wp:docPr id="23" name="Picture 23" descr="Table 14. Percent reduction from Baseline in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15" b="5100"/>
                    <a:stretch>
                      <a:fillRect/>
                    </a:stretch>
                  </pic:blipFill>
                  <pic:spPr bwMode="auto">
                    <a:xfrm>
                      <a:off x="0" y="0"/>
                      <a:ext cx="5920105" cy="4543425"/>
                    </a:xfrm>
                    <a:prstGeom prst="rect">
                      <a:avLst/>
                    </a:prstGeom>
                    <a:noFill/>
                    <a:ln>
                      <a:noFill/>
                    </a:ln>
                  </pic:spPr>
                </pic:pic>
              </a:graphicData>
            </a:graphic>
          </wp:inline>
        </w:drawing>
      </w:r>
    </w:p>
    <w:p w:rsidR="002E6F0C" w:rsidRPr="00CD3BCB" w:rsidRDefault="002E6F0C" w:rsidP="002E6F0C">
      <w:pPr>
        <w:autoSpaceDE w:val="0"/>
        <w:autoSpaceDN w:val="0"/>
        <w:adjustRightInd w:val="0"/>
      </w:pPr>
      <w:r w:rsidRPr="00CD3BCB">
        <w:t>The observed complete clearance rate at Day 57 (ITT LOCF) overall was statistically significantly higher in the</w:t>
      </w:r>
      <w:r>
        <w:t xml:space="preserve"> </w:t>
      </w:r>
      <w:r w:rsidRPr="00CD3BCB">
        <w:t>PEP005 Gel, 0.05% group (28%) than the vehicle group (5%) (p &lt; 0.0001). Sensitivity analyses, including a</w:t>
      </w:r>
      <w:r>
        <w:t xml:space="preserve"> </w:t>
      </w:r>
      <w:r w:rsidRPr="00CD3BCB">
        <w:t>multiple imputation method for handling missing data and analyses based on evaluable and PP populations, all</w:t>
      </w:r>
      <w:r>
        <w:t xml:space="preserve"> </w:t>
      </w:r>
      <w:r w:rsidRPr="00CD3BCB">
        <w:t>demonstrated a statistically significantly higher complete clearance rate in the PEP005 Gel, 0.05% group than in the</w:t>
      </w:r>
      <w:r>
        <w:t xml:space="preserve"> </w:t>
      </w:r>
      <w:r w:rsidRPr="00CD3BCB">
        <w:t>vehicle group (p &lt; .0001 for all comparisons). The observed partial clearance rate at Day 57 overall in</w:t>
      </w:r>
      <w:r>
        <w:t xml:space="preserve"> </w:t>
      </w:r>
      <w:r w:rsidRPr="00CD3BCB">
        <w:t xml:space="preserve">the PEP005 Gel, 0.05% group was 44% (56/126) versus 7% (9/129) in the vehicle group (p &lt; 0.0001). </w:t>
      </w:r>
      <w:r>
        <w:t>Overall, the c</w:t>
      </w:r>
      <w:r w:rsidRPr="00CD3BCB">
        <w:t>omplete clearance rate at Day 57 was significantly higher in the PEP005 Gel, 0.05% group relative to the</w:t>
      </w:r>
      <w:r>
        <w:t xml:space="preserve"> </w:t>
      </w:r>
      <w:r w:rsidRPr="00CD3BCB">
        <w:t xml:space="preserve">vehicle group. </w:t>
      </w:r>
      <w:r>
        <w:t>In addition, the o</w:t>
      </w:r>
      <w:r w:rsidRPr="00CD3BCB">
        <w:t>ther efficacy variables support</w:t>
      </w:r>
      <w:r>
        <w:t>ed</w:t>
      </w:r>
      <w:r w:rsidRPr="00CD3BCB">
        <w:t xml:space="preserve"> the results of the primary efficacy endpoint. The partial clearance rate at</w:t>
      </w:r>
      <w:r>
        <w:t xml:space="preserve"> </w:t>
      </w:r>
      <w:r w:rsidRPr="00CD3BCB">
        <w:t>Day 57 was significantly higher in the PEP005 Gel, 0.05% group relative to the vehicle group. Median</w:t>
      </w:r>
      <w:r>
        <w:t xml:space="preserve"> </w:t>
      </w:r>
      <w:r w:rsidRPr="00CD3BCB">
        <w:t>percent reduction from baseline in lesion count at Day 57 was substantially reduced in the</w:t>
      </w:r>
      <w:r>
        <w:t xml:space="preserve"> </w:t>
      </w:r>
      <w:r w:rsidRPr="00CD3BCB">
        <w:t>PEP005 Gel, 0.05% group relative to the vehicle groups.</w:t>
      </w:r>
    </w:p>
    <w:p w:rsidR="002E6F0C" w:rsidRPr="00AD335F" w:rsidRDefault="002E6F0C" w:rsidP="003658C0">
      <w:pPr>
        <w:pStyle w:val="Heading5"/>
      </w:pPr>
      <w:r w:rsidRPr="00AD335F">
        <w:t>PEP005-0</w:t>
      </w:r>
      <w:r>
        <w:t>28</w:t>
      </w:r>
    </w:p>
    <w:p w:rsidR="002E6F0C" w:rsidRDefault="002E6F0C" w:rsidP="002E6F0C">
      <w:pPr>
        <w:autoSpaceDE w:val="0"/>
        <w:autoSpaceDN w:val="0"/>
        <w:adjustRightInd w:val="0"/>
      </w:pPr>
      <w:r>
        <w:t>This study was a multi-centre, randomized, parallel group, double-blind, vehicle-controlled, study conducted in the USA between July 2009 and October 2009. The objective of the study was t</w:t>
      </w:r>
      <w:r w:rsidRPr="000F15EB">
        <w:t>o evaluate the efficacy and safety of PEP005 Gel, 0.05% compared to vehicle gel when administered once daily for</w:t>
      </w:r>
      <w:r>
        <w:t xml:space="preserve"> </w:t>
      </w:r>
      <w:r w:rsidRPr="000F15EB">
        <w:t>two consecutive days (Days 1 and 2) to a 25 cm</w:t>
      </w:r>
      <w:r w:rsidRPr="000F15EB">
        <w:rPr>
          <w:vertAlign w:val="superscript"/>
        </w:rPr>
        <w:t>2</w:t>
      </w:r>
      <w:r w:rsidRPr="000F15EB">
        <w:t xml:space="preserve"> contiguous </w:t>
      </w:r>
      <w:r>
        <w:t>SK</w:t>
      </w:r>
      <w:r w:rsidRPr="000F15EB">
        <w:t xml:space="preserve"> treatment area on non-head</w:t>
      </w:r>
      <w:r>
        <w:t xml:space="preserve"> </w:t>
      </w:r>
      <w:r w:rsidRPr="000F15EB">
        <w:t>locations.</w:t>
      </w:r>
      <w:r w:rsidRPr="000F15EB">
        <w:rPr>
          <w:sz w:val="19"/>
          <w:szCs w:val="19"/>
        </w:rPr>
        <w:t xml:space="preserve"> </w:t>
      </w:r>
      <w:r w:rsidRPr="000F15EB">
        <w:t>Efficacy assessments were</w:t>
      </w:r>
      <w:r>
        <w:t xml:space="preserve"> </w:t>
      </w:r>
      <w:r w:rsidRPr="000F15EB">
        <w:t xml:space="preserve">conducted at baseline (Day 1 pre-dose) and on Day 57 (end of study). </w:t>
      </w:r>
      <w:r>
        <w:t xml:space="preserve">A total of </w:t>
      </w:r>
      <w:r w:rsidRPr="000F15EB">
        <w:t xml:space="preserve">203 patients </w:t>
      </w:r>
      <w:r>
        <w:t xml:space="preserve">were enrolled </w:t>
      </w:r>
      <w:r w:rsidRPr="000F15EB">
        <w:t xml:space="preserve">(100 PEP005 Gel, 0.05%; 103 vehicle gel). </w:t>
      </w:r>
      <w:r>
        <w:t>Subjects were m</w:t>
      </w:r>
      <w:r w:rsidRPr="000F15EB">
        <w:t xml:space="preserve">ale or female patients at least 18 years of age with 4 to 8 clinically typical, visible and discrete </w:t>
      </w:r>
      <w:r>
        <w:t>SK</w:t>
      </w:r>
      <w:r w:rsidRPr="000F15EB">
        <w:t xml:space="preserve"> lesions within a</w:t>
      </w:r>
      <w:r>
        <w:t xml:space="preserve"> </w:t>
      </w:r>
      <w:r w:rsidRPr="000F15EB">
        <w:t>contiguous 25 cm</w:t>
      </w:r>
      <w:r w:rsidRPr="00E433AF">
        <w:rPr>
          <w:vertAlign w:val="superscript"/>
        </w:rPr>
        <w:t>2</w:t>
      </w:r>
      <w:r w:rsidRPr="000F15EB">
        <w:t xml:space="preserve"> treatment area on </w:t>
      </w:r>
      <w:r w:rsidRPr="000F15EB">
        <w:lastRenderedPageBreak/>
        <w:t xml:space="preserve">non-head locations. </w:t>
      </w:r>
      <w:r>
        <w:t>The primary efficacy endpoint was the c</w:t>
      </w:r>
      <w:r w:rsidRPr="000F15EB">
        <w:t xml:space="preserve">omplete clearance rate of </w:t>
      </w:r>
      <w:r>
        <w:t>S</w:t>
      </w:r>
      <w:r w:rsidRPr="000F15EB">
        <w:t>K lesions at the Day 57 visit, defined as the proportion of patients with no clinically</w:t>
      </w:r>
      <w:r>
        <w:t xml:space="preserve"> </w:t>
      </w:r>
      <w:r w:rsidRPr="000F15EB">
        <w:t xml:space="preserve">visible </w:t>
      </w:r>
      <w:r>
        <w:t>S</w:t>
      </w:r>
      <w:r w:rsidRPr="000F15EB">
        <w:t xml:space="preserve">K lesions in the selected treatment area at Day 57. </w:t>
      </w:r>
      <w:r>
        <w:t>The secondary efficacy endpoint was the p</w:t>
      </w:r>
      <w:r w:rsidRPr="000F15EB">
        <w:t xml:space="preserve">artial clearance rate of </w:t>
      </w:r>
      <w:r>
        <w:t>S</w:t>
      </w:r>
      <w:r w:rsidRPr="000F15EB">
        <w:t>K lesions at the Day 57 visit, defined as the proportion of patients at Day 57 with a 75% or</w:t>
      </w:r>
      <w:r>
        <w:t xml:space="preserve"> </w:t>
      </w:r>
      <w:r w:rsidRPr="000F15EB">
        <w:t xml:space="preserve">greater reduction in the number of </w:t>
      </w:r>
      <w:r>
        <w:t>S</w:t>
      </w:r>
      <w:r w:rsidRPr="000F15EB">
        <w:t xml:space="preserve">K lesions identified at baseline </w:t>
      </w:r>
      <w:r w:rsidR="00B52245">
        <w:t>in the selected treatment area.</w:t>
      </w:r>
    </w:p>
    <w:p w:rsidR="002E6F0C" w:rsidRPr="003658C0" w:rsidRDefault="002E6F0C" w:rsidP="003658C0">
      <w:r w:rsidRPr="00511F33">
        <w:t>Approximately 200 patients (100 per group) were to be randomized in this study. This sample</w:t>
      </w:r>
      <w:r w:rsidR="003658C0">
        <w:t xml:space="preserve"> </w:t>
      </w:r>
      <w:r w:rsidRPr="00511F33">
        <w:t>size was based on comparing the treatment groups in terms of complete clearance rate of AK</w:t>
      </w:r>
      <w:r w:rsidR="003658C0">
        <w:t xml:space="preserve"> </w:t>
      </w:r>
      <w:r w:rsidRPr="00511F33">
        <w:t>lesions. It was assumed that a 20% difference between the treatment group and vehicle group</w:t>
      </w:r>
      <w:r w:rsidR="003658C0">
        <w:t xml:space="preserve"> </w:t>
      </w:r>
      <w:r w:rsidRPr="00511F33">
        <w:t>(30% vs. 10%) at Day 57 was of clinical interest. The assumed 10% complete clearance rate for</w:t>
      </w:r>
      <w:r w:rsidR="003658C0">
        <w:t xml:space="preserve"> </w:t>
      </w:r>
      <w:r w:rsidRPr="00511F33">
        <w:t>t</w:t>
      </w:r>
      <w:r w:rsidRPr="003658C0">
        <w:t>he vehicle group was observed in a previous Peplin study in non-head AK (PEP005-014). This</w:t>
      </w:r>
      <w:r w:rsidR="003658C0" w:rsidRPr="003658C0">
        <w:t xml:space="preserve"> </w:t>
      </w:r>
      <w:r w:rsidRPr="003658C0">
        <w:t>sample size provided at least 90% power with a two-sided significance level of 0.05 (</w:t>
      </w:r>
      <w:r w:rsidR="003658C0">
        <w:sym w:font="Symbol" w:char="F061"/>
      </w:r>
      <w:r w:rsidR="003658C0">
        <w:t>=</w:t>
      </w:r>
      <w:r w:rsidRPr="003658C0">
        <w:t>0.05)</w:t>
      </w:r>
      <w:r w:rsidR="003658C0" w:rsidRPr="003658C0">
        <w:t xml:space="preserve"> </w:t>
      </w:r>
      <w:r w:rsidRPr="003658C0">
        <w:t>using the Chi-square test for homogeneity of proportions.</w:t>
      </w:r>
    </w:p>
    <w:p w:rsidR="002E6F0C" w:rsidRDefault="002E6F0C" w:rsidP="002E6F0C">
      <w:pPr>
        <w:autoSpaceDE w:val="0"/>
        <w:autoSpaceDN w:val="0"/>
        <w:adjustRightInd w:val="0"/>
      </w:pPr>
      <w:r>
        <w:t>The c</w:t>
      </w:r>
      <w:r w:rsidRPr="000F15EB">
        <w:t>omplete clearance rate at Day 57 was compared between treatment groups using the Cochran-Mantel-Haenszel</w:t>
      </w:r>
      <w:r>
        <w:t xml:space="preserve"> </w:t>
      </w:r>
      <w:r w:rsidRPr="000F15EB">
        <w:t xml:space="preserve">(CMH) test, stratified by analysis site. </w:t>
      </w:r>
      <w:r>
        <w:t>The p</w:t>
      </w:r>
      <w:r w:rsidRPr="000F15EB">
        <w:t>artial clearance rate at Day 57 was compared using the same analysis as that</w:t>
      </w:r>
      <w:r>
        <w:t xml:space="preserve"> </w:t>
      </w:r>
      <w:r w:rsidRPr="000F15EB">
        <w:t>used for the primary efficacy endpoint. The number of AK lesions and percent change from baseline were</w:t>
      </w:r>
      <w:r>
        <w:t xml:space="preserve"> </w:t>
      </w:r>
      <w:r w:rsidRPr="000F15EB">
        <w:t>summarized for each treatment group. All treatment comparisons were tested with two-tailed tests and a 0.05 significance level.</w:t>
      </w:r>
      <w:r w:rsidRPr="00E433AF">
        <w:t xml:space="preserve"> </w:t>
      </w:r>
      <w:r>
        <w:t>Results from this study are included below.</w:t>
      </w:r>
    </w:p>
    <w:p w:rsidR="003658C0" w:rsidRPr="003658C0" w:rsidRDefault="003658C0" w:rsidP="00B52245">
      <w:pPr>
        <w:pStyle w:val="TableTitle"/>
      </w:pPr>
      <w:r>
        <w:t>Table 15. Complete</w:t>
      </w:r>
      <w:r w:rsidRPr="003658C0">
        <w:t xml:space="preserve"> clearance rate of Actinic Keratosis Lesions at Day 57. Overall and by Anatomical Location. ITT population</w:t>
      </w:r>
    </w:p>
    <w:p w:rsidR="002E6F0C" w:rsidRDefault="002E6F0C" w:rsidP="00B52245">
      <w:r>
        <w:rPr>
          <w:noProof/>
          <w:lang w:eastAsia="en-AU"/>
        </w:rPr>
        <w:drawing>
          <wp:inline distT="0" distB="0" distL="0" distR="0">
            <wp:extent cx="6107359" cy="4038600"/>
            <wp:effectExtent l="19050" t="0" r="7691" b="0"/>
            <wp:docPr id="24" name="Picture 24" descr="Table 15. Complete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13" b="5042"/>
                    <a:stretch>
                      <a:fillRect/>
                    </a:stretch>
                  </pic:blipFill>
                  <pic:spPr bwMode="auto">
                    <a:xfrm>
                      <a:off x="0" y="0"/>
                      <a:ext cx="6107359" cy="4038600"/>
                    </a:xfrm>
                    <a:prstGeom prst="rect">
                      <a:avLst/>
                    </a:prstGeom>
                    <a:noFill/>
                    <a:ln>
                      <a:noFill/>
                    </a:ln>
                  </pic:spPr>
                </pic:pic>
              </a:graphicData>
            </a:graphic>
          </wp:inline>
        </w:drawing>
      </w:r>
    </w:p>
    <w:p w:rsidR="003658C0" w:rsidRPr="003658C0" w:rsidRDefault="003658C0" w:rsidP="00B52245">
      <w:pPr>
        <w:pStyle w:val="TableTitle"/>
      </w:pPr>
      <w:r>
        <w:lastRenderedPageBreak/>
        <w:t xml:space="preserve">Table 16. </w:t>
      </w:r>
      <w:r w:rsidRPr="003658C0">
        <w:t>Partial clearance rate of Actinic Keratosis Lesions at Day 57. Overall and by Anatomical Location. ITT population</w:t>
      </w:r>
    </w:p>
    <w:p w:rsidR="002E6F0C" w:rsidRDefault="002E6F0C" w:rsidP="00B52245">
      <w:r>
        <w:rPr>
          <w:noProof/>
          <w:lang w:eastAsia="en-AU"/>
        </w:rPr>
        <w:drawing>
          <wp:inline distT="0" distB="0" distL="0" distR="0">
            <wp:extent cx="5017231" cy="4181475"/>
            <wp:effectExtent l="19050" t="0" r="0" b="0"/>
            <wp:docPr id="25" name="Picture 25" descr="Table 16. Partial clearance rate of Actinic Keratosis Lesions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28" b="5912"/>
                    <a:stretch>
                      <a:fillRect/>
                    </a:stretch>
                  </pic:blipFill>
                  <pic:spPr bwMode="auto">
                    <a:xfrm>
                      <a:off x="0" y="0"/>
                      <a:ext cx="5017869" cy="4182007"/>
                    </a:xfrm>
                    <a:prstGeom prst="rect">
                      <a:avLst/>
                    </a:prstGeom>
                    <a:noFill/>
                    <a:ln>
                      <a:noFill/>
                    </a:ln>
                  </pic:spPr>
                </pic:pic>
              </a:graphicData>
            </a:graphic>
          </wp:inline>
        </w:drawing>
      </w:r>
    </w:p>
    <w:p w:rsidR="000C4F44" w:rsidRDefault="003658C0" w:rsidP="000C4F44">
      <w:pPr>
        <w:pStyle w:val="TableTitle"/>
      </w:pPr>
      <w:r>
        <w:lastRenderedPageBreak/>
        <w:t xml:space="preserve">Table 17. </w:t>
      </w:r>
      <w:r w:rsidRPr="003658C0">
        <w:t>Percent reduction from Baseline in Actinic Keratosis Lesion count at Day 57. Overall and by Anatomical Location. ITT population</w:t>
      </w:r>
    </w:p>
    <w:p w:rsidR="003658C0" w:rsidRDefault="00CE46E8" w:rsidP="000C4F44">
      <w:r>
        <w:rPr>
          <w:noProof/>
          <w:lang w:eastAsia="en-AU"/>
        </w:rPr>
        <w:drawing>
          <wp:inline distT="0" distB="0" distL="0" distR="0">
            <wp:extent cx="5731510" cy="3794367"/>
            <wp:effectExtent l="19050" t="0" r="2540" b="0"/>
            <wp:docPr id="91" name="Picture 26" descr="Table 17. Percent reduction from Baseline in Actinic Keratosis Lesion count at Day 57. 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14" b="4714"/>
                    <a:stretch>
                      <a:fillRect/>
                    </a:stretch>
                  </pic:blipFill>
                  <pic:spPr bwMode="auto">
                    <a:xfrm>
                      <a:off x="0" y="0"/>
                      <a:ext cx="5731510" cy="3794367"/>
                    </a:xfrm>
                    <a:prstGeom prst="rect">
                      <a:avLst/>
                    </a:prstGeom>
                    <a:noFill/>
                    <a:ln>
                      <a:noFill/>
                    </a:ln>
                  </pic:spPr>
                </pic:pic>
              </a:graphicData>
            </a:graphic>
          </wp:inline>
        </w:drawing>
      </w:r>
    </w:p>
    <w:p w:rsidR="002E6F0C" w:rsidRPr="00E433AF" w:rsidRDefault="002E6F0C" w:rsidP="000C4F44">
      <w:r w:rsidRPr="003658C0">
        <w:t>The complete clearance rate at Day 57 (ITT LOCF) overall was statistically significantly higher in the PEP005 Gel, 0.05% group (42%) than the vehicle group (5%) (p &lt; 0.001). The results of the analysis of the secondary efficacy endpoint, partial clearance (</w:t>
      </w:r>
      <w:r w:rsidRPr="003658C0">
        <w:rPr>
          <w:rFonts w:hint="eastAsia"/>
        </w:rPr>
        <w:t>≥</w:t>
      </w:r>
      <w:r w:rsidRPr="003658C0">
        <w:t>75% reduction) in SK lesions at Day 57, support the results of the analy</w:t>
      </w:r>
      <w:r w:rsidRPr="00E433AF">
        <w:t>sis of complete clearance. The partial clearance rate at Day 57 overall was</w:t>
      </w:r>
      <w:r>
        <w:t xml:space="preserve"> </w:t>
      </w:r>
      <w:r w:rsidRPr="00E433AF">
        <w:t xml:space="preserve">statistically significantly higher in the PEP005 Gel, 0.05% group (55%) than the vehicle group (7%) (p &lt; 0.001). </w:t>
      </w:r>
      <w:r>
        <w:t>Overall, the c</w:t>
      </w:r>
      <w:r w:rsidRPr="00E433AF">
        <w:t>omplete clearance rate at Day 57 was significantly higher in the PEP005 Gel, 0.05% group relative to the</w:t>
      </w:r>
      <w:r>
        <w:t xml:space="preserve"> </w:t>
      </w:r>
      <w:r w:rsidRPr="00E433AF">
        <w:t xml:space="preserve">vehicle group. </w:t>
      </w:r>
      <w:r>
        <w:t>In addition, o</w:t>
      </w:r>
      <w:r w:rsidRPr="00E433AF">
        <w:t>ther efficacy variables support</w:t>
      </w:r>
      <w:r>
        <w:t>ed</w:t>
      </w:r>
      <w:r w:rsidRPr="00E433AF">
        <w:t xml:space="preserve"> the results of the primary efficacy endpoint. Partial clearance rate at</w:t>
      </w:r>
      <w:r>
        <w:t xml:space="preserve"> </w:t>
      </w:r>
      <w:r w:rsidRPr="00E433AF">
        <w:t>Day 57 was significantly higher in the PEP005 Gel, 0.05% group relative to the vehicle group. Median</w:t>
      </w:r>
      <w:r>
        <w:t xml:space="preserve"> </w:t>
      </w:r>
      <w:r w:rsidRPr="00E433AF">
        <w:t>percent change from baseline in lesion count at Day 57 was substantially reduced in the PEP005 Gel,</w:t>
      </w:r>
      <w:r>
        <w:t xml:space="preserve"> </w:t>
      </w:r>
      <w:r w:rsidRPr="00E433AF">
        <w:t>0.05% group relative to the vehicle group.</w:t>
      </w:r>
    </w:p>
    <w:p w:rsidR="002E6F0C" w:rsidRDefault="002E6F0C" w:rsidP="000A3993">
      <w:pPr>
        <w:pStyle w:val="Heading3"/>
      </w:pPr>
      <w:bookmarkStart w:id="85" w:name="_Toc241374311"/>
      <w:bookmarkStart w:id="86" w:name="_Ref243294291"/>
      <w:bookmarkStart w:id="87" w:name="_Toc314158744"/>
      <w:bookmarkStart w:id="88" w:name="_Toc367127757"/>
      <w:r>
        <w:t>Clinical studies in special populations</w:t>
      </w:r>
      <w:bookmarkEnd w:id="85"/>
      <w:bookmarkEnd w:id="86"/>
      <w:bookmarkEnd w:id="87"/>
      <w:bookmarkEnd w:id="88"/>
    </w:p>
    <w:p w:rsidR="002E6F0C" w:rsidRDefault="002E6F0C" w:rsidP="002E6F0C">
      <w:pPr>
        <w:autoSpaceDE w:val="0"/>
        <w:autoSpaceDN w:val="0"/>
        <w:adjustRightInd w:val="0"/>
      </w:pPr>
      <w:r>
        <w:t>No clinical studies in special populations were performed.</w:t>
      </w:r>
    </w:p>
    <w:p w:rsidR="002E6F0C" w:rsidRDefault="002E6F0C" w:rsidP="000A3993">
      <w:pPr>
        <w:pStyle w:val="Heading3"/>
      </w:pPr>
      <w:bookmarkStart w:id="89" w:name="_Toc241374312"/>
      <w:bookmarkStart w:id="90" w:name="_Toc314158745"/>
      <w:bookmarkStart w:id="91" w:name="_Toc367127758"/>
      <w:r>
        <w:t>Analysis performed across trials (pooled analyses and meta-analysis)</w:t>
      </w:r>
      <w:bookmarkEnd w:id="89"/>
      <w:bookmarkEnd w:id="90"/>
      <w:bookmarkEnd w:id="91"/>
    </w:p>
    <w:p w:rsidR="002E6F0C" w:rsidRPr="006A162E" w:rsidRDefault="002E6F0C" w:rsidP="002E6F0C">
      <w:pPr>
        <w:autoSpaceDE w:val="0"/>
        <w:autoSpaceDN w:val="0"/>
        <w:adjustRightInd w:val="0"/>
        <w:rPr>
          <w:color w:val="000000"/>
        </w:rPr>
      </w:pPr>
      <w:r w:rsidRPr="006A162E">
        <w:rPr>
          <w:color w:val="000000"/>
        </w:rPr>
        <w:t>In order to further evaluate the efficacy of PEP005 Gel for the head and scalp indication, data were pooled across studies and referred to as “combined studies populations”. Two combined studies populations were presented. One combined studies population pooled data from</w:t>
      </w:r>
      <w:r w:rsidR="003658C0">
        <w:rPr>
          <w:color w:val="000000"/>
        </w:rPr>
        <w:t xml:space="preserve"> </w:t>
      </w:r>
      <w:r w:rsidRPr="006A162E">
        <w:rPr>
          <w:color w:val="000000"/>
        </w:rPr>
        <w:t>PEP005-016 and PEP005-025 and another pooled data PEP005-016, PEP005-025, and</w:t>
      </w:r>
      <w:r w:rsidR="003658C0">
        <w:rPr>
          <w:color w:val="000000"/>
        </w:rPr>
        <w:t xml:space="preserve"> </w:t>
      </w:r>
      <w:r w:rsidRPr="006A162E">
        <w:rPr>
          <w:color w:val="000000"/>
        </w:rPr>
        <w:t xml:space="preserve">PEP005-015. PEP005-016 and PEP005-025 were the adequate and well-controlled </w:t>
      </w:r>
      <w:r w:rsidR="00631F91" w:rsidRPr="00631F91">
        <w:rPr>
          <w:color w:val="000000"/>
        </w:rPr>
        <w:t>Phase III</w:t>
      </w:r>
      <w:r w:rsidR="003658C0">
        <w:rPr>
          <w:color w:val="000000"/>
        </w:rPr>
        <w:t xml:space="preserve"> </w:t>
      </w:r>
      <w:r w:rsidRPr="006A162E">
        <w:rPr>
          <w:color w:val="000000"/>
        </w:rPr>
        <w:t>studies that evaluated the proposed dosage regimen of PEP005 Gel for treatment of the head</w:t>
      </w:r>
      <w:r w:rsidR="003658C0">
        <w:rPr>
          <w:color w:val="000000"/>
        </w:rPr>
        <w:t xml:space="preserve"> </w:t>
      </w:r>
      <w:r w:rsidRPr="006A162E">
        <w:rPr>
          <w:color w:val="000000"/>
        </w:rPr>
        <w:t>locations, i.e., 0.015% applied topically for three consecutive days (Days 1, 2, and 3).</w:t>
      </w:r>
    </w:p>
    <w:p w:rsidR="002E6F0C" w:rsidRDefault="002E6F0C" w:rsidP="002E6F0C">
      <w:pPr>
        <w:autoSpaceDE w:val="0"/>
        <w:autoSpaceDN w:val="0"/>
        <w:adjustRightInd w:val="0"/>
      </w:pPr>
      <w:r w:rsidRPr="006A162E">
        <w:rPr>
          <w:color w:val="000000"/>
        </w:rPr>
        <w:t>PEP005-015 was a dose-ranging study that included the proposed dosage regimen treatment</w:t>
      </w:r>
      <w:r w:rsidR="003658C0">
        <w:rPr>
          <w:color w:val="000000"/>
        </w:rPr>
        <w:t xml:space="preserve"> </w:t>
      </w:r>
      <w:r w:rsidRPr="006A162E">
        <w:rPr>
          <w:color w:val="000000"/>
        </w:rPr>
        <w:t>on head locations. These three studies were randomised, double-blind, vehicle-controlled,</w:t>
      </w:r>
      <w:r w:rsidR="003658C0">
        <w:rPr>
          <w:color w:val="000000"/>
        </w:rPr>
        <w:t xml:space="preserve"> </w:t>
      </w:r>
      <w:r w:rsidRPr="006A162E">
        <w:rPr>
          <w:color w:val="000000"/>
        </w:rPr>
        <w:t xml:space="preserve">parallel </w:t>
      </w:r>
      <w:r w:rsidRPr="006A162E">
        <w:rPr>
          <w:color w:val="000000"/>
        </w:rPr>
        <w:lastRenderedPageBreak/>
        <w:t>group studies. Study medication was supplied as unit-dose tubes and patient-applied</w:t>
      </w:r>
      <w:r w:rsidR="003658C0">
        <w:rPr>
          <w:color w:val="000000"/>
        </w:rPr>
        <w:t xml:space="preserve"> </w:t>
      </w:r>
      <w:r w:rsidRPr="006A162E">
        <w:rPr>
          <w:color w:val="000000"/>
        </w:rPr>
        <w:t>at home to a contiguous 25 cm</w:t>
      </w:r>
      <w:r w:rsidRPr="006A162E">
        <w:rPr>
          <w:color w:val="000000"/>
          <w:vertAlign w:val="superscript"/>
        </w:rPr>
        <w:t>2</w:t>
      </w:r>
      <w:r w:rsidRPr="006A162E">
        <w:rPr>
          <w:color w:val="000000"/>
          <w:sz w:val="16"/>
          <w:szCs w:val="16"/>
        </w:rPr>
        <w:t xml:space="preserve"> </w:t>
      </w:r>
      <w:r w:rsidRPr="006A162E">
        <w:rPr>
          <w:color w:val="000000"/>
        </w:rPr>
        <w:t>treatment area.</w:t>
      </w:r>
      <w:r w:rsidRPr="00AD6B07">
        <w:t xml:space="preserve"> </w:t>
      </w:r>
      <w:r>
        <w:t>Results are included below.</w:t>
      </w:r>
    </w:p>
    <w:p w:rsidR="002E6F0C" w:rsidRDefault="003658C0" w:rsidP="000C4F44">
      <w:pPr>
        <w:pStyle w:val="TableTitle"/>
      </w:pPr>
      <w:r>
        <w:t>Table 18. Efficacy Results in Individual Studies of Interest and Combined Studies Populations. Head Locations. ITT population.</w:t>
      </w:r>
    </w:p>
    <w:p w:rsidR="002E6F0C" w:rsidRDefault="002E6F0C" w:rsidP="000C4F44">
      <w:r>
        <w:rPr>
          <w:noProof/>
          <w:lang w:eastAsia="en-AU"/>
        </w:rPr>
        <w:drawing>
          <wp:inline distT="0" distB="0" distL="0" distR="0">
            <wp:extent cx="6305152" cy="3743325"/>
            <wp:effectExtent l="19050" t="0" r="398" b="0"/>
            <wp:docPr id="27" name="Picture 27" descr="Table 18. Efficacy Results in Individual Studies of Interest and Combined Studies Populations. Head Loc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64" b="4668"/>
                    <a:stretch>
                      <a:fillRect/>
                    </a:stretch>
                  </pic:blipFill>
                  <pic:spPr bwMode="auto">
                    <a:xfrm>
                      <a:off x="0" y="0"/>
                      <a:ext cx="6312471" cy="3747670"/>
                    </a:xfrm>
                    <a:prstGeom prst="rect">
                      <a:avLst/>
                    </a:prstGeom>
                    <a:noFill/>
                    <a:ln>
                      <a:noFill/>
                    </a:ln>
                  </pic:spPr>
                </pic:pic>
              </a:graphicData>
            </a:graphic>
          </wp:inline>
        </w:drawing>
      </w:r>
    </w:p>
    <w:p w:rsidR="000C4F44" w:rsidRDefault="000A3993" w:rsidP="000C4F44">
      <w:pPr>
        <w:pStyle w:val="TableTitle"/>
      </w:pPr>
      <w:r>
        <w:lastRenderedPageBreak/>
        <w:t>Table 19. Recurrence: Head Locations</w:t>
      </w:r>
    </w:p>
    <w:p w:rsidR="000A3993" w:rsidRDefault="00CE46E8" w:rsidP="00235844">
      <w:r>
        <w:rPr>
          <w:noProof/>
          <w:lang w:eastAsia="en-AU"/>
        </w:rPr>
        <w:drawing>
          <wp:inline distT="0" distB="0" distL="0" distR="0">
            <wp:extent cx="5353050" cy="4810125"/>
            <wp:effectExtent l="19050" t="0" r="0" b="0"/>
            <wp:docPr id="93" name="Picture 28" descr="Table 19. Recurrence: 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07" b="4007"/>
                    <a:stretch>
                      <a:fillRect/>
                    </a:stretch>
                  </pic:blipFill>
                  <pic:spPr bwMode="auto">
                    <a:xfrm>
                      <a:off x="0" y="0"/>
                      <a:ext cx="5353050" cy="4810125"/>
                    </a:xfrm>
                    <a:prstGeom prst="rect">
                      <a:avLst/>
                    </a:prstGeom>
                    <a:noFill/>
                    <a:ln>
                      <a:noFill/>
                    </a:ln>
                  </pic:spPr>
                </pic:pic>
              </a:graphicData>
            </a:graphic>
          </wp:inline>
        </w:drawing>
      </w:r>
    </w:p>
    <w:p w:rsidR="002E6F0C" w:rsidRDefault="002E6F0C" w:rsidP="002E6F0C">
      <w:pPr>
        <w:autoSpaceDE w:val="0"/>
        <w:autoSpaceDN w:val="0"/>
        <w:adjustRightInd w:val="0"/>
      </w:pPr>
      <w:r w:rsidRPr="006A162E">
        <w:rPr>
          <w:color w:val="000000"/>
        </w:rPr>
        <w:t>In order to further evaluate efficacy for the trunk and extremities indication, data were pooled across studies and referred to as “combined studies populations”. Two combined studies populations were presented. One combined studies population pooled data from PEP005-014</w:t>
      </w:r>
      <w:r w:rsidRPr="006A162E">
        <w:rPr>
          <w:color w:val="0000FF"/>
        </w:rPr>
        <w:t xml:space="preserve"> </w:t>
      </w:r>
      <w:r w:rsidRPr="006A162E">
        <w:rPr>
          <w:color w:val="000000"/>
        </w:rPr>
        <w:t>and PEP005-028 and another pooled data from PEP005-014, PEP005-028, and PEP005-006.</w:t>
      </w:r>
      <w:r w:rsidR="000A3993">
        <w:rPr>
          <w:color w:val="000000"/>
        </w:rPr>
        <w:t xml:space="preserve"> </w:t>
      </w:r>
      <w:r w:rsidRPr="006A162E">
        <w:rPr>
          <w:color w:val="000000"/>
        </w:rPr>
        <w:t xml:space="preserve">PEP005-014 and PEP005-028 were the adequate and well-controlled </w:t>
      </w:r>
      <w:r w:rsidR="00631F91" w:rsidRPr="00631F91">
        <w:rPr>
          <w:color w:val="000000"/>
        </w:rPr>
        <w:t>Phase III</w:t>
      </w:r>
      <w:r w:rsidRPr="006A162E">
        <w:rPr>
          <w:color w:val="000000"/>
        </w:rPr>
        <w:t xml:space="preserve"> studies that</w:t>
      </w:r>
      <w:r w:rsidR="000A3993">
        <w:rPr>
          <w:color w:val="000000"/>
        </w:rPr>
        <w:t xml:space="preserve"> </w:t>
      </w:r>
      <w:r w:rsidRPr="006A162E">
        <w:rPr>
          <w:color w:val="000000"/>
        </w:rPr>
        <w:t>evaluated the proposed dosage regimen for approval of PEP005 Gel for treatment of non-head</w:t>
      </w:r>
      <w:r w:rsidR="000A3993">
        <w:rPr>
          <w:color w:val="000000"/>
        </w:rPr>
        <w:t xml:space="preserve"> </w:t>
      </w:r>
      <w:r w:rsidRPr="006A162E">
        <w:rPr>
          <w:color w:val="000000"/>
        </w:rPr>
        <w:t>locations, i.e., 0.05% applied topically for two consecutive days (Days 1 and 2). Unit-dose</w:t>
      </w:r>
      <w:r w:rsidR="000A3993">
        <w:rPr>
          <w:color w:val="000000"/>
        </w:rPr>
        <w:t xml:space="preserve"> </w:t>
      </w:r>
      <w:r w:rsidRPr="006A162E">
        <w:rPr>
          <w:color w:val="000000"/>
        </w:rPr>
        <w:t>tubes were used for study medication application by the patient at home in these two studies</w:t>
      </w:r>
      <w:r w:rsidR="000A3993">
        <w:rPr>
          <w:color w:val="000000"/>
        </w:rPr>
        <w:t xml:space="preserve"> </w:t>
      </w:r>
      <w:r w:rsidRPr="006A162E">
        <w:rPr>
          <w:color w:val="000000"/>
        </w:rPr>
        <w:t>(PEP005-014 and PEP005-28). PEP005-006 was a dose-ranging study that included the</w:t>
      </w:r>
      <w:r w:rsidR="000A3993">
        <w:rPr>
          <w:color w:val="000000"/>
        </w:rPr>
        <w:t xml:space="preserve"> </w:t>
      </w:r>
      <w:r w:rsidRPr="000A3993">
        <w:t>proposed dosage regimen for approval of PEP005 Gel. Results are included below.</w:t>
      </w:r>
    </w:p>
    <w:p w:rsidR="003E365A" w:rsidRDefault="003E365A" w:rsidP="000A3993">
      <w:pPr>
        <w:pStyle w:val="FigureTitle"/>
        <w:keepNext/>
        <w:sectPr w:rsidR="003E365A" w:rsidSect="008D770F">
          <w:headerReference w:type="even" r:id="rId43"/>
          <w:headerReference w:type="default" r:id="rId44"/>
          <w:footerReference w:type="default" r:id="rId45"/>
          <w:headerReference w:type="first" r:id="rId46"/>
          <w:footerReference w:type="first" r:id="rId47"/>
          <w:pgSz w:w="11906" w:h="16838" w:code="9"/>
          <w:pgMar w:top="1440" w:right="1440" w:bottom="1440" w:left="1440" w:header="907" w:footer="216" w:gutter="0"/>
          <w:cols w:space="708"/>
          <w:docGrid w:linePitch="360"/>
        </w:sectPr>
      </w:pPr>
    </w:p>
    <w:p w:rsidR="000A3993" w:rsidRPr="000A3993" w:rsidRDefault="000A3993" w:rsidP="00235844">
      <w:pPr>
        <w:pStyle w:val="TableTitle"/>
      </w:pPr>
      <w:r>
        <w:lastRenderedPageBreak/>
        <w:t>Table 20. Efficacy Results in Individual Studies of Interest and Combined Studies Populations. Non-Head Locations. ITT population</w:t>
      </w:r>
    </w:p>
    <w:p w:rsidR="003E365A" w:rsidRDefault="002E6F0C" w:rsidP="00235844">
      <w:pPr>
        <w:sectPr w:rsidR="003E365A" w:rsidSect="003E365A">
          <w:footerReference w:type="default" r:id="rId48"/>
          <w:pgSz w:w="16838" w:h="11906" w:orient="landscape" w:code="9"/>
          <w:pgMar w:top="1440" w:right="1440" w:bottom="1440" w:left="1440" w:header="907" w:footer="216" w:gutter="0"/>
          <w:cols w:space="708"/>
          <w:docGrid w:linePitch="360"/>
        </w:sectPr>
      </w:pPr>
      <w:r>
        <w:rPr>
          <w:noProof/>
          <w:lang w:eastAsia="en-AU"/>
        </w:rPr>
        <w:drawing>
          <wp:inline distT="0" distB="0" distL="0" distR="0">
            <wp:extent cx="8453422" cy="3962400"/>
            <wp:effectExtent l="19050" t="0" r="4778" b="0"/>
            <wp:docPr id="29" name="Picture 29" descr="Table 20. Efficacy Results in Individual Studies of Interest and Combined Studies Populations. Non-Head Loc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05" b="9313"/>
                    <a:stretch>
                      <a:fillRect/>
                    </a:stretch>
                  </pic:blipFill>
                  <pic:spPr bwMode="auto">
                    <a:xfrm>
                      <a:off x="0" y="0"/>
                      <a:ext cx="8463105" cy="3966939"/>
                    </a:xfrm>
                    <a:prstGeom prst="rect">
                      <a:avLst/>
                    </a:prstGeom>
                    <a:noFill/>
                    <a:ln>
                      <a:noFill/>
                    </a:ln>
                  </pic:spPr>
                </pic:pic>
              </a:graphicData>
            </a:graphic>
          </wp:inline>
        </w:drawing>
      </w:r>
    </w:p>
    <w:p w:rsidR="000A3993" w:rsidRPr="00D46584" w:rsidRDefault="000A3993" w:rsidP="00235844">
      <w:pPr>
        <w:pStyle w:val="TableTitle"/>
      </w:pPr>
      <w:r>
        <w:lastRenderedPageBreak/>
        <w:t>Table 21. Recurrence: Non-Head Locations</w:t>
      </w:r>
    </w:p>
    <w:p w:rsidR="002E6F0C" w:rsidRPr="00D46584" w:rsidRDefault="002E6F0C" w:rsidP="00235844">
      <w:r>
        <w:rPr>
          <w:noProof/>
          <w:lang w:eastAsia="en-AU"/>
        </w:rPr>
        <w:drawing>
          <wp:inline distT="0" distB="0" distL="0" distR="0">
            <wp:extent cx="5005454" cy="4572000"/>
            <wp:effectExtent l="19050" t="0" r="4696" b="0"/>
            <wp:docPr id="30" name="Picture 30" descr="Table 21. Recurrence: Non-Hea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03" b="5045"/>
                    <a:stretch>
                      <a:fillRect/>
                    </a:stretch>
                  </pic:blipFill>
                  <pic:spPr bwMode="auto">
                    <a:xfrm>
                      <a:off x="0" y="0"/>
                      <a:ext cx="5005454" cy="4572000"/>
                    </a:xfrm>
                    <a:prstGeom prst="rect">
                      <a:avLst/>
                    </a:prstGeom>
                    <a:noFill/>
                    <a:ln>
                      <a:noFill/>
                    </a:ln>
                  </pic:spPr>
                </pic:pic>
              </a:graphicData>
            </a:graphic>
          </wp:inline>
        </w:drawing>
      </w:r>
    </w:p>
    <w:p w:rsidR="002E6F0C" w:rsidRDefault="002E6F0C" w:rsidP="00235844">
      <w:pPr>
        <w:pStyle w:val="Heading3"/>
      </w:pPr>
      <w:bookmarkStart w:id="92" w:name="_Toc241374313"/>
      <w:bookmarkStart w:id="93" w:name="_Toc314158746"/>
      <w:bookmarkStart w:id="94" w:name="_Toc367127759"/>
      <w:r>
        <w:t>Supportive studies</w:t>
      </w:r>
      <w:bookmarkEnd w:id="92"/>
      <w:bookmarkEnd w:id="93"/>
      <w:bookmarkEnd w:id="94"/>
    </w:p>
    <w:p w:rsidR="002E6F0C" w:rsidRDefault="00235844" w:rsidP="000A3993">
      <w:pPr>
        <w:pStyle w:val="Heading4"/>
      </w:pPr>
      <w:r>
        <w:t>Head and s</w:t>
      </w:r>
      <w:r w:rsidR="002E6F0C" w:rsidRPr="00F14531">
        <w:t xml:space="preserve">calp </w:t>
      </w:r>
      <w:r>
        <w:t>i</w:t>
      </w:r>
      <w:r w:rsidR="002E6F0C" w:rsidRPr="00F14531">
        <w:t>ndication</w:t>
      </w:r>
    </w:p>
    <w:p w:rsidR="002E6F0C" w:rsidRPr="00DB6460" w:rsidRDefault="002E6F0C" w:rsidP="00235844">
      <w:pPr>
        <w:pStyle w:val="Heading5"/>
      </w:pPr>
      <w:r w:rsidRPr="00DB6460">
        <w:t>PEP005-006</w:t>
      </w:r>
    </w:p>
    <w:p w:rsidR="000A3993" w:rsidRDefault="002E6F0C" w:rsidP="002E6F0C">
      <w:r>
        <w:t>This study was a multi-centre, randomised, double-blind, double dummy, vehicle-controlled sequential cohort study conducted in the USA between September 2006 and June 2007. The primary objectives of the study were t</w:t>
      </w:r>
      <w:r w:rsidRPr="001418A7">
        <w:t>o evaluate the safety and tolerability of 0.025% and 0.05% PEP005 Topical Gel compared to vehicle gel,</w:t>
      </w:r>
      <w:r>
        <w:t xml:space="preserve"> </w:t>
      </w:r>
      <w:r w:rsidRPr="001418A7">
        <w:t>administered according to 2 treatment schedules, Day 2 and Day 3 (0.05%) or Day 1, Day 2, and Day 3</w:t>
      </w:r>
      <w:r>
        <w:t xml:space="preserve"> </w:t>
      </w:r>
      <w:r w:rsidRPr="001418A7">
        <w:t>(0.025% and 0.05%) to a 25-cm</w:t>
      </w:r>
      <w:r w:rsidRPr="001418A7">
        <w:rPr>
          <w:vertAlign w:val="superscript"/>
        </w:rPr>
        <w:t>2</w:t>
      </w:r>
      <w:r w:rsidRPr="001418A7">
        <w:t xml:space="preserve"> contiguous </w:t>
      </w:r>
      <w:r>
        <w:t>SK</w:t>
      </w:r>
      <w:r w:rsidRPr="001418A7">
        <w:t xml:space="preserve"> treatment area</w:t>
      </w:r>
      <w:r>
        <w:t>, and t</w:t>
      </w:r>
      <w:r w:rsidRPr="001418A7">
        <w:t>o evaluate the efficacy of 0.025% and 0.05% PEP005 Topical Gel compared to vehicle gel when</w:t>
      </w:r>
      <w:r>
        <w:t xml:space="preserve"> </w:t>
      </w:r>
      <w:r w:rsidRPr="001418A7">
        <w:t>administered according to 2 treatment schedules, Day 2 and Day 3 (0.05%) or Day 1, Day 2, and Day 3</w:t>
      </w:r>
      <w:r>
        <w:t xml:space="preserve"> </w:t>
      </w:r>
      <w:r w:rsidRPr="001418A7">
        <w:t>(0.025% and 0.05%) to a 25-cm</w:t>
      </w:r>
      <w:r w:rsidRPr="001418A7">
        <w:rPr>
          <w:vertAlign w:val="superscript"/>
        </w:rPr>
        <w:t>2</w:t>
      </w:r>
      <w:r w:rsidRPr="001418A7">
        <w:t xml:space="preserve"> contiguous </w:t>
      </w:r>
      <w:r>
        <w:t>S</w:t>
      </w:r>
      <w:r w:rsidRPr="001418A7">
        <w:t>K treatment area.</w:t>
      </w:r>
      <w:r w:rsidRPr="00107429">
        <w:rPr>
          <w:rFonts w:ascii="ArialMT" w:hAnsi="ArialMT" w:cs="ArialMT"/>
          <w:sz w:val="16"/>
          <w:szCs w:val="16"/>
        </w:rPr>
        <w:t xml:space="preserve"> </w:t>
      </w:r>
      <w:r w:rsidRPr="00107429">
        <w:t>The study included</w:t>
      </w:r>
      <w:r>
        <w:t xml:space="preserve"> </w:t>
      </w:r>
      <w:r w:rsidRPr="00107429">
        <w:t xml:space="preserve">2 treatment phase cohorts. During Treatment </w:t>
      </w:r>
      <w:r w:rsidR="00631F91" w:rsidRPr="00631F91">
        <w:t>Phase I</w:t>
      </w:r>
      <w:r w:rsidRPr="00107429">
        <w:t>, patients were randomly assigned to 1 of 3 treatment</w:t>
      </w:r>
      <w:r>
        <w:t xml:space="preserve"> </w:t>
      </w:r>
      <w:r w:rsidRPr="00107429">
        <w:t>groups: vehicle gel applied on Days 1, 2, and 3; 0.025% PEP005 Topical Gel applied on Days 1, 2, and 3; or</w:t>
      </w:r>
      <w:r>
        <w:t xml:space="preserve"> </w:t>
      </w:r>
      <w:r w:rsidRPr="00107429">
        <w:t>vehicle gel applied on Day 1 and 0.05% PEP005 Topical Gel applied on Days 2 and 3</w:t>
      </w:r>
      <w:r w:rsidRPr="001418A7">
        <w:t>.</w:t>
      </w:r>
      <w:r w:rsidRPr="00107429">
        <w:rPr>
          <w:rFonts w:ascii="ArialMT" w:hAnsi="ArialMT" w:cs="ArialMT"/>
          <w:sz w:val="16"/>
          <w:szCs w:val="16"/>
        </w:rPr>
        <w:t xml:space="preserve"> </w:t>
      </w:r>
      <w:r w:rsidRPr="00107429">
        <w:t xml:space="preserve">During Treatment </w:t>
      </w:r>
      <w:r w:rsidR="00631F91" w:rsidRPr="00631F91">
        <w:t>Phase II</w:t>
      </w:r>
      <w:r w:rsidRPr="00107429">
        <w:t>, the 0.025% PEP005 Topical Gel</w:t>
      </w:r>
      <w:r>
        <w:t xml:space="preserve"> </w:t>
      </w:r>
      <w:r w:rsidRPr="00107429">
        <w:t>dose was eliminated and patients were randomly assigned to 1 of the 3 following treatment groups: vehicle gel</w:t>
      </w:r>
      <w:r>
        <w:t xml:space="preserve"> </w:t>
      </w:r>
      <w:r w:rsidRPr="00107429">
        <w:t>applied on Days 1, 2, and 3; vehicle gel applied on Day 1 and 0.05% PEP005 Topical Gel applied on</w:t>
      </w:r>
      <w:r>
        <w:t xml:space="preserve"> </w:t>
      </w:r>
      <w:r w:rsidRPr="00107429">
        <w:t xml:space="preserve">Days 2 and 3; or 0.05% PEP005 Topical Gel </w:t>
      </w:r>
      <w:r>
        <w:t>applied</w:t>
      </w:r>
      <w:r w:rsidRPr="00107429">
        <w:t xml:space="preserve"> on Days 1, 2, and 3.</w:t>
      </w:r>
      <w:r>
        <w:t xml:space="preserve"> This is illustrated </w:t>
      </w:r>
      <w:r w:rsidR="000A3993">
        <w:t>in Table 2</w:t>
      </w:r>
      <w:r w:rsidR="00281572">
        <w:t>2</w:t>
      </w:r>
      <w:r w:rsidR="000A3993">
        <w:t xml:space="preserve"> below.</w:t>
      </w:r>
    </w:p>
    <w:p w:rsidR="002E6F0C" w:rsidRDefault="000A3993" w:rsidP="00235844">
      <w:pPr>
        <w:pStyle w:val="TableTitle"/>
      </w:pPr>
      <w:r>
        <w:lastRenderedPageBreak/>
        <w:t>Table 2</w:t>
      </w:r>
      <w:r w:rsidR="00281572">
        <w:t>2</w:t>
      </w:r>
      <w:r>
        <w:t>. Treatment in Phase 1 and Phase 2: 3 dosing groups</w:t>
      </w:r>
    </w:p>
    <w:p w:rsidR="00235844" w:rsidRDefault="002E6F0C" w:rsidP="00235844">
      <w:r>
        <w:rPr>
          <w:noProof/>
          <w:lang w:eastAsia="en-AU"/>
        </w:rPr>
        <w:drawing>
          <wp:inline distT="0" distB="0" distL="0" distR="0">
            <wp:extent cx="5923915" cy="2085975"/>
            <wp:effectExtent l="19050" t="0" r="635" b="0"/>
            <wp:docPr id="31" name="Picture 31" descr="Table 22. Treatment in Phase 1 and Phase 2: 3 dos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10"/>
                    <a:stretch>
                      <a:fillRect/>
                    </a:stretch>
                  </pic:blipFill>
                  <pic:spPr bwMode="auto">
                    <a:xfrm>
                      <a:off x="0" y="0"/>
                      <a:ext cx="5923915" cy="2085975"/>
                    </a:xfrm>
                    <a:prstGeom prst="rect">
                      <a:avLst/>
                    </a:prstGeom>
                    <a:noFill/>
                    <a:ln>
                      <a:noFill/>
                    </a:ln>
                  </pic:spPr>
                </pic:pic>
              </a:graphicData>
            </a:graphic>
          </wp:inline>
        </w:drawing>
      </w:r>
    </w:p>
    <w:p w:rsidR="002E6F0C" w:rsidRDefault="002E6F0C" w:rsidP="00235844">
      <w:r w:rsidRPr="00107429">
        <w:t>Clinical response to treatment with PEP005 Topical Gel was determined at each post-treatment visit by assessing</w:t>
      </w:r>
      <w:r>
        <w:t xml:space="preserve"> </w:t>
      </w:r>
      <w:r w:rsidRPr="00107429">
        <w:t xml:space="preserve">the clearance of </w:t>
      </w:r>
      <w:r>
        <w:t>S</w:t>
      </w:r>
      <w:r w:rsidRPr="00107429">
        <w:t>K lesions identified at baseline (presence/absence), assessing the number of subclinical lesions</w:t>
      </w:r>
      <w:r>
        <w:t xml:space="preserve"> </w:t>
      </w:r>
      <w:r w:rsidRPr="00107429">
        <w:t>appearing/emerging that were not clinically identifiable at baseline within the selected treatment area, and</w:t>
      </w:r>
      <w:r>
        <w:t xml:space="preserve"> </w:t>
      </w:r>
      <w:r w:rsidRPr="00107429">
        <w:t>assessing patient satisfaction of treatment outcome at Day 57.</w:t>
      </w:r>
      <w:r w:rsidRPr="00F745A4">
        <w:rPr>
          <w:rFonts w:ascii="ArialMT" w:hAnsi="ArialMT" w:cs="ArialMT"/>
          <w:sz w:val="16"/>
          <w:szCs w:val="16"/>
        </w:rPr>
        <w:t xml:space="preserve"> </w:t>
      </w:r>
      <w:r w:rsidRPr="00F745A4">
        <w:t>A total of 222 patients were enrolled in the study</w:t>
      </w:r>
      <w:r>
        <w:t>. Subjects were m</w:t>
      </w:r>
      <w:r w:rsidRPr="00F745A4">
        <w:t>ale and postmenopausal female patients who were at least 18 years of age with 4 to 8 clinically typical, visible</w:t>
      </w:r>
      <w:r>
        <w:t xml:space="preserve"> </w:t>
      </w:r>
      <w:r w:rsidRPr="00F745A4">
        <w:t xml:space="preserve">and discrete </w:t>
      </w:r>
      <w:r>
        <w:t>S</w:t>
      </w:r>
      <w:r w:rsidRPr="00F745A4">
        <w:t>K lesions within a contiguous 25</w:t>
      </w:r>
      <w:r w:rsidR="000A3993">
        <w:t xml:space="preserve"> </w:t>
      </w:r>
      <w:r w:rsidRPr="00F745A4">
        <w:t>cm</w:t>
      </w:r>
      <w:r w:rsidRPr="00F745A4">
        <w:rPr>
          <w:vertAlign w:val="superscript"/>
        </w:rPr>
        <w:t>2</w:t>
      </w:r>
      <w:r w:rsidRPr="00F745A4">
        <w:t xml:space="preserve"> </w:t>
      </w:r>
      <w:r>
        <w:t>treatment</w:t>
      </w:r>
      <w:r w:rsidRPr="00F745A4">
        <w:t xml:space="preserve"> area on the arm, shoulder, chest, back, or scalp</w:t>
      </w:r>
      <w:r>
        <w:t xml:space="preserve">. </w:t>
      </w:r>
      <w:r w:rsidRPr="00F745A4">
        <w:t>Clinical response to treatment with PEP005 Topical Gel was determined at each post-treatment visit by assessing</w:t>
      </w:r>
      <w:r>
        <w:t xml:space="preserve"> </w:t>
      </w:r>
      <w:r w:rsidRPr="00F745A4">
        <w:t xml:space="preserve">the clearance of </w:t>
      </w:r>
      <w:r>
        <w:t>S</w:t>
      </w:r>
      <w:r w:rsidRPr="00F745A4">
        <w:t>K lesions identified at baseline (presence/absence), assessing the number of subclinical lesions</w:t>
      </w:r>
      <w:r>
        <w:t xml:space="preserve"> </w:t>
      </w:r>
      <w:r w:rsidRPr="00F745A4">
        <w:t>appearing/emerging that were not clinically identifiable at baseline within the selected treatment area, and</w:t>
      </w:r>
      <w:r>
        <w:t xml:space="preserve"> </w:t>
      </w:r>
      <w:r w:rsidRPr="00F745A4">
        <w:t>assessing patient satisfaction of treatment outcome at Day 57.</w:t>
      </w:r>
      <w:r w:rsidRPr="00F97361">
        <w:rPr>
          <w:rFonts w:ascii="ArialMT" w:hAnsi="ArialMT" w:cs="ArialMT"/>
          <w:sz w:val="16"/>
          <w:szCs w:val="16"/>
        </w:rPr>
        <w:t xml:space="preserve"> </w:t>
      </w:r>
      <w:r w:rsidRPr="00F97361">
        <w:t>Efficacy endpoints were analysed for the modified Intent-to-Treat (mITT) Population with a Per Protocol (PP)</w:t>
      </w:r>
      <w:r>
        <w:t xml:space="preserve"> </w:t>
      </w:r>
      <w:r w:rsidRPr="00F97361">
        <w:t>Population as supplemental information for the primary and secondary efficacy endpoints. The chi-square test was</w:t>
      </w:r>
      <w:r>
        <w:t xml:space="preserve"> </w:t>
      </w:r>
      <w:r w:rsidRPr="00F97361">
        <w:t xml:space="preserve">used to analyse complete </w:t>
      </w:r>
      <w:r>
        <w:t>SK</w:t>
      </w:r>
      <w:r w:rsidRPr="00F97361">
        <w:t xml:space="preserve"> clearance, baseline </w:t>
      </w:r>
      <w:r>
        <w:t>S</w:t>
      </w:r>
      <w:r w:rsidRPr="00F97361">
        <w:t>K lesion clearance, and partial clearance rate at end of study.</w:t>
      </w:r>
      <w:r>
        <w:t xml:space="preserve"> </w:t>
      </w:r>
      <w:r w:rsidRPr="00F97361">
        <w:t>The 95% CIs were determined using binomial approximation to the normal distribution. Median percentage</w:t>
      </w:r>
      <w:r>
        <w:t xml:space="preserve"> </w:t>
      </w:r>
      <w:r w:rsidRPr="00F97361">
        <w:t>reduction was analysed across treatment groups using the Kruskal-Wallis test and between treatment groups</w:t>
      </w:r>
      <w:r>
        <w:t xml:space="preserve"> </w:t>
      </w:r>
      <w:r w:rsidRPr="00F97361">
        <w:t xml:space="preserve">using the Wilcoxon Rank Sum test. The time to initial complete </w:t>
      </w:r>
      <w:r>
        <w:t>S</w:t>
      </w:r>
      <w:r w:rsidRPr="00F97361">
        <w:t>K lesion clearance was estimated by the</w:t>
      </w:r>
      <w:r>
        <w:t xml:space="preserve"> </w:t>
      </w:r>
      <w:r w:rsidRPr="00F97361">
        <w:t>Kaplan-Meier product-limit method. Results from this study are included below</w:t>
      </w:r>
      <w:r w:rsidRPr="00F745A4">
        <w:t>.</w:t>
      </w:r>
    </w:p>
    <w:p w:rsidR="000A3993" w:rsidRDefault="000A3993" w:rsidP="00235844">
      <w:pPr>
        <w:pStyle w:val="TableTitle"/>
      </w:pPr>
      <w:r>
        <w:lastRenderedPageBreak/>
        <w:t>Table 2</w:t>
      </w:r>
      <w:r w:rsidR="00281572">
        <w:t>3</w:t>
      </w:r>
      <w:r>
        <w:t>. Partial clearance rate at Day 57. mITT Population</w:t>
      </w:r>
    </w:p>
    <w:p w:rsidR="002E6F0C" w:rsidRDefault="002E6F0C" w:rsidP="00235844">
      <w:r>
        <w:rPr>
          <w:noProof/>
          <w:lang w:eastAsia="en-AU"/>
        </w:rPr>
        <w:drawing>
          <wp:inline distT="0" distB="0" distL="0" distR="0">
            <wp:extent cx="4905375" cy="3212198"/>
            <wp:effectExtent l="19050" t="0" r="9525" b="0"/>
            <wp:docPr id="32" name="Picture 32" descr="Table 23. Partial clearance rate at Day 57.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65" b="7188"/>
                    <a:stretch>
                      <a:fillRect/>
                    </a:stretch>
                  </pic:blipFill>
                  <pic:spPr bwMode="auto">
                    <a:xfrm>
                      <a:off x="0" y="0"/>
                      <a:ext cx="4911826" cy="3216422"/>
                    </a:xfrm>
                    <a:prstGeom prst="rect">
                      <a:avLst/>
                    </a:prstGeom>
                    <a:noFill/>
                    <a:ln>
                      <a:noFill/>
                    </a:ln>
                  </pic:spPr>
                </pic:pic>
              </a:graphicData>
            </a:graphic>
          </wp:inline>
        </w:drawing>
      </w:r>
    </w:p>
    <w:p w:rsidR="000A3993" w:rsidRDefault="000A3993" w:rsidP="00235844">
      <w:pPr>
        <w:pStyle w:val="TableTitle"/>
      </w:pPr>
      <w:r>
        <w:t>Table 2</w:t>
      </w:r>
      <w:r w:rsidR="00281572">
        <w:t>4</w:t>
      </w:r>
      <w:r>
        <w:t>. Complete</w:t>
      </w:r>
      <w:r w:rsidRPr="000A3993">
        <w:t xml:space="preserve"> clearance rate at Day 57. mITT Population</w:t>
      </w:r>
    </w:p>
    <w:p w:rsidR="000A3993" w:rsidRDefault="002E6F0C" w:rsidP="00235844">
      <w:r>
        <w:rPr>
          <w:noProof/>
          <w:lang w:eastAsia="en-AU"/>
        </w:rPr>
        <w:drawing>
          <wp:inline distT="0" distB="0" distL="0" distR="0">
            <wp:extent cx="5210175" cy="3353111"/>
            <wp:effectExtent l="19050" t="0" r="9525" b="0"/>
            <wp:docPr id="33" name="Picture 33" descr="Table 24. Complete clearance rate at Day 57.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63" b="7343"/>
                    <a:stretch>
                      <a:fillRect/>
                    </a:stretch>
                  </pic:blipFill>
                  <pic:spPr bwMode="auto">
                    <a:xfrm>
                      <a:off x="0" y="0"/>
                      <a:ext cx="5210175" cy="3353111"/>
                    </a:xfrm>
                    <a:prstGeom prst="rect">
                      <a:avLst/>
                    </a:prstGeom>
                    <a:noFill/>
                    <a:ln>
                      <a:noFill/>
                    </a:ln>
                  </pic:spPr>
                </pic:pic>
              </a:graphicData>
            </a:graphic>
          </wp:inline>
        </w:drawing>
      </w:r>
    </w:p>
    <w:p w:rsidR="000A3993" w:rsidRDefault="000A3993" w:rsidP="00235844">
      <w:pPr>
        <w:pStyle w:val="TableTitle"/>
      </w:pPr>
      <w:r>
        <w:lastRenderedPageBreak/>
        <w:t>Table 2</w:t>
      </w:r>
      <w:r w:rsidR="00281572">
        <w:t>5</w:t>
      </w:r>
      <w:r>
        <w:t>. Median percent reduction in AK lesions at the end of Study. mITT population.</w:t>
      </w:r>
    </w:p>
    <w:p w:rsidR="00235844" w:rsidRDefault="002E6F0C" w:rsidP="00235844">
      <w:r>
        <w:rPr>
          <w:noProof/>
          <w:lang w:eastAsia="en-AU"/>
        </w:rPr>
        <w:drawing>
          <wp:inline distT="0" distB="0" distL="0" distR="0">
            <wp:extent cx="5419725" cy="1834091"/>
            <wp:effectExtent l="19050" t="0" r="9525" b="0"/>
            <wp:docPr id="34" name="Picture 34" descr="Table 25. Median percent reduction in AK lesions at the end of Study.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800" b="11185"/>
                    <a:stretch>
                      <a:fillRect/>
                    </a:stretch>
                  </pic:blipFill>
                  <pic:spPr bwMode="auto">
                    <a:xfrm>
                      <a:off x="0" y="0"/>
                      <a:ext cx="5428328" cy="1837002"/>
                    </a:xfrm>
                    <a:prstGeom prst="rect">
                      <a:avLst/>
                    </a:prstGeom>
                    <a:noFill/>
                    <a:ln>
                      <a:noFill/>
                    </a:ln>
                  </pic:spPr>
                </pic:pic>
              </a:graphicData>
            </a:graphic>
          </wp:inline>
        </w:drawing>
      </w:r>
    </w:p>
    <w:p w:rsidR="002E6F0C" w:rsidRDefault="002E6F0C" w:rsidP="00235844">
      <w:r w:rsidRPr="00405A39">
        <w:t>A statistically significant difference in partial clearance rate (</w:t>
      </w:r>
      <w:r w:rsidR="00405A39">
        <w:t>≥</w:t>
      </w:r>
      <w:r w:rsidRPr="00405A39">
        <w:t>75%) was observed for patients treated with PEP005 Topical Gel compared with vehicle gel. The partial clearance rate for patients treated with PEP005 Topical Gel ranged from 56.0% to 75.4% compared with vehicle gel (21.7%) (p = 0.0002 to p &lt; 0.0001). This</w:t>
      </w:r>
      <w:r w:rsidR="00405A39">
        <w:t xml:space="preserve"> ≥</w:t>
      </w:r>
      <w:r w:rsidRPr="00405A39">
        <w:t>75% clearance of baseline SK lesions was statistically significant across all dose levels (p &lt; 0.0001). Baseline clearance rate was statistically significantly higher (p&lt;0.0007) in the PEP005 Topical Gel treatment groups (range: 42.0% to 57.9% of patients) compared with the vehicle gel group (13.3% of patients). Baseline</w:t>
      </w:r>
      <w:r w:rsidR="00405A39">
        <w:t xml:space="preserve"> </w:t>
      </w:r>
      <w:r w:rsidRPr="00F97361">
        <w:t>clearance rate was statistically significant across all dose levels (p &lt; 0.0001).</w:t>
      </w:r>
      <w:r>
        <w:t xml:space="preserve"> </w:t>
      </w:r>
      <w:r w:rsidRPr="00F97361">
        <w:t>Complete clearance rate was also statistically higher (p&lt;0.0006) for patients in the PEP005 Topical Gel treatment</w:t>
      </w:r>
      <w:r>
        <w:t xml:space="preserve"> </w:t>
      </w:r>
      <w:r w:rsidRPr="00F97361">
        <w:t>groups (range: 40.0% to 54.4%) compared with vehicle gel (11.7%). Complete clearance rate was statistically</w:t>
      </w:r>
      <w:r>
        <w:t xml:space="preserve"> </w:t>
      </w:r>
      <w:r w:rsidRPr="00F97361">
        <w:t>significant across all dose levels (p &lt; 0.0001).</w:t>
      </w:r>
      <w:r>
        <w:t xml:space="preserve"> </w:t>
      </w:r>
      <w:r w:rsidRPr="00F97361">
        <w:t xml:space="preserve">The median percent reduction in the number of </w:t>
      </w:r>
      <w:r>
        <w:t>S</w:t>
      </w:r>
      <w:r w:rsidRPr="00F97361">
        <w:t>K lesions was statistically significantly higher (p &lt; 0.0001) in the</w:t>
      </w:r>
      <w:r>
        <w:t xml:space="preserve"> </w:t>
      </w:r>
      <w:r w:rsidRPr="00F97361">
        <w:t>PEP005 Topical Gel treatment groups (range: 75.0% to 100.0%) compared with vehicle gel (0.0%) and was</w:t>
      </w:r>
      <w:r>
        <w:t xml:space="preserve"> </w:t>
      </w:r>
      <w:r w:rsidRPr="00F97361">
        <w:t>statistically significant across all dose levels and the majority of patients had lesion clearance between Day 29 and</w:t>
      </w:r>
      <w:r>
        <w:t xml:space="preserve"> </w:t>
      </w:r>
      <w:r w:rsidRPr="00F97361">
        <w:t xml:space="preserve">Day 57. Overall, the proportion of patients with emergent subclinical </w:t>
      </w:r>
      <w:r>
        <w:t>S</w:t>
      </w:r>
      <w:r w:rsidRPr="00F97361">
        <w:t>K lesions was low (8.3%) across treatment</w:t>
      </w:r>
      <w:r>
        <w:t xml:space="preserve"> </w:t>
      </w:r>
      <w:r w:rsidRPr="00F97361">
        <w:t>groups and study visits.</w:t>
      </w:r>
    </w:p>
    <w:p w:rsidR="002E6F0C" w:rsidRPr="00DB6460" w:rsidRDefault="002E6F0C" w:rsidP="000A3993">
      <w:pPr>
        <w:pStyle w:val="Heading5"/>
      </w:pPr>
      <w:r w:rsidRPr="00DB6460">
        <w:t>PEP005-007</w:t>
      </w:r>
    </w:p>
    <w:p w:rsidR="002E6F0C" w:rsidRPr="00E33D47" w:rsidRDefault="002E6F0C" w:rsidP="002E6F0C">
      <w:pPr>
        <w:autoSpaceDE w:val="0"/>
        <w:autoSpaceDN w:val="0"/>
        <w:adjustRightInd w:val="0"/>
        <w:rPr>
          <w:rFonts w:eastAsia="TimesNewRomanPSMT"/>
          <w:color w:val="010202"/>
        </w:rPr>
      </w:pPr>
      <w:r>
        <w:t>This study was an open-label, multi-centre, dose-escalation, cohort study conducted in Australia and New Zealand between January and November 2007</w:t>
      </w:r>
      <w:r w:rsidRPr="00B908F7">
        <w:t>.</w:t>
      </w:r>
      <w:r w:rsidRPr="00B908F7">
        <w:rPr>
          <w:rFonts w:eastAsia="TimesNewRomanPSMT"/>
          <w:color w:val="010202"/>
          <w:sz w:val="19"/>
          <w:szCs w:val="19"/>
        </w:rPr>
        <w:t xml:space="preserve"> </w:t>
      </w:r>
      <w:r w:rsidRPr="00B908F7">
        <w:rPr>
          <w:rFonts w:eastAsia="TimesNewRomanPSMT"/>
          <w:color w:val="010202"/>
        </w:rPr>
        <w:t>The primary objective was to determine the optimal tolerated regimen of PEP005 Topical Gel when administered to</w:t>
      </w:r>
      <w:r>
        <w:rPr>
          <w:rFonts w:eastAsia="TimesNewRomanPSMT"/>
          <w:color w:val="010202"/>
        </w:rPr>
        <w:t xml:space="preserve"> </w:t>
      </w:r>
      <w:r w:rsidRPr="00B908F7">
        <w:rPr>
          <w:rFonts w:eastAsia="TimesNewRomanPSMT"/>
          <w:color w:val="010202"/>
        </w:rPr>
        <w:t>patients once daily as a two or three consecutive day application schedule to a 25 cm</w:t>
      </w:r>
      <w:r w:rsidRPr="00B908F7">
        <w:rPr>
          <w:rFonts w:eastAsia="TimesNewRomanPSMT"/>
          <w:color w:val="010202"/>
          <w:vertAlign w:val="superscript"/>
        </w:rPr>
        <w:t>2</w:t>
      </w:r>
      <w:r w:rsidRPr="00B908F7">
        <w:rPr>
          <w:rFonts w:eastAsia="TimesNewRomanPSMT"/>
          <w:color w:val="010202"/>
        </w:rPr>
        <w:t xml:space="preserve"> contiguous </w:t>
      </w:r>
      <w:r>
        <w:rPr>
          <w:rFonts w:eastAsia="TimesNewRomanPSMT"/>
          <w:color w:val="010202"/>
        </w:rPr>
        <w:t xml:space="preserve">SK </w:t>
      </w:r>
      <w:r w:rsidRPr="00B908F7">
        <w:rPr>
          <w:rFonts w:eastAsia="TimesNewRomanPSMT"/>
          <w:color w:val="010202"/>
        </w:rPr>
        <w:t>treatment area on the face or face and scalp.</w:t>
      </w:r>
      <w:r>
        <w:rPr>
          <w:rFonts w:eastAsia="TimesNewRomanPSMT"/>
          <w:color w:val="010202"/>
        </w:rPr>
        <w:t xml:space="preserve"> The </w:t>
      </w:r>
      <w:r w:rsidRPr="00E33D47">
        <w:rPr>
          <w:rFonts w:eastAsia="TimesNewRomanPSMT"/>
          <w:color w:val="010202"/>
        </w:rPr>
        <w:t>secondary objectives were to evaluate the efficacy of a two or three consecutive day application of PEP005 Topical</w:t>
      </w:r>
      <w:r>
        <w:rPr>
          <w:rFonts w:eastAsia="TimesNewRomanPSMT"/>
          <w:color w:val="010202"/>
        </w:rPr>
        <w:t xml:space="preserve"> </w:t>
      </w:r>
      <w:r w:rsidRPr="00E33D47">
        <w:rPr>
          <w:rFonts w:eastAsia="TimesNewRomanPSMT"/>
          <w:color w:val="010202"/>
        </w:rPr>
        <w:t>Gel, when applied once daily to a 25 cm</w:t>
      </w:r>
      <w:r w:rsidRPr="00405A39">
        <w:rPr>
          <w:rFonts w:eastAsia="TimesNewRomanPSMT"/>
          <w:color w:val="010202"/>
          <w:vertAlign w:val="superscript"/>
        </w:rPr>
        <w:t>2</w:t>
      </w:r>
      <w:r w:rsidRPr="00E33D47">
        <w:rPr>
          <w:rFonts w:eastAsia="TimesNewRomanPSMT"/>
          <w:color w:val="010202"/>
        </w:rPr>
        <w:t xml:space="preserve"> contiguous </w:t>
      </w:r>
      <w:r>
        <w:rPr>
          <w:rFonts w:eastAsia="TimesNewRomanPSMT"/>
          <w:color w:val="010202"/>
        </w:rPr>
        <w:t>S</w:t>
      </w:r>
      <w:r w:rsidRPr="00E33D47">
        <w:rPr>
          <w:rFonts w:eastAsia="TimesNewRomanPSMT"/>
          <w:color w:val="010202"/>
        </w:rPr>
        <w:t>K treatment area on the face or face and scalp. Efficacy</w:t>
      </w:r>
      <w:r>
        <w:rPr>
          <w:rFonts w:eastAsia="TimesNewRomanPSMT"/>
          <w:color w:val="010202"/>
        </w:rPr>
        <w:t xml:space="preserve"> </w:t>
      </w:r>
      <w:r w:rsidRPr="00E33D47">
        <w:rPr>
          <w:rFonts w:eastAsia="TimesNewRomanPSMT"/>
          <w:color w:val="010202"/>
        </w:rPr>
        <w:t>assessments were based on the following:</w:t>
      </w:r>
    </w:p>
    <w:p w:rsidR="002E6F0C" w:rsidRPr="00E75EAF" w:rsidRDefault="002E6F0C" w:rsidP="00E75EAF">
      <w:pPr>
        <w:pStyle w:val="ListBullet"/>
      </w:pPr>
      <w:r w:rsidRPr="00E33D47">
        <w:t>Determination of the partial clearance rate, defined as the proportion of patients at the Day 57 post-treatment</w:t>
      </w:r>
      <w:r>
        <w:t xml:space="preserve"> </w:t>
      </w:r>
      <w:r w:rsidRPr="00E33D47">
        <w:t>visit with a 75%</w:t>
      </w:r>
      <w:r w:rsidRPr="00E75EAF">
        <w:t xml:space="preserve"> or greater reduction in the number of SK lesions identified at baseline in the treatment area.</w:t>
      </w:r>
    </w:p>
    <w:p w:rsidR="002E6F0C" w:rsidRPr="00E33D47" w:rsidRDefault="002E6F0C" w:rsidP="00E75EAF">
      <w:pPr>
        <w:pStyle w:val="ListBullet"/>
      </w:pPr>
      <w:r w:rsidRPr="00E75EAF">
        <w:t>Determination of the complete clearance rate, def</w:t>
      </w:r>
      <w:r w:rsidRPr="00E33D47">
        <w:t>ined as the proportion of patients at the Day 57</w:t>
      </w:r>
      <w:r>
        <w:t xml:space="preserve"> </w:t>
      </w:r>
      <w:r w:rsidRPr="00E33D47">
        <w:t xml:space="preserve">post-treatment visit with no clinically visible </w:t>
      </w:r>
      <w:r>
        <w:t>S</w:t>
      </w:r>
      <w:r w:rsidRPr="00E33D47">
        <w:t>K lesions in the treatment area.</w:t>
      </w:r>
    </w:p>
    <w:p w:rsidR="002E6F0C" w:rsidRDefault="002E6F0C" w:rsidP="00405A39">
      <w:pPr>
        <w:pStyle w:val="ListBullet"/>
      </w:pPr>
      <w:r w:rsidRPr="00E33D47">
        <w:t>Determination of the baseline clearance rate, def</w:t>
      </w:r>
      <w:r w:rsidRPr="00E75EAF">
        <w:t>ined as</w:t>
      </w:r>
      <w:r w:rsidRPr="00E33D47">
        <w:t xml:space="preserve"> the proportion of patients at the Day 57 post-treatment</w:t>
      </w:r>
      <w:r>
        <w:t xml:space="preserve"> </w:t>
      </w:r>
      <w:r w:rsidRPr="00E33D47">
        <w:t xml:space="preserve">visit with 100% reduction in the number of </w:t>
      </w:r>
      <w:r>
        <w:t>S</w:t>
      </w:r>
      <w:r w:rsidRPr="00E33D47">
        <w:t>K lesions identified at baseline in the treatment area.</w:t>
      </w:r>
    </w:p>
    <w:p w:rsidR="002E6F0C" w:rsidRDefault="002E6F0C" w:rsidP="002E6F0C">
      <w:pPr>
        <w:autoSpaceDE w:val="0"/>
        <w:autoSpaceDN w:val="0"/>
        <w:adjustRightInd w:val="0"/>
        <w:rPr>
          <w:rFonts w:eastAsia="TimesNewRomanPSMT"/>
          <w:color w:val="010202"/>
        </w:rPr>
      </w:pPr>
      <w:r w:rsidRPr="00E33D47">
        <w:rPr>
          <w:rFonts w:eastAsia="TimesNewRomanPSMT"/>
          <w:color w:val="010202"/>
        </w:rPr>
        <w:t>A</w:t>
      </w:r>
      <w:r>
        <w:rPr>
          <w:rFonts w:eastAsia="TimesNewRomanPSMT"/>
          <w:color w:val="010202"/>
        </w:rPr>
        <w:t xml:space="preserve"> </w:t>
      </w:r>
      <w:r w:rsidRPr="00E33D47">
        <w:rPr>
          <w:rFonts w:eastAsia="TimesNewRomanPSMT"/>
          <w:color w:val="010202"/>
        </w:rPr>
        <w:t>dose escalation design was chosen with a cohort of three patients at each escalation level. Application of 0.025%</w:t>
      </w:r>
      <w:r>
        <w:rPr>
          <w:rFonts w:eastAsia="TimesNewRomanPSMT"/>
          <w:color w:val="010202"/>
        </w:rPr>
        <w:t xml:space="preserve"> </w:t>
      </w:r>
      <w:r w:rsidRPr="00E33D47">
        <w:rPr>
          <w:rFonts w:eastAsia="TimesNewRomanPSMT"/>
          <w:color w:val="010202"/>
        </w:rPr>
        <w:t>PEP005 Topical Gel applied once daily for three days and for two days was established as the dose limiting toxicity</w:t>
      </w:r>
      <w:r>
        <w:rPr>
          <w:rFonts w:eastAsia="TimesNewRomanPSMT"/>
          <w:color w:val="010202"/>
        </w:rPr>
        <w:t xml:space="preserve"> </w:t>
      </w:r>
      <w:r w:rsidRPr="00E33D47">
        <w:rPr>
          <w:rFonts w:eastAsia="TimesNewRomanPSMT"/>
          <w:color w:val="010202"/>
        </w:rPr>
        <w:t>(DLT) and the maximally tolerated dose (MTD), respectively, for treatment of the face or face and scalp. There was no</w:t>
      </w:r>
      <w:r>
        <w:rPr>
          <w:rFonts w:eastAsia="TimesNewRomanPSMT"/>
          <w:color w:val="010202"/>
        </w:rPr>
        <w:t xml:space="preserve"> </w:t>
      </w:r>
      <w:r w:rsidRPr="00E33D47">
        <w:rPr>
          <w:rFonts w:eastAsia="TimesNewRomanPSMT"/>
          <w:color w:val="010202"/>
        </w:rPr>
        <w:t xml:space="preserve">intra-patient dose </w:t>
      </w:r>
      <w:r w:rsidRPr="00E33D47">
        <w:rPr>
          <w:rFonts w:eastAsia="TimesNewRomanPSMT"/>
          <w:color w:val="010202"/>
        </w:rPr>
        <w:lastRenderedPageBreak/>
        <w:t>escalation in this study and no randomization to assign dose levels.</w:t>
      </w:r>
      <w:r w:rsidRPr="00E33D47">
        <w:rPr>
          <w:rFonts w:ascii="TimesNewRomanPSMT" w:eastAsia="TimesNewRomanPSMT" w:cs="TimesNewRomanPSMT"/>
          <w:color w:val="010202"/>
          <w:sz w:val="19"/>
          <w:szCs w:val="19"/>
        </w:rPr>
        <w:t xml:space="preserve"> </w:t>
      </w:r>
      <w:r w:rsidRPr="00E33D47">
        <w:rPr>
          <w:rFonts w:eastAsia="TimesNewRomanPSMT"/>
          <w:color w:val="010202"/>
        </w:rPr>
        <w:t>Two subsequent protocol amendments were introduced to evaluate the safety and tolerability of lower</w:t>
      </w:r>
      <w:r>
        <w:rPr>
          <w:rFonts w:eastAsia="TimesNewRomanPSMT"/>
          <w:color w:val="010202"/>
        </w:rPr>
        <w:t xml:space="preserve"> </w:t>
      </w:r>
      <w:r w:rsidRPr="00E33D47">
        <w:rPr>
          <w:rFonts w:eastAsia="TimesNewRomanPSMT"/>
          <w:color w:val="010202"/>
        </w:rPr>
        <w:t>concentrations of PEP005 Topical Gel (0.0175%, 0.0125%, 0.0075%, 0.0050%, and 0.0025%) with similar treatment</w:t>
      </w:r>
      <w:r>
        <w:rPr>
          <w:rFonts w:eastAsia="TimesNewRomanPSMT"/>
          <w:color w:val="010202"/>
        </w:rPr>
        <w:t xml:space="preserve"> </w:t>
      </w:r>
      <w:r w:rsidRPr="00E33D47">
        <w:rPr>
          <w:rFonts w:eastAsia="TimesNewRomanPSMT"/>
          <w:color w:val="010202"/>
        </w:rPr>
        <w:t>regimens (once daily for two or three consecutive days)</w:t>
      </w:r>
      <w:r>
        <w:rPr>
          <w:rFonts w:eastAsia="TimesNewRomanPSMT"/>
          <w:color w:val="010202"/>
        </w:rPr>
        <w:t>.</w:t>
      </w:r>
      <w:r w:rsidRPr="00E33D47">
        <w:rPr>
          <w:rFonts w:ascii="TimesNewRomanPSMT" w:eastAsia="TimesNewRomanPSMT" w:cs="TimesNewRomanPSMT"/>
          <w:color w:val="010202"/>
          <w:sz w:val="19"/>
          <w:szCs w:val="19"/>
        </w:rPr>
        <w:t xml:space="preserve"> </w:t>
      </w:r>
      <w:r w:rsidRPr="00E33D47">
        <w:rPr>
          <w:rFonts w:eastAsia="TimesNewRomanPSMT"/>
          <w:color w:val="010202"/>
        </w:rPr>
        <w:t>A total</w:t>
      </w:r>
      <w:r>
        <w:rPr>
          <w:rFonts w:eastAsia="TimesNewRomanPSMT"/>
          <w:color w:val="010202"/>
        </w:rPr>
        <w:t xml:space="preserve"> </w:t>
      </w:r>
      <w:r w:rsidRPr="00E33D47">
        <w:rPr>
          <w:rFonts w:eastAsia="TimesNewRomanPSMT"/>
          <w:color w:val="010202"/>
        </w:rPr>
        <w:t>of 94 patients were actually enrolled</w:t>
      </w:r>
      <w:r>
        <w:rPr>
          <w:rFonts w:eastAsia="TimesNewRomanPSMT"/>
          <w:color w:val="010202"/>
        </w:rPr>
        <w:t xml:space="preserve"> with</w:t>
      </w:r>
      <w:r w:rsidRPr="00E33D47">
        <w:rPr>
          <w:rFonts w:eastAsia="TimesNewRomanPSMT"/>
          <w:color w:val="010202"/>
        </w:rPr>
        <w:t xml:space="preserve"> 88 patients treated with at least one dose of PEP005 Topical Gel</w:t>
      </w:r>
      <w:r>
        <w:rPr>
          <w:rFonts w:eastAsia="TimesNewRomanPSMT"/>
          <w:color w:val="010202"/>
        </w:rPr>
        <w:t>.</w:t>
      </w:r>
      <w:r w:rsidRPr="006053AB">
        <w:rPr>
          <w:rFonts w:ascii="TimesNewRomanPSMT" w:eastAsia="TimesNewRomanPSMT" w:cs="TimesNewRomanPSMT"/>
          <w:color w:val="010202"/>
          <w:sz w:val="19"/>
          <w:szCs w:val="19"/>
        </w:rPr>
        <w:t xml:space="preserve"> </w:t>
      </w:r>
      <w:r w:rsidRPr="006053AB">
        <w:rPr>
          <w:rFonts w:eastAsia="TimesNewRomanPSMT"/>
          <w:color w:val="010202"/>
        </w:rPr>
        <w:t>Subjects were male patients at least 18 years of age or post-menopausal female patients, (i.e., no menses for at least 12 consecutive</w:t>
      </w:r>
      <w:r>
        <w:rPr>
          <w:rFonts w:eastAsia="TimesNewRomanPSMT"/>
          <w:color w:val="010202"/>
        </w:rPr>
        <w:t xml:space="preserve"> </w:t>
      </w:r>
      <w:r w:rsidRPr="006053AB">
        <w:rPr>
          <w:rFonts w:eastAsia="TimesNewRomanPSMT"/>
          <w:color w:val="010202"/>
        </w:rPr>
        <w:t xml:space="preserve">months, or post-hysterectomy) with four to eight clinically typical, visible, and discrete </w:t>
      </w:r>
      <w:r>
        <w:rPr>
          <w:rFonts w:eastAsia="TimesNewRomanPSMT"/>
          <w:color w:val="010202"/>
        </w:rPr>
        <w:t>S</w:t>
      </w:r>
      <w:r w:rsidRPr="006053AB">
        <w:rPr>
          <w:rFonts w:eastAsia="TimesNewRomanPSMT"/>
          <w:color w:val="010202"/>
        </w:rPr>
        <w:t>K lesions within a contiguous</w:t>
      </w:r>
      <w:r>
        <w:rPr>
          <w:rFonts w:eastAsia="TimesNewRomanPSMT"/>
          <w:color w:val="010202"/>
        </w:rPr>
        <w:t xml:space="preserve"> </w:t>
      </w:r>
      <w:r w:rsidRPr="006053AB">
        <w:rPr>
          <w:rFonts w:eastAsia="TimesNewRomanPSMT"/>
          <w:color w:val="010202"/>
        </w:rPr>
        <w:t>25 cm</w:t>
      </w:r>
      <w:r w:rsidRPr="006053AB">
        <w:rPr>
          <w:rFonts w:eastAsia="TimesNewRomanPSMT"/>
          <w:color w:val="010202"/>
          <w:vertAlign w:val="superscript"/>
        </w:rPr>
        <w:t xml:space="preserve">2 </w:t>
      </w:r>
      <w:r w:rsidRPr="006053AB">
        <w:rPr>
          <w:rFonts w:eastAsia="TimesNewRomanPSMT"/>
          <w:color w:val="010202"/>
        </w:rPr>
        <w:t>treatment area on the face or face and scalp. Analysis was mostly descriptive in nature. No hypothesis/inferential testing was conducted.</w:t>
      </w:r>
      <w:r>
        <w:rPr>
          <w:rFonts w:eastAsia="TimesNewRomanPSMT"/>
          <w:color w:val="010202"/>
        </w:rPr>
        <w:t xml:space="preserve"> Results from this study are included below.</w:t>
      </w:r>
    </w:p>
    <w:p w:rsidR="00405A39" w:rsidRDefault="00405A39" w:rsidP="00E75EAF">
      <w:pPr>
        <w:pStyle w:val="TableTitle"/>
      </w:pPr>
      <w:r>
        <w:t>Table 2</w:t>
      </w:r>
      <w:r w:rsidR="00281572">
        <w:t>6</w:t>
      </w:r>
      <w:r>
        <w:t>. Number and percentage of patients with AK lesion clearance for Analysis Group 1: Full Analysis Set, mIIT and PP populations.</w:t>
      </w:r>
    </w:p>
    <w:p w:rsidR="002E6F0C" w:rsidRDefault="002E6F0C" w:rsidP="002E6F0C">
      <w:pPr>
        <w:autoSpaceDE w:val="0"/>
        <w:autoSpaceDN w:val="0"/>
        <w:adjustRightInd w:val="0"/>
        <w:rPr>
          <w:rFonts w:eastAsia="TimesNewRomanPSMT"/>
          <w:color w:val="010202"/>
        </w:rPr>
      </w:pPr>
      <w:r>
        <w:rPr>
          <w:rFonts w:eastAsia="TimesNewRomanPSMT"/>
          <w:noProof/>
          <w:color w:val="010202"/>
          <w:lang w:eastAsia="en-AU"/>
        </w:rPr>
        <w:drawing>
          <wp:inline distT="0" distB="0" distL="0" distR="0">
            <wp:extent cx="5662930" cy="5166065"/>
            <wp:effectExtent l="19050" t="0" r="0" b="0"/>
            <wp:docPr id="35" name="Picture 35" descr="Table 26. Number and percentage of patients with AK lesion clearance for Analysis Group 1: Full Analysis Set, mIIT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25" b="3443"/>
                    <a:stretch>
                      <a:fillRect/>
                    </a:stretch>
                  </pic:blipFill>
                  <pic:spPr bwMode="auto">
                    <a:xfrm>
                      <a:off x="0" y="0"/>
                      <a:ext cx="5662930" cy="5166065"/>
                    </a:xfrm>
                    <a:prstGeom prst="rect">
                      <a:avLst/>
                    </a:prstGeom>
                    <a:noFill/>
                    <a:ln>
                      <a:noFill/>
                    </a:ln>
                  </pic:spPr>
                </pic:pic>
              </a:graphicData>
            </a:graphic>
          </wp:inline>
        </w:drawing>
      </w:r>
    </w:p>
    <w:p w:rsidR="00405A39" w:rsidRDefault="00405A39" w:rsidP="00E75EAF">
      <w:pPr>
        <w:pStyle w:val="TableTitle"/>
      </w:pPr>
      <w:r>
        <w:lastRenderedPageBreak/>
        <w:t>Table 2</w:t>
      </w:r>
      <w:r w:rsidR="00281572">
        <w:t>7</w:t>
      </w:r>
      <w:r>
        <w:t xml:space="preserve">. </w:t>
      </w:r>
      <w:r w:rsidRPr="00405A39">
        <w:t xml:space="preserve">Number and percentage of patients with AK lesion clearance for </w:t>
      </w:r>
      <w:r>
        <w:t>A</w:t>
      </w:r>
      <w:r w:rsidRPr="00405A39">
        <w:t xml:space="preserve">nalysis Group </w:t>
      </w:r>
      <w:r>
        <w:t>2</w:t>
      </w:r>
      <w:r w:rsidRPr="00405A39">
        <w:t>: Full Analysis Set, mIIT and PP populations.</w:t>
      </w:r>
    </w:p>
    <w:p w:rsidR="002E6F0C" w:rsidRDefault="002E6F0C" w:rsidP="00E75EAF">
      <w:r>
        <w:rPr>
          <w:noProof/>
          <w:lang w:eastAsia="en-AU"/>
        </w:rPr>
        <w:drawing>
          <wp:inline distT="0" distB="0" distL="0" distR="0">
            <wp:extent cx="5558155" cy="6215142"/>
            <wp:effectExtent l="19050" t="0" r="4445" b="0"/>
            <wp:docPr id="36" name="Picture 36" descr="Table 27. Number and percentage of patients with AK lesion clearance for Analysis Group 2: Full Analysis Set, mIIT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80" b="3641"/>
                    <a:stretch>
                      <a:fillRect/>
                    </a:stretch>
                  </pic:blipFill>
                  <pic:spPr bwMode="auto">
                    <a:xfrm>
                      <a:off x="0" y="0"/>
                      <a:ext cx="5558155" cy="6215142"/>
                    </a:xfrm>
                    <a:prstGeom prst="rect">
                      <a:avLst/>
                    </a:prstGeom>
                    <a:noFill/>
                    <a:ln>
                      <a:noFill/>
                    </a:ln>
                  </pic:spPr>
                </pic:pic>
              </a:graphicData>
            </a:graphic>
          </wp:inline>
        </w:drawing>
      </w:r>
    </w:p>
    <w:p w:rsidR="002E6F0C" w:rsidRPr="006053AB" w:rsidRDefault="002E6F0C" w:rsidP="002E6F0C">
      <w:pPr>
        <w:autoSpaceDE w:val="0"/>
        <w:autoSpaceDN w:val="0"/>
        <w:adjustRightInd w:val="0"/>
        <w:rPr>
          <w:rFonts w:eastAsia="TimesNewRomanPSMT"/>
          <w:color w:val="010202"/>
        </w:rPr>
      </w:pPr>
      <w:r w:rsidRPr="006053AB">
        <w:rPr>
          <w:rFonts w:eastAsia="TimesNewRomanPSMT"/>
          <w:color w:val="010202"/>
        </w:rPr>
        <w:t>The study was not statistically powered to evaluate efficacy, and the resulting groups have a small number of patients.</w:t>
      </w:r>
      <w:r>
        <w:rPr>
          <w:rFonts w:eastAsia="TimesNewRomanPSMT"/>
          <w:color w:val="010202"/>
        </w:rPr>
        <w:t xml:space="preserve"> </w:t>
      </w:r>
      <w:r w:rsidRPr="006053AB">
        <w:rPr>
          <w:rFonts w:eastAsia="TimesNewRomanPSMT"/>
          <w:color w:val="010202"/>
        </w:rPr>
        <w:t>For the MTD, 0.025% PEP005 Topical Gel, once daily for two consecutive days, the percentage of patients with partial</w:t>
      </w:r>
      <w:r>
        <w:rPr>
          <w:rFonts w:eastAsia="TimesNewRomanPSMT"/>
          <w:color w:val="010202"/>
        </w:rPr>
        <w:t xml:space="preserve"> </w:t>
      </w:r>
      <w:r w:rsidRPr="006053AB">
        <w:rPr>
          <w:rFonts w:eastAsia="TimesNewRomanPSMT"/>
          <w:color w:val="010202"/>
        </w:rPr>
        <w:t>clearance (PC) was 66.7%; complete clearance (CC) was 38.9%; and baseline clearance (BC) was 36.7%. The 0.0175%</w:t>
      </w:r>
      <w:r>
        <w:rPr>
          <w:rFonts w:eastAsia="TimesNewRomanPSMT"/>
          <w:color w:val="010202"/>
        </w:rPr>
        <w:t xml:space="preserve"> </w:t>
      </w:r>
      <w:r w:rsidRPr="006053AB">
        <w:rPr>
          <w:rFonts w:eastAsia="TimesNewRomanPSMT"/>
          <w:color w:val="010202"/>
        </w:rPr>
        <w:t>concentration achieved the highest complete (100% Analysis Group 1; 80% Analysis Group 2) and baseline (100%</w:t>
      </w:r>
      <w:r>
        <w:rPr>
          <w:rFonts w:eastAsia="TimesNewRomanPSMT"/>
          <w:color w:val="010202"/>
        </w:rPr>
        <w:t xml:space="preserve"> </w:t>
      </w:r>
      <w:r w:rsidRPr="006053AB">
        <w:rPr>
          <w:rFonts w:eastAsia="TimesNewRomanPSMT"/>
          <w:color w:val="010202"/>
        </w:rPr>
        <w:t>Analysis Group 1; 80% Analysis Group 2) AK lesion clearance. The 0.0125% concentration achieved the best partial</w:t>
      </w:r>
      <w:r>
        <w:rPr>
          <w:rFonts w:eastAsia="TimesNewRomanPSMT"/>
          <w:color w:val="010202"/>
        </w:rPr>
        <w:t xml:space="preserve"> </w:t>
      </w:r>
      <w:r w:rsidRPr="006053AB">
        <w:rPr>
          <w:rFonts w:eastAsia="TimesNewRomanPSMT"/>
          <w:color w:val="010202"/>
        </w:rPr>
        <w:t>clearance (100%) in Analysis Group 1 and shared the designation with 0.025% in Analysis Group 2 (100%).</w:t>
      </w:r>
    </w:p>
    <w:p w:rsidR="002E6F0C" w:rsidRDefault="002E6F0C" w:rsidP="00405A39">
      <w:pPr>
        <w:pStyle w:val="Heading5"/>
      </w:pPr>
      <w:r w:rsidRPr="00DB6460">
        <w:t>PEP005-030</w:t>
      </w:r>
    </w:p>
    <w:p w:rsidR="002E6F0C" w:rsidRDefault="002E6F0C" w:rsidP="002E6F0C">
      <w:pPr>
        <w:autoSpaceDE w:val="0"/>
        <w:autoSpaceDN w:val="0"/>
        <w:adjustRightInd w:val="0"/>
        <w:rPr>
          <w:rFonts w:eastAsia="TimesNewRomanPSMT"/>
          <w:color w:val="010202"/>
        </w:rPr>
      </w:pPr>
      <w:r w:rsidRPr="000F3C55">
        <w:t xml:space="preserve">This study was </w:t>
      </w:r>
      <w:r>
        <w:t>a</w:t>
      </w:r>
      <w:r w:rsidRPr="000F3C55">
        <w:t xml:space="preserve"> 12-month, long-term follow-up study of</w:t>
      </w:r>
      <w:r>
        <w:t xml:space="preserve"> </w:t>
      </w:r>
      <w:r w:rsidRPr="000F3C55">
        <w:t xml:space="preserve">patients with </w:t>
      </w:r>
      <w:r>
        <w:t>SK</w:t>
      </w:r>
      <w:r w:rsidRPr="000F3C55">
        <w:t xml:space="preserve"> on the head (face</w:t>
      </w:r>
      <w:r w:rsidR="00405A39">
        <w:t xml:space="preserve"> </w:t>
      </w:r>
      <w:r w:rsidRPr="000F3C55">
        <w:t>or scalp) who have completed Day 57 in studies</w:t>
      </w:r>
      <w:r>
        <w:t xml:space="preserve"> </w:t>
      </w:r>
      <w:r w:rsidRPr="000F3C55">
        <w:t>PEP005-016 or PEP005-025</w:t>
      </w:r>
      <w:r>
        <w:t xml:space="preserve">, and was conducted in the USA and Australia between July 2009 and September 2010. The objectives of the study </w:t>
      </w:r>
      <w:r>
        <w:lastRenderedPageBreak/>
        <w:t xml:space="preserve">were to </w:t>
      </w:r>
      <w:r w:rsidRPr="000F3C55">
        <w:t xml:space="preserve">summarize treatment area recurrence of </w:t>
      </w:r>
      <w:r>
        <w:t>SK</w:t>
      </w:r>
      <w:r w:rsidRPr="000F3C55">
        <w:t xml:space="preserve"> lesions, in the selected treatment area, during a</w:t>
      </w:r>
      <w:r>
        <w:t xml:space="preserve"> </w:t>
      </w:r>
      <w:r w:rsidRPr="000F3C55">
        <w:t xml:space="preserve">12-month follow-up period for patients who achieved complete clearance of </w:t>
      </w:r>
      <w:r>
        <w:t>SK</w:t>
      </w:r>
      <w:r w:rsidRPr="000F3C55">
        <w:t>s at Day 57 in studies PEP005-016</w:t>
      </w:r>
      <w:r>
        <w:t xml:space="preserve"> </w:t>
      </w:r>
      <w:r w:rsidRPr="000F3C55">
        <w:t>and PEP005-025</w:t>
      </w:r>
      <w:r>
        <w:t>, and t</w:t>
      </w:r>
      <w:r w:rsidRPr="000F3C55">
        <w:t>o summarize long-term safety data, in the selected treatment area over a 12-month follow</w:t>
      </w:r>
      <w:r>
        <w:t>-</w:t>
      </w:r>
      <w:r w:rsidRPr="000F3C55">
        <w:t>up period for patients</w:t>
      </w:r>
      <w:r>
        <w:t xml:space="preserve"> </w:t>
      </w:r>
      <w:r w:rsidRPr="000F3C55">
        <w:t>who completed Day 57 in studies PEP005-016 and PEP005-025.</w:t>
      </w:r>
      <w:r w:rsidRPr="000F3C55">
        <w:rPr>
          <w:rFonts w:ascii="TimesNewRoman" w:hAnsi="TimesNewRoman" w:cs="TimesNewRoman"/>
          <w:sz w:val="19"/>
          <w:szCs w:val="19"/>
        </w:rPr>
        <w:t xml:space="preserve"> </w:t>
      </w:r>
      <w:r w:rsidRPr="006A162E">
        <w:t>This was a prospective, longitudinal, observational study in patients who achieved complete clearance at Day 57 in studies PEP005-016 and PEP005-025. No study medication was administered during PEP005-030. A total of 117 patients who had demonstrated complete clearance of SK lesions in either study PEP005-016 or PEP005-025 were enrolled in this long-term follow-up study. Of these 117 patients, 108 had received 0.015% PEP005 Gel and 9 had received vehicle in the previous study. Criteria for evaluation was the number of SK lesions in the selected treatment area (with recurrence defined as any identified SK lesion in the</w:t>
      </w:r>
      <w:r>
        <w:rPr>
          <w:rFonts w:ascii="TimesNewRoman" w:hAnsi="TimesNewRoman" w:cs="TimesNewRoman"/>
        </w:rPr>
        <w:t xml:space="preserve"> </w:t>
      </w:r>
      <w:r w:rsidRPr="006A162E">
        <w:t xml:space="preserve">selected treatment area for patients who achieved complete clearance at Day 57 of the previous </w:t>
      </w:r>
      <w:r w:rsidR="00631F91" w:rsidRPr="00631F91">
        <w:t>Phase III</w:t>
      </w:r>
      <w:r w:rsidRPr="006A162E">
        <w:t xml:space="preserve"> study) and concomitant therapies (medications and procedures) for treatment of SK lesions in the selected treatment area. For the CC57 (complete clearance at 57 days) population, SK recurrence was summarized using Kaplan-Meier methods. All event times were imputed to their target study day prior to performing the calculations. The recurrence rate was estimated by the Kaplan-Meier “failure” estimate at the target study day expressed as a percentage. The estimates, along with 95% confidence intervals, were calculated at Days 91, 183, 274, and 365. The time to recurrence was also summarized. The recurrence rate at Day 365 (12 months) was summarized for the subgroups of treatment location, geographic region, Fitzpatrick skin type, gender, age group, and baseline lesion count. The number of AK lesions in the treatment area was summarized at each visit. </w:t>
      </w:r>
      <w:r w:rsidRPr="006A162E">
        <w:rPr>
          <w:rFonts w:eastAsia="TimesNewRomanPSMT"/>
          <w:color w:val="010202"/>
        </w:rPr>
        <w:t>Results from this study are included below.</w:t>
      </w:r>
    </w:p>
    <w:p w:rsidR="00405A39" w:rsidRPr="006A162E" w:rsidRDefault="00405A39" w:rsidP="00E75EAF">
      <w:pPr>
        <w:pStyle w:val="TableTitle"/>
      </w:pPr>
      <w:r>
        <w:t>Table 2</w:t>
      </w:r>
      <w:r w:rsidR="00281572">
        <w:t>8</w:t>
      </w:r>
      <w:r>
        <w:t>. Recurrence Rate: Overall and by Treatment Location (CC57 Population)</w:t>
      </w:r>
    </w:p>
    <w:p w:rsidR="002E6F0C" w:rsidRDefault="002E6F0C" w:rsidP="00E75EAF">
      <w:r>
        <w:rPr>
          <w:noProof/>
          <w:lang w:eastAsia="en-AU"/>
        </w:rPr>
        <w:drawing>
          <wp:inline distT="0" distB="0" distL="0" distR="0">
            <wp:extent cx="5920105" cy="3409950"/>
            <wp:effectExtent l="19050" t="0" r="4445" b="0"/>
            <wp:docPr id="37" name="Picture 37" descr="Table 28. Recurrence Rate: Overall and by Treatment Location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73" b="5432"/>
                    <a:stretch>
                      <a:fillRect/>
                    </a:stretch>
                  </pic:blipFill>
                  <pic:spPr bwMode="auto">
                    <a:xfrm>
                      <a:off x="0" y="0"/>
                      <a:ext cx="5920105" cy="3409950"/>
                    </a:xfrm>
                    <a:prstGeom prst="rect">
                      <a:avLst/>
                    </a:prstGeom>
                    <a:noFill/>
                    <a:ln>
                      <a:noFill/>
                    </a:ln>
                  </pic:spPr>
                </pic:pic>
              </a:graphicData>
            </a:graphic>
          </wp:inline>
        </w:drawing>
      </w:r>
    </w:p>
    <w:p w:rsidR="00405A39" w:rsidRDefault="00405A39" w:rsidP="00E75EAF">
      <w:pPr>
        <w:pStyle w:val="TableTitle"/>
      </w:pPr>
      <w:r>
        <w:lastRenderedPageBreak/>
        <w:t>Table 2</w:t>
      </w:r>
      <w:r w:rsidR="00281572">
        <w:t>9</w:t>
      </w:r>
      <w:r>
        <w:t>. Summary of Lesion-based Recurrence (CC57 Population)</w:t>
      </w:r>
    </w:p>
    <w:p w:rsidR="002E6F0C" w:rsidRDefault="002E6F0C" w:rsidP="00E75EAF">
      <w:r>
        <w:rPr>
          <w:noProof/>
          <w:lang w:eastAsia="en-AU"/>
        </w:rPr>
        <w:drawing>
          <wp:inline distT="0" distB="0" distL="0" distR="0">
            <wp:extent cx="5486400" cy="4510700"/>
            <wp:effectExtent l="19050" t="0" r="0" b="0"/>
            <wp:docPr id="38" name="Picture 38" descr="Table 29. Summary of Lesion-based Recurrence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53" b="5265"/>
                    <a:stretch>
                      <a:fillRect/>
                    </a:stretch>
                  </pic:blipFill>
                  <pic:spPr bwMode="auto">
                    <a:xfrm>
                      <a:off x="0" y="0"/>
                      <a:ext cx="5486400" cy="4510700"/>
                    </a:xfrm>
                    <a:prstGeom prst="rect">
                      <a:avLst/>
                    </a:prstGeom>
                    <a:noFill/>
                    <a:ln>
                      <a:noFill/>
                    </a:ln>
                  </pic:spPr>
                </pic:pic>
              </a:graphicData>
            </a:graphic>
          </wp:inline>
        </w:drawing>
      </w:r>
    </w:p>
    <w:p w:rsidR="002E6F0C" w:rsidRPr="006A162E" w:rsidRDefault="002E6F0C" w:rsidP="002E6F0C">
      <w:pPr>
        <w:autoSpaceDE w:val="0"/>
        <w:autoSpaceDN w:val="0"/>
        <w:adjustRightInd w:val="0"/>
      </w:pPr>
      <w:r w:rsidRPr="006A162E">
        <w:t xml:space="preserve">At 12 months of follow-up, 53.9% of patients who had been treated with PEP005 Gel in the previous </w:t>
      </w:r>
      <w:r w:rsidR="00631F91" w:rsidRPr="00631F91">
        <w:t>Phase III</w:t>
      </w:r>
      <w:r w:rsidRPr="006A162E">
        <w:t xml:space="preserve"> studies (N=108), had at least one new or recurrent SK lesion within the selected treatment area. The estimated median time to lesion recurrence was 365 days. Based on the number of lesions observed within the treatment area during 12 months of follow-up relative to the number of lesions at baseline (determined prior to treatment with PEP005 Gel in the </w:t>
      </w:r>
      <w:r w:rsidR="00631F91" w:rsidRPr="00631F91">
        <w:t>Phase III</w:t>
      </w:r>
      <w:r w:rsidRPr="006A162E">
        <w:t xml:space="preserve"> studies), the mean lesion-based recurrence rate was 12.8%. At 12 months of follow-up, 72.2% of vehicle-treated patients (N=9) had a new or recurrent SK lesion, with a median time to recurrence of 183 days. For this group of patients, the mean lesion-based recurrence rate at 12 months was 16.3%.</w:t>
      </w:r>
    </w:p>
    <w:p w:rsidR="002E6F0C" w:rsidRPr="00DB6460" w:rsidRDefault="002E6F0C" w:rsidP="00E75EAF">
      <w:pPr>
        <w:pStyle w:val="Heading5"/>
        <w:rPr>
          <w:rFonts w:ascii="Arial" w:hAnsi="Arial" w:cs="Arial"/>
        </w:rPr>
      </w:pPr>
      <w:r w:rsidRPr="00DB6460">
        <w:t>PEP005-001</w:t>
      </w:r>
    </w:p>
    <w:p w:rsidR="002E6F0C" w:rsidRPr="000957A2" w:rsidRDefault="002E6F0C" w:rsidP="002E6F0C">
      <w:pPr>
        <w:autoSpaceDE w:val="0"/>
        <w:autoSpaceDN w:val="0"/>
        <w:adjustRightInd w:val="0"/>
      </w:pPr>
      <w:r w:rsidRPr="00290230">
        <w:t xml:space="preserve">This study </w:t>
      </w:r>
      <w:r>
        <w:t>was a</w:t>
      </w:r>
      <w:r w:rsidRPr="00290230">
        <w:t xml:space="preserve"> multi-cent</w:t>
      </w:r>
      <w:r>
        <w:t>re</w:t>
      </w:r>
      <w:r w:rsidRPr="00290230">
        <w:t>, randomized, double-blind, parallel-group, vehicle-controlled</w:t>
      </w:r>
      <w:r w:rsidR="00405A39">
        <w:t xml:space="preserve"> </w:t>
      </w:r>
      <w:r>
        <w:t>s</w:t>
      </w:r>
      <w:r w:rsidRPr="00290230">
        <w:t>tudy</w:t>
      </w:r>
      <w:r>
        <w:t xml:space="preserve"> conducted in Australia between March and October 2005.</w:t>
      </w:r>
      <w:r w:rsidRPr="00290230">
        <w:rPr>
          <w:sz w:val="20"/>
          <w:szCs w:val="20"/>
        </w:rPr>
        <w:t xml:space="preserve"> </w:t>
      </w:r>
      <w:r w:rsidRPr="000957A2">
        <w:t>The primary objective of the study was to determine the safety of PEP005 Topical</w:t>
      </w:r>
      <w:r>
        <w:t xml:space="preserve"> </w:t>
      </w:r>
      <w:r w:rsidRPr="000957A2">
        <w:t xml:space="preserve">Gel at 0.0025%, 0.01%, and 0.05% administered as two applications to patients with </w:t>
      </w:r>
      <w:r>
        <w:t>SK</w:t>
      </w:r>
      <w:r w:rsidRPr="000957A2">
        <w:t xml:space="preserve"> on the arms, shoulders, chest, face, and/or scalp under the following two</w:t>
      </w:r>
      <w:r>
        <w:t xml:space="preserve"> </w:t>
      </w:r>
      <w:r w:rsidRPr="000957A2">
        <w:t>treatment schedules: Day 1 and Day 2 or Day 1 and Day 8.</w:t>
      </w:r>
      <w:r>
        <w:t xml:space="preserve"> </w:t>
      </w:r>
      <w:r w:rsidRPr="000957A2">
        <w:t>The secondary objectives of the study were to evaluate the efficacy of PEP005 0.0025%, 0.01% and 0.05% Topical Gel administered</w:t>
      </w:r>
      <w:r>
        <w:t xml:space="preserve"> </w:t>
      </w:r>
      <w:r w:rsidRPr="000957A2">
        <w:t>under the following two treatment schedules: Day 1 and Day 2 or Day 1 and Day 8</w:t>
      </w:r>
      <w:r>
        <w:t>,</w:t>
      </w:r>
      <w:r w:rsidRPr="000957A2">
        <w:t xml:space="preserve"> to determine a recommended treatment regimen for </w:t>
      </w:r>
      <w:r>
        <w:t>S</w:t>
      </w:r>
      <w:r w:rsidRPr="000957A2">
        <w:t>K</w:t>
      </w:r>
      <w:r>
        <w:t xml:space="preserve">, and </w:t>
      </w:r>
      <w:r w:rsidRPr="000957A2">
        <w:t>to evaluate patients for cosmetic outcome</w:t>
      </w:r>
      <w:r>
        <w:t>.</w:t>
      </w:r>
    </w:p>
    <w:p w:rsidR="002E6F0C" w:rsidRDefault="002E6F0C" w:rsidP="002E6F0C">
      <w:pPr>
        <w:autoSpaceDE w:val="0"/>
        <w:autoSpaceDN w:val="0"/>
        <w:adjustRightInd w:val="0"/>
      </w:pPr>
      <w:r w:rsidRPr="000957A2">
        <w:t>This was a multi-cent</w:t>
      </w:r>
      <w:r>
        <w:t>re</w:t>
      </w:r>
      <w:r w:rsidRPr="000957A2">
        <w:t>, double-blind, randomized, vehicle-controlled,</w:t>
      </w:r>
      <w:r>
        <w:t xml:space="preserve"> </w:t>
      </w:r>
      <w:r w:rsidRPr="000957A2">
        <w:t>parallel-group</w:t>
      </w:r>
      <w:r w:rsidR="00631F91" w:rsidRPr="00631F91">
        <w:t xml:space="preserve"> </w:t>
      </w:r>
      <w:r>
        <w:t>c</w:t>
      </w:r>
      <w:r w:rsidRPr="000957A2">
        <w:t>omparison of two treatment schedules, Day 1 and Day 2 (Treatment Arm A) or</w:t>
      </w:r>
      <w:r>
        <w:t xml:space="preserve"> </w:t>
      </w:r>
      <w:r w:rsidRPr="000957A2">
        <w:t>Day 1 and Day 8 (Treatment Arm B) of three concentrations (0.0025%, 0.01%, and 0.05%) of</w:t>
      </w:r>
      <w:r>
        <w:t xml:space="preserve"> </w:t>
      </w:r>
      <w:r w:rsidRPr="000957A2">
        <w:t xml:space="preserve">PEP005 Topical </w:t>
      </w:r>
      <w:r w:rsidRPr="000957A2">
        <w:lastRenderedPageBreak/>
        <w:t xml:space="preserve">Gel in patients with at least five </w:t>
      </w:r>
      <w:r>
        <w:t>S</w:t>
      </w:r>
      <w:r w:rsidRPr="000957A2">
        <w:t>K lesions located on the arms, shoulders,</w:t>
      </w:r>
      <w:r>
        <w:t xml:space="preserve"> </w:t>
      </w:r>
      <w:r w:rsidRPr="000957A2">
        <w:t>chest, face, and/or scalp. A total of</w:t>
      </w:r>
      <w:r>
        <w:t xml:space="preserve"> </w:t>
      </w:r>
      <w:r w:rsidRPr="000957A2">
        <w:t xml:space="preserve">72 patients were screened, 63 were randomized and analysed for efficacy, and 58 were </w:t>
      </w:r>
      <w:r>
        <w:t xml:space="preserve">analysed </w:t>
      </w:r>
      <w:r w:rsidRPr="000957A2">
        <w:t xml:space="preserve">for safety. </w:t>
      </w:r>
      <w:r>
        <w:t>Subjects were a</w:t>
      </w:r>
      <w:r w:rsidRPr="000957A2">
        <w:t xml:space="preserve">dults with at least five individual </w:t>
      </w:r>
      <w:r>
        <w:t>S</w:t>
      </w:r>
      <w:r w:rsidRPr="000957A2">
        <w:t>K lesions on</w:t>
      </w:r>
      <w:r>
        <w:t xml:space="preserve"> </w:t>
      </w:r>
      <w:r w:rsidRPr="000957A2">
        <w:t>the arm, shoulders, chest, face, and/or scalp. The histological</w:t>
      </w:r>
      <w:r>
        <w:t xml:space="preserve"> </w:t>
      </w:r>
      <w:r w:rsidRPr="000957A2">
        <w:t xml:space="preserve">clearance of each individual lesion was determined by assessing the extent of </w:t>
      </w:r>
      <w:r>
        <w:t>S</w:t>
      </w:r>
      <w:r w:rsidRPr="000957A2">
        <w:t>K lesion clearance</w:t>
      </w:r>
      <w:r>
        <w:t xml:space="preserve"> </w:t>
      </w:r>
      <w:r w:rsidRPr="000957A2">
        <w:t>based on the histology results from Day 85 for patients included in the ITT population. Clinical</w:t>
      </w:r>
      <w:r>
        <w:t xml:space="preserve"> </w:t>
      </w:r>
      <w:r w:rsidRPr="000957A2">
        <w:t>response to treatment of each selected lesion was evaluated at each scheduled visit until End of</w:t>
      </w:r>
      <w:r>
        <w:t xml:space="preserve"> </w:t>
      </w:r>
      <w:r w:rsidRPr="000957A2">
        <w:t>Study (Day 85) for patients included in the mITT population. Clinical response was evaluated as:</w:t>
      </w:r>
      <w:r>
        <w:t xml:space="preserve"> </w:t>
      </w:r>
      <w:r w:rsidRPr="000957A2">
        <w:t>complete clearance (100% improvement, no evidence of residual disease), marked clearance</w:t>
      </w:r>
      <w:r>
        <w:t xml:space="preserve"> </w:t>
      </w:r>
      <w:r w:rsidRPr="000957A2">
        <w:t>(50% to 90% improvement), slight clearance (10% to 50% improvement), unchanged (±10%),</w:t>
      </w:r>
      <w:r>
        <w:t xml:space="preserve"> </w:t>
      </w:r>
      <w:r w:rsidRPr="000957A2">
        <w:t>worsened (clinically observable growth), or unable to be assessed (e.g., heavy scabbing, bruise,</w:t>
      </w:r>
      <w:r>
        <w:t xml:space="preserve"> </w:t>
      </w:r>
      <w:r w:rsidRPr="000957A2">
        <w:t>trauma, inflammatory response). The analysis in this study was primarily descriptive in nature. The study</w:t>
      </w:r>
      <w:r>
        <w:t xml:space="preserve"> </w:t>
      </w:r>
      <w:r w:rsidRPr="000957A2">
        <w:t>was not statistically powered to conduct formal hypothesis/inferential testing.</w:t>
      </w:r>
      <w:r>
        <w:t xml:space="preserve"> Results are included below.</w:t>
      </w:r>
    </w:p>
    <w:p w:rsidR="003E365A" w:rsidRDefault="003E365A" w:rsidP="001E22EA">
      <w:pPr>
        <w:pStyle w:val="FigureTitle"/>
        <w:sectPr w:rsidR="003E365A" w:rsidSect="003E365A">
          <w:footerReference w:type="default" r:id="rId59"/>
          <w:pgSz w:w="11906" w:h="16838" w:code="9"/>
          <w:pgMar w:top="1440" w:right="1440" w:bottom="1440" w:left="1440" w:header="907" w:footer="216" w:gutter="0"/>
          <w:cols w:space="708"/>
          <w:docGrid w:linePitch="360"/>
        </w:sectPr>
      </w:pPr>
    </w:p>
    <w:p w:rsidR="001E22EA" w:rsidRDefault="001E22EA" w:rsidP="002A69C4">
      <w:pPr>
        <w:pStyle w:val="TableTitle"/>
      </w:pPr>
      <w:r>
        <w:lastRenderedPageBreak/>
        <w:t xml:space="preserve">Table </w:t>
      </w:r>
      <w:r w:rsidR="00281572">
        <w:t>30</w:t>
      </w:r>
      <w:r>
        <w:t>. Histological response to Treatment (punch biopsy) at end of study (Day 85): ITT population</w:t>
      </w:r>
    </w:p>
    <w:p w:rsidR="002E6F0C" w:rsidRDefault="002E6F0C" w:rsidP="00E75EAF">
      <w:r>
        <w:rPr>
          <w:noProof/>
          <w:lang w:eastAsia="en-AU"/>
        </w:rPr>
        <w:drawing>
          <wp:inline distT="0" distB="0" distL="0" distR="0">
            <wp:extent cx="7493280" cy="3448050"/>
            <wp:effectExtent l="19050" t="0" r="0" b="0"/>
            <wp:docPr id="39" name="Picture 39" descr="Table 30. Histological response to Treatment (punch biopsy) at end of study (Day 8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62" b="5538"/>
                    <a:stretch>
                      <a:fillRect/>
                    </a:stretch>
                  </pic:blipFill>
                  <pic:spPr bwMode="auto">
                    <a:xfrm>
                      <a:off x="0" y="0"/>
                      <a:ext cx="7493280" cy="3448050"/>
                    </a:xfrm>
                    <a:prstGeom prst="rect">
                      <a:avLst/>
                    </a:prstGeom>
                    <a:noFill/>
                    <a:ln>
                      <a:noFill/>
                    </a:ln>
                  </pic:spPr>
                </pic:pic>
              </a:graphicData>
            </a:graphic>
          </wp:inline>
        </w:drawing>
      </w:r>
    </w:p>
    <w:p w:rsidR="001E22EA" w:rsidRDefault="001E22EA" w:rsidP="002A69C4">
      <w:pPr>
        <w:pStyle w:val="TableTitle"/>
      </w:pPr>
      <w:r>
        <w:lastRenderedPageBreak/>
        <w:t>Table 3</w:t>
      </w:r>
      <w:r w:rsidR="00281572">
        <w:t>1</w:t>
      </w:r>
      <w:r>
        <w:t>. AK lesion clearance rate. Pooled treatment arms A and B at end of study (Day 85): mITT population.</w:t>
      </w:r>
    </w:p>
    <w:p w:rsidR="003E365A" w:rsidRDefault="002E6F0C" w:rsidP="00E75EAF">
      <w:pPr>
        <w:sectPr w:rsidR="003E365A" w:rsidSect="003E365A">
          <w:footerReference w:type="default" r:id="rId61"/>
          <w:pgSz w:w="16838" w:h="11906" w:orient="landscape" w:code="9"/>
          <w:pgMar w:top="1440" w:right="1440" w:bottom="1440" w:left="1440" w:header="907" w:footer="216" w:gutter="0"/>
          <w:cols w:space="708"/>
          <w:docGrid w:linePitch="360"/>
        </w:sectPr>
      </w:pPr>
      <w:r>
        <w:rPr>
          <w:noProof/>
          <w:lang w:eastAsia="en-AU"/>
        </w:rPr>
        <w:drawing>
          <wp:inline distT="0" distB="0" distL="0" distR="0">
            <wp:extent cx="7201591" cy="3800475"/>
            <wp:effectExtent l="19050" t="0" r="0" b="0"/>
            <wp:docPr id="40" name="Picture 40" descr="Table 31. AK lesion clearance rate. Pooled treatment arms A and B at end of study (Day 85):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97" b="4054"/>
                    <a:stretch>
                      <a:fillRect/>
                    </a:stretch>
                  </pic:blipFill>
                  <pic:spPr bwMode="auto">
                    <a:xfrm>
                      <a:off x="0" y="0"/>
                      <a:ext cx="7201591" cy="3800475"/>
                    </a:xfrm>
                    <a:prstGeom prst="rect">
                      <a:avLst/>
                    </a:prstGeom>
                    <a:noFill/>
                    <a:ln>
                      <a:noFill/>
                    </a:ln>
                  </pic:spPr>
                </pic:pic>
              </a:graphicData>
            </a:graphic>
          </wp:inline>
        </w:drawing>
      </w:r>
    </w:p>
    <w:p w:rsidR="002E6F0C" w:rsidRPr="000957A2" w:rsidRDefault="002E6F0C" w:rsidP="002E6F0C">
      <w:pPr>
        <w:autoSpaceDE w:val="0"/>
        <w:autoSpaceDN w:val="0"/>
        <w:adjustRightInd w:val="0"/>
      </w:pPr>
      <w:r w:rsidRPr="000957A2">
        <w:lastRenderedPageBreak/>
        <w:t>When data from both treatment arms were pooled, a statistically significant (p &lt;0.0001)</w:t>
      </w:r>
      <w:r>
        <w:t xml:space="preserve"> </w:t>
      </w:r>
      <w:r w:rsidRPr="000957A2">
        <w:t>difference in the percentage of lesions cleared was observed when all treatment groups were</w:t>
      </w:r>
      <w:r w:rsidR="001E22EA">
        <w:t xml:space="preserve"> </w:t>
      </w:r>
      <w:r w:rsidRPr="000957A2">
        <w:t>compared. A statistically significant (p &lt;0.0001) difference was also observed for the percentage</w:t>
      </w:r>
      <w:r w:rsidR="001E22EA">
        <w:t xml:space="preserve"> </w:t>
      </w:r>
      <w:r w:rsidRPr="000957A2">
        <w:t>of lesions cleared for the 0.05% PEP005 Topical Gel group when compared to vehicle gel. A</w:t>
      </w:r>
      <w:r w:rsidR="001E22EA">
        <w:t xml:space="preserve"> </w:t>
      </w:r>
      <w:r w:rsidRPr="000957A2">
        <w:t>statistically significant difference (p =0.0082) in the percentage of patients who had complete</w:t>
      </w:r>
      <w:r w:rsidR="001E22EA">
        <w:t xml:space="preserve"> </w:t>
      </w:r>
      <w:r w:rsidRPr="000957A2">
        <w:t xml:space="preserve">clearance of </w:t>
      </w:r>
      <w:r>
        <w:t>80</w:t>
      </w:r>
      <w:r w:rsidRPr="000957A2">
        <w:t xml:space="preserve">% of </w:t>
      </w:r>
      <w:r>
        <w:t>S</w:t>
      </w:r>
      <w:r w:rsidRPr="000957A2">
        <w:t>K lesions was observed when all treatment groups were compared. A</w:t>
      </w:r>
      <w:r w:rsidR="001E22EA">
        <w:t xml:space="preserve"> </w:t>
      </w:r>
      <w:r w:rsidRPr="000957A2">
        <w:t>statistically significant difference (p =0.0185) was also observed for the percentage of patients in</w:t>
      </w:r>
      <w:r w:rsidR="001E22EA">
        <w:t xml:space="preserve"> </w:t>
      </w:r>
      <w:r w:rsidRPr="000957A2">
        <w:t xml:space="preserve">the 0.05% PEP005 Topical Gel group who had complete clearance of </w:t>
      </w:r>
      <w:r>
        <w:t>80</w:t>
      </w:r>
      <w:r w:rsidRPr="000957A2">
        <w:t xml:space="preserve">% of </w:t>
      </w:r>
      <w:r>
        <w:t>S</w:t>
      </w:r>
      <w:r w:rsidRPr="000957A2">
        <w:t>K lesions when</w:t>
      </w:r>
      <w:r w:rsidR="001E22EA">
        <w:t xml:space="preserve"> </w:t>
      </w:r>
      <w:r w:rsidRPr="000957A2">
        <w:t>compared to vehicle gel. No statistically significant difference for pooled treatment arms data</w:t>
      </w:r>
      <w:r>
        <w:t xml:space="preserve"> </w:t>
      </w:r>
      <w:r w:rsidRPr="000957A2">
        <w:t xml:space="preserve">was observed for 100% complete </w:t>
      </w:r>
      <w:r>
        <w:t>S</w:t>
      </w:r>
      <w:r w:rsidRPr="000957A2">
        <w:t>K lesion clearance for any PEP005 Topical Gel dose group,</w:t>
      </w:r>
      <w:r w:rsidR="001E22EA">
        <w:t xml:space="preserve"> </w:t>
      </w:r>
      <w:r w:rsidRPr="000957A2">
        <w:t>when compared to vehicle gel or when all treatment groups were compared.</w:t>
      </w:r>
    </w:p>
    <w:p w:rsidR="002E6F0C" w:rsidRDefault="00DC444A" w:rsidP="00106E51">
      <w:pPr>
        <w:pStyle w:val="Heading4"/>
      </w:pPr>
      <w:r>
        <w:t>Trunk and e</w:t>
      </w:r>
      <w:r w:rsidR="002E6F0C" w:rsidRPr="00F14531">
        <w:t xml:space="preserve">xtremities </w:t>
      </w:r>
      <w:r>
        <w:t>i</w:t>
      </w:r>
      <w:r w:rsidR="002E6F0C" w:rsidRPr="00F14531">
        <w:t>ndication</w:t>
      </w:r>
    </w:p>
    <w:p w:rsidR="002E6F0C" w:rsidRPr="00DB6460" w:rsidRDefault="002E6F0C" w:rsidP="00106E51">
      <w:pPr>
        <w:pStyle w:val="Heading5"/>
      </w:pPr>
      <w:r w:rsidRPr="00DB6460">
        <w:t>PEP005-006</w:t>
      </w:r>
    </w:p>
    <w:p w:rsidR="00CE46E8" w:rsidRDefault="002E6F0C" w:rsidP="00CE46E8">
      <w:r>
        <w:t xml:space="preserve">This study was described above, as it included both head/ scalp and trunk/ extremities subjects. </w:t>
      </w:r>
      <w:r w:rsidRPr="006A162E">
        <w:t>One hundred sixty-one patients were treated on non-head locations: 43 patients received vehicle gel, 37 patients received 0.025% PEP005 Gel for three days, 42 patients received 0.05% PEP005 Gel for two days, and 39 patients received 0.05% PEP005 Gel for three days. For patients who received treatment on non-head locations, partial clearance rates by treatment group were 21%, 51%, 67%, and 74%, respectively (p ≤ 0.0001 for PEP005 Gel groups compared to vehicle gel). Complete clearance rates were 14%, 35%, 45%, and 46%, respectively (p &lt; 0.006 for PEP005 Gel groups compared to vehicle gel).</w:t>
      </w:r>
      <w:r>
        <w:t xml:space="preserve"> Results from this study are included below.</w:t>
      </w:r>
    </w:p>
    <w:p w:rsidR="00CE46E8" w:rsidRDefault="00CE46E8" w:rsidP="00106E51">
      <w:pPr>
        <w:pStyle w:val="TableTitle"/>
      </w:pPr>
      <w:r>
        <w:t>Table 32. Partial Clearance rates at Day 57 for lesions located in non-scalp areas: mITT population.</w:t>
      </w:r>
    </w:p>
    <w:p w:rsidR="00CE46E8" w:rsidRDefault="00CE46E8" w:rsidP="002E6F0C">
      <w:pPr>
        <w:autoSpaceDE w:val="0"/>
        <w:autoSpaceDN w:val="0"/>
        <w:adjustRightInd w:val="0"/>
      </w:pPr>
      <w:r>
        <w:rPr>
          <w:noProof/>
          <w:lang w:eastAsia="en-AU"/>
        </w:rPr>
        <w:drawing>
          <wp:inline distT="0" distB="0" distL="0" distR="0">
            <wp:extent cx="5263692" cy="4048125"/>
            <wp:effectExtent l="19050" t="0" r="0" b="0"/>
            <wp:docPr id="96" name="Picture 41" descr="Table 32. Partial Clearance rates at Day 57 for lesions located in non-scalp area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23" b="5367"/>
                    <a:stretch>
                      <a:fillRect/>
                    </a:stretch>
                  </pic:blipFill>
                  <pic:spPr bwMode="auto">
                    <a:xfrm>
                      <a:off x="0" y="0"/>
                      <a:ext cx="5263692" cy="4048125"/>
                    </a:xfrm>
                    <a:prstGeom prst="rect">
                      <a:avLst/>
                    </a:prstGeom>
                    <a:noFill/>
                    <a:ln>
                      <a:noFill/>
                    </a:ln>
                  </pic:spPr>
                </pic:pic>
              </a:graphicData>
            </a:graphic>
          </wp:inline>
        </w:drawing>
      </w:r>
    </w:p>
    <w:p w:rsidR="0011179F" w:rsidRPr="0011179F" w:rsidRDefault="0011179F" w:rsidP="00106E51">
      <w:pPr>
        <w:pStyle w:val="TableTitle"/>
      </w:pPr>
      <w:r>
        <w:lastRenderedPageBreak/>
        <w:t>Table 3</w:t>
      </w:r>
      <w:r w:rsidR="00281572">
        <w:t>3</w:t>
      </w:r>
      <w:r>
        <w:t>. Complete</w:t>
      </w:r>
      <w:r w:rsidRPr="0011179F">
        <w:t xml:space="preserve"> Clearance rates at Day 57 for lesions located in non-scalp areas: mITT population.</w:t>
      </w:r>
    </w:p>
    <w:p w:rsidR="002E6F0C" w:rsidRDefault="002E6F0C" w:rsidP="002E6F0C">
      <w:r>
        <w:rPr>
          <w:noProof/>
          <w:lang w:eastAsia="en-AU"/>
        </w:rPr>
        <w:drawing>
          <wp:inline distT="0" distB="0" distL="0" distR="0">
            <wp:extent cx="5267325" cy="1033917"/>
            <wp:effectExtent l="19050" t="0" r="9525" b="0"/>
            <wp:docPr id="42" name="Picture 42" descr="Table 33. Complete Clearance rates at Day 57 for lesions located in non-scalp area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42" b="14141"/>
                    <a:stretch>
                      <a:fillRect/>
                    </a:stretch>
                  </pic:blipFill>
                  <pic:spPr bwMode="auto">
                    <a:xfrm>
                      <a:off x="0" y="0"/>
                      <a:ext cx="5267325" cy="1033917"/>
                    </a:xfrm>
                    <a:prstGeom prst="rect">
                      <a:avLst/>
                    </a:prstGeom>
                    <a:noFill/>
                    <a:ln>
                      <a:noFill/>
                    </a:ln>
                  </pic:spPr>
                </pic:pic>
              </a:graphicData>
            </a:graphic>
          </wp:inline>
        </w:drawing>
      </w:r>
    </w:p>
    <w:p w:rsidR="002E6F0C" w:rsidRPr="00DB6460" w:rsidRDefault="002E6F0C" w:rsidP="00106E51">
      <w:pPr>
        <w:pStyle w:val="Heading5"/>
      </w:pPr>
      <w:r w:rsidRPr="00DB6460">
        <w:t>PEP005-017</w:t>
      </w:r>
    </w:p>
    <w:p w:rsidR="002E6F0C" w:rsidRDefault="002E6F0C" w:rsidP="002E6F0C">
      <w:pPr>
        <w:autoSpaceDE w:val="0"/>
        <w:autoSpaceDN w:val="0"/>
        <w:adjustRightInd w:val="0"/>
      </w:pPr>
      <w:r>
        <w:t>This study was a</w:t>
      </w:r>
      <w:r>
        <w:rPr>
          <w:rFonts w:ascii="TimesNewRoman" w:hAnsi="TimesNewRoman" w:cs="TimesNewRoman"/>
        </w:rPr>
        <w:t xml:space="preserve"> </w:t>
      </w:r>
      <w:r w:rsidRPr="006A162E">
        <w:t xml:space="preserve">randomized, double-blind, vehicle-controlled study to evaluate the pharmacokinetics of PEP005 (ingenol mebutate) Gel, 0.05%, when applied in a maximal use setting to the dorsal aspect of the forearm in patients with actinic keratosis. It was conducted in the </w:t>
      </w:r>
      <w:smartTag w:uri="urn:schemas-microsoft-com:office:smarttags" w:element="place">
        <w:smartTag w:uri="urn:schemas-microsoft-com:office:smarttags" w:element="country-region">
          <w:r w:rsidRPr="006A162E">
            <w:t>USA</w:t>
          </w:r>
        </w:smartTag>
      </w:smartTag>
      <w:r w:rsidRPr="006A162E">
        <w:t xml:space="preserve"> between March 2009 and May 2009. The primary objective was to evaluate the potential for systemic exposure of ingenol mebutate when applied in a maximal use setting to the dorsal aspect of the forearm in patients with actinic keratosis. The secondary objectives were to evaluate the safety and efficacy of PEP005 Gel, 0.05%, when applied in a maximal use setting to the dorsal aspect of the forearm in patients with actinic keratosis.</w:t>
      </w:r>
      <w:r w:rsidRPr="006A162E">
        <w:rPr>
          <w:sz w:val="20"/>
          <w:szCs w:val="20"/>
        </w:rPr>
        <w:t xml:space="preserve"> </w:t>
      </w:r>
      <w:r w:rsidRPr="006A162E">
        <w:t>A total of 16 patients were randomized (analysed) (13 patients randomized to PEP005 Gel and three to vehicle gel). Subjects were male or female patients at least 18 years of age with multiple SK lesions within a contiguous 100 cm</w:t>
      </w:r>
      <w:r w:rsidRPr="006A162E">
        <w:rPr>
          <w:vertAlign w:val="superscript"/>
        </w:rPr>
        <w:t>2</w:t>
      </w:r>
      <w:r w:rsidRPr="006A162E">
        <w:t xml:space="preserve"> treatment area on the dorsal aspect of one forearm. The primary criteria for evaluation were whole blood samples, quantified (C</w:t>
      </w:r>
      <w:r w:rsidRPr="006A162E">
        <w:rPr>
          <w:vertAlign w:val="subscript"/>
        </w:rPr>
        <w:t>max</w:t>
      </w:r>
      <w:r w:rsidRPr="006A162E">
        <w:t>, T</w:t>
      </w:r>
      <w:r w:rsidRPr="006A162E">
        <w:rPr>
          <w:vertAlign w:val="subscript"/>
        </w:rPr>
        <w:t>max</w:t>
      </w:r>
      <w:r w:rsidRPr="006A162E">
        <w:t xml:space="preserve"> and AUC</w:t>
      </w:r>
      <w:r w:rsidRPr="006A162E">
        <w:rPr>
          <w:vertAlign w:val="subscript"/>
        </w:rPr>
        <w:t>(0–24)</w:t>
      </w:r>
      <w:r w:rsidRPr="006A162E">
        <w:t>) for ingenol</w:t>
      </w:r>
      <w:r w:rsidR="0011179F">
        <w:t xml:space="preserve"> </w:t>
      </w:r>
      <w:r w:rsidRPr="006A162E">
        <w:t>mebutate and PEP015 and PEP025. The secondary criteria for evaluation were; incidence rate of AEs, serious adverse events (SAEs) and AEs leading to discontinuation through Day 57; incidence rate and grade of LSRs, pigmentation and scarring, following study treatment through Day 57; complete clearance rate, defined as no clinically visible SK lesions in a 25 cm</w:t>
      </w:r>
      <w:r w:rsidRPr="006A162E">
        <w:rPr>
          <w:vertAlign w:val="superscript"/>
        </w:rPr>
        <w:t>2</w:t>
      </w:r>
      <w:r w:rsidRPr="006A162E">
        <w:t xml:space="preserve"> area within the selected treatment area; and percentage (%) reduction in SK lesions at Day 57, compared to baseline, in a 25 cm</w:t>
      </w:r>
      <w:r w:rsidRPr="006A162E">
        <w:rPr>
          <w:vertAlign w:val="superscript"/>
        </w:rPr>
        <w:t>2</w:t>
      </w:r>
      <w:r w:rsidRPr="006A162E">
        <w:t xml:space="preserve"> area within the selected</w:t>
      </w:r>
      <w:r>
        <w:rPr>
          <w:rFonts w:ascii="TimesNewRoman" w:hAnsi="TimesNewRoman" w:cs="TimesNewRoman"/>
        </w:rPr>
        <w:t xml:space="preserve"> </w:t>
      </w:r>
      <w:r w:rsidRPr="006A162E">
        <w:t>treatment area.</w:t>
      </w:r>
      <w:r w:rsidRPr="006A162E">
        <w:rPr>
          <w:sz w:val="20"/>
          <w:szCs w:val="20"/>
        </w:rPr>
        <w:t xml:space="preserve"> </w:t>
      </w:r>
      <w:r w:rsidRPr="006A162E">
        <w:t>Results were summarized into tabulations, case listings, plots, and histograms for comparison. Descriptive</w:t>
      </w:r>
      <w:r w:rsidR="0011179F">
        <w:t xml:space="preserve"> </w:t>
      </w:r>
      <w:r w:rsidRPr="006A162E">
        <w:t>summaries were created to include the mean, standard deviation, median, and range for continuous variables, and counts and percentages for categorical variables. Results are included below.</w:t>
      </w:r>
    </w:p>
    <w:p w:rsidR="0011179F" w:rsidRPr="006A162E" w:rsidRDefault="0011179F" w:rsidP="00106E51">
      <w:pPr>
        <w:pStyle w:val="TableTitle"/>
      </w:pPr>
      <w:r>
        <w:t>Table 3</w:t>
      </w:r>
      <w:r w:rsidR="00281572">
        <w:t>4</w:t>
      </w:r>
      <w:r>
        <w:t>. Summary of AK lesion counts (ITT population)</w:t>
      </w:r>
    </w:p>
    <w:p w:rsidR="002E6F0C" w:rsidRDefault="002E6F0C" w:rsidP="002E6F0C">
      <w:pPr>
        <w:autoSpaceDE w:val="0"/>
        <w:autoSpaceDN w:val="0"/>
        <w:adjustRightInd w:val="0"/>
      </w:pPr>
      <w:r>
        <w:rPr>
          <w:noProof/>
          <w:lang w:eastAsia="en-AU"/>
        </w:rPr>
        <w:drawing>
          <wp:inline distT="0" distB="0" distL="0" distR="0">
            <wp:extent cx="5824855" cy="2590800"/>
            <wp:effectExtent l="19050" t="0" r="4445" b="0"/>
            <wp:docPr id="43" name="Picture 43" descr="Table 34. Summary of AK lesion coun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9" t="8896" b="7669"/>
                    <a:stretch>
                      <a:fillRect/>
                    </a:stretch>
                  </pic:blipFill>
                  <pic:spPr bwMode="auto">
                    <a:xfrm>
                      <a:off x="0" y="0"/>
                      <a:ext cx="5824855" cy="2590800"/>
                    </a:xfrm>
                    <a:prstGeom prst="rect">
                      <a:avLst/>
                    </a:prstGeom>
                    <a:noFill/>
                    <a:ln>
                      <a:noFill/>
                    </a:ln>
                  </pic:spPr>
                </pic:pic>
              </a:graphicData>
            </a:graphic>
          </wp:inline>
        </w:drawing>
      </w:r>
    </w:p>
    <w:p w:rsidR="002E6F0C" w:rsidRPr="006A162E" w:rsidRDefault="002E6F0C" w:rsidP="00106E51">
      <w:r w:rsidRPr="006A162E">
        <w:t>No systemic absorption was detected. Levels of ingenol mebutate and its acyl isomers were below the LLOQ in samples from all patients following two consecutive once-daily applications of PEP005 Gel, 0.05%.SK lesion clearance was assessed at Day 57 in a 25 cm</w:t>
      </w:r>
      <w:r w:rsidRPr="006A162E">
        <w:rPr>
          <w:vertAlign w:val="superscript"/>
        </w:rPr>
        <w:t>2</w:t>
      </w:r>
      <w:r w:rsidRPr="006A162E">
        <w:t xml:space="preserve"> contiguous area of </w:t>
      </w:r>
      <w:r w:rsidRPr="006A162E">
        <w:lastRenderedPageBreak/>
        <w:t>skin located within the larger treatment area. Of the patients who received treatment with PEP005 Gel, 0.05%, 77% (10/13) had complete clearance of all SK lesions, and all patients had partial clearance. None of the three patients treated with vehicle gel had complete or partial clearance of their AK lesions. The percentage change from baseline in the total SK lesion count in the selected 25 cm</w:t>
      </w:r>
      <w:r w:rsidRPr="006A162E">
        <w:rPr>
          <w:vertAlign w:val="superscript"/>
        </w:rPr>
        <w:t>2</w:t>
      </w:r>
      <w:r w:rsidRPr="006A162E">
        <w:t xml:space="preserve"> area was also assessed at Day 57. The median percentage reduction in SK lesion count was 100% in patients treated with PEP005 Gel, 0.05%, and zero in those patients treated with vehicle gel.</w:t>
      </w:r>
    </w:p>
    <w:p w:rsidR="002E6F0C" w:rsidRDefault="00106E51" w:rsidP="0011179F">
      <w:pPr>
        <w:pStyle w:val="Heading5"/>
      </w:pPr>
      <w:r>
        <w:t>PEP005-018</w:t>
      </w:r>
    </w:p>
    <w:p w:rsidR="002E6F0C" w:rsidRDefault="002E6F0C" w:rsidP="002E6F0C">
      <w:pPr>
        <w:autoSpaceDE w:val="0"/>
        <w:autoSpaceDN w:val="0"/>
        <w:adjustRightInd w:val="0"/>
      </w:pPr>
      <w:r w:rsidRPr="00326E7E">
        <w:t xml:space="preserve">This study </w:t>
      </w:r>
      <w:r>
        <w:t xml:space="preserve">was a </w:t>
      </w:r>
      <w:r w:rsidRPr="00326E7E">
        <w:t>multicent</w:t>
      </w:r>
      <w:r>
        <w:t>re</w:t>
      </w:r>
      <w:r w:rsidRPr="00326E7E">
        <w:t>, open-label study to examine the</w:t>
      </w:r>
      <w:r>
        <w:t xml:space="preserve"> </w:t>
      </w:r>
      <w:r w:rsidRPr="00326E7E">
        <w:t>safety and toleration of 0.05% PEP005 Topical</w:t>
      </w:r>
      <w:r>
        <w:t xml:space="preserve"> </w:t>
      </w:r>
      <w:r w:rsidRPr="00326E7E">
        <w:t>Gel in patients with actinic keratoses on the</w:t>
      </w:r>
      <w:r>
        <w:t xml:space="preserve"> </w:t>
      </w:r>
      <w:r w:rsidRPr="00326E7E">
        <w:t>dorsum of the hand</w:t>
      </w:r>
      <w:r>
        <w:t>, conducted in the USA between October and December 2007. The objectives of the study were t</w:t>
      </w:r>
      <w:r w:rsidRPr="00326E7E">
        <w:t>o examine the safety and toleration of PEP005 Gel, 0.05%, administered on two consecutive days, to a 25 cm</w:t>
      </w:r>
      <w:r w:rsidRPr="0011179F">
        <w:rPr>
          <w:vertAlign w:val="superscript"/>
        </w:rPr>
        <w:t>2</w:t>
      </w:r>
      <w:r w:rsidR="0011179F">
        <w:rPr>
          <w:vertAlign w:val="superscript"/>
        </w:rPr>
        <w:t xml:space="preserve"> </w:t>
      </w:r>
      <w:r w:rsidRPr="00326E7E">
        <w:t xml:space="preserve">contiguous </w:t>
      </w:r>
      <w:r>
        <w:t>SK</w:t>
      </w:r>
      <w:r w:rsidRPr="00326E7E">
        <w:t xml:space="preserve"> treatment area on the dorsum of a single hand</w:t>
      </w:r>
      <w:r>
        <w:t>, and t</w:t>
      </w:r>
      <w:r w:rsidRPr="00326E7E">
        <w:t>o examine the efficacy of PEP005 Gel, 0.05%, administered on two consecutive days, to a 25 cm</w:t>
      </w:r>
      <w:r w:rsidRPr="00326E7E">
        <w:rPr>
          <w:vertAlign w:val="superscript"/>
        </w:rPr>
        <w:t xml:space="preserve">2 </w:t>
      </w:r>
      <w:r w:rsidRPr="00326E7E">
        <w:t xml:space="preserve">contiguous </w:t>
      </w:r>
      <w:r>
        <w:t>S</w:t>
      </w:r>
      <w:r w:rsidRPr="00326E7E">
        <w:t>K</w:t>
      </w:r>
      <w:r>
        <w:t xml:space="preserve"> </w:t>
      </w:r>
      <w:r w:rsidRPr="00326E7E">
        <w:t>treatment area on the dorsum of a single hand as determined by the</w:t>
      </w:r>
      <w:r>
        <w:t xml:space="preserve"> </w:t>
      </w:r>
      <w:r w:rsidRPr="00326E7E">
        <w:t>complete clearance rate</w:t>
      </w:r>
      <w:r>
        <w:t xml:space="preserve"> (</w:t>
      </w:r>
      <w:r w:rsidRPr="00326E7E">
        <w:t xml:space="preserve"> the </w:t>
      </w:r>
      <w:r>
        <w:t>p</w:t>
      </w:r>
      <w:r w:rsidRPr="00326E7E">
        <w:t>roportion of patients at the Day 57 post-treatment visit with no clinically visible</w:t>
      </w:r>
      <w:r>
        <w:t xml:space="preserve"> S</w:t>
      </w:r>
      <w:r w:rsidRPr="00326E7E">
        <w:t xml:space="preserve">K lesions in the selected </w:t>
      </w:r>
      <w:r>
        <w:t>S</w:t>
      </w:r>
      <w:r w:rsidRPr="00326E7E">
        <w:t>K treatment area</w:t>
      </w:r>
      <w:r>
        <w:t>),</w:t>
      </w:r>
      <w:r w:rsidRPr="00326E7E">
        <w:t xml:space="preserve"> partial clearance rate</w:t>
      </w:r>
      <w:r>
        <w:t xml:space="preserve"> (</w:t>
      </w:r>
      <w:r w:rsidRPr="00326E7E">
        <w:t xml:space="preserve"> the proportion of patients at the Day 57 post-treatment visit with a 75% or greater</w:t>
      </w:r>
      <w:r>
        <w:t xml:space="preserve"> </w:t>
      </w:r>
      <w:r w:rsidRPr="00326E7E">
        <w:t xml:space="preserve">reduction in the number of </w:t>
      </w:r>
      <w:r>
        <w:t>S</w:t>
      </w:r>
      <w:r w:rsidRPr="00326E7E">
        <w:t xml:space="preserve">K lesions identified at baseline in the selected </w:t>
      </w:r>
      <w:r>
        <w:t>S</w:t>
      </w:r>
      <w:r w:rsidRPr="00326E7E">
        <w:t>K treatment area</w:t>
      </w:r>
      <w:r>
        <w:t>)</w:t>
      </w:r>
      <w:r w:rsidRPr="00326E7E">
        <w:t xml:space="preserve"> and</w:t>
      </w:r>
      <w:r w:rsidR="00631F91" w:rsidRPr="00631F91">
        <w:t xml:space="preserve"> </w:t>
      </w:r>
      <w:r w:rsidRPr="00326E7E">
        <w:t>baseline clearance rate</w:t>
      </w:r>
      <w:r>
        <w:t xml:space="preserve"> (</w:t>
      </w:r>
      <w:r w:rsidRPr="00326E7E">
        <w:t xml:space="preserve"> the proportion of patients at the Day 57 post-treatment visit with a 100% reduction in</w:t>
      </w:r>
      <w:r>
        <w:t xml:space="preserve"> </w:t>
      </w:r>
      <w:r w:rsidRPr="00326E7E">
        <w:t xml:space="preserve">the number of </w:t>
      </w:r>
      <w:r>
        <w:t>S</w:t>
      </w:r>
      <w:r w:rsidRPr="00326E7E">
        <w:t xml:space="preserve">K lesions identified at baseline in the selected </w:t>
      </w:r>
      <w:r>
        <w:t>S</w:t>
      </w:r>
      <w:r w:rsidRPr="00326E7E">
        <w:t>K treatment area</w:t>
      </w:r>
      <w:r>
        <w:t>)</w:t>
      </w:r>
      <w:r w:rsidRPr="00326E7E">
        <w:t>.</w:t>
      </w:r>
      <w:r w:rsidRPr="00390D5F">
        <w:rPr>
          <w:sz w:val="19"/>
          <w:szCs w:val="19"/>
        </w:rPr>
        <w:t xml:space="preserve"> </w:t>
      </w:r>
      <w:r w:rsidRPr="00390D5F">
        <w:t>A total of 12 patients were enrolled, 11 of which were</w:t>
      </w:r>
      <w:r>
        <w:t xml:space="preserve"> </w:t>
      </w:r>
      <w:r w:rsidRPr="00390D5F">
        <w:t>treated with study medication and analy</w:t>
      </w:r>
      <w:r>
        <w:t>s</w:t>
      </w:r>
      <w:r w:rsidRPr="00390D5F">
        <w:t>ed.</w:t>
      </w:r>
      <w:r w:rsidRPr="00390D5F">
        <w:rPr>
          <w:sz w:val="19"/>
          <w:szCs w:val="19"/>
        </w:rPr>
        <w:t xml:space="preserve"> </w:t>
      </w:r>
      <w:r w:rsidRPr="00390D5F">
        <w:t>Male and/or postmenopausal female patients at least 18 years of age with 4–8 clinically typical, visible, and discrete</w:t>
      </w:r>
      <w:r>
        <w:t xml:space="preserve"> S</w:t>
      </w:r>
      <w:r w:rsidRPr="00390D5F">
        <w:t>K lesions within a contiguous 25 cm</w:t>
      </w:r>
      <w:r w:rsidRPr="00390D5F">
        <w:rPr>
          <w:vertAlign w:val="superscript"/>
        </w:rPr>
        <w:t xml:space="preserve">2 </w:t>
      </w:r>
      <w:r w:rsidRPr="00390D5F">
        <w:t>treatment area on the dorsum of one hand.</w:t>
      </w:r>
      <w:r w:rsidRPr="00EA5C01">
        <w:rPr>
          <w:sz w:val="19"/>
          <w:szCs w:val="19"/>
        </w:rPr>
        <w:t xml:space="preserve"> </w:t>
      </w:r>
      <w:r w:rsidRPr="00EA5C01">
        <w:t>The analysis was</w:t>
      </w:r>
      <w:r>
        <w:t xml:space="preserve"> </w:t>
      </w:r>
      <w:r w:rsidRPr="00EA5C01">
        <w:t>primarily</w:t>
      </w:r>
      <w:r>
        <w:t xml:space="preserve"> </w:t>
      </w:r>
      <w:r w:rsidRPr="00EA5C01">
        <w:t>descriptive in nature.</w:t>
      </w:r>
      <w:r>
        <w:t xml:space="preserve"> Results are included below.</w:t>
      </w:r>
    </w:p>
    <w:p w:rsidR="0011179F" w:rsidRDefault="0011179F" w:rsidP="00C71E6C">
      <w:pPr>
        <w:pStyle w:val="TableTitle"/>
      </w:pPr>
      <w:r>
        <w:t>Table 3</w:t>
      </w:r>
      <w:r w:rsidR="00281572">
        <w:t>5</w:t>
      </w:r>
      <w:r>
        <w:t>. Percentage of patients with complete lesion clearance (mITT population).</w:t>
      </w:r>
    </w:p>
    <w:p w:rsidR="002E6F0C" w:rsidRDefault="002E6F0C" w:rsidP="002E6F0C">
      <w:pPr>
        <w:autoSpaceDE w:val="0"/>
        <w:autoSpaceDN w:val="0"/>
        <w:adjustRightInd w:val="0"/>
      </w:pPr>
      <w:r>
        <w:rPr>
          <w:noProof/>
          <w:lang w:eastAsia="en-AU"/>
        </w:rPr>
        <w:drawing>
          <wp:inline distT="0" distB="0" distL="0" distR="0">
            <wp:extent cx="6171478" cy="2266950"/>
            <wp:effectExtent l="19050" t="0" r="722" b="0"/>
            <wp:docPr id="44" name="Picture 44" descr="Table 35. Percentage of patients with complete lesion clearanc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8" t="12324" b="8451"/>
                    <a:stretch>
                      <a:fillRect/>
                    </a:stretch>
                  </pic:blipFill>
                  <pic:spPr bwMode="auto">
                    <a:xfrm>
                      <a:off x="0" y="0"/>
                      <a:ext cx="6171478" cy="2266950"/>
                    </a:xfrm>
                    <a:prstGeom prst="rect">
                      <a:avLst/>
                    </a:prstGeom>
                    <a:noFill/>
                    <a:ln>
                      <a:noFill/>
                    </a:ln>
                  </pic:spPr>
                </pic:pic>
              </a:graphicData>
            </a:graphic>
          </wp:inline>
        </w:drawing>
      </w:r>
    </w:p>
    <w:p w:rsidR="0011179F" w:rsidRDefault="0011179F" w:rsidP="00C71E6C">
      <w:pPr>
        <w:pStyle w:val="TableTitle"/>
      </w:pPr>
      <w:r>
        <w:lastRenderedPageBreak/>
        <w:t>Table 3</w:t>
      </w:r>
      <w:r w:rsidR="00281572">
        <w:t>6</w:t>
      </w:r>
      <w:r>
        <w:t>. Percentage of patients with partial lesion clearance (mITT population).</w:t>
      </w:r>
    </w:p>
    <w:p w:rsidR="002E6F0C" w:rsidRDefault="002E6F0C" w:rsidP="00C71E6C">
      <w:r>
        <w:rPr>
          <w:noProof/>
          <w:lang w:eastAsia="en-AU"/>
        </w:rPr>
        <w:drawing>
          <wp:inline distT="0" distB="0" distL="0" distR="0">
            <wp:extent cx="5815330" cy="2143125"/>
            <wp:effectExtent l="19050" t="0" r="0" b="0"/>
            <wp:docPr id="45" name="Picture 45" descr="Table 36. Percentage of patients with partial lesion clearanc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0" t="10857" b="10324"/>
                    <a:stretch>
                      <a:fillRect/>
                    </a:stretch>
                  </pic:blipFill>
                  <pic:spPr bwMode="auto">
                    <a:xfrm>
                      <a:off x="0" y="0"/>
                      <a:ext cx="5815330" cy="2143125"/>
                    </a:xfrm>
                    <a:prstGeom prst="rect">
                      <a:avLst/>
                    </a:prstGeom>
                    <a:noFill/>
                    <a:ln>
                      <a:noFill/>
                    </a:ln>
                  </pic:spPr>
                </pic:pic>
              </a:graphicData>
            </a:graphic>
          </wp:inline>
        </w:drawing>
      </w:r>
    </w:p>
    <w:p w:rsidR="0011179F" w:rsidRPr="007E6701" w:rsidRDefault="0011179F" w:rsidP="00C71E6C">
      <w:pPr>
        <w:pStyle w:val="TableTitle"/>
      </w:pPr>
      <w:r w:rsidRPr="007E6701">
        <w:t>Table 3</w:t>
      </w:r>
      <w:r w:rsidR="00281572">
        <w:t>7</w:t>
      </w:r>
      <w:r w:rsidRPr="007E6701">
        <w:t xml:space="preserve">. Percentage of patients with </w:t>
      </w:r>
      <w:r w:rsidR="007E6701">
        <w:t>complete</w:t>
      </w:r>
      <w:r w:rsidRPr="007E6701">
        <w:t xml:space="preserve"> clearance </w:t>
      </w:r>
      <w:r w:rsidR="007E6701">
        <w:t xml:space="preserve">of baseline lesions </w:t>
      </w:r>
      <w:r w:rsidRPr="007E6701">
        <w:t>(mITT population).</w:t>
      </w:r>
    </w:p>
    <w:p w:rsidR="002E6F0C" w:rsidRPr="00DD33C3" w:rsidRDefault="002E6F0C" w:rsidP="00C71E6C">
      <w:r>
        <w:rPr>
          <w:noProof/>
          <w:lang w:eastAsia="en-AU"/>
        </w:rPr>
        <w:drawing>
          <wp:inline distT="0" distB="0" distL="0" distR="0">
            <wp:extent cx="5295900" cy="1885950"/>
            <wp:effectExtent l="19050" t="0" r="0" b="0"/>
            <wp:docPr id="46" name="Picture 46" descr="Table 37. Percentage of patients with complete clearance of baseline lesion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 t="17014" b="7292"/>
                    <a:stretch>
                      <a:fillRect/>
                    </a:stretch>
                  </pic:blipFill>
                  <pic:spPr bwMode="auto">
                    <a:xfrm>
                      <a:off x="0" y="0"/>
                      <a:ext cx="5295900" cy="1885950"/>
                    </a:xfrm>
                    <a:prstGeom prst="rect">
                      <a:avLst/>
                    </a:prstGeom>
                    <a:noFill/>
                    <a:ln>
                      <a:noFill/>
                    </a:ln>
                  </pic:spPr>
                </pic:pic>
              </a:graphicData>
            </a:graphic>
          </wp:inline>
        </w:drawing>
      </w:r>
    </w:p>
    <w:p w:rsidR="002E6F0C" w:rsidRPr="00EA5C01" w:rsidRDefault="002E6F0C" w:rsidP="002E6F0C">
      <w:pPr>
        <w:autoSpaceDE w:val="0"/>
        <w:autoSpaceDN w:val="0"/>
        <w:adjustRightInd w:val="0"/>
      </w:pPr>
      <w:r w:rsidRPr="00EA5C01">
        <w:t>At Day 57, the complete clearance rate was 27.3% (3/11 patients), and the partial clearance rate was 45.5%</w:t>
      </w:r>
      <w:r>
        <w:t xml:space="preserve"> </w:t>
      </w:r>
      <w:r w:rsidRPr="00EA5C01">
        <w:t>(5/11 patients). The complete clearance rate was highest on Day 15 (45.5%; 5/11 patients), while the partial</w:t>
      </w:r>
      <w:r>
        <w:t xml:space="preserve"> </w:t>
      </w:r>
      <w:r w:rsidRPr="00EA5C01">
        <w:t>clearance rate was highest on Day 29 (63.6%; 7/11 patients).</w:t>
      </w:r>
      <w:r>
        <w:t xml:space="preserve"> </w:t>
      </w:r>
      <w:r w:rsidRPr="00EA5C01">
        <w:t xml:space="preserve">The median percentage reduction in </w:t>
      </w:r>
      <w:r>
        <w:t>S</w:t>
      </w:r>
      <w:r w:rsidRPr="00EA5C01">
        <w:t>K lesion count from baseline to Day 57 ranged from an increase of 12.5% to a</w:t>
      </w:r>
      <w:r>
        <w:t xml:space="preserve"> </w:t>
      </w:r>
      <w:r w:rsidRPr="00EA5C01">
        <w:t>decrease of 100.0%, with an overall median reduction of 66.7%. The median lesion count in the treatment area</w:t>
      </w:r>
      <w:r>
        <w:t xml:space="preserve"> </w:t>
      </w:r>
      <w:r w:rsidRPr="00EA5C01">
        <w:t xml:space="preserve">decreased from 6.0 on Day 2 to 0.0 on Day 15, increasing to 2.0 by Day 57. However, </w:t>
      </w:r>
      <w:r>
        <w:t>S</w:t>
      </w:r>
      <w:r w:rsidRPr="00EA5C01">
        <w:t>K lesions were unable to be</w:t>
      </w:r>
      <w:r>
        <w:t xml:space="preserve"> </w:t>
      </w:r>
      <w:r w:rsidRPr="00EA5C01">
        <w:t>determined/assessed in a percentage of patients on Days 8 (5/11; 45.5%) and 15 (4/11; 36.4%).</w:t>
      </w:r>
      <w:r>
        <w:t xml:space="preserve"> </w:t>
      </w:r>
      <w:r w:rsidRPr="00EA5C01">
        <w:t>Treatment-emergent subclinical lesions were identified in three patients (27.3%) on Day 57, based on a comparison</w:t>
      </w:r>
      <w:r w:rsidR="007E6701">
        <w:t xml:space="preserve"> </w:t>
      </w:r>
      <w:r w:rsidRPr="00EA5C01">
        <w:t>of the total number of lesions at Day 57 with the lesions identified at baseline.</w:t>
      </w:r>
    </w:p>
    <w:p w:rsidR="002E6F0C" w:rsidRPr="00DB6460" w:rsidRDefault="00C71E6C" w:rsidP="00C71E6C">
      <w:pPr>
        <w:pStyle w:val="Heading5"/>
      </w:pPr>
      <w:r>
        <w:t>PEP005-020</w:t>
      </w:r>
    </w:p>
    <w:p w:rsidR="002E6F0C" w:rsidRDefault="002E6F0C" w:rsidP="002E6F0C">
      <w:pPr>
        <w:autoSpaceDE w:val="0"/>
        <w:autoSpaceDN w:val="0"/>
        <w:adjustRightInd w:val="0"/>
      </w:pPr>
      <w:r>
        <w:t>This study was a</w:t>
      </w:r>
      <w:r w:rsidRPr="00EA5C01">
        <w:t xml:space="preserve"> multi-cent</w:t>
      </w:r>
      <w:r>
        <w:t>re</w:t>
      </w:r>
      <w:r w:rsidRPr="00EA5C01">
        <w:t>, open-label study to evaluate the safety and efficacy of PEP005 (ingenol mebutate) Gel, 0.05% in</w:t>
      </w:r>
      <w:r>
        <w:t xml:space="preserve"> </w:t>
      </w:r>
      <w:r w:rsidRPr="00EA5C01">
        <w:t>patients with actinic keratoses on non-head locations (trunk and extremities)</w:t>
      </w:r>
      <w:r>
        <w:t>, and was conducted in the USA and Australia between June and September 2009. The objectives of the study were t</w:t>
      </w:r>
      <w:r w:rsidRPr="00EA5C01">
        <w:t>o evaluate the safety of PEP005 Gel, 0.05% when administered once daily for two consecutive days</w:t>
      </w:r>
      <w:r>
        <w:t xml:space="preserve"> </w:t>
      </w:r>
      <w:r w:rsidRPr="00EA5C01">
        <w:t>(Days 1 and 2) to a 25 cm</w:t>
      </w:r>
      <w:r w:rsidRPr="00681B48">
        <w:rPr>
          <w:vertAlign w:val="superscript"/>
        </w:rPr>
        <w:t>2</w:t>
      </w:r>
      <w:r w:rsidRPr="00EA5C01">
        <w:t xml:space="preserve"> contiguous actinic keratosis treatment area on non-head locations</w:t>
      </w:r>
      <w:r>
        <w:t>, and t</w:t>
      </w:r>
      <w:r w:rsidRPr="00EA5C01">
        <w:t xml:space="preserve">o evaluate the efficacy of PEP005 Gel, 0.05% when </w:t>
      </w:r>
      <w:r>
        <w:t>administered</w:t>
      </w:r>
      <w:r w:rsidRPr="00EA5C01">
        <w:t xml:space="preserve"> once daily for two consecutive days</w:t>
      </w:r>
      <w:r>
        <w:t xml:space="preserve"> </w:t>
      </w:r>
      <w:r w:rsidRPr="00EA5C01">
        <w:t>(Days 1 and 2) to a 25 cm</w:t>
      </w:r>
      <w:r w:rsidRPr="00681B48">
        <w:rPr>
          <w:vertAlign w:val="superscript"/>
        </w:rPr>
        <w:t>2</w:t>
      </w:r>
      <w:r w:rsidRPr="00EA5C01">
        <w:t xml:space="preserve"> contiguous </w:t>
      </w:r>
      <w:r>
        <w:t>S</w:t>
      </w:r>
      <w:r w:rsidRPr="00EA5C01">
        <w:t>K treatment area on non-head locations.</w:t>
      </w:r>
      <w:r>
        <w:t xml:space="preserve"> A total of </w:t>
      </w:r>
      <w:r w:rsidRPr="0044125B">
        <w:t xml:space="preserve">102 patients were enrolled, received treatment and completed the study. </w:t>
      </w:r>
      <w:r>
        <w:t>Subjects were m</w:t>
      </w:r>
      <w:r w:rsidRPr="0044125B">
        <w:t xml:space="preserve">ale or female patients at least 18 years of age with 4 to 8 clinically typical, visible and discrete </w:t>
      </w:r>
      <w:r>
        <w:t>S</w:t>
      </w:r>
      <w:r w:rsidRPr="0044125B">
        <w:t>K lesions within a</w:t>
      </w:r>
      <w:r w:rsidR="007E6701">
        <w:t xml:space="preserve"> </w:t>
      </w:r>
      <w:r w:rsidRPr="0044125B">
        <w:t>contiguous 25 cm</w:t>
      </w:r>
      <w:r w:rsidRPr="0044125B">
        <w:rPr>
          <w:vertAlign w:val="superscript"/>
        </w:rPr>
        <w:t xml:space="preserve">2 </w:t>
      </w:r>
      <w:r w:rsidRPr="0044125B">
        <w:t xml:space="preserve">treatment area on non-head locations (trunk and extremities). </w:t>
      </w:r>
      <w:r>
        <w:t>Criteria for evaluation included c</w:t>
      </w:r>
      <w:r w:rsidRPr="0044125B">
        <w:t xml:space="preserve">omplete clearance rate of </w:t>
      </w:r>
      <w:r>
        <w:t>S</w:t>
      </w:r>
      <w:r w:rsidRPr="0044125B">
        <w:t xml:space="preserve">K lesions at the Day 57 visit </w:t>
      </w:r>
      <w:r>
        <w:t>(</w:t>
      </w:r>
      <w:r w:rsidRPr="0044125B">
        <w:t xml:space="preserve">defined as no clinically visible </w:t>
      </w:r>
      <w:r>
        <w:t>S</w:t>
      </w:r>
      <w:r w:rsidRPr="0044125B">
        <w:t>K lesions in the</w:t>
      </w:r>
      <w:r>
        <w:t xml:space="preserve"> </w:t>
      </w:r>
      <w:r w:rsidRPr="0044125B">
        <w:t>selected treatment area</w:t>
      </w:r>
      <w:r>
        <w:t>), p</w:t>
      </w:r>
      <w:r w:rsidRPr="0044125B">
        <w:t xml:space="preserve">artial clearance rate of </w:t>
      </w:r>
      <w:r>
        <w:t>S</w:t>
      </w:r>
      <w:r w:rsidRPr="0044125B">
        <w:t>K lesions at the Day 57 visit</w:t>
      </w:r>
      <w:r>
        <w:t xml:space="preserve"> </w:t>
      </w:r>
      <w:r>
        <w:lastRenderedPageBreak/>
        <w:t>(</w:t>
      </w:r>
      <w:r w:rsidRPr="0044125B">
        <w:t>defined as a 75% or greater reduction in the number</w:t>
      </w:r>
      <w:r>
        <w:t xml:space="preserve"> </w:t>
      </w:r>
      <w:r w:rsidRPr="0044125B">
        <w:t xml:space="preserve">of </w:t>
      </w:r>
      <w:r>
        <w:t>S</w:t>
      </w:r>
      <w:r w:rsidRPr="0044125B">
        <w:t>K lesions in the selected treatment area</w:t>
      </w:r>
      <w:r>
        <w:t>), and t</w:t>
      </w:r>
      <w:r w:rsidRPr="0044125B">
        <w:t xml:space="preserve">he percent change from baseline to Day 57 in the total number of </w:t>
      </w:r>
      <w:r>
        <w:t>S</w:t>
      </w:r>
      <w:r w:rsidRPr="0044125B">
        <w:t>K lesions. No hypotheses were tested and no inferential analyses were performed in this study.</w:t>
      </w:r>
      <w:r>
        <w:t xml:space="preserve"> Results are included below.</w:t>
      </w:r>
    </w:p>
    <w:p w:rsidR="007E6701" w:rsidRPr="007E6701" w:rsidRDefault="007E6701" w:rsidP="00C71E6C">
      <w:pPr>
        <w:pStyle w:val="TableTitle"/>
      </w:pPr>
      <w:r w:rsidRPr="007E6701">
        <w:t>Table 3</w:t>
      </w:r>
      <w:r w:rsidR="00281572">
        <w:t>8</w:t>
      </w:r>
      <w:r w:rsidRPr="007E6701">
        <w:t>. Complete</w:t>
      </w:r>
      <w:r>
        <w:t xml:space="preserve"> Clearance rate of AK lesions </w:t>
      </w:r>
      <w:r w:rsidRPr="007E6701">
        <w:t>at Day 57</w:t>
      </w:r>
      <w:r>
        <w:t>-Overall and by Anatomical location</w:t>
      </w:r>
      <w:r w:rsidRPr="007E6701">
        <w:t>: ITT population.</w:t>
      </w:r>
    </w:p>
    <w:p w:rsidR="002E6F0C" w:rsidRDefault="002E6F0C" w:rsidP="002E6F0C">
      <w:pPr>
        <w:autoSpaceDE w:val="0"/>
        <w:autoSpaceDN w:val="0"/>
        <w:adjustRightInd w:val="0"/>
      </w:pPr>
      <w:r>
        <w:rPr>
          <w:noProof/>
          <w:lang w:eastAsia="en-AU"/>
        </w:rPr>
        <w:drawing>
          <wp:inline distT="0" distB="0" distL="0" distR="0">
            <wp:extent cx="5429250" cy="2876550"/>
            <wp:effectExtent l="19050" t="0" r="0" b="0"/>
            <wp:docPr id="47" name="Picture 47" descr="Table 38. Complete Clearance rate of AK lesions  at Day 57-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3" t="11715" b="7232"/>
                    <a:stretch>
                      <a:fillRect/>
                    </a:stretch>
                  </pic:blipFill>
                  <pic:spPr bwMode="auto">
                    <a:xfrm>
                      <a:off x="0" y="0"/>
                      <a:ext cx="5429250" cy="2876550"/>
                    </a:xfrm>
                    <a:prstGeom prst="rect">
                      <a:avLst/>
                    </a:prstGeom>
                    <a:noFill/>
                    <a:ln>
                      <a:noFill/>
                    </a:ln>
                  </pic:spPr>
                </pic:pic>
              </a:graphicData>
            </a:graphic>
          </wp:inline>
        </w:drawing>
      </w:r>
    </w:p>
    <w:p w:rsidR="007E6701" w:rsidRPr="007E6701" w:rsidRDefault="007E6701" w:rsidP="00C71E6C">
      <w:pPr>
        <w:pStyle w:val="TableTitle"/>
      </w:pPr>
      <w:r w:rsidRPr="007E6701">
        <w:t>Table 3</w:t>
      </w:r>
      <w:r w:rsidR="00281572">
        <w:t>9</w:t>
      </w:r>
      <w:r w:rsidRPr="007E6701">
        <w:t xml:space="preserve">. </w:t>
      </w:r>
      <w:r>
        <w:t>Partial</w:t>
      </w:r>
      <w:r w:rsidRPr="007E6701">
        <w:t xml:space="preserve"> Clearance rate of AK lesions  at Day 57-Overall and by Anatomical location: ITT population.</w:t>
      </w:r>
    </w:p>
    <w:p w:rsidR="002E6F0C" w:rsidRDefault="002E6F0C" w:rsidP="00C71E6C">
      <w:r>
        <w:rPr>
          <w:noProof/>
          <w:lang w:eastAsia="en-AU"/>
        </w:rPr>
        <w:drawing>
          <wp:inline distT="0" distB="0" distL="0" distR="0">
            <wp:extent cx="5920105" cy="3143250"/>
            <wp:effectExtent l="19050" t="0" r="4445" b="0"/>
            <wp:docPr id="48" name="Picture 48" descr="Table 39. Partial Clearance rate of AK lesions  at Day 57-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43" b="6468"/>
                    <a:stretch>
                      <a:fillRect/>
                    </a:stretch>
                  </pic:blipFill>
                  <pic:spPr bwMode="auto">
                    <a:xfrm>
                      <a:off x="0" y="0"/>
                      <a:ext cx="5920105" cy="3143250"/>
                    </a:xfrm>
                    <a:prstGeom prst="rect">
                      <a:avLst/>
                    </a:prstGeom>
                    <a:noFill/>
                    <a:ln>
                      <a:noFill/>
                    </a:ln>
                  </pic:spPr>
                </pic:pic>
              </a:graphicData>
            </a:graphic>
          </wp:inline>
        </w:drawing>
      </w:r>
    </w:p>
    <w:p w:rsidR="007E6701" w:rsidRDefault="007E6701" w:rsidP="00C71E6C">
      <w:pPr>
        <w:pStyle w:val="TableTitle"/>
      </w:pPr>
      <w:r>
        <w:lastRenderedPageBreak/>
        <w:t xml:space="preserve">Table </w:t>
      </w:r>
      <w:r w:rsidR="00281572">
        <w:t>40</w:t>
      </w:r>
      <w:r>
        <w:t xml:space="preserve">. </w:t>
      </w:r>
      <w:r w:rsidRPr="007E6701">
        <w:t xml:space="preserve">Percentage </w:t>
      </w:r>
      <w:r>
        <w:t xml:space="preserve">change from baseline in AK lesion count at Day 57-Overall and by Anatomical location </w:t>
      </w:r>
      <w:r w:rsidRPr="007E6701">
        <w:t xml:space="preserve"> (ITT population).</w:t>
      </w:r>
    </w:p>
    <w:p w:rsidR="002E6F0C" w:rsidRPr="00DD33C3" w:rsidRDefault="002E6F0C" w:rsidP="00C71E6C">
      <w:r>
        <w:rPr>
          <w:noProof/>
          <w:lang w:eastAsia="en-AU"/>
        </w:rPr>
        <w:drawing>
          <wp:inline distT="0" distB="0" distL="0" distR="0">
            <wp:extent cx="5508738" cy="2933700"/>
            <wp:effectExtent l="19050" t="0" r="0" b="0"/>
            <wp:docPr id="49" name="Picture 49" descr="Table 40. Percentage change from baseline in AK lesion count at Day 57-Overall and by Anatomical lo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750" b="5500"/>
                    <a:stretch>
                      <a:fillRect/>
                    </a:stretch>
                  </pic:blipFill>
                  <pic:spPr bwMode="auto">
                    <a:xfrm>
                      <a:off x="0" y="0"/>
                      <a:ext cx="5508738" cy="2933700"/>
                    </a:xfrm>
                    <a:prstGeom prst="rect">
                      <a:avLst/>
                    </a:prstGeom>
                    <a:noFill/>
                    <a:ln>
                      <a:noFill/>
                    </a:ln>
                  </pic:spPr>
                </pic:pic>
              </a:graphicData>
            </a:graphic>
          </wp:inline>
        </w:drawing>
      </w:r>
    </w:p>
    <w:p w:rsidR="002E6F0C" w:rsidRPr="0044125B" w:rsidRDefault="002E6F0C" w:rsidP="002E6F0C">
      <w:pPr>
        <w:autoSpaceDE w:val="0"/>
        <w:autoSpaceDN w:val="0"/>
        <w:adjustRightInd w:val="0"/>
      </w:pPr>
      <w:r w:rsidRPr="0044125B">
        <w:t xml:space="preserve">Overall, 40/102 (39.2%) patients had a complete clearance of </w:t>
      </w:r>
      <w:r>
        <w:t>S</w:t>
      </w:r>
      <w:r w:rsidRPr="0044125B">
        <w:t>K lesions at Day 57. By treatment location,</w:t>
      </w:r>
      <w:r>
        <w:t xml:space="preserve"> </w:t>
      </w:r>
      <w:r w:rsidRPr="0044125B">
        <w:t>complete clearance was observed in 26/51(51%) patients treated on the arm, 5/41 (12.2%) patients treated on the</w:t>
      </w:r>
      <w:r>
        <w:t xml:space="preserve"> </w:t>
      </w:r>
      <w:r w:rsidRPr="0044125B">
        <w:t>back of the hand, 6/7 (85.7%) patients treated on the chest, and 3/3 (100%) patients treated in other locations</w:t>
      </w:r>
      <w:r>
        <w:t xml:space="preserve"> </w:t>
      </w:r>
      <w:r w:rsidRPr="0044125B">
        <w:t>(i.e., back, shoulder, or leg). There were no meaningful differences across the subgroups of gender, age, Fitzpatrick</w:t>
      </w:r>
      <w:r>
        <w:t xml:space="preserve"> </w:t>
      </w:r>
      <w:r w:rsidRPr="0044125B">
        <w:t>skin type, and baseline lesion count with respect to overall clearance rate; there was an apparent difference by</w:t>
      </w:r>
      <w:r>
        <w:t xml:space="preserve"> </w:t>
      </w:r>
      <w:r w:rsidRPr="0044125B">
        <w:t>geographic region, but this was confounded by treatment location.</w:t>
      </w:r>
      <w:r>
        <w:t xml:space="preserve"> </w:t>
      </w:r>
      <w:r w:rsidRPr="0044125B">
        <w:t>Partial clearance (</w:t>
      </w:r>
      <w:r w:rsidRPr="0044125B">
        <w:rPr>
          <w:rFonts w:eastAsia="TimesNewRomanPSMT"/>
        </w:rPr>
        <w:t>≥</w:t>
      </w:r>
      <w:r w:rsidRPr="0044125B">
        <w:t xml:space="preserve">75% reduction) of </w:t>
      </w:r>
      <w:r>
        <w:t>S</w:t>
      </w:r>
      <w:r w:rsidRPr="0044125B">
        <w:t>K lesions at Day 57, support the results observed for complete clearance.</w:t>
      </w:r>
      <w:r>
        <w:t xml:space="preserve"> </w:t>
      </w:r>
      <w:r w:rsidRPr="0044125B">
        <w:t>The overall partial clearance rate was 54.9%, and by treatment location, the rates were 70.6% for the arm, 26.8% for</w:t>
      </w:r>
      <w:r>
        <w:t xml:space="preserve"> </w:t>
      </w:r>
      <w:r w:rsidRPr="0044125B">
        <w:t>the back of the hand, 85.7% for the chest, and 100% for the combined locations of the back, shoulder, and leg.</w:t>
      </w:r>
      <w:r>
        <w:t xml:space="preserve"> </w:t>
      </w:r>
      <w:r w:rsidRPr="0044125B">
        <w:t xml:space="preserve">The median percent reduction in </w:t>
      </w:r>
      <w:r>
        <w:t>S</w:t>
      </w:r>
      <w:r w:rsidRPr="0044125B">
        <w:t>K lesion count over the course of the study was 75%; the median percent</w:t>
      </w:r>
      <w:r>
        <w:t xml:space="preserve"> </w:t>
      </w:r>
      <w:r w:rsidRPr="0044125B">
        <w:t>reduction by anatomic location was 50% for the back of the hand and 100% for all other locations.</w:t>
      </w:r>
    </w:p>
    <w:p w:rsidR="002E6F0C" w:rsidRDefault="002E6F0C" w:rsidP="00E837D2">
      <w:pPr>
        <w:pStyle w:val="Heading5"/>
      </w:pPr>
      <w:r w:rsidRPr="004C4B3D">
        <w:t>PEP005-004</w:t>
      </w:r>
    </w:p>
    <w:p w:rsidR="002E6F0C" w:rsidRDefault="002E6F0C" w:rsidP="002E6F0C">
      <w:pPr>
        <w:autoSpaceDE w:val="0"/>
        <w:autoSpaceDN w:val="0"/>
        <w:adjustRightInd w:val="0"/>
      </w:pPr>
      <w:r>
        <w:rPr>
          <w:rFonts w:eastAsia="TimesNewRomanPSMT"/>
        </w:rPr>
        <w:t>This study was a</w:t>
      </w:r>
      <w:r w:rsidRPr="00225ABE">
        <w:rPr>
          <w:rFonts w:eastAsia="TimesNewRomanPSMT"/>
        </w:rPr>
        <w:t xml:space="preserve">n </w:t>
      </w:r>
      <w:r>
        <w:rPr>
          <w:rFonts w:eastAsia="TimesNewRomanPSMT"/>
        </w:rPr>
        <w:t>o</w:t>
      </w:r>
      <w:r w:rsidRPr="00225ABE">
        <w:rPr>
          <w:rFonts w:eastAsia="TimesNewRomanPSMT"/>
        </w:rPr>
        <w:t xml:space="preserve">pen-label, </w:t>
      </w:r>
      <w:r>
        <w:rPr>
          <w:rFonts w:eastAsia="TimesNewRomanPSMT"/>
        </w:rPr>
        <w:t>d</w:t>
      </w:r>
      <w:r w:rsidRPr="00225ABE">
        <w:rPr>
          <w:rFonts w:eastAsia="TimesNewRomanPSMT"/>
        </w:rPr>
        <w:t xml:space="preserve">ose-escalation, </w:t>
      </w:r>
      <w:r>
        <w:rPr>
          <w:rFonts w:eastAsia="TimesNewRomanPSMT"/>
        </w:rPr>
        <w:t>c</w:t>
      </w:r>
      <w:r w:rsidRPr="00225ABE">
        <w:rPr>
          <w:rFonts w:eastAsia="TimesNewRomanPSMT"/>
        </w:rPr>
        <w:t xml:space="preserve">ohort </w:t>
      </w:r>
      <w:r>
        <w:rPr>
          <w:rFonts w:eastAsia="TimesNewRomanPSMT"/>
        </w:rPr>
        <w:t>s</w:t>
      </w:r>
      <w:r w:rsidRPr="00225ABE">
        <w:rPr>
          <w:rFonts w:eastAsia="TimesNewRomanPSMT"/>
        </w:rPr>
        <w:t xml:space="preserve">tudy to </w:t>
      </w:r>
      <w:r>
        <w:rPr>
          <w:rFonts w:eastAsia="TimesNewRomanPSMT"/>
        </w:rPr>
        <w:t>d</w:t>
      </w:r>
      <w:r w:rsidRPr="00225ABE">
        <w:rPr>
          <w:rFonts w:eastAsia="TimesNewRomanPSMT"/>
        </w:rPr>
        <w:t xml:space="preserve">etermine the </w:t>
      </w:r>
      <w:r>
        <w:rPr>
          <w:rFonts w:eastAsia="TimesNewRomanPSMT"/>
        </w:rPr>
        <w:t>m</w:t>
      </w:r>
      <w:r w:rsidRPr="00225ABE">
        <w:rPr>
          <w:rFonts w:eastAsia="TimesNewRomanPSMT"/>
        </w:rPr>
        <w:t xml:space="preserve">aximum </w:t>
      </w:r>
      <w:r>
        <w:rPr>
          <w:rFonts w:eastAsia="TimesNewRomanPSMT"/>
        </w:rPr>
        <w:t>t</w:t>
      </w:r>
      <w:r w:rsidRPr="00225ABE">
        <w:rPr>
          <w:rFonts w:eastAsia="TimesNewRomanPSMT"/>
        </w:rPr>
        <w:t xml:space="preserve">olerated </w:t>
      </w:r>
      <w:r>
        <w:rPr>
          <w:rFonts w:eastAsia="TimesNewRomanPSMT"/>
        </w:rPr>
        <w:t>d</w:t>
      </w:r>
      <w:r w:rsidRPr="00225ABE">
        <w:rPr>
          <w:rFonts w:eastAsia="TimesNewRomanPSMT"/>
        </w:rPr>
        <w:t>ose</w:t>
      </w:r>
      <w:r>
        <w:rPr>
          <w:rFonts w:eastAsia="TimesNewRomanPSMT"/>
        </w:rPr>
        <w:t xml:space="preserve"> </w:t>
      </w:r>
      <w:r w:rsidRPr="00225ABE">
        <w:rPr>
          <w:rFonts w:eastAsia="TimesNewRomanPSMT"/>
        </w:rPr>
        <w:t xml:space="preserve">and </w:t>
      </w:r>
      <w:r>
        <w:rPr>
          <w:rFonts w:eastAsia="TimesNewRomanPSMT"/>
        </w:rPr>
        <w:t>s</w:t>
      </w:r>
      <w:r w:rsidRPr="00225ABE">
        <w:rPr>
          <w:rFonts w:eastAsia="TimesNewRomanPSMT"/>
        </w:rPr>
        <w:t xml:space="preserve">afety of PEP005 Topical Gel </w:t>
      </w:r>
      <w:r>
        <w:rPr>
          <w:rFonts w:eastAsia="TimesNewRomanPSMT"/>
        </w:rPr>
        <w:t>w</w:t>
      </w:r>
      <w:r w:rsidRPr="00225ABE">
        <w:rPr>
          <w:rFonts w:eastAsia="TimesNewRomanPSMT"/>
        </w:rPr>
        <w:t xml:space="preserve">hen </w:t>
      </w:r>
      <w:r>
        <w:rPr>
          <w:rFonts w:eastAsia="TimesNewRomanPSMT"/>
        </w:rPr>
        <w:t>a</w:t>
      </w:r>
      <w:r w:rsidRPr="00225ABE">
        <w:rPr>
          <w:rFonts w:eastAsia="TimesNewRomanPSMT"/>
        </w:rPr>
        <w:t xml:space="preserve">pplied on Day 1 and Day 2 to </w:t>
      </w:r>
      <w:r>
        <w:rPr>
          <w:rFonts w:eastAsia="TimesNewRomanPSMT"/>
        </w:rPr>
        <w:t>a</w:t>
      </w:r>
      <w:r w:rsidRPr="00225ABE">
        <w:rPr>
          <w:rFonts w:eastAsia="TimesNewRomanPSMT"/>
        </w:rPr>
        <w:t xml:space="preserve">ctinic </w:t>
      </w:r>
      <w:r>
        <w:rPr>
          <w:rFonts w:eastAsia="TimesNewRomanPSMT"/>
        </w:rPr>
        <w:t>k</w:t>
      </w:r>
      <w:r w:rsidRPr="00225ABE">
        <w:rPr>
          <w:rFonts w:eastAsia="TimesNewRomanPSMT"/>
        </w:rPr>
        <w:t>eratoses on</w:t>
      </w:r>
      <w:r w:rsidR="00E837D2">
        <w:rPr>
          <w:rFonts w:eastAsia="TimesNewRomanPSMT"/>
        </w:rPr>
        <w:t xml:space="preserve"> </w:t>
      </w:r>
      <w:r w:rsidRPr="00225ABE">
        <w:rPr>
          <w:rFonts w:eastAsia="TimesNewRomanPSMT"/>
        </w:rPr>
        <w:t xml:space="preserve">the </w:t>
      </w:r>
      <w:r>
        <w:rPr>
          <w:rFonts w:eastAsia="TimesNewRomanPSMT"/>
        </w:rPr>
        <w:t>s</w:t>
      </w:r>
      <w:r w:rsidRPr="00225ABE">
        <w:rPr>
          <w:rFonts w:eastAsia="TimesNewRomanPSMT"/>
        </w:rPr>
        <w:t xml:space="preserve">houlders, </w:t>
      </w:r>
      <w:r>
        <w:rPr>
          <w:rFonts w:eastAsia="TimesNewRomanPSMT"/>
        </w:rPr>
        <w:t>c</w:t>
      </w:r>
      <w:r w:rsidRPr="00225ABE">
        <w:rPr>
          <w:rFonts w:eastAsia="TimesNewRomanPSMT"/>
        </w:rPr>
        <w:t xml:space="preserve">hest, </w:t>
      </w:r>
      <w:r>
        <w:rPr>
          <w:rFonts w:eastAsia="TimesNewRomanPSMT"/>
        </w:rPr>
        <w:t>b</w:t>
      </w:r>
      <w:r w:rsidRPr="00225ABE">
        <w:rPr>
          <w:rFonts w:eastAsia="TimesNewRomanPSMT"/>
        </w:rPr>
        <w:t xml:space="preserve">ack, or </w:t>
      </w:r>
      <w:r>
        <w:rPr>
          <w:rFonts w:eastAsia="TimesNewRomanPSMT"/>
        </w:rPr>
        <w:t>a</w:t>
      </w:r>
      <w:r w:rsidRPr="00225ABE">
        <w:rPr>
          <w:rFonts w:eastAsia="TimesNewRomanPSMT"/>
        </w:rPr>
        <w:t xml:space="preserve">rms </w:t>
      </w:r>
      <w:r>
        <w:rPr>
          <w:rFonts w:eastAsia="TimesNewRomanPSMT"/>
        </w:rPr>
        <w:t>f</w:t>
      </w:r>
      <w:r w:rsidRPr="00225ABE">
        <w:rPr>
          <w:rFonts w:eastAsia="TimesNewRomanPSMT"/>
        </w:rPr>
        <w:t xml:space="preserve">ollowed by a </w:t>
      </w:r>
      <w:r>
        <w:rPr>
          <w:rFonts w:eastAsia="TimesNewRomanPSMT"/>
        </w:rPr>
        <w:t>p</w:t>
      </w:r>
      <w:r w:rsidRPr="00225ABE">
        <w:rPr>
          <w:rFonts w:eastAsia="TimesNewRomanPSMT"/>
        </w:rPr>
        <w:t xml:space="preserve">ost-treatment </w:t>
      </w:r>
      <w:r>
        <w:rPr>
          <w:rFonts w:eastAsia="TimesNewRomanPSMT"/>
        </w:rPr>
        <w:t>f</w:t>
      </w:r>
      <w:r w:rsidRPr="00225ABE">
        <w:rPr>
          <w:rFonts w:eastAsia="TimesNewRomanPSMT"/>
        </w:rPr>
        <w:t xml:space="preserve">ollow-up </w:t>
      </w:r>
      <w:r>
        <w:rPr>
          <w:rFonts w:eastAsia="TimesNewRomanPSMT"/>
        </w:rPr>
        <w:t>p</w:t>
      </w:r>
      <w:r w:rsidRPr="00225ABE">
        <w:rPr>
          <w:rFonts w:eastAsia="TimesNewRomanPSMT"/>
        </w:rPr>
        <w:t xml:space="preserve">eriod </w:t>
      </w:r>
      <w:r>
        <w:rPr>
          <w:rFonts w:eastAsia="TimesNewRomanPSMT"/>
        </w:rPr>
        <w:t>l</w:t>
      </w:r>
      <w:r w:rsidRPr="00225ABE">
        <w:rPr>
          <w:rFonts w:eastAsia="TimesNewRomanPSMT"/>
        </w:rPr>
        <w:t>asting at</w:t>
      </w:r>
      <w:r w:rsidR="00E837D2">
        <w:rPr>
          <w:rFonts w:eastAsia="TimesNewRomanPSMT"/>
        </w:rPr>
        <w:t xml:space="preserve"> </w:t>
      </w:r>
      <w:r>
        <w:rPr>
          <w:rFonts w:eastAsia="TimesNewRomanPSMT"/>
        </w:rPr>
        <w:t>l</w:t>
      </w:r>
      <w:r w:rsidRPr="00225ABE">
        <w:rPr>
          <w:rFonts w:eastAsia="TimesNewRomanPSMT"/>
        </w:rPr>
        <w:t xml:space="preserve">east </w:t>
      </w:r>
      <w:r>
        <w:rPr>
          <w:rFonts w:eastAsia="TimesNewRomanPSMT"/>
        </w:rPr>
        <w:t>f</w:t>
      </w:r>
      <w:r w:rsidRPr="00225ABE">
        <w:rPr>
          <w:rFonts w:eastAsia="TimesNewRomanPSMT"/>
        </w:rPr>
        <w:t xml:space="preserve">our </w:t>
      </w:r>
      <w:r>
        <w:rPr>
          <w:rFonts w:eastAsia="TimesNewRomanPSMT"/>
        </w:rPr>
        <w:t>w</w:t>
      </w:r>
      <w:r w:rsidRPr="00225ABE">
        <w:rPr>
          <w:rFonts w:eastAsia="TimesNewRomanPSMT"/>
        </w:rPr>
        <w:t>eeks</w:t>
      </w:r>
      <w:r>
        <w:rPr>
          <w:rFonts w:eastAsia="TimesNewRomanPSMT"/>
        </w:rPr>
        <w:t xml:space="preserve">. The study was conducted in the </w:t>
      </w:r>
      <w:smartTag w:uri="urn:schemas-microsoft-com:office:smarttags" w:element="place">
        <w:smartTag w:uri="urn:schemas-microsoft-com:office:smarttags" w:element="country-region">
          <w:r>
            <w:rPr>
              <w:rFonts w:eastAsia="TimesNewRomanPSMT"/>
            </w:rPr>
            <w:t>USA</w:t>
          </w:r>
        </w:smartTag>
      </w:smartTag>
      <w:r>
        <w:rPr>
          <w:rFonts w:eastAsia="TimesNewRomanPSMT"/>
        </w:rPr>
        <w:t xml:space="preserve"> between September 2005 and March 2006.</w:t>
      </w:r>
      <w:r w:rsidRPr="00173C5D">
        <w:rPr>
          <w:rFonts w:ascii="TimesNewRomanPSMT" w:eastAsia="TimesNewRomanPSMT" w:cs="TimesNewRomanPSMT"/>
          <w:sz w:val="21"/>
          <w:szCs w:val="21"/>
        </w:rPr>
        <w:t xml:space="preserve"> </w:t>
      </w:r>
      <w:r w:rsidRPr="00173C5D">
        <w:rPr>
          <w:rFonts w:eastAsia="TimesNewRomanPSMT"/>
        </w:rPr>
        <w:t>The primary objective of this study was to determine the maximum tolerated dose (MTD) for</w:t>
      </w:r>
      <w:r>
        <w:rPr>
          <w:rFonts w:eastAsia="TimesNewRomanPSMT"/>
        </w:rPr>
        <w:t xml:space="preserve"> </w:t>
      </w:r>
      <w:r w:rsidRPr="00173C5D">
        <w:rPr>
          <w:rFonts w:eastAsia="TimesNewRomanPSMT"/>
        </w:rPr>
        <w:t>PEP005 Topical Gel, administered once daily for two consecutive days, by applying 90</w:t>
      </w:r>
      <w:r>
        <w:rPr>
          <w:rFonts w:eastAsia="TimesNewRomanPSMT"/>
        </w:rPr>
        <w:t xml:space="preserve"> </w:t>
      </w:r>
      <w:r w:rsidR="0041198F">
        <w:rPr>
          <w:rFonts w:eastAsia="TimesNewRomanPSMT"/>
        </w:rPr>
        <w:t>µ</w:t>
      </w:r>
      <w:r w:rsidRPr="00173C5D">
        <w:rPr>
          <w:rFonts w:eastAsia="TimesNewRomanPSMT"/>
        </w:rPr>
        <w:t>L of</w:t>
      </w:r>
      <w:r>
        <w:rPr>
          <w:rFonts w:eastAsia="TimesNewRomanPSMT"/>
        </w:rPr>
        <w:t xml:space="preserve"> </w:t>
      </w:r>
      <w:r w:rsidRPr="00173C5D">
        <w:rPr>
          <w:rFonts w:eastAsia="TimesNewRomanPSMT"/>
        </w:rPr>
        <w:t>PEP005 Topical Gel over a 3 cm x 3 cm field surrounding a target actinic keratosis lesion</w:t>
      </w:r>
      <w:r>
        <w:rPr>
          <w:rFonts w:eastAsia="TimesNewRomanPSMT"/>
        </w:rPr>
        <w:t xml:space="preserve"> </w:t>
      </w:r>
      <w:r w:rsidRPr="00173C5D">
        <w:rPr>
          <w:rFonts w:eastAsia="TimesNewRomanPSMT"/>
        </w:rPr>
        <w:t>comprising both diseased and perilesional skin.</w:t>
      </w:r>
      <w:r>
        <w:rPr>
          <w:rFonts w:eastAsia="TimesNewRomanPSMT"/>
        </w:rPr>
        <w:t xml:space="preserve"> </w:t>
      </w:r>
      <w:r w:rsidRPr="00173C5D">
        <w:rPr>
          <w:rFonts w:eastAsia="TimesNewRomanPSMT"/>
        </w:rPr>
        <w:t>The secondary objectives of this study were</w:t>
      </w:r>
      <w:r>
        <w:rPr>
          <w:rFonts w:eastAsia="TimesNewRomanPSMT"/>
        </w:rPr>
        <w:t xml:space="preserve"> t</w:t>
      </w:r>
      <w:r w:rsidRPr="00173C5D">
        <w:rPr>
          <w:rFonts w:eastAsia="TimesNewRomanPSMT"/>
        </w:rPr>
        <w:t>o evaluate the clinical efficacy of PEP005 Topical Gel by determining the complete</w:t>
      </w:r>
      <w:r w:rsidR="00E837D2">
        <w:rPr>
          <w:rFonts w:eastAsia="TimesNewRomanPSMT"/>
        </w:rPr>
        <w:t xml:space="preserve"> </w:t>
      </w:r>
      <w:r w:rsidRPr="00173C5D">
        <w:rPr>
          <w:rFonts w:eastAsia="TimesNewRomanPSMT"/>
        </w:rPr>
        <w:t>clinical response rate</w:t>
      </w:r>
      <w:r>
        <w:rPr>
          <w:rFonts w:eastAsia="TimesNewRomanPSMT"/>
        </w:rPr>
        <w:t>, and t</w:t>
      </w:r>
      <w:r w:rsidRPr="00173C5D">
        <w:rPr>
          <w:rFonts w:eastAsia="TimesNewRomanPSMT"/>
        </w:rPr>
        <w:t>o determine the systemic absorption of PEP005 Topical Gel following application once</w:t>
      </w:r>
      <w:r>
        <w:rPr>
          <w:rFonts w:eastAsia="TimesNewRomanPSMT"/>
        </w:rPr>
        <w:t xml:space="preserve"> </w:t>
      </w:r>
      <w:r w:rsidRPr="00173C5D">
        <w:rPr>
          <w:rFonts w:eastAsia="TimesNewRomanPSMT"/>
        </w:rPr>
        <w:t>daily for two consecutive days.</w:t>
      </w:r>
      <w:r w:rsidRPr="00173C5D">
        <w:rPr>
          <w:rFonts w:ascii="TimesNewRomanPSMT" w:eastAsia="TimesNewRomanPSMT" w:cs="TimesNewRomanPSMT"/>
          <w:sz w:val="21"/>
          <w:szCs w:val="21"/>
        </w:rPr>
        <w:t xml:space="preserve"> </w:t>
      </w:r>
      <w:r w:rsidRPr="00173C5D">
        <w:rPr>
          <w:rFonts w:eastAsia="TimesNewRomanPSMT"/>
        </w:rPr>
        <w:t>A</w:t>
      </w:r>
      <w:r>
        <w:rPr>
          <w:rFonts w:eastAsia="TimesNewRomanPSMT"/>
        </w:rPr>
        <w:t xml:space="preserve"> </w:t>
      </w:r>
      <w:r w:rsidRPr="00173C5D">
        <w:rPr>
          <w:rFonts w:eastAsia="TimesNewRomanPSMT"/>
        </w:rPr>
        <w:t>total of 23 patients were screened, 22 patients were enrolled and analysed for efficacy and safety,</w:t>
      </w:r>
      <w:r>
        <w:rPr>
          <w:rFonts w:eastAsia="TimesNewRomanPSMT"/>
        </w:rPr>
        <w:t xml:space="preserve"> </w:t>
      </w:r>
      <w:r w:rsidRPr="00173C5D">
        <w:rPr>
          <w:rFonts w:eastAsia="TimesNewRomanPSMT"/>
        </w:rPr>
        <w:t xml:space="preserve">and two patients provided data for the pharmacokinetic (PK) analysis. </w:t>
      </w:r>
      <w:r>
        <w:rPr>
          <w:rFonts w:eastAsia="TimesNewRomanPSMT"/>
        </w:rPr>
        <w:t>Subjects were m</w:t>
      </w:r>
      <w:r w:rsidRPr="00173C5D">
        <w:rPr>
          <w:rFonts w:eastAsia="TimesNewRomanPSMT"/>
        </w:rPr>
        <w:t>ale or female patients who were at least 18 years</w:t>
      </w:r>
      <w:r>
        <w:rPr>
          <w:rFonts w:eastAsia="TimesNewRomanPSMT"/>
        </w:rPr>
        <w:t xml:space="preserve"> </w:t>
      </w:r>
      <w:r w:rsidRPr="00173C5D">
        <w:rPr>
          <w:rFonts w:eastAsia="TimesNewRomanPSMT"/>
        </w:rPr>
        <w:t xml:space="preserve">of age and had one </w:t>
      </w:r>
      <w:r>
        <w:rPr>
          <w:rFonts w:eastAsia="TimesNewRomanPSMT"/>
        </w:rPr>
        <w:t>S</w:t>
      </w:r>
      <w:r w:rsidRPr="00173C5D">
        <w:rPr>
          <w:rFonts w:eastAsia="TimesNewRomanPSMT"/>
        </w:rPr>
        <w:t>K lesion with a diameter between 3 mm and 15 mm on the shoulders, chest,</w:t>
      </w:r>
      <w:r>
        <w:rPr>
          <w:rFonts w:eastAsia="TimesNewRomanPSMT"/>
        </w:rPr>
        <w:t xml:space="preserve"> </w:t>
      </w:r>
      <w:r w:rsidRPr="00173C5D">
        <w:rPr>
          <w:rFonts w:eastAsia="TimesNewRomanPSMT"/>
        </w:rPr>
        <w:t>back, or arms. Clinical response to treatment with PEP005 Topical Gel was determined by assessing</w:t>
      </w:r>
      <w:r>
        <w:rPr>
          <w:rFonts w:eastAsia="TimesNewRomanPSMT"/>
        </w:rPr>
        <w:t xml:space="preserve"> </w:t>
      </w:r>
      <w:r w:rsidRPr="00173C5D">
        <w:rPr>
          <w:rFonts w:eastAsia="TimesNewRomanPSMT"/>
        </w:rPr>
        <w:t xml:space="preserve">the extent of </w:t>
      </w:r>
      <w:r>
        <w:rPr>
          <w:rFonts w:eastAsia="TimesNewRomanPSMT"/>
        </w:rPr>
        <w:t>S</w:t>
      </w:r>
      <w:r w:rsidRPr="00173C5D">
        <w:rPr>
          <w:rFonts w:eastAsia="TimesNewRomanPSMT"/>
        </w:rPr>
        <w:t>K lesion clearance at each post-Day 1 visit compared with the Baseline</w:t>
      </w:r>
      <w:r>
        <w:rPr>
          <w:rFonts w:eastAsia="TimesNewRomanPSMT"/>
        </w:rPr>
        <w:t xml:space="preserve"> </w:t>
      </w:r>
      <w:r w:rsidRPr="00173C5D">
        <w:rPr>
          <w:rFonts w:eastAsia="TimesNewRomanPSMT"/>
        </w:rPr>
        <w:t>assessment. Clinical response was evaluated as: complete clearance (100% improvement, no</w:t>
      </w:r>
      <w:r>
        <w:rPr>
          <w:rFonts w:eastAsia="TimesNewRomanPSMT"/>
        </w:rPr>
        <w:t xml:space="preserve"> </w:t>
      </w:r>
      <w:r w:rsidRPr="00173C5D">
        <w:rPr>
          <w:rFonts w:eastAsia="TimesNewRomanPSMT"/>
        </w:rPr>
        <w:t>evidence of residual disease), marked clearance (50-90% improvement), slight clearance (10-</w:t>
      </w:r>
      <w:r w:rsidRPr="00173C5D">
        <w:rPr>
          <w:rFonts w:eastAsia="TimesNewRomanPSMT"/>
        </w:rPr>
        <w:lastRenderedPageBreak/>
        <w:t>50%</w:t>
      </w:r>
      <w:r>
        <w:rPr>
          <w:rFonts w:eastAsia="TimesNewRomanPSMT"/>
        </w:rPr>
        <w:t xml:space="preserve"> </w:t>
      </w:r>
      <w:r w:rsidRPr="00173C5D">
        <w:rPr>
          <w:rFonts w:eastAsia="TimesNewRomanPSMT"/>
        </w:rPr>
        <w:t>improvement), unchanged (10%), worsened (clinically observable growth), or unable to be</w:t>
      </w:r>
      <w:r>
        <w:rPr>
          <w:rFonts w:eastAsia="TimesNewRomanPSMT"/>
        </w:rPr>
        <w:t xml:space="preserve"> </w:t>
      </w:r>
      <w:r w:rsidRPr="00173C5D">
        <w:rPr>
          <w:rFonts w:eastAsia="TimesNewRomanPSMT"/>
        </w:rPr>
        <w:t>assessed (e.g., heavy scabbing, bruising, trauma, inflammatory response). No hypothesis/inferential testing was conducted for this study.</w:t>
      </w:r>
      <w:r w:rsidRPr="00173C5D">
        <w:t xml:space="preserve"> </w:t>
      </w:r>
      <w:r>
        <w:t>Results are included below.</w:t>
      </w:r>
    </w:p>
    <w:p w:rsidR="00CE46E8" w:rsidRDefault="00E837D2" w:rsidP="00C71E6C">
      <w:pPr>
        <w:pStyle w:val="TableTitle"/>
        <w:rPr>
          <w:noProof/>
          <w:lang w:eastAsia="en-AU"/>
        </w:rPr>
      </w:pPr>
      <w:r>
        <w:t>Table 4</w:t>
      </w:r>
      <w:r w:rsidR="00281572">
        <w:t>1</w:t>
      </w:r>
      <w:r>
        <w:t>. Clinical response to treatment. ITT population.</w:t>
      </w:r>
    </w:p>
    <w:p w:rsidR="00CE46E8" w:rsidRDefault="00CE46E8" w:rsidP="00CE46E8">
      <w:pPr>
        <w:pStyle w:val="FigureTitle"/>
      </w:pPr>
      <w:r>
        <w:rPr>
          <w:noProof/>
          <w:lang w:eastAsia="en-AU"/>
        </w:rPr>
        <w:drawing>
          <wp:inline distT="0" distB="0" distL="0" distR="0">
            <wp:extent cx="5181600" cy="3333750"/>
            <wp:effectExtent l="19050" t="0" r="0" b="0"/>
            <wp:docPr id="99" name="Picture 51" descr="Table 42. Overall treatment emergent adverse event inform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9" t="6110" b="4721"/>
                    <a:stretch>
                      <a:fillRect/>
                    </a:stretch>
                  </pic:blipFill>
                  <pic:spPr bwMode="auto">
                    <a:xfrm>
                      <a:off x="0" y="0"/>
                      <a:ext cx="5181600" cy="3333750"/>
                    </a:xfrm>
                    <a:prstGeom prst="rect">
                      <a:avLst/>
                    </a:prstGeom>
                    <a:noFill/>
                    <a:ln>
                      <a:noFill/>
                    </a:ln>
                  </pic:spPr>
                </pic:pic>
              </a:graphicData>
            </a:graphic>
          </wp:inline>
        </w:drawing>
      </w:r>
    </w:p>
    <w:p w:rsidR="00CE46E8" w:rsidRDefault="00CE46E8" w:rsidP="00C71E6C">
      <w:pPr>
        <w:pStyle w:val="TableTitle"/>
      </w:pPr>
      <w:r>
        <w:t>Table 42. Overall treatment emergent adverse event information. Safety population.</w:t>
      </w:r>
    </w:p>
    <w:p w:rsidR="002E6F0C" w:rsidRPr="001D1CCE" w:rsidRDefault="00CE46E8" w:rsidP="00CE46E8">
      <w:pPr>
        <w:pStyle w:val="FigureTitle"/>
      </w:pPr>
      <w:r>
        <w:rPr>
          <w:noProof/>
          <w:lang w:eastAsia="en-AU"/>
        </w:rPr>
        <w:drawing>
          <wp:inline distT="0" distB="0" distL="0" distR="0">
            <wp:extent cx="4657725" cy="4144142"/>
            <wp:effectExtent l="19050" t="0" r="9525" b="0"/>
            <wp:docPr id="97" name="Picture 50" descr="Table 41. Clinical response to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90" b="2680"/>
                    <a:stretch>
                      <a:fillRect/>
                    </a:stretch>
                  </pic:blipFill>
                  <pic:spPr bwMode="auto">
                    <a:xfrm>
                      <a:off x="0" y="0"/>
                      <a:ext cx="4657407" cy="4143859"/>
                    </a:xfrm>
                    <a:prstGeom prst="rect">
                      <a:avLst/>
                    </a:prstGeom>
                    <a:noFill/>
                    <a:ln>
                      <a:noFill/>
                    </a:ln>
                  </pic:spPr>
                </pic:pic>
              </a:graphicData>
            </a:graphic>
          </wp:inline>
        </w:drawing>
      </w:r>
    </w:p>
    <w:p w:rsidR="002E6F0C" w:rsidRPr="00983E65" w:rsidRDefault="002E6F0C" w:rsidP="002E6F0C">
      <w:pPr>
        <w:autoSpaceDE w:val="0"/>
        <w:autoSpaceDN w:val="0"/>
        <w:adjustRightInd w:val="0"/>
      </w:pPr>
      <w:r w:rsidRPr="00983E65">
        <w:rPr>
          <w:rFonts w:eastAsia="TimesNewRomanPSMT"/>
        </w:rPr>
        <w:lastRenderedPageBreak/>
        <w:t>Clinical response to treatment with PEP005 Topical Gel was reported for the</w:t>
      </w:r>
      <w:r>
        <w:rPr>
          <w:rFonts w:eastAsia="TimesNewRomanPSMT"/>
        </w:rPr>
        <w:t xml:space="preserve"> </w:t>
      </w:r>
      <w:r w:rsidRPr="00983E65">
        <w:rPr>
          <w:rFonts w:eastAsia="TimesNewRomanPSMT"/>
        </w:rPr>
        <w:t>Intent-to-Treat (ITT) population. At the Day 8 assessment, complete clearance was not reported</w:t>
      </w:r>
      <w:r>
        <w:rPr>
          <w:rFonts w:eastAsia="TimesNewRomanPSMT"/>
        </w:rPr>
        <w:t xml:space="preserve"> </w:t>
      </w:r>
      <w:r w:rsidRPr="00983E65">
        <w:rPr>
          <w:rFonts w:eastAsia="TimesNewRomanPSMT"/>
        </w:rPr>
        <w:t>in any of the treatment groups; marked clearance was reported for two (66.7%) patients in the</w:t>
      </w:r>
      <w:r>
        <w:rPr>
          <w:rFonts w:eastAsia="TimesNewRomanPSMT"/>
        </w:rPr>
        <w:t xml:space="preserve"> </w:t>
      </w:r>
      <w:r w:rsidRPr="00983E65">
        <w:rPr>
          <w:rFonts w:eastAsia="TimesNewRomanPSMT"/>
        </w:rPr>
        <w:t>0.01% PEP005 Topical Gel cohort and for one (10.0%) patient in the 0.05% PEP005 Topical Gel</w:t>
      </w:r>
      <w:r>
        <w:rPr>
          <w:rFonts w:eastAsia="TimesNewRomanPSMT"/>
        </w:rPr>
        <w:t xml:space="preserve"> </w:t>
      </w:r>
      <w:r w:rsidRPr="00983E65">
        <w:rPr>
          <w:rFonts w:eastAsia="TimesNewRomanPSMT"/>
        </w:rPr>
        <w:t>cohort.</w:t>
      </w:r>
      <w:r>
        <w:rPr>
          <w:rFonts w:eastAsia="TimesNewRomanPSMT"/>
        </w:rPr>
        <w:t xml:space="preserve"> </w:t>
      </w:r>
      <w:r w:rsidRPr="00983E65">
        <w:rPr>
          <w:rFonts w:eastAsia="TimesNewRomanPSMT"/>
        </w:rPr>
        <w:t>At the Day 15 assessment, complete clearance was reported for three (30.0%) patients in the</w:t>
      </w:r>
      <w:r>
        <w:rPr>
          <w:rFonts w:eastAsia="TimesNewRomanPSMT"/>
        </w:rPr>
        <w:t xml:space="preserve"> </w:t>
      </w:r>
      <w:r w:rsidRPr="00983E65">
        <w:rPr>
          <w:rFonts w:eastAsia="TimesNewRomanPSMT"/>
        </w:rPr>
        <w:t>0.05% PEP005 Topical Gel cohort, and two (33.3%) patients in the PEP005 Topical Gel 0.075%</w:t>
      </w:r>
      <w:r w:rsidR="00E837D2">
        <w:rPr>
          <w:rFonts w:eastAsia="TimesNewRomanPSMT"/>
        </w:rPr>
        <w:t xml:space="preserve"> </w:t>
      </w:r>
      <w:r w:rsidRPr="00983E65">
        <w:rPr>
          <w:rFonts w:eastAsia="TimesNewRomanPSMT"/>
        </w:rPr>
        <w:t>cohort; marked clearance was reported for two (66.7%) patients in the 0.01% PEP005 Topical</w:t>
      </w:r>
      <w:r w:rsidR="00E837D2">
        <w:rPr>
          <w:rFonts w:eastAsia="TimesNewRomanPSMT"/>
        </w:rPr>
        <w:t xml:space="preserve"> </w:t>
      </w:r>
      <w:r w:rsidRPr="00983E65">
        <w:rPr>
          <w:rFonts w:eastAsia="TimesNewRomanPSMT"/>
        </w:rPr>
        <w:t>Gel cohort, four (40.0%) patients in the 0.05% PEP005 Topical Gel cohort, and one (16.7%)</w:t>
      </w:r>
      <w:r w:rsidR="00E837D2">
        <w:rPr>
          <w:rFonts w:eastAsia="TimesNewRomanPSMT"/>
        </w:rPr>
        <w:t xml:space="preserve"> </w:t>
      </w:r>
      <w:r w:rsidRPr="00983E65">
        <w:rPr>
          <w:rFonts w:eastAsia="TimesNewRomanPSMT"/>
        </w:rPr>
        <w:t>patient in the 0.075% PEP005 Topical Gel cohort.</w:t>
      </w:r>
      <w:r>
        <w:rPr>
          <w:rFonts w:eastAsia="TimesNewRomanPSMT"/>
        </w:rPr>
        <w:t xml:space="preserve"> </w:t>
      </w:r>
      <w:r w:rsidRPr="00983E65">
        <w:rPr>
          <w:rFonts w:eastAsia="TimesNewRomanPSMT"/>
        </w:rPr>
        <w:t>At the Day 29 (End of Study) assessment, complete clearance was reported in two (66.7%)</w:t>
      </w:r>
      <w:r>
        <w:rPr>
          <w:rFonts w:eastAsia="TimesNewRomanPSMT"/>
        </w:rPr>
        <w:t xml:space="preserve"> </w:t>
      </w:r>
      <w:r w:rsidRPr="00983E65">
        <w:rPr>
          <w:rFonts w:eastAsia="TimesNewRomanPSMT"/>
        </w:rPr>
        <w:t>patients in the 0.01% PEP005 Topical Gel cohort, one (33.3%) patient in the 0.025% PEP005</w:t>
      </w:r>
      <w:r>
        <w:rPr>
          <w:rFonts w:eastAsia="TimesNewRomanPSMT"/>
        </w:rPr>
        <w:t xml:space="preserve"> </w:t>
      </w:r>
      <w:r w:rsidRPr="00983E65">
        <w:rPr>
          <w:rFonts w:eastAsia="TimesNewRomanPSMT"/>
        </w:rPr>
        <w:t>Topical Gel cohort, six (60.0%) patients in the 0.05% PEP005 Topical Gel cohort, and three</w:t>
      </w:r>
      <w:r>
        <w:rPr>
          <w:rFonts w:eastAsia="TimesNewRomanPSMT"/>
        </w:rPr>
        <w:t xml:space="preserve"> </w:t>
      </w:r>
      <w:r w:rsidRPr="00983E65">
        <w:rPr>
          <w:rFonts w:eastAsia="TimesNewRomanPSMT"/>
        </w:rPr>
        <w:t>(50.0%) patients in the 0.075% PEP005 Topical Gel cohort. Marked clearance was reported in</w:t>
      </w:r>
      <w:r>
        <w:rPr>
          <w:rFonts w:eastAsia="TimesNewRomanPSMT"/>
        </w:rPr>
        <w:t xml:space="preserve"> </w:t>
      </w:r>
      <w:r w:rsidRPr="00983E65">
        <w:rPr>
          <w:rFonts w:eastAsia="TimesNewRomanPSMT"/>
        </w:rPr>
        <w:t>only the 0.05% PEP005 Topical Gel and 0.075% PEP005 Topical Gel cohorts; two (20.0%)</w:t>
      </w:r>
      <w:r>
        <w:rPr>
          <w:rFonts w:eastAsia="TimesNewRomanPSMT"/>
        </w:rPr>
        <w:t xml:space="preserve"> </w:t>
      </w:r>
      <w:r w:rsidRPr="00983E65">
        <w:rPr>
          <w:rFonts w:eastAsia="TimesNewRomanPSMT"/>
        </w:rPr>
        <w:t xml:space="preserve">patients and two (33.3%) patients, </w:t>
      </w:r>
      <w:r>
        <w:rPr>
          <w:rFonts w:eastAsia="TimesNewRomanPSMT"/>
        </w:rPr>
        <w:t>respectively</w:t>
      </w:r>
      <w:r w:rsidRPr="00983E65">
        <w:rPr>
          <w:rFonts w:eastAsia="TimesNewRomanPSMT"/>
        </w:rPr>
        <w:t>.</w:t>
      </w:r>
      <w:r>
        <w:rPr>
          <w:rFonts w:eastAsia="TimesNewRomanPSMT"/>
        </w:rPr>
        <w:t xml:space="preserve"> </w:t>
      </w:r>
      <w:r w:rsidRPr="00983E65">
        <w:rPr>
          <w:rFonts w:eastAsia="TimesNewRomanPSMT"/>
        </w:rPr>
        <w:t>Four patients (one in the 0.05% PEP005 Topical Gel cohort and three in the 0.075% PEP005</w:t>
      </w:r>
      <w:r>
        <w:rPr>
          <w:rFonts w:eastAsia="TimesNewRomanPSMT"/>
        </w:rPr>
        <w:t xml:space="preserve"> </w:t>
      </w:r>
      <w:r w:rsidRPr="00983E65">
        <w:rPr>
          <w:rFonts w:eastAsia="TimesNewRomanPSMT"/>
        </w:rPr>
        <w:t>Topical Gel cohort) had an unscheduled follow-up visit 12 to 15 days after the End of Study</w:t>
      </w:r>
      <w:r>
        <w:rPr>
          <w:rFonts w:eastAsia="TimesNewRomanPSMT"/>
        </w:rPr>
        <w:t xml:space="preserve"> </w:t>
      </w:r>
      <w:r w:rsidRPr="00983E65">
        <w:rPr>
          <w:rFonts w:eastAsia="TimesNewRomanPSMT"/>
        </w:rPr>
        <w:t>assessment. Three of the four patients had complete clearance and one had marked clearance.</w:t>
      </w:r>
    </w:p>
    <w:p w:rsidR="002E6F0C" w:rsidRDefault="00C71E6C" w:rsidP="00E837D2">
      <w:pPr>
        <w:pStyle w:val="Heading5"/>
      </w:pPr>
      <w:r>
        <w:t>PEP005-031</w:t>
      </w:r>
    </w:p>
    <w:p w:rsidR="002E6F0C" w:rsidRDefault="002E6F0C" w:rsidP="002E6F0C">
      <w:pPr>
        <w:autoSpaceDE w:val="0"/>
        <w:autoSpaceDN w:val="0"/>
        <w:adjustRightInd w:val="0"/>
      </w:pPr>
      <w:r w:rsidRPr="006A162E">
        <w:t>This study was a 12-month, long-term follow-up study of patients with actinic keratosis on non-head areas (trunk and extremities) who have completed Day 57 in study PEP005-020, and was conducted in the USA and Australia between July 2009 and September 2010. The objectives of the study were to summarize treatment area recurrence of actinic keratosis lesions, in the selected treatment area, during a 12-month follow-up period for patients with complete clearance who completed Day 57 in study PEP005-020, and to summarize long-term safety data, in selected treatment area over a 12-month follow-up period for patients who completed Day 57 in study PEP005-020.</w:t>
      </w:r>
      <w:r w:rsidRPr="006A162E">
        <w:rPr>
          <w:sz w:val="19"/>
          <w:szCs w:val="19"/>
        </w:rPr>
        <w:t xml:space="preserve"> </w:t>
      </w:r>
      <w:r w:rsidRPr="006A162E">
        <w:t xml:space="preserve">This was a prospective, longitudinal, observational study in patients who achieved complete clearance at Day 57 in study PEP005-020. No study medication was administered during PEP005-031. A total of 38 patients who had demonstrated complete clearance of SK lesions in study PEP005-020 were enrolled in the study. Subjects were patients had to achieve complete clearance of SK lesions (lesion count = 0) at Day 57 in study PEP005-020. Criteria for evaluation included number of SK lesions in the selected treatment area, recurrence (defined as any identified SK lesion in the selected treatment area for patients who achieved complete clearance at Day 57 of the previous </w:t>
      </w:r>
      <w:r w:rsidR="00631F91" w:rsidRPr="00631F91">
        <w:t>Phase III</w:t>
      </w:r>
      <w:r w:rsidRPr="006A162E">
        <w:t xml:space="preserve"> study) and concomitant therapies (medications and procedures) in the selected treatment area. For the CC57 (complete clearance at day 57) population, SK recurrence was summarized using Kaplan-Meier methods. All event times were imputed to their target study day prior to performing the calculations. The</w:t>
      </w:r>
      <w:r w:rsidRPr="00EA7A9F">
        <w:rPr>
          <w:rFonts w:ascii="TimesNewRoman" w:hAnsi="TimesNewRoman" w:cs="TimesNewRoman"/>
        </w:rPr>
        <w:t xml:space="preserve"> </w:t>
      </w:r>
      <w:r w:rsidRPr="006A162E">
        <w:t>recurrence rate was estimated by the Kaplan-Meier “failure” estimate at the target study day expressed as a percentage. The estimates, along with 95% confidence intervals, were calculated at Days 91, 183, 274, and 365. The time to recurrence was also summarized. The recurrence rate at Day 365 (12 months) was summarized for the subgroups of treatment location, geographic region, Fitzpatrick skin type, gender, age group, and baseline lesion count. The number of SK lesions in the treatment area was summarized at each visit. Results are included below.</w:t>
      </w:r>
    </w:p>
    <w:p w:rsidR="00E837D2" w:rsidRPr="006A162E" w:rsidRDefault="00E837D2" w:rsidP="00BD68F4">
      <w:pPr>
        <w:pStyle w:val="TableTitle"/>
      </w:pPr>
      <w:r>
        <w:lastRenderedPageBreak/>
        <w:t>Table 4</w:t>
      </w:r>
      <w:r w:rsidR="00281572">
        <w:t>3</w:t>
      </w:r>
      <w:r>
        <w:t>. Recurrence rate: Overall and by Treatment Location (CC57 population)</w:t>
      </w:r>
    </w:p>
    <w:p w:rsidR="002E6F0C" w:rsidRDefault="002E6F0C" w:rsidP="00BD68F4">
      <w:r>
        <w:rPr>
          <w:noProof/>
          <w:lang w:eastAsia="en-AU"/>
        </w:rPr>
        <w:drawing>
          <wp:inline distT="0" distB="0" distL="0" distR="0">
            <wp:extent cx="5467629" cy="5062381"/>
            <wp:effectExtent l="19050" t="0" r="0" b="0"/>
            <wp:docPr id="52" name="Picture 52" descr="Table 43. Recurrence rate: Overall and by Treatment Location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9" b="4105"/>
                    <a:stretch>
                      <a:fillRect/>
                    </a:stretch>
                  </pic:blipFill>
                  <pic:spPr bwMode="auto">
                    <a:xfrm>
                      <a:off x="0" y="0"/>
                      <a:ext cx="5472066" cy="5066490"/>
                    </a:xfrm>
                    <a:prstGeom prst="rect">
                      <a:avLst/>
                    </a:prstGeom>
                    <a:noFill/>
                    <a:ln>
                      <a:noFill/>
                    </a:ln>
                  </pic:spPr>
                </pic:pic>
              </a:graphicData>
            </a:graphic>
          </wp:inline>
        </w:drawing>
      </w:r>
    </w:p>
    <w:p w:rsidR="00BD68F4" w:rsidRDefault="00E837D2" w:rsidP="00BD68F4">
      <w:pPr>
        <w:pStyle w:val="TableTitle"/>
      </w:pPr>
      <w:r>
        <w:lastRenderedPageBreak/>
        <w:t>Table 4</w:t>
      </w:r>
      <w:r w:rsidR="00281572">
        <w:t>4</w:t>
      </w:r>
      <w:r>
        <w:t>. Summary of lesion based recurrence (CC57 population)</w:t>
      </w:r>
    </w:p>
    <w:p w:rsidR="002E6F0C" w:rsidRPr="0003070F" w:rsidRDefault="002E6F0C" w:rsidP="00BD68F4">
      <w:r>
        <w:rPr>
          <w:noProof/>
          <w:lang w:eastAsia="en-AU"/>
        </w:rPr>
        <w:drawing>
          <wp:inline distT="0" distB="0" distL="0" distR="0">
            <wp:extent cx="5715000" cy="4689451"/>
            <wp:effectExtent l="19050" t="0" r="0" b="0"/>
            <wp:docPr id="53" name="Picture 53" descr="Table 44. Summary of lesion based recurrence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25" b="4400"/>
                    <a:stretch>
                      <a:fillRect/>
                    </a:stretch>
                  </pic:blipFill>
                  <pic:spPr bwMode="auto">
                    <a:xfrm>
                      <a:off x="0" y="0"/>
                      <a:ext cx="5716866" cy="4690982"/>
                    </a:xfrm>
                    <a:prstGeom prst="rect">
                      <a:avLst/>
                    </a:prstGeom>
                    <a:noFill/>
                    <a:ln>
                      <a:noFill/>
                    </a:ln>
                  </pic:spPr>
                </pic:pic>
              </a:graphicData>
            </a:graphic>
          </wp:inline>
        </w:drawing>
      </w:r>
    </w:p>
    <w:p w:rsidR="002E6F0C" w:rsidRPr="006A162E" w:rsidRDefault="002E6F0C" w:rsidP="002E6F0C">
      <w:pPr>
        <w:autoSpaceDE w:val="0"/>
        <w:autoSpaceDN w:val="0"/>
        <w:adjustRightInd w:val="0"/>
        <w:rPr>
          <w:b/>
        </w:rPr>
      </w:pPr>
      <w:r w:rsidRPr="006A162E">
        <w:t xml:space="preserve">At 12 months of follow-up, 62.5% of patients in the CC57 population treated with PEP005 Gel, 0.05% in study PEP005-020 (N=38) had at least one new or recurrent AK lesion within the selected treatment area. The estimated median time to lesion recurrence was 274 days. Based on the number of lesions observed within the treatment area during 12 months of follow-up relative to the number of lesions at baseline (determined prior to treatment with PEP005 Gel in the </w:t>
      </w:r>
      <w:r w:rsidR="00631F91" w:rsidRPr="00631F91">
        <w:t>Phase III</w:t>
      </w:r>
      <w:r w:rsidRPr="006A162E">
        <w:t xml:space="preserve"> study), the mean lesion-based recurrence rate was 11.3%.</w:t>
      </w:r>
    </w:p>
    <w:p w:rsidR="002E6F0C" w:rsidRDefault="002E6F0C" w:rsidP="00E837D2">
      <w:pPr>
        <w:pStyle w:val="Heading5"/>
      </w:pPr>
      <w:r w:rsidRPr="004C4B3D">
        <w:t>PEP005-032</w:t>
      </w:r>
    </w:p>
    <w:p w:rsidR="002E6F0C" w:rsidRDefault="002E6F0C" w:rsidP="002E6F0C">
      <w:pPr>
        <w:autoSpaceDE w:val="0"/>
        <w:autoSpaceDN w:val="0"/>
        <w:adjustRightInd w:val="0"/>
      </w:pPr>
      <w:r w:rsidRPr="006A162E">
        <w:t xml:space="preserve">This study was a 12 month, long-term follow-up study of patients with actinic keratosis on non-head locations (trunk and extremities) who completed Day 57 in study PEP005-028. It was conducted in the </w:t>
      </w:r>
      <w:smartTag w:uri="urn:schemas-microsoft-com:office:smarttags" w:element="place">
        <w:smartTag w:uri="urn:schemas-microsoft-com:office:smarttags" w:element="country-region">
          <w:r w:rsidRPr="006A162E">
            <w:t>USA</w:t>
          </w:r>
        </w:smartTag>
      </w:smartTag>
      <w:r w:rsidRPr="006A162E">
        <w:t xml:space="preserve"> between September 2009 and October 2010. The objectives of the study were to summarize treatment area recurrences of actinic keratosis lesions, in the selected treatment area during a 12-month follow-up period for patients with complete clearance, who completed Day 57 in study PEP005-028, and to summarize long-term safety data, in selected treatment area over a 12-month follow-up period for patients with complete clearance, who completed Day 57 in study PEP005-028.</w:t>
      </w:r>
      <w:r w:rsidRPr="006A162E">
        <w:rPr>
          <w:sz w:val="19"/>
          <w:szCs w:val="19"/>
        </w:rPr>
        <w:t xml:space="preserve"> </w:t>
      </w:r>
      <w:r w:rsidRPr="006A162E">
        <w:t xml:space="preserve">This was a prospective, longitudinal, observational study in patients who achieved complete clearance at Day 57 in study PEP005-028. No study medication was administered during PEP005-032. A total of 43 patients were enrolled (38 received PEP005 Gel 0.05% and 5 received vehicle gel in the previous study [PEP005-028]). Subjects were patients had to achieve complete clearance of SK lesions at Day 57 in the previous study, PEP005-028. Criteria for evaluation included number of SK lesions in the selected treatment area, recurrence (defined as any identified AK lesion in the selected treatment area for patients who achieved complete clearance at Day 57 of the previous </w:t>
      </w:r>
      <w:r w:rsidR="00631F91" w:rsidRPr="00631F91">
        <w:t>Phase III</w:t>
      </w:r>
      <w:r w:rsidRPr="006A162E">
        <w:t xml:space="preserve"> study), and </w:t>
      </w:r>
      <w:r w:rsidRPr="006A162E">
        <w:lastRenderedPageBreak/>
        <w:t>concomitant therapies (medications and procedures) for treatment of SK lesions in the selected treatment area. For the CC57 population, AK recurrence was summarized using Kaplan-Meier methods. All event times were imputed to their target study day prior to performing the calculations. The recurrence rate was estimated by the Kaplan-Meier “failure” estimate at the target study day expressed as a percentage. The estimates, along with 95% confidence intervals, were calculated at Days 91, 183, 274, and 365. Time to recurrence was also summarized. The recurrence rate at Day 365 was summarized</w:t>
      </w:r>
      <w:r w:rsidRPr="00F749A5">
        <w:rPr>
          <w:rFonts w:ascii="TimesNewRoman" w:hAnsi="TimesNewRoman" w:cs="TimesNewRoman"/>
        </w:rPr>
        <w:t xml:space="preserve"> </w:t>
      </w:r>
      <w:r w:rsidRPr="006A162E">
        <w:t>for subgroups of interest. The number of AK lesions in the treatment area was summarized at each visit.</w:t>
      </w:r>
      <w:r>
        <w:rPr>
          <w:rFonts w:ascii="TimesNewRoman" w:hAnsi="TimesNewRoman" w:cs="TimesNewRoman"/>
        </w:rPr>
        <w:t xml:space="preserve"> </w:t>
      </w:r>
      <w:r>
        <w:t>Results are included below.</w:t>
      </w:r>
    </w:p>
    <w:p w:rsidR="00E837D2" w:rsidRDefault="00E837D2" w:rsidP="00BD68F4">
      <w:pPr>
        <w:pStyle w:val="TableTitle"/>
      </w:pPr>
      <w:r>
        <w:t>Table 4</w:t>
      </w:r>
      <w:r w:rsidR="00281572">
        <w:t>5</w:t>
      </w:r>
      <w:r>
        <w:t>. Recurrence rate: Overall and by treatment location (CC57 population)</w:t>
      </w:r>
    </w:p>
    <w:p w:rsidR="002E6F0C" w:rsidRDefault="002E6F0C" w:rsidP="00BD68F4">
      <w:r>
        <w:rPr>
          <w:noProof/>
          <w:lang w:eastAsia="en-AU"/>
        </w:rPr>
        <w:drawing>
          <wp:inline distT="0" distB="0" distL="0" distR="0">
            <wp:extent cx="5584072" cy="5381625"/>
            <wp:effectExtent l="19050" t="0" r="0" b="0"/>
            <wp:docPr id="54" name="Picture 54" descr="Table 45. Recurrence rate: Overall and by treatment location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56" b="3750"/>
                    <a:stretch>
                      <a:fillRect/>
                    </a:stretch>
                  </pic:blipFill>
                  <pic:spPr bwMode="auto">
                    <a:xfrm>
                      <a:off x="0" y="0"/>
                      <a:ext cx="5584072" cy="5381625"/>
                    </a:xfrm>
                    <a:prstGeom prst="rect">
                      <a:avLst/>
                    </a:prstGeom>
                    <a:noFill/>
                    <a:ln>
                      <a:noFill/>
                    </a:ln>
                  </pic:spPr>
                </pic:pic>
              </a:graphicData>
            </a:graphic>
          </wp:inline>
        </w:drawing>
      </w:r>
    </w:p>
    <w:p w:rsidR="00E837D2" w:rsidRDefault="00E837D2" w:rsidP="008D10EC">
      <w:pPr>
        <w:pStyle w:val="TableTitle"/>
      </w:pPr>
      <w:r>
        <w:lastRenderedPageBreak/>
        <w:t>Table 4</w:t>
      </w:r>
      <w:r w:rsidR="00281572">
        <w:t>6</w:t>
      </w:r>
      <w:r>
        <w:t>. Summary of lesion-based recurrence (CC57 population)</w:t>
      </w:r>
    </w:p>
    <w:p w:rsidR="002E6F0C" w:rsidRPr="008B2FD2" w:rsidRDefault="002E6F0C" w:rsidP="008D10EC">
      <w:r>
        <w:rPr>
          <w:noProof/>
          <w:lang w:eastAsia="en-AU"/>
        </w:rPr>
        <w:drawing>
          <wp:inline distT="0" distB="0" distL="0" distR="0">
            <wp:extent cx="5248540" cy="4838700"/>
            <wp:effectExtent l="19050" t="0" r="9260" b="0"/>
            <wp:docPr id="55" name="Picture 55" descr="Table 46. Summary of lesion-based recurrence (CC57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20"/>
                    <a:stretch>
                      <a:fillRect/>
                    </a:stretch>
                  </pic:blipFill>
                  <pic:spPr bwMode="auto">
                    <a:xfrm>
                      <a:off x="0" y="0"/>
                      <a:ext cx="5248540" cy="4838700"/>
                    </a:xfrm>
                    <a:prstGeom prst="rect">
                      <a:avLst/>
                    </a:prstGeom>
                    <a:noFill/>
                    <a:ln>
                      <a:noFill/>
                    </a:ln>
                  </pic:spPr>
                </pic:pic>
              </a:graphicData>
            </a:graphic>
          </wp:inline>
        </w:drawing>
      </w:r>
    </w:p>
    <w:p w:rsidR="002E6F0C" w:rsidRPr="006A162E" w:rsidRDefault="002E6F0C" w:rsidP="002E6F0C">
      <w:pPr>
        <w:autoSpaceDE w:val="0"/>
        <w:autoSpaceDN w:val="0"/>
        <w:adjustRightInd w:val="0"/>
      </w:pPr>
      <w:r w:rsidRPr="006A162E">
        <w:t xml:space="preserve">At 12 months of follow-up, 50% of patients treated with PEP005 Gel, 0.05% in study PEP005-028 (N=38) had at least one new or recurrent SK lesion within the selected treatment area. The estimated median time to recurrence was &gt; 183 days. Based on the number of lesions observed within the treatment area during 12 months of follow-up relative to the number of lesions at baseline (determined prior to treatment with PEP005 Gel in the </w:t>
      </w:r>
      <w:r w:rsidR="00631F91" w:rsidRPr="00631F91">
        <w:t>Phase III</w:t>
      </w:r>
      <w:r w:rsidRPr="006A162E">
        <w:t xml:space="preserve"> studies), the mean lesion-based recurrence rate was 14.9%. At 12 months of follow-up, 80% of patients treated with vehicle gel in the previous study (N=5) had a new or recurrent SK lesion, with a median time to recurrence of 183 days, and the mean lesion-based recurrence rate at 12 months was 19.2%.</w:t>
      </w:r>
    </w:p>
    <w:p w:rsidR="002E6F0C" w:rsidRPr="004C4B3D" w:rsidRDefault="002E6F0C" w:rsidP="00E837D2">
      <w:pPr>
        <w:pStyle w:val="Heading5"/>
      </w:pPr>
      <w:r w:rsidRPr="004C4B3D">
        <w:t>AGN204332-004</w:t>
      </w:r>
    </w:p>
    <w:p w:rsidR="002E6F0C" w:rsidRPr="00471E7F" w:rsidRDefault="002E6F0C" w:rsidP="002E6F0C">
      <w:pPr>
        <w:autoSpaceDE w:val="0"/>
        <w:autoSpaceDN w:val="0"/>
        <w:adjustRightInd w:val="0"/>
      </w:pPr>
      <w:r>
        <w:t>This study was a</w:t>
      </w:r>
      <w:r w:rsidRPr="00471E7F">
        <w:t xml:space="preserve"> multicentre, double-blind, parallel, randomised, vehicle-controlled study of the safety</w:t>
      </w:r>
      <w:r>
        <w:t xml:space="preserve"> </w:t>
      </w:r>
      <w:r w:rsidRPr="00471E7F">
        <w:t>of a single application of up to 0.2 ml of 0.01% PEP005 gel to actinic keratoses on the shoulders, chest,</w:t>
      </w:r>
      <w:r>
        <w:t xml:space="preserve"> </w:t>
      </w:r>
      <w:r w:rsidRPr="00471E7F">
        <w:t>back and/or arms followed by a post-treatment follow-up period lasting at least 2 weeks</w:t>
      </w:r>
      <w:r>
        <w:t xml:space="preserve">. It was conducted in the </w:t>
      </w:r>
      <w:smartTag w:uri="urn:schemas-microsoft-com:office:smarttags" w:element="place">
        <w:smartTag w:uri="urn:schemas-microsoft-com:office:smarttags" w:element="country-region">
          <w:r>
            <w:t>USA</w:t>
          </w:r>
        </w:smartTag>
      </w:smartTag>
      <w:r>
        <w:t xml:space="preserve"> between August 2004 and September 2004. The objective of the study was t</w:t>
      </w:r>
      <w:r w:rsidRPr="00471E7F">
        <w:t xml:space="preserve">o determine the safety of 0.01% PEP005 gel after a single application in patients with </w:t>
      </w:r>
      <w:r>
        <w:t>S</w:t>
      </w:r>
      <w:r w:rsidRPr="00471E7F">
        <w:t>Ks</w:t>
      </w:r>
      <w:r>
        <w:t xml:space="preserve"> </w:t>
      </w:r>
      <w:r w:rsidRPr="00471E7F">
        <w:t>on the shoulders, chest, back and/or arms. This study was a two-arm, multicentre, double-blind, parallel, randomised, vehicle</w:t>
      </w:r>
      <w:r>
        <w:t>-</w:t>
      </w:r>
      <w:r w:rsidRPr="00471E7F">
        <w:t>controlled</w:t>
      </w:r>
      <w:r>
        <w:t xml:space="preserve"> </w:t>
      </w:r>
      <w:r w:rsidR="0010596D">
        <w:t>Phase I</w:t>
      </w:r>
      <w:r w:rsidRPr="00471E7F">
        <w:t xml:space="preserve"> trial, conducted in the USA, evaluating the safety of PEP005 0.01% gel in patients</w:t>
      </w:r>
      <w:r>
        <w:t xml:space="preserve"> </w:t>
      </w:r>
      <w:r w:rsidRPr="00471E7F">
        <w:t xml:space="preserve">with </w:t>
      </w:r>
      <w:r>
        <w:t>S</w:t>
      </w:r>
      <w:r w:rsidRPr="00471E7F">
        <w:t xml:space="preserve">K. Patients received a single application of 0.01% PEP005 gel or PEP005 vehicle gel to five </w:t>
      </w:r>
      <w:r>
        <w:t>S</w:t>
      </w:r>
      <w:r w:rsidRPr="00471E7F">
        <w:t>K</w:t>
      </w:r>
      <w:r>
        <w:t xml:space="preserve"> </w:t>
      </w:r>
      <w:r w:rsidRPr="00471E7F">
        <w:t xml:space="preserve">lesions. A total of 16 </w:t>
      </w:r>
      <w:r>
        <w:t>patients</w:t>
      </w:r>
      <w:r w:rsidRPr="00471E7F">
        <w:t xml:space="preserve"> were entered and treated, however 11 received treatment with active gel and 5</w:t>
      </w:r>
      <w:r>
        <w:t xml:space="preserve"> </w:t>
      </w:r>
      <w:r w:rsidRPr="00471E7F">
        <w:t xml:space="preserve">received treatment with vehicle. </w:t>
      </w:r>
      <w:r>
        <w:t>Subjects were m</w:t>
      </w:r>
      <w:r w:rsidRPr="00471E7F">
        <w:t xml:space="preserve">ale or female patients, at least 18 years of age, </w:t>
      </w:r>
      <w:r w:rsidRPr="00471E7F">
        <w:lastRenderedPageBreak/>
        <w:t>with at least 5</w:t>
      </w:r>
      <w:r>
        <w:t xml:space="preserve"> </w:t>
      </w:r>
      <w:r w:rsidRPr="00471E7F">
        <w:t xml:space="preserve">individual </w:t>
      </w:r>
      <w:r>
        <w:t>S</w:t>
      </w:r>
      <w:r w:rsidRPr="00471E7F">
        <w:t>K lesions on the shoulders, chest, back and/or arms</w:t>
      </w:r>
      <w:r>
        <w:t>.</w:t>
      </w:r>
      <w:r w:rsidRPr="00471E7F">
        <w:rPr>
          <w:sz w:val="20"/>
          <w:szCs w:val="20"/>
        </w:rPr>
        <w:t xml:space="preserve"> </w:t>
      </w:r>
      <w:r w:rsidRPr="00471E7F">
        <w:t>The global response to treatment was to be evaluated by the investigator at each post-baseline</w:t>
      </w:r>
      <w:r>
        <w:t xml:space="preserve"> </w:t>
      </w:r>
      <w:r w:rsidRPr="00471E7F">
        <w:t>visit to determine response to treatment for each of the 5 selected lesions. The global response to</w:t>
      </w:r>
      <w:r>
        <w:t xml:space="preserve"> </w:t>
      </w:r>
      <w:r w:rsidRPr="00471E7F">
        <w:t>treatment score was to be based on the investigator’s visual assessment of each lesion compared to the</w:t>
      </w:r>
      <w:r>
        <w:t xml:space="preserve"> </w:t>
      </w:r>
      <w:r w:rsidRPr="00471E7F">
        <w:t>lesion at the baseline visit (using the photographs taken at baseline as a reference) using an 8-point scale.</w:t>
      </w:r>
    </w:p>
    <w:p w:rsidR="002E6F0C" w:rsidRDefault="002E6F0C" w:rsidP="002E6F0C">
      <w:pPr>
        <w:autoSpaceDE w:val="0"/>
        <w:autoSpaceDN w:val="0"/>
        <w:adjustRightInd w:val="0"/>
      </w:pPr>
      <w:r w:rsidRPr="00471E7F">
        <w:t>Response was analysed in the intent-to-treat population (all randomised patients). Efficacy was analysed</w:t>
      </w:r>
      <w:r>
        <w:t xml:space="preserve"> </w:t>
      </w:r>
      <w:r w:rsidRPr="00471E7F">
        <w:t xml:space="preserve">at all visits and also using the last available data (i.e. Day 14 or Day 21). </w:t>
      </w:r>
      <w:r>
        <w:t>Results are included below.</w:t>
      </w:r>
    </w:p>
    <w:p w:rsidR="00E837D2" w:rsidRDefault="00E837D2" w:rsidP="008D10EC">
      <w:pPr>
        <w:pStyle w:val="TableTitle"/>
      </w:pPr>
      <w:r>
        <w:t>Table 4</w:t>
      </w:r>
      <w:r w:rsidR="00281572">
        <w:t>7</w:t>
      </w:r>
      <w:r>
        <w:t>. Extent of clearance by lesion in patients treated with 0.01% PEP005</w:t>
      </w:r>
    </w:p>
    <w:p w:rsidR="002E6F0C" w:rsidRDefault="002E6F0C" w:rsidP="008D10EC">
      <w:r>
        <w:rPr>
          <w:noProof/>
          <w:lang w:eastAsia="en-AU"/>
        </w:rPr>
        <w:drawing>
          <wp:inline distT="0" distB="0" distL="0" distR="0">
            <wp:extent cx="5286375" cy="2505075"/>
            <wp:effectExtent l="19050" t="0" r="9525" b="0"/>
            <wp:docPr id="56" name="Picture 56" descr="Table 47. Extent of clearance by lesion in patients treated with 0.01% PEP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 t="9855" b="5797"/>
                    <a:stretch>
                      <a:fillRect/>
                    </a:stretch>
                  </pic:blipFill>
                  <pic:spPr bwMode="auto">
                    <a:xfrm>
                      <a:off x="0" y="0"/>
                      <a:ext cx="5286375" cy="2505075"/>
                    </a:xfrm>
                    <a:prstGeom prst="rect">
                      <a:avLst/>
                    </a:prstGeom>
                    <a:noFill/>
                    <a:ln>
                      <a:noFill/>
                    </a:ln>
                  </pic:spPr>
                </pic:pic>
              </a:graphicData>
            </a:graphic>
          </wp:inline>
        </w:drawing>
      </w:r>
    </w:p>
    <w:p w:rsidR="00E837D2" w:rsidRDefault="00E837D2" w:rsidP="008D10EC">
      <w:pPr>
        <w:pStyle w:val="TableTitle"/>
      </w:pPr>
      <w:r>
        <w:t>Table 4</w:t>
      </w:r>
      <w:r w:rsidR="00281572">
        <w:t>8</w:t>
      </w:r>
      <w:r>
        <w:t>. Summary of skin adverse events irrespect</w:t>
      </w:r>
      <w:r w:rsidR="008D10EC">
        <w:t>ive of relationship, by patient</w:t>
      </w:r>
    </w:p>
    <w:p w:rsidR="002E6F0C" w:rsidRPr="004E5B02" w:rsidRDefault="002E6F0C" w:rsidP="008D10EC">
      <w:r>
        <w:rPr>
          <w:noProof/>
          <w:lang w:eastAsia="en-AU"/>
        </w:rPr>
        <w:drawing>
          <wp:inline distT="0" distB="0" distL="0" distR="0">
            <wp:extent cx="4791075" cy="1276350"/>
            <wp:effectExtent l="19050" t="0" r="9525" b="0"/>
            <wp:docPr id="57" name="Picture 57" descr="Table 48. Summary of skin adverse events irrespective of relationship, by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5" t="12617" b="12617"/>
                    <a:stretch>
                      <a:fillRect/>
                    </a:stretch>
                  </pic:blipFill>
                  <pic:spPr bwMode="auto">
                    <a:xfrm>
                      <a:off x="0" y="0"/>
                      <a:ext cx="4791075" cy="1276350"/>
                    </a:xfrm>
                    <a:prstGeom prst="rect">
                      <a:avLst/>
                    </a:prstGeom>
                    <a:noFill/>
                    <a:ln>
                      <a:noFill/>
                    </a:ln>
                  </pic:spPr>
                </pic:pic>
              </a:graphicData>
            </a:graphic>
          </wp:inline>
        </w:drawing>
      </w:r>
    </w:p>
    <w:p w:rsidR="002E6F0C" w:rsidRPr="00471E7F" w:rsidRDefault="002E6F0C" w:rsidP="002E6F0C">
      <w:pPr>
        <w:autoSpaceDE w:val="0"/>
        <w:autoSpaceDN w:val="0"/>
        <w:adjustRightInd w:val="0"/>
      </w:pPr>
      <w:r w:rsidRPr="00471E7F">
        <w:t>A total of 80 lesions were treated (55 with 0.01% PEP005; 25 with PEP005 vehicle). Complete</w:t>
      </w:r>
      <w:r w:rsidR="00E837D2">
        <w:t xml:space="preserve"> </w:t>
      </w:r>
      <w:r w:rsidRPr="00471E7F">
        <w:t>clearance in all five lesions at last available follow-up was reported for one patient treated with 0.01%</w:t>
      </w:r>
      <w:r>
        <w:t xml:space="preserve"> </w:t>
      </w:r>
      <w:r w:rsidRPr="00471E7F">
        <w:t>PEP005. Another 0.01% PEP005 patient had complete clearance in 4/5 treated lesions.</w:t>
      </w:r>
      <w:r w:rsidR="00E837D2">
        <w:t xml:space="preserve"> </w:t>
      </w:r>
      <w:r w:rsidRPr="00471E7F">
        <w:t>Extent of lesion clearance according to individual lesions showed that at Day 14, 8/55 lesions (15%)</w:t>
      </w:r>
      <w:r>
        <w:t xml:space="preserve"> </w:t>
      </w:r>
      <w:r w:rsidRPr="00471E7F">
        <w:t>treated with active gel had complete clearance and by the last available follow-up, this had increased to</w:t>
      </w:r>
      <w:r>
        <w:t xml:space="preserve"> </w:t>
      </w:r>
      <w:r w:rsidRPr="00471E7F">
        <w:t>16/55 lesions (29%) treated with active gel. In addition, 6/55 lesions were classified as almost cleared</w:t>
      </w:r>
      <w:r>
        <w:t xml:space="preserve"> </w:t>
      </w:r>
      <w:r w:rsidRPr="00471E7F">
        <w:t>(i.e. &gt;90% clearance) at last available follow-up. The combined rate of almost and complete clearance</w:t>
      </w:r>
      <w:r>
        <w:t xml:space="preserve"> </w:t>
      </w:r>
      <w:r w:rsidRPr="00471E7F">
        <w:t>at last follow-up in lesions treated with 0.01% active gel is 40% (26/55).</w:t>
      </w:r>
      <w:r>
        <w:t xml:space="preserve"> </w:t>
      </w:r>
      <w:r w:rsidRPr="00471E7F">
        <w:t>In the vehicle group, of the 25 treated lesions, 2 had complete clearance at last follow-up and 1 was</w:t>
      </w:r>
      <w:r>
        <w:t xml:space="preserve"> </w:t>
      </w:r>
      <w:r w:rsidRPr="00471E7F">
        <w:t>classified almost cleared, giving a combined rate of almost and complete clearance of 15% (no data for</w:t>
      </w:r>
      <w:r>
        <w:t xml:space="preserve"> </w:t>
      </w:r>
      <w:r w:rsidRPr="00471E7F">
        <w:t>one patient with 5 lesions).</w:t>
      </w:r>
      <w:r>
        <w:t xml:space="preserve"> </w:t>
      </w:r>
      <w:r w:rsidRPr="00471E7F">
        <w:t>Of the 12 lesions with an inflammatory response at Day 7, seven (58%) had complete clearance at the</w:t>
      </w:r>
      <w:r>
        <w:t xml:space="preserve"> </w:t>
      </w:r>
      <w:r w:rsidRPr="00471E7F">
        <w:t>last available follow-up.</w:t>
      </w:r>
    </w:p>
    <w:p w:rsidR="002E6F0C" w:rsidRDefault="002E6F0C" w:rsidP="00E837D2">
      <w:pPr>
        <w:pStyle w:val="Heading5"/>
      </w:pPr>
      <w:r w:rsidRPr="00DC2BE2">
        <w:t>PEP005-013</w:t>
      </w:r>
    </w:p>
    <w:p w:rsidR="002E6F0C" w:rsidRDefault="002E6F0C" w:rsidP="002E6F0C">
      <w:pPr>
        <w:autoSpaceDE w:val="0"/>
        <w:autoSpaceDN w:val="0"/>
        <w:adjustRightInd w:val="0"/>
      </w:pPr>
      <w:r>
        <w:rPr>
          <w:rFonts w:eastAsia="TimesNewRomanPSMT"/>
        </w:rPr>
        <w:t>This study was a</w:t>
      </w:r>
      <w:r w:rsidRPr="008D622E">
        <w:rPr>
          <w:rFonts w:eastAsia="TimesNewRomanPSMT"/>
        </w:rPr>
        <w:t xml:space="preserve"> Phase I, pharmacokinetic study to evaluate the extent of systemic absorption of PEP005, when</w:t>
      </w:r>
      <w:r>
        <w:rPr>
          <w:rFonts w:eastAsia="TimesNewRomanPSMT"/>
        </w:rPr>
        <w:t xml:space="preserve"> </w:t>
      </w:r>
      <w:r w:rsidRPr="008D622E">
        <w:rPr>
          <w:rFonts w:eastAsia="TimesNewRomanPSMT"/>
        </w:rPr>
        <w:t>applied as 0.05% PEP005 Topical Gel to a 100 cm</w:t>
      </w:r>
      <w:r w:rsidRPr="008D622E">
        <w:rPr>
          <w:rFonts w:eastAsia="TimesNewRomanPSMT"/>
          <w:vertAlign w:val="superscript"/>
        </w:rPr>
        <w:t>2</w:t>
      </w:r>
      <w:r w:rsidRPr="008D622E">
        <w:rPr>
          <w:rFonts w:eastAsia="TimesNewRomanPSMT"/>
        </w:rPr>
        <w:t xml:space="preserve"> (5 cm x 20 cm) contiguous </w:t>
      </w:r>
      <w:r w:rsidRPr="008D622E">
        <w:rPr>
          <w:rFonts w:eastAsia="TimesNewRomanPSMT"/>
        </w:rPr>
        <w:lastRenderedPageBreak/>
        <w:t>actinic keratosis treatment</w:t>
      </w:r>
      <w:r>
        <w:rPr>
          <w:rFonts w:eastAsia="TimesNewRomanPSMT"/>
        </w:rPr>
        <w:t xml:space="preserve"> </w:t>
      </w:r>
      <w:r w:rsidRPr="008D622E">
        <w:rPr>
          <w:rFonts w:eastAsia="TimesNewRomanPSMT"/>
        </w:rPr>
        <w:t>area on the extensor (dorsal aspect) forearm</w:t>
      </w:r>
      <w:r>
        <w:rPr>
          <w:rFonts w:eastAsia="TimesNewRomanPSMT"/>
        </w:rPr>
        <w:t xml:space="preserve">. The study was conducted in </w:t>
      </w:r>
      <w:smartTag w:uri="urn:schemas-microsoft-com:office:smarttags" w:element="place">
        <w:smartTag w:uri="urn:schemas-microsoft-com:office:smarttags" w:element="country-region">
          <w:r>
            <w:rPr>
              <w:rFonts w:eastAsia="TimesNewRomanPSMT"/>
            </w:rPr>
            <w:t>Australia</w:t>
          </w:r>
        </w:smartTag>
      </w:smartTag>
      <w:r>
        <w:rPr>
          <w:rFonts w:eastAsia="TimesNewRomanPSMT"/>
        </w:rPr>
        <w:t xml:space="preserve"> between October 2007 and April 2008</w:t>
      </w:r>
      <w:r w:rsidRPr="008D622E">
        <w:rPr>
          <w:rFonts w:eastAsia="TimesNewRomanPSMT"/>
        </w:rPr>
        <w:t>. The primary objective of the study was to evaluate the extent of systemic absorption of PEP005, when applied as</w:t>
      </w:r>
      <w:r>
        <w:rPr>
          <w:rFonts w:eastAsia="TimesNewRomanPSMT"/>
        </w:rPr>
        <w:t xml:space="preserve"> </w:t>
      </w:r>
      <w:r w:rsidRPr="008D622E">
        <w:rPr>
          <w:rFonts w:eastAsia="TimesNewRomanPSMT"/>
        </w:rPr>
        <w:t>0.05% PEP005 Topical Gel on two consecutive days (Day 1 and Day 2) to a 100 cm</w:t>
      </w:r>
      <w:r w:rsidRPr="00E837D2">
        <w:rPr>
          <w:rFonts w:eastAsia="TimesNewRomanPSMT"/>
          <w:vertAlign w:val="superscript"/>
        </w:rPr>
        <w:t>2</w:t>
      </w:r>
      <w:r w:rsidRPr="008D622E">
        <w:rPr>
          <w:rFonts w:eastAsia="TimesNewRomanPSMT"/>
        </w:rPr>
        <w:t xml:space="preserve"> (5 cm x 20 cm) contiguous</w:t>
      </w:r>
      <w:r>
        <w:rPr>
          <w:rFonts w:eastAsia="TimesNewRomanPSMT"/>
        </w:rPr>
        <w:t xml:space="preserve"> S</w:t>
      </w:r>
      <w:r w:rsidRPr="008D622E">
        <w:rPr>
          <w:rFonts w:eastAsia="TimesNewRomanPSMT"/>
        </w:rPr>
        <w:t>K treatment area on the extensor (dorsal aspect) forearm.</w:t>
      </w:r>
      <w:r>
        <w:rPr>
          <w:rFonts w:eastAsia="TimesNewRomanPSMT"/>
        </w:rPr>
        <w:t xml:space="preserve"> </w:t>
      </w:r>
      <w:r w:rsidRPr="008D622E">
        <w:rPr>
          <w:rFonts w:eastAsia="TimesNewRomanPSMT"/>
        </w:rPr>
        <w:t>The secondary objective of the study was to evaluate the safety and tolerability of two consecutive days’</w:t>
      </w:r>
      <w:r>
        <w:rPr>
          <w:rFonts w:eastAsia="TimesNewRomanPSMT"/>
        </w:rPr>
        <w:t xml:space="preserve"> </w:t>
      </w:r>
      <w:r w:rsidRPr="008D622E">
        <w:rPr>
          <w:rFonts w:eastAsia="TimesNewRomanPSMT"/>
        </w:rPr>
        <w:t>application of 0.05% PEP005 Topical Gel, when applied to a 100 cm</w:t>
      </w:r>
      <w:r w:rsidRPr="008D622E">
        <w:rPr>
          <w:rFonts w:eastAsia="TimesNewRomanPSMT"/>
          <w:vertAlign w:val="superscript"/>
        </w:rPr>
        <w:t>2</w:t>
      </w:r>
      <w:r w:rsidRPr="008D622E">
        <w:rPr>
          <w:rFonts w:eastAsia="TimesNewRomanPSMT"/>
        </w:rPr>
        <w:t xml:space="preserve"> (5 cm x 20 cm) contiguous </w:t>
      </w:r>
      <w:r>
        <w:rPr>
          <w:rFonts w:eastAsia="TimesNewRomanPSMT"/>
        </w:rPr>
        <w:t>S</w:t>
      </w:r>
      <w:r w:rsidRPr="008D622E">
        <w:rPr>
          <w:rFonts w:eastAsia="TimesNewRomanPSMT"/>
        </w:rPr>
        <w:t>K treatment</w:t>
      </w:r>
      <w:r w:rsidR="00E837D2">
        <w:rPr>
          <w:rFonts w:eastAsia="TimesNewRomanPSMT"/>
        </w:rPr>
        <w:t xml:space="preserve"> </w:t>
      </w:r>
      <w:r w:rsidRPr="008D622E">
        <w:rPr>
          <w:rFonts w:eastAsia="TimesNewRomanPSMT"/>
        </w:rPr>
        <w:t>area on the extensor (dorsal aspect) forearm. Eight</w:t>
      </w:r>
      <w:r>
        <w:rPr>
          <w:rFonts w:eastAsia="TimesNewRomanPSMT"/>
        </w:rPr>
        <w:t xml:space="preserve"> </w:t>
      </w:r>
      <w:r w:rsidRPr="008D622E">
        <w:rPr>
          <w:rFonts w:eastAsia="TimesNewRomanPSMT"/>
        </w:rPr>
        <w:t xml:space="preserve">patients were enrolled. Six of the eight patients completed the study and were included in the safety analysis. </w:t>
      </w:r>
      <w:r>
        <w:rPr>
          <w:rFonts w:eastAsia="TimesNewRomanPSMT"/>
        </w:rPr>
        <w:t>Subjects were m</w:t>
      </w:r>
      <w:r w:rsidRPr="008D622E">
        <w:rPr>
          <w:rFonts w:eastAsia="TimesNewRomanPSMT"/>
        </w:rPr>
        <w:t>ale patients who were at least 18 years of age with a contiguous</w:t>
      </w:r>
      <w:r>
        <w:rPr>
          <w:rFonts w:eastAsia="TimesNewRomanPSMT"/>
        </w:rPr>
        <w:t xml:space="preserve"> </w:t>
      </w:r>
      <w:r w:rsidRPr="008D622E">
        <w:rPr>
          <w:rFonts w:eastAsia="TimesNewRomanPSMT"/>
        </w:rPr>
        <w:t>100 cm</w:t>
      </w:r>
      <w:r w:rsidRPr="008D622E">
        <w:rPr>
          <w:rFonts w:eastAsia="TimesNewRomanPSMT"/>
          <w:vertAlign w:val="superscript"/>
        </w:rPr>
        <w:t>2</w:t>
      </w:r>
      <w:r w:rsidRPr="008D622E">
        <w:rPr>
          <w:rFonts w:eastAsia="TimesNewRomanPSMT"/>
        </w:rPr>
        <w:t xml:space="preserve"> treatment area containing at least five </w:t>
      </w:r>
      <w:r>
        <w:rPr>
          <w:rFonts w:eastAsia="TimesNewRomanPSMT"/>
        </w:rPr>
        <w:t>S</w:t>
      </w:r>
      <w:r w:rsidRPr="008D622E">
        <w:rPr>
          <w:rFonts w:eastAsia="TimesNewRomanPSMT"/>
        </w:rPr>
        <w:t>K lesions on either the right or left extensor (dorsal aspect)</w:t>
      </w:r>
      <w:r>
        <w:rPr>
          <w:rFonts w:eastAsia="TimesNewRomanPSMT"/>
        </w:rPr>
        <w:t xml:space="preserve"> </w:t>
      </w:r>
      <w:r w:rsidRPr="008D622E">
        <w:rPr>
          <w:rFonts w:eastAsia="TimesNewRomanPSMT"/>
        </w:rPr>
        <w:t>forearm. The pharmacokinetic (PK) blood samples (Days 1, 2, and 3) were to be quantified for PEP005 and the</w:t>
      </w:r>
      <w:r>
        <w:rPr>
          <w:rFonts w:eastAsia="TimesNewRomanPSMT"/>
        </w:rPr>
        <w:t xml:space="preserve"> </w:t>
      </w:r>
      <w:r w:rsidRPr="008D622E">
        <w:rPr>
          <w:rFonts w:eastAsia="TimesNewRomanPSMT"/>
        </w:rPr>
        <w:t>two major metabolites, PEP015 and PEP025. Following administration of PEP005 Topical Gel, C</w:t>
      </w:r>
      <w:r w:rsidRPr="00817D0D">
        <w:rPr>
          <w:rFonts w:eastAsia="TimesNewRomanPSMT"/>
          <w:vertAlign w:val="subscript"/>
        </w:rPr>
        <w:t>max</w:t>
      </w:r>
      <w:r w:rsidRPr="008D622E">
        <w:rPr>
          <w:rFonts w:eastAsia="TimesNewRomanPSMT"/>
        </w:rPr>
        <w:t>, T</w:t>
      </w:r>
      <w:r w:rsidRPr="00817D0D">
        <w:rPr>
          <w:rFonts w:eastAsia="TimesNewRomanPSMT"/>
          <w:vertAlign w:val="subscript"/>
        </w:rPr>
        <w:t>max</w:t>
      </w:r>
      <w:r w:rsidRPr="008D622E">
        <w:rPr>
          <w:rFonts w:eastAsia="TimesNewRomanPSMT"/>
        </w:rPr>
        <w:t>, and AUC</w:t>
      </w:r>
      <w:r w:rsidRPr="00817D0D">
        <w:rPr>
          <w:rFonts w:eastAsia="TimesNewRomanPSMT"/>
          <w:vertAlign w:val="subscript"/>
        </w:rPr>
        <w:t>(0–24)</w:t>
      </w:r>
      <w:r w:rsidRPr="008D622E">
        <w:rPr>
          <w:rFonts w:eastAsia="TimesNewRomanPSMT"/>
        </w:rPr>
        <w:t xml:space="preserve"> were to be evaluated for</w:t>
      </w:r>
      <w:r>
        <w:rPr>
          <w:rFonts w:eastAsia="TimesNewRomanPSMT"/>
        </w:rPr>
        <w:t xml:space="preserve"> </w:t>
      </w:r>
      <w:r w:rsidRPr="008D622E">
        <w:rPr>
          <w:rFonts w:eastAsia="TimesNewRomanPSMT"/>
        </w:rPr>
        <w:t>PEP005, PEP015, and PEP025 to determine systemic exposure to PEP005 Topical Gel in patients</w:t>
      </w:r>
      <w:r>
        <w:rPr>
          <w:rFonts w:eastAsia="TimesNewRomanPSMT"/>
        </w:rPr>
        <w:t xml:space="preserve"> </w:t>
      </w:r>
      <w:r w:rsidRPr="008D622E">
        <w:rPr>
          <w:rFonts w:eastAsia="TimesNewRomanPSMT"/>
        </w:rPr>
        <w:t>receiving two consecutive days of treatment. Data were summarized and listed</w:t>
      </w:r>
      <w:r>
        <w:rPr>
          <w:rFonts w:eastAsia="TimesNewRomanPSMT"/>
        </w:rPr>
        <w:t xml:space="preserve"> only</w:t>
      </w:r>
      <w:r w:rsidRPr="008D622E">
        <w:rPr>
          <w:rFonts w:eastAsia="TimesNewRomanPSMT"/>
        </w:rPr>
        <w:t>.</w:t>
      </w:r>
      <w:r w:rsidRPr="008D622E">
        <w:t xml:space="preserve"> </w:t>
      </w:r>
      <w:r>
        <w:t>Results from this study are included below.</w:t>
      </w:r>
    </w:p>
    <w:p w:rsidR="0010596D" w:rsidRDefault="0010596D" w:rsidP="008D10EC">
      <w:pPr>
        <w:pStyle w:val="TableTitle"/>
      </w:pPr>
      <w:r>
        <w:t>Table 4</w:t>
      </w:r>
      <w:r w:rsidR="00281572">
        <w:t>9</w:t>
      </w:r>
      <w:r>
        <w:t>. Summary of Adverse events. APT population</w:t>
      </w:r>
    </w:p>
    <w:p w:rsidR="002E6F0C" w:rsidRPr="00CD3C08" w:rsidRDefault="002E6F0C" w:rsidP="002E6F0C">
      <w:pPr>
        <w:autoSpaceDE w:val="0"/>
        <w:autoSpaceDN w:val="0"/>
        <w:adjustRightInd w:val="0"/>
      </w:pPr>
      <w:r>
        <w:rPr>
          <w:noProof/>
          <w:lang w:eastAsia="en-AU"/>
        </w:rPr>
        <w:drawing>
          <wp:inline distT="0" distB="0" distL="0" distR="0">
            <wp:extent cx="5543550" cy="3400425"/>
            <wp:effectExtent l="19050" t="0" r="0" b="0"/>
            <wp:docPr id="58" name="Picture 58" descr="Table 49. Summary of Adverse events. AP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8" t="8351" b="6546"/>
                    <a:stretch>
                      <a:fillRect/>
                    </a:stretch>
                  </pic:blipFill>
                  <pic:spPr bwMode="auto">
                    <a:xfrm>
                      <a:off x="0" y="0"/>
                      <a:ext cx="5543550" cy="3400425"/>
                    </a:xfrm>
                    <a:prstGeom prst="rect">
                      <a:avLst/>
                    </a:prstGeom>
                    <a:noFill/>
                    <a:ln>
                      <a:noFill/>
                    </a:ln>
                  </pic:spPr>
                </pic:pic>
              </a:graphicData>
            </a:graphic>
          </wp:inline>
        </w:drawing>
      </w:r>
    </w:p>
    <w:p w:rsidR="002E6F0C" w:rsidRPr="008D622E" w:rsidRDefault="002E6F0C" w:rsidP="002E6F0C">
      <w:pPr>
        <w:autoSpaceDE w:val="0"/>
        <w:autoSpaceDN w:val="0"/>
        <w:adjustRightInd w:val="0"/>
        <w:rPr>
          <w:b/>
        </w:rPr>
      </w:pPr>
      <w:r w:rsidRPr="008D622E">
        <w:rPr>
          <w:rFonts w:eastAsia="TimesNewRomanPSMT"/>
        </w:rPr>
        <w:t>The PK data suggest that treatment of a 100 cm</w:t>
      </w:r>
      <w:r w:rsidRPr="004E7875">
        <w:rPr>
          <w:rFonts w:eastAsia="TimesNewRomanPSMT"/>
          <w:vertAlign w:val="superscript"/>
        </w:rPr>
        <w:t>2</w:t>
      </w:r>
      <w:r w:rsidRPr="008D622E">
        <w:rPr>
          <w:rFonts w:eastAsia="TimesNewRomanPSMT"/>
        </w:rPr>
        <w:t xml:space="preserve"> area of skin with 0.05% of PEP005, once daily for one or two</w:t>
      </w:r>
      <w:r>
        <w:rPr>
          <w:rFonts w:eastAsia="TimesNewRomanPSMT"/>
        </w:rPr>
        <w:t xml:space="preserve"> </w:t>
      </w:r>
      <w:r w:rsidRPr="008D622E">
        <w:rPr>
          <w:rFonts w:eastAsia="TimesNewRomanPSMT"/>
        </w:rPr>
        <w:t>consecutive days does not demonstrate systemic absorption of PEP005 or its metabolites PEP015 or PEP025.</w:t>
      </w:r>
      <w:r>
        <w:rPr>
          <w:rFonts w:eastAsia="TimesNewRomanPSMT"/>
        </w:rPr>
        <w:t xml:space="preserve"> No </w:t>
      </w:r>
      <w:r w:rsidR="008D10EC">
        <w:rPr>
          <w:rFonts w:eastAsia="TimesNewRomanPSMT"/>
        </w:rPr>
        <w:t>efficacy results were provided.</w:t>
      </w:r>
    </w:p>
    <w:p w:rsidR="002E6F0C" w:rsidRPr="00DC2BE2" w:rsidRDefault="002E6F0C" w:rsidP="0010596D">
      <w:pPr>
        <w:pStyle w:val="Heading5"/>
      </w:pPr>
      <w:r w:rsidRPr="00DC2BE2">
        <w:t>PEP005-022</w:t>
      </w:r>
    </w:p>
    <w:p w:rsidR="002E6F0C" w:rsidRDefault="002E6F0C" w:rsidP="002E6F0C">
      <w:pPr>
        <w:autoSpaceDE w:val="0"/>
        <w:autoSpaceDN w:val="0"/>
        <w:adjustRightInd w:val="0"/>
      </w:pPr>
      <w:r w:rsidRPr="006A162E">
        <w:t xml:space="preserve">This study </w:t>
      </w:r>
      <w:r>
        <w:t xml:space="preserve">was </w:t>
      </w:r>
      <w:r w:rsidRPr="006A162E">
        <w:t>a multicentre, open-label, dose-area escalation, cohort study to evaluate the safety and</w:t>
      </w:r>
      <w:r>
        <w:t xml:space="preserve"> </w:t>
      </w:r>
      <w:r w:rsidRPr="006A162E">
        <w:t>tolerability of 0.05% PEP005 Topical Gel applied for two consecutive days to treatment area(s) of up to a total of 100 cm</w:t>
      </w:r>
      <w:r w:rsidRPr="006A162E">
        <w:rPr>
          <w:vertAlign w:val="superscript"/>
        </w:rPr>
        <w:t>2</w:t>
      </w:r>
      <w:r w:rsidRPr="006A162E">
        <w:t xml:space="preserve"> in patients with actinic keratoses on the extensor (dorsal aspect)</w:t>
      </w:r>
      <w:r>
        <w:t xml:space="preserve"> </w:t>
      </w:r>
      <w:r w:rsidRPr="006A162E">
        <w:t xml:space="preserve">forearm(s). The study was conducted in the </w:t>
      </w:r>
      <w:smartTag w:uri="urn:schemas-microsoft-com:office:smarttags" w:element="country-region">
        <w:r w:rsidRPr="006A162E">
          <w:t>USA</w:t>
        </w:r>
      </w:smartTag>
      <w:r w:rsidRPr="006A162E">
        <w:t xml:space="preserve"> and </w:t>
      </w:r>
      <w:smartTag w:uri="urn:schemas-microsoft-com:office:smarttags" w:element="place">
        <w:smartTag w:uri="urn:schemas-microsoft-com:office:smarttags" w:element="country-region">
          <w:r w:rsidRPr="006A162E">
            <w:t>Australia</w:t>
          </w:r>
        </w:smartTag>
      </w:smartTag>
      <w:r w:rsidRPr="006A162E">
        <w:t xml:space="preserve"> between April 2008 and September 2008. The objective of the study was to evaluate the safety and tolerability of two, once-daily, consecutive applications of PEP005 Gel, 0.05%, when applied to 25, 50, 75, or 100 cm</w:t>
      </w:r>
      <w:r w:rsidRPr="006A162E">
        <w:rPr>
          <w:vertAlign w:val="superscript"/>
        </w:rPr>
        <w:t>2</w:t>
      </w:r>
      <w:r w:rsidRPr="006A162E">
        <w:t xml:space="preserve"> actinic keratosis treatment area(s) on the dorsal forearm(s). Patients were assigned to escalating treatment Cohorts starting with Cohort 1 and escalating through to Cohort 8. Patients in each Cohort were evaluated on the basis of safety and tolerability to study treatment. A total </w:t>
      </w:r>
      <w:r w:rsidRPr="006A162E">
        <w:lastRenderedPageBreak/>
        <w:t>of 74 patients were enrolled in the study, 65 of whom were assigned to treatment. Eight patients were assigned to Cohorts 1–5, 7, and 8, and 9 patients to Cohort 6. There were 64 patients who received at least one dose of study medication and were included in the safety analysis. Of these, 63 patients completed the treatment phase (screening to Day 57). Subjects were male patients who were at least 18 years of age with a contiguous 100 cm</w:t>
      </w:r>
      <w:r w:rsidRPr="006A162E">
        <w:rPr>
          <w:vertAlign w:val="superscript"/>
        </w:rPr>
        <w:t>2</w:t>
      </w:r>
      <w:r w:rsidRPr="006A162E">
        <w:t xml:space="preserve"> treatment area on both the right and left dorsal forearms, each containing a minimum of five SK lesions No statistical hypothesis testing was planned. For LSRs, the treatment effect was explored by inspection of observed means across treatment Cohorts, least squares (LS) mean difference, and two-sided 95% confidence intervals (CI) of the LS mean</w:t>
      </w:r>
      <w:r w:rsidRPr="002B4E70">
        <w:rPr>
          <w:rFonts w:ascii="TimesNewRoman" w:hAnsi="TimesNewRoman" w:cs="TimesNewRoman"/>
        </w:rPr>
        <w:t xml:space="preserve"> </w:t>
      </w:r>
      <w:r w:rsidRPr="006A162E">
        <w:t>difference with control groups. All LSR, pigmentation and scarring data were also summarized descriptively and listed. Results from this study are included below.</w:t>
      </w:r>
    </w:p>
    <w:p w:rsidR="0010596D" w:rsidRDefault="0010596D" w:rsidP="00DF6B0A">
      <w:pPr>
        <w:pStyle w:val="TableTitle"/>
      </w:pPr>
      <w:r>
        <w:t xml:space="preserve">Table </w:t>
      </w:r>
      <w:r w:rsidR="00281572">
        <w:t>50</w:t>
      </w:r>
      <w:r>
        <w:t>. Summary of Overall Adverse Events (Safety population)</w:t>
      </w:r>
    </w:p>
    <w:p w:rsidR="002E6F0C" w:rsidRPr="00266E60" w:rsidRDefault="002E6F0C" w:rsidP="00DF6B0A">
      <w:r>
        <w:rPr>
          <w:noProof/>
          <w:lang w:eastAsia="en-AU"/>
        </w:rPr>
        <w:drawing>
          <wp:inline distT="0" distB="0" distL="0" distR="0">
            <wp:extent cx="5502910" cy="3514725"/>
            <wp:effectExtent l="19050" t="0" r="2540" b="0"/>
            <wp:docPr id="59" name="Picture 59" descr="Table 50. Summary of Overall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6" t="6667" b="6667"/>
                    <a:stretch>
                      <a:fillRect/>
                    </a:stretch>
                  </pic:blipFill>
                  <pic:spPr bwMode="auto">
                    <a:xfrm>
                      <a:off x="0" y="0"/>
                      <a:ext cx="5502910" cy="3514725"/>
                    </a:xfrm>
                    <a:prstGeom prst="rect">
                      <a:avLst/>
                    </a:prstGeom>
                    <a:noFill/>
                    <a:ln>
                      <a:noFill/>
                    </a:ln>
                  </pic:spPr>
                </pic:pic>
              </a:graphicData>
            </a:graphic>
          </wp:inline>
        </w:drawing>
      </w:r>
    </w:p>
    <w:p w:rsidR="002E6F0C" w:rsidRPr="006A162E" w:rsidRDefault="002E6F0C" w:rsidP="002E6F0C">
      <w:pPr>
        <w:autoSpaceDE w:val="0"/>
        <w:autoSpaceDN w:val="0"/>
        <w:adjustRightInd w:val="0"/>
      </w:pPr>
      <w:r w:rsidRPr="006A162E">
        <w:t>PEP005 Gel, 0.05%, was safe and well tolerated when applied once daily for two consecutive days to a dorsal forearm treatment area of up to 100 cm</w:t>
      </w:r>
      <w:r w:rsidRPr="006A162E">
        <w:rPr>
          <w:vertAlign w:val="superscript"/>
        </w:rPr>
        <w:t>2</w:t>
      </w:r>
      <w:r w:rsidRPr="006A162E">
        <w:t xml:space="preserve"> in patients with SK. Five of 64 (7.8%) patients did not receive the full treatment course of two days due to LSRs and/or AEs at the treatment site; of these five patients, one patient each had reactions in: a single 25 cm</w:t>
      </w:r>
      <w:r w:rsidRPr="006A162E">
        <w:rPr>
          <w:vertAlign w:val="superscript"/>
        </w:rPr>
        <w:t>2</w:t>
      </w:r>
      <w:r w:rsidRPr="006A162E">
        <w:t xml:space="preserve"> treatment area, two 25 cm</w:t>
      </w:r>
      <w:r w:rsidRPr="006A162E">
        <w:rPr>
          <w:vertAlign w:val="superscript"/>
        </w:rPr>
        <w:t>2</w:t>
      </w:r>
      <w:r w:rsidRPr="006A162E">
        <w:t xml:space="preserve"> areas, one 25 cm</w:t>
      </w:r>
      <w:r w:rsidRPr="006A162E">
        <w:rPr>
          <w:vertAlign w:val="superscript"/>
        </w:rPr>
        <w:t xml:space="preserve">2 </w:t>
      </w:r>
      <w:r w:rsidRPr="006A162E">
        <w:t>and one 50 cm</w:t>
      </w:r>
      <w:r w:rsidRPr="006A162E">
        <w:rPr>
          <w:vertAlign w:val="superscript"/>
        </w:rPr>
        <w:t>2</w:t>
      </w:r>
      <w:r w:rsidRPr="006A162E">
        <w:t xml:space="preserve"> area, two 50 cm</w:t>
      </w:r>
      <w:r w:rsidRPr="006A162E">
        <w:rPr>
          <w:vertAlign w:val="superscript"/>
        </w:rPr>
        <w:t>2</w:t>
      </w:r>
      <w:r w:rsidRPr="006A162E">
        <w:t xml:space="preserve"> areas, and a single 75 cm</w:t>
      </w:r>
      <w:r w:rsidRPr="006A162E">
        <w:rPr>
          <w:vertAlign w:val="superscript"/>
        </w:rPr>
        <w:t xml:space="preserve">2 </w:t>
      </w:r>
      <w:r w:rsidRPr="006A162E">
        <w:t>area. All eight patients with a single contiguous treatment area of 100 cm</w:t>
      </w:r>
      <w:r w:rsidRPr="006A162E">
        <w:rPr>
          <w:vertAlign w:val="superscript"/>
        </w:rPr>
        <w:t>2</w:t>
      </w:r>
      <w:r w:rsidRPr="006A162E">
        <w:t xml:space="preserve"> were able to</w:t>
      </w:r>
      <w:r w:rsidR="0010596D">
        <w:t xml:space="preserve"> </w:t>
      </w:r>
      <w:r w:rsidRPr="006A162E">
        <w:t>tolerate two consecutive daily applications. For Cohorts with a single contiguous treatment area, an apparent dose response was observed for the mean composite LSR score, which peaked during Days 3 and 8. Increasing the drug load by including a second treatment area on the opposite arm did not influence the intensity of LSRs in the base treatment area. No efficacy results were provided.</w:t>
      </w:r>
    </w:p>
    <w:p w:rsidR="002E6F0C" w:rsidRPr="004C4B3D" w:rsidRDefault="002E6F0C" w:rsidP="0010596D">
      <w:pPr>
        <w:pStyle w:val="Heading5"/>
      </w:pPr>
      <w:r w:rsidRPr="004C4B3D">
        <w:t>PEP005-001</w:t>
      </w:r>
    </w:p>
    <w:p w:rsidR="002E6F0C" w:rsidRDefault="002E6F0C" w:rsidP="00DF6B0A">
      <w:r>
        <w:t>This study was described above, as it included both head/ scalp and trunk/ extremities subjects.</w:t>
      </w:r>
    </w:p>
    <w:p w:rsidR="002E6F0C" w:rsidRDefault="002E6F0C" w:rsidP="00DF6B0A">
      <w:pPr>
        <w:pStyle w:val="Heading3"/>
      </w:pPr>
      <w:bookmarkStart w:id="95" w:name="_Toc241374315"/>
      <w:bookmarkStart w:id="96" w:name="_Toc314158748"/>
      <w:bookmarkStart w:id="97" w:name="_Toc367127760"/>
      <w:r>
        <w:lastRenderedPageBreak/>
        <w:t>Evaluator’s overall conclusions on clinical efficacy</w:t>
      </w:r>
      <w:bookmarkEnd w:id="95"/>
      <w:bookmarkEnd w:id="96"/>
      <w:bookmarkEnd w:id="97"/>
    </w:p>
    <w:p w:rsidR="002E6F0C" w:rsidRDefault="002E6F0C" w:rsidP="00DF6B0A">
      <w:pPr>
        <w:pStyle w:val="ListBullet"/>
      </w:pPr>
      <w:r>
        <w:t>Information on clinical efficacy was provided for the 2 specific indications, the treatment of solar (actinic) keratoses (SK) on the face and scalp (0.015% Picato Gel), and for the treatment of SK on the body (non-he</w:t>
      </w:r>
      <w:r w:rsidR="00DF6B0A">
        <w:t>ad regions) (0.05% Picato Gel).</w:t>
      </w:r>
    </w:p>
    <w:p w:rsidR="002E6F0C" w:rsidRDefault="002E6F0C" w:rsidP="00DF6B0A">
      <w:pPr>
        <w:pStyle w:val="ListBullet"/>
      </w:pPr>
      <w:r>
        <w:t>PEP005-015, PEP005-016 and PEP005-025 were randomised, double-blind, vehicle-controlled, parallel-group studies, and were the pivotal studies for the face and scalp indication. PEP005-015 was a dose-ranging study that included the proposed dosage regim</w:t>
      </w:r>
      <w:r w:rsidR="00DF6B0A">
        <w:t>en treatment on head locations.</w:t>
      </w:r>
    </w:p>
    <w:p w:rsidR="002E6F0C" w:rsidRPr="00B70DAC" w:rsidRDefault="002E6F0C" w:rsidP="00DF6B0A">
      <w:pPr>
        <w:pStyle w:val="ListBullet"/>
      </w:pPr>
      <w:r w:rsidRPr="00823637">
        <w:rPr>
          <w:b/>
        </w:rPr>
        <w:t>PEP005-015</w:t>
      </w:r>
      <w:r>
        <w:t xml:space="preserve"> was a multi-centre, randomized, double-blind, vehicle-controlled, dose ranging study.</w:t>
      </w:r>
      <w:r w:rsidR="00631F91" w:rsidRPr="00631F91">
        <w:t xml:space="preserve"> </w:t>
      </w:r>
      <w:r>
        <w:t>The primary objective of the study was to evaluate the safety, tolerability and efficacy of PEP005 Gel (0.005%, 0.01% and 0.015%) compared to vehicle gel, administered once daily as either a two or three consecutive day treatment regimen, to a 25 cm</w:t>
      </w:r>
      <w:r w:rsidRPr="00B70DAC">
        <w:rPr>
          <w:vertAlign w:val="superscript"/>
        </w:rPr>
        <w:t>2</w:t>
      </w:r>
      <w:r>
        <w:t xml:space="preserve"> contiguous SK treatment area on the face or scalp. </w:t>
      </w:r>
      <w:r w:rsidRPr="00B70DAC">
        <w:t>A total of 265 patients were randomized and 260 patients completed the study.</w:t>
      </w:r>
      <w:r w:rsidR="00631F91" w:rsidRPr="00631F91">
        <w:t xml:space="preserve"> </w:t>
      </w:r>
      <w:r w:rsidRPr="00B70DAC">
        <w:t>Observed complete clearance rates were concentration and treatment regimen-dependent with the highest observed complete clearance rates in the 0.015% two-day and three-day groups. The observed complete clearance rates for PEP005 Gel at Day 57 for the ITT population ranged from 15% in the 0.005% two-day group to 50% in the 0.015% three-day group. Partial clearance rates were concentration and treatment regimen-dependent with the highest observed complete clearance rates in the 0.015% two-day and three-day groups. The observed partial clearance rates for PEP005 Gel at Day 57 for the ITT</w:t>
      </w:r>
      <w:r>
        <w:t xml:space="preserve"> </w:t>
      </w:r>
      <w:r w:rsidRPr="00B70DAC">
        <w:t>population ranged from 33.3% in the 0.005% two-day group to 71.9% in the 0.01</w:t>
      </w:r>
      <w:r w:rsidR="00DF6B0A">
        <w:t>5% three-day group.</w:t>
      </w:r>
    </w:p>
    <w:p w:rsidR="002E6F0C" w:rsidRPr="00E22FEE" w:rsidRDefault="002E6F0C" w:rsidP="0010596D">
      <w:pPr>
        <w:pStyle w:val="ListBullet"/>
      </w:pPr>
      <w:r w:rsidRPr="00823637">
        <w:rPr>
          <w:b/>
        </w:rPr>
        <w:t>PEP005-016</w:t>
      </w:r>
      <w:r>
        <w:t xml:space="preserve"> was a multi-centre, randomized, double-blind, vehicle-controlled, dose ranging study</w:t>
      </w:r>
      <w:r>
        <w:rPr>
          <w:rStyle w:val="FootnoteReference"/>
        </w:rPr>
        <w:footnoteReference w:id="3"/>
      </w:r>
      <w:r>
        <w:t>.</w:t>
      </w:r>
      <w:r w:rsidR="00631F91" w:rsidRPr="00631F91">
        <w:t xml:space="preserve"> </w:t>
      </w:r>
      <w:r>
        <w:t>The objective of the study was t</w:t>
      </w:r>
      <w:r w:rsidRPr="00E22FEE">
        <w:t>o evaluate the efficacy and safety of PEP005 Gel, 0.015%, compared to vehicle gel when administered once daily for three consecutive days to a contiguous 25 cm</w:t>
      </w:r>
      <w:r w:rsidRPr="00E22FEE">
        <w:rPr>
          <w:vertAlign w:val="superscript"/>
        </w:rPr>
        <w:t>2</w:t>
      </w:r>
      <w:r w:rsidRPr="00E22FEE">
        <w:t xml:space="preserve"> area of skin on the head (face or scal</w:t>
      </w:r>
      <w:r w:rsidRPr="00DF6B0A">
        <w:t xml:space="preserve">p). A total of 269 patients were randomized (135 to PEP005 Gel 0.015% and 134 to vehicle </w:t>
      </w:r>
      <w:r w:rsidRPr="00E22FEE">
        <w:t>gel); 259 patients completed the study. The PEP005 Gel group demonstrated a statistically significant, higher complete clearance rate versus vehicle gel (37% compared to 2%, p&lt;0.001, CMH test stratified by analysis site) based on the ITT population. For the secondary endpoint the PEP005 Gel group demonstrated a statistically significant, higher partial clearance rate versus vehicle gel (60% compared to 7%, p&lt;0.001, CMH test stratified by analysis site) based on the ITT population. The results of the PP population were consistent with the results of the ITT population.</w:t>
      </w:r>
    </w:p>
    <w:p w:rsidR="002E6F0C" w:rsidRPr="00E22FEE" w:rsidRDefault="002E6F0C" w:rsidP="0010596D">
      <w:pPr>
        <w:pStyle w:val="ListBullet"/>
      </w:pPr>
      <w:r w:rsidRPr="00823637">
        <w:rPr>
          <w:b/>
        </w:rPr>
        <w:t>PEP005-025</w:t>
      </w:r>
      <w:r>
        <w:t xml:space="preserve"> was a multi-centre, randomized, double-blind, vehicle-controlled, dose ranging study</w:t>
      </w:r>
      <w:r>
        <w:rPr>
          <w:rStyle w:val="FootnoteReference"/>
        </w:rPr>
        <w:footnoteReference w:id="4"/>
      </w:r>
      <w:r>
        <w:t>. The objective of the study was t</w:t>
      </w:r>
      <w:r w:rsidRPr="00F456E2">
        <w:t>o evaluate the efficacy and safety of PEP005 Gel, 0.015%, compared to vehicle gel when administered once daily</w:t>
      </w:r>
      <w:r>
        <w:t xml:space="preserve"> </w:t>
      </w:r>
      <w:r w:rsidRPr="00F456E2">
        <w:t>for three consecutive days to a contiguous 25 cm</w:t>
      </w:r>
      <w:r w:rsidRPr="00405A92">
        <w:rPr>
          <w:vertAlign w:val="superscript"/>
        </w:rPr>
        <w:t>2</w:t>
      </w:r>
      <w:r w:rsidRPr="00F456E2">
        <w:t xml:space="preserve"> area of skin on the head (face or scalp).</w:t>
      </w:r>
      <w:r w:rsidRPr="00E22FEE">
        <w:t xml:space="preserve"> </w:t>
      </w:r>
      <w:r w:rsidRPr="00EC5CCD">
        <w:t>A total of 278 patients were randomized (142 to PEP005 Gel 0.015% and 136 to vehicle gel);</w:t>
      </w:r>
      <w:r>
        <w:t xml:space="preserve"> </w:t>
      </w:r>
      <w:r w:rsidRPr="00EC5CCD">
        <w:t>277 patients completed the study</w:t>
      </w:r>
      <w:r>
        <w:t xml:space="preserve">. </w:t>
      </w:r>
      <w:r w:rsidRPr="008A5A9E">
        <w:t>The</w:t>
      </w:r>
      <w:r>
        <w:t xml:space="preserve"> </w:t>
      </w:r>
      <w:r w:rsidRPr="008A5A9E">
        <w:t>PEP005 Gel group demonstrated a statistically significant, higher complete clearance rate versus vehicle gel</w:t>
      </w:r>
      <w:r>
        <w:t xml:space="preserve"> </w:t>
      </w:r>
      <w:r w:rsidRPr="008A5A9E">
        <w:t>(47% compared to 5%, p &lt; 0.001, CMH test stratified by analysis site) based on the ITT population. The results for</w:t>
      </w:r>
      <w:r>
        <w:t xml:space="preserve"> </w:t>
      </w:r>
      <w:r w:rsidRPr="008A5A9E">
        <w:t xml:space="preserve">the PP population were consistent with the results for the ITT population. </w:t>
      </w:r>
      <w:r>
        <w:t xml:space="preserve">For the secondary efficacy </w:t>
      </w:r>
      <w:r w:rsidRPr="008A5A9E">
        <w:t>endpoint, the PEP005 Gel group demonstrated a statistically significant, higher partial clearance rate versus</w:t>
      </w:r>
      <w:r>
        <w:t xml:space="preserve"> </w:t>
      </w:r>
      <w:r w:rsidRPr="008A5A9E">
        <w:t>vehicle gel (68% compared to 8%, p &lt; 0.001, CMH test stratified by analysis sit</w:t>
      </w:r>
      <w:r w:rsidR="00DF6B0A">
        <w:t>e) based on the ITT population.</w:t>
      </w:r>
    </w:p>
    <w:p w:rsidR="002E6F0C" w:rsidRDefault="002E6F0C" w:rsidP="00DF6B0A">
      <w:pPr>
        <w:pStyle w:val="ListBullet"/>
      </w:pPr>
      <w:r>
        <w:lastRenderedPageBreak/>
        <w:t xml:space="preserve">PEP005-014 and PEP005-028 were well-controlled </w:t>
      </w:r>
      <w:r w:rsidR="00631F91" w:rsidRPr="00631F91">
        <w:t>Phase III</w:t>
      </w:r>
      <w:r>
        <w:t xml:space="preserve"> studies that evaluated the proposed dosage regimen application of Picato Gel for treatment of non-head locations, and were the pivotal studies for the trunk and extremities indication. Dose-ranging information for this indication was provided by PEP005-006, which involved subjects for both indications.</w:t>
      </w:r>
    </w:p>
    <w:p w:rsidR="002E6F0C" w:rsidRDefault="002E6F0C" w:rsidP="0010596D">
      <w:pPr>
        <w:pStyle w:val="ListBullet"/>
      </w:pPr>
      <w:r w:rsidRPr="00823637">
        <w:rPr>
          <w:b/>
        </w:rPr>
        <w:t>PEP005-014</w:t>
      </w:r>
      <w:r>
        <w:t xml:space="preserve"> was a multi-centre, randomized, parallel group, double-blind, vehicle-controlled, study.</w:t>
      </w:r>
      <w:r w:rsidR="00631F91" w:rsidRPr="00631F91">
        <w:t xml:space="preserve"> </w:t>
      </w:r>
      <w:r>
        <w:t>The objective of the study was t</w:t>
      </w:r>
      <w:r w:rsidRPr="00610CEA">
        <w:t>o evaluate the efficacy and safety of PEP005 Gel, 0.05% compared to vehicle gel, when administered once daily for two consecutive days (Day 1 and Day 2) to a 25 cm</w:t>
      </w:r>
      <w:r w:rsidRPr="0010596D">
        <w:rPr>
          <w:vertAlign w:val="superscript"/>
        </w:rPr>
        <w:t>2</w:t>
      </w:r>
      <w:r w:rsidRPr="00610CEA">
        <w:t xml:space="preserve"> contiguous SK treatment area on non-head locations. </w:t>
      </w:r>
      <w:r>
        <w:t xml:space="preserve">A total of </w:t>
      </w:r>
      <w:r w:rsidRPr="00CD3BCB">
        <w:t>255 patients</w:t>
      </w:r>
      <w:r>
        <w:t xml:space="preserve"> were enrolled</w:t>
      </w:r>
      <w:r w:rsidRPr="00CD3BCB">
        <w:t xml:space="preserve"> (126 to PEP005 Gel, 0.05% and 129 to vehicle gel)</w:t>
      </w:r>
      <w:r>
        <w:t>.</w:t>
      </w:r>
      <w:r w:rsidRPr="00610CEA">
        <w:t xml:space="preserve">The observed complete clearance rate at Day 57 (ITT LOCF) overall was statistically significantly higher in the PEP005 Gel, 0.05% group (28%) than the vehicle group (5%) (p &lt; 0.0001). Sensitivity analyses, including a multiple imputation method for handling missing data and analyses based on evaluable and PP populations, all demonstrated a statistically significantly higher complete clearance rate in the PEP005 Gel, 0.05% group than in the vehicle group (p &lt; .0001 for all comparisons). The observed partial clearance rate at Day 57 overall in the PEP005 Gel, 0.05% group was 44% (56/126) versus 7% (9/129) in </w:t>
      </w:r>
      <w:r w:rsidR="00DF6B0A">
        <w:t>the vehicle group (p &lt; 0.0001).</w:t>
      </w:r>
    </w:p>
    <w:p w:rsidR="002E6F0C" w:rsidRPr="0010596D" w:rsidRDefault="002E6F0C" w:rsidP="0010596D">
      <w:pPr>
        <w:pStyle w:val="ListBullet"/>
      </w:pPr>
      <w:r w:rsidRPr="00823637">
        <w:rPr>
          <w:b/>
        </w:rPr>
        <w:t>PEP005-028</w:t>
      </w:r>
      <w:r>
        <w:t xml:space="preserve"> was a multi-centre, randomized, parallel group, double-blind, vehicle-controlled, study. The objective of the study was t</w:t>
      </w:r>
      <w:r w:rsidRPr="000F15EB">
        <w:t>o evaluate the efficacy and safety of PEP005 Gel, 0.05% compared to vehicle gel when administered once daily for</w:t>
      </w:r>
      <w:r>
        <w:t xml:space="preserve"> </w:t>
      </w:r>
      <w:r w:rsidRPr="000F15EB">
        <w:t>two consecutive days (Days 1 and 2) to a 25 cm</w:t>
      </w:r>
      <w:r w:rsidRPr="000F15EB">
        <w:rPr>
          <w:vertAlign w:val="superscript"/>
        </w:rPr>
        <w:t>2</w:t>
      </w:r>
      <w:r w:rsidRPr="000F15EB">
        <w:t xml:space="preserve"> contiguous </w:t>
      </w:r>
      <w:r>
        <w:t>SK</w:t>
      </w:r>
      <w:r w:rsidRPr="000F15EB">
        <w:t xml:space="preserve"> treatment area on non-head</w:t>
      </w:r>
      <w:r>
        <w:t xml:space="preserve"> </w:t>
      </w:r>
      <w:r w:rsidRPr="000F15EB">
        <w:t>locations.</w:t>
      </w:r>
      <w:r w:rsidR="00631F91" w:rsidRPr="00631F91">
        <w:t xml:space="preserve"> </w:t>
      </w:r>
      <w:r>
        <w:t xml:space="preserve">A total of </w:t>
      </w:r>
      <w:r w:rsidRPr="000F15EB">
        <w:t xml:space="preserve">203 patients </w:t>
      </w:r>
      <w:r>
        <w:t xml:space="preserve">were enrolled </w:t>
      </w:r>
      <w:r w:rsidRPr="000F15EB">
        <w:t>(100 PEP005 Gel, 0.05%; 103 vehicle gel).</w:t>
      </w:r>
      <w:r>
        <w:t xml:space="preserve"> </w:t>
      </w:r>
      <w:r w:rsidRPr="00E433AF">
        <w:t>T</w:t>
      </w:r>
      <w:r w:rsidRPr="0010596D">
        <w:t>he complete clearance rate at Day 57 (ITT LOCF) overall was statistically significantly higher in the PEP005 Gel, 0.05% group (42%) than the vehicle group (5%) (p &lt; 0.001). The results of the analysis of the secondary efficacy endpoint, partial clearance (</w:t>
      </w:r>
      <w:r w:rsidR="0010596D">
        <w:t>≥</w:t>
      </w:r>
      <w:r w:rsidRPr="0010596D">
        <w:t>75% reduction) in SK lesions at Day 57, supported the results of the analysis of complete clearance. The partial clearance rate at Day 57 overall was statistically significantly higher in the PEP005 Gel, 0.05% group (55%) than the vehicle group (7%) (p &lt; 0.001).</w:t>
      </w:r>
    </w:p>
    <w:p w:rsidR="002E6F0C" w:rsidRPr="00635428" w:rsidRDefault="002E6F0C" w:rsidP="0010596D">
      <w:pPr>
        <w:pStyle w:val="ListBullet"/>
      </w:pPr>
      <w:r w:rsidRPr="00823637">
        <w:rPr>
          <w:b/>
        </w:rPr>
        <w:t>PEP005-006</w:t>
      </w:r>
      <w:r>
        <w:t xml:space="preserve"> was a multi-centre, randomised, double-blind, double dummy, vehicle-controlled sequential cohort study.</w:t>
      </w:r>
      <w:r w:rsidR="00631F91" w:rsidRPr="00631F91">
        <w:t xml:space="preserve"> </w:t>
      </w:r>
      <w:r>
        <w:t>The primary objectives of the study were t</w:t>
      </w:r>
      <w:r w:rsidRPr="001418A7">
        <w:t>o evaluate the safety and tolerability of 0.025% and 0.05% PEP005 Topical Gel compared to vehicle gel,</w:t>
      </w:r>
      <w:r>
        <w:t xml:space="preserve"> </w:t>
      </w:r>
      <w:r w:rsidRPr="001418A7">
        <w:t>administered according to 2 treatment schedules, Day 2 and Day 3 (0.05%) or Day 1, Day 2, and Day 3</w:t>
      </w:r>
      <w:r>
        <w:t xml:space="preserve"> </w:t>
      </w:r>
      <w:r w:rsidRPr="001418A7">
        <w:t>(0.025% and 0.05%) to a 25-cm</w:t>
      </w:r>
      <w:r w:rsidRPr="001418A7">
        <w:rPr>
          <w:vertAlign w:val="superscript"/>
        </w:rPr>
        <w:t>2</w:t>
      </w:r>
      <w:r w:rsidRPr="001418A7">
        <w:t xml:space="preserve"> contiguous </w:t>
      </w:r>
      <w:r>
        <w:t>SK</w:t>
      </w:r>
      <w:r w:rsidRPr="001418A7">
        <w:t xml:space="preserve"> treatment area</w:t>
      </w:r>
      <w:r>
        <w:t>, and t</w:t>
      </w:r>
      <w:r w:rsidRPr="001418A7">
        <w:t>o evaluate the efficacy of 0.025% and 0.05% PEP005 Topical Gel compared to vehicle gel when</w:t>
      </w:r>
      <w:r>
        <w:t xml:space="preserve"> </w:t>
      </w:r>
      <w:r w:rsidRPr="001418A7">
        <w:t>administered according to 2 treatment schedules, Day 2 and Day 3 (0.05%) or Day 1, Day 2, and Day 3</w:t>
      </w:r>
      <w:r>
        <w:t xml:space="preserve"> </w:t>
      </w:r>
      <w:r w:rsidRPr="001418A7">
        <w:t>(0.025% and 0.05%) to a 25-cm</w:t>
      </w:r>
      <w:r w:rsidRPr="001418A7">
        <w:rPr>
          <w:vertAlign w:val="superscript"/>
        </w:rPr>
        <w:t>2</w:t>
      </w:r>
      <w:r w:rsidRPr="001418A7">
        <w:t xml:space="preserve"> contiguous </w:t>
      </w:r>
      <w:r>
        <w:t>S</w:t>
      </w:r>
      <w:r w:rsidRPr="001418A7">
        <w:t>K treatment area.</w:t>
      </w:r>
      <w:r w:rsidRPr="00107429">
        <w:rPr>
          <w:rFonts w:ascii="ArialMT" w:hAnsi="ArialMT" w:cs="ArialMT"/>
          <w:sz w:val="16"/>
          <w:szCs w:val="16"/>
        </w:rPr>
        <w:t xml:space="preserve"> </w:t>
      </w:r>
      <w:r w:rsidRPr="006A162E">
        <w:t xml:space="preserve">One hundred sixty-one patients were treated on non-head locations: 43 patients received vehicle gel, 37 patients received 0.025% PEP005 Gel for three days, 42 patients received 0.05% PEP005 Gel for two days, and 39 patients received 0.05% PEP005 Gel for three days. For patients who received treatment on non-head locations, partial clearance rates by treatment group were 21%, 51%, 67%, and 74%, respectively (p </w:t>
      </w:r>
      <w:r w:rsidR="0010596D">
        <w:t>≤</w:t>
      </w:r>
      <w:r w:rsidRPr="006A162E">
        <w:t xml:space="preserve"> 0.0001 for PEP005 Gel groups compared to vehicle gel). Complete clearance rates were 14%, 35%, 45%, and 46%, respectively (p</w:t>
      </w:r>
      <w:r w:rsidR="0010596D">
        <w:t> </w:t>
      </w:r>
      <w:r w:rsidRPr="006A162E">
        <w:t>&lt;</w:t>
      </w:r>
      <w:r w:rsidR="0010596D">
        <w:t> </w:t>
      </w:r>
      <w:r w:rsidRPr="006A162E">
        <w:t>0.006 for PEP005 Gel groups compared to vehicle gel).</w:t>
      </w:r>
    </w:p>
    <w:p w:rsidR="002E6F0C" w:rsidRDefault="002E6F0C" w:rsidP="0010596D">
      <w:pPr>
        <w:pStyle w:val="ListBullet"/>
      </w:pPr>
      <w:r>
        <w:t>Three clinical studies provided information on long-term efficacy. PEP005-030 was a long-term follow-up study in patients who achieved complete clearance at Day 57 in studies PEP005-016 and PEP005-025 for the head and scalp indication. Two trials (PEP005-031 and PEP005-032) were long-term follow-up studies in patients who achieved complete clearance at Day 57 in previous trials for the trunk and extremities indication. No study medication was administered during these studies.</w:t>
      </w:r>
    </w:p>
    <w:p w:rsidR="002E6F0C" w:rsidRPr="004969E8" w:rsidRDefault="002E6F0C" w:rsidP="0010596D">
      <w:pPr>
        <w:pStyle w:val="ListBullet"/>
      </w:pPr>
      <w:r w:rsidRPr="004969E8">
        <w:rPr>
          <w:b/>
        </w:rPr>
        <w:lastRenderedPageBreak/>
        <w:t>PEP005-030</w:t>
      </w:r>
      <w:r>
        <w:t xml:space="preserve"> </w:t>
      </w:r>
      <w:r w:rsidRPr="000F3C55">
        <w:t xml:space="preserve">was </w:t>
      </w:r>
      <w:r>
        <w:t>a</w:t>
      </w:r>
      <w:r w:rsidRPr="004969E8">
        <w:t xml:space="preserve"> 12-month, long-term follow-up study of patients with SK on the head (face</w:t>
      </w:r>
      <w:r>
        <w:t xml:space="preserve"> </w:t>
      </w:r>
      <w:r w:rsidRPr="004969E8">
        <w:t xml:space="preserve">or scalp) who completed Day 57 in studies PEP005-016 or PEP005-025. The objectives of the study were to summarize treatment area recurrence of SK lesions, in the selected treatment area, during a 12-month follow-up period for patients who achieved complete clearance of SKs at Day 57 in studies PEP005-016 and PEP005-025, and to summarize long-term safety data, in the selected treatment area over a 12-month follow-up period for patients who completed Day 57 in studies PEP005-016 and PEP005-025. </w:t>
      </w:r>
      <w:r w:rsidRPr="006A162E">
        <w:t>A total of 117 patients who had demonstrated complete clearance of SK lesions in either study PEP005-016 or PEP005-025 were enrolled in this long-term follow-up study. Of these 117 patients, 108 had received 0.015% PEP005 Gel and 9 had received vehicle in the previous study</w:t>
      </w:r>
      <w:r>
        <w:t xml:space="preserve">. </w:t>
      </w:r>
      <w:r w:rsidRPr="006A162E">
        <w:t xml:space="preserve">At 12 months of follow-up, 53.9% of patients who had been treated with PEP005 Gel in the previous </w:t>
      </w:r>
      <w:r w:rsidR="00631F91" w:rsidRPr="00631F91">
        <w:t>Phase III</w:t>
      </w:r>
      <w:r w:rsidRPr="006A162E">
        <w:t xml:space="preserve"> studies (N=108), had at least one new or recurrent SK lesion within the selected treatment area. The estimated median time to lesion recurrence was 365 days. Based on the number of lesions observed within the treatment area during 12 months of follow-up relative to the number of lesions at baseline (determined prior to treatment with PEP005 Gel in the </w:t>
      </w:r>
      <w:r w:rsidR="00631F91" w:rsidRPr="00631F91">
        <w:t>Phase III</w:t>
      </w:r>
      <w:r w:rsidRPr="006A162E">
        <w:t xml:space="preserve"> studies), the mean lesion-based recurrence rate was 12.8%. At 12 months of follow-up, 72.2% of vehicle-treated patients (N=9) had a new or recurrent SK lesion, with a median time to recurrence of 183 days. For this group of patients, the mean lesion-based recurrence rate at 12 months was 16.3%.</w:t>
      </w:r>
    </w:p>
    <w:p w:rsidR="002E6F0C" w:rsidRPr="00A66A90" w:rsidRDefault="002E6F0C" w:rsidP="0010596D">
      <w:pPr>
        <w:pStyle w:val="ListBullet"/>
        <w:rPr>
          <w:b/>
        </w:rPr>
      </w:pPr>
      <w:r w:rsidRPr="004969E8">
        <w:rPr>
          <w:b/>
        </w:rPr>
        <w:t>PEP005-031</w:t>
      </w:r>
      <w:r>
        <w:rPr>
          <w:b/>
        </w:rPr>
        <w:t xml:space="preserve"> </w:t>
      </w:r>
      <w:r w:rsidRPr="006A162E">
        <w:t>was a 12-month, long-term follow-up study of patients with actinic keratosis on non-head areas (trunk and extremities) who have completed Day 57 in study PEP005-020</w:t>
      </w:r>
      <w:r>
        <w:t xml:space="preserve">. </w:t>
      </w:r>
      <w:r w:rsidRPr="006A162E">
        <w:t>The objectives of the study were to summarize treatment area recurrence of actinic keratosis lesions, in the selected treatment area, during a 12-month follow-up period for patients with complete clearance who completed Day 57 in study PEP005-020, and to summarize long-term safety data, in selected treatment area over a 12-month follow-up period for patients who completed Day 57 in study PEP005-020.</w:t>
      </w:r>
      <w:r>
        <w:t xml:space="preserve"> </w:t>
      </w:r>
      <w:r w:rsidRPr="006A162E">
        <w:t>A total of 38 patients who had demonstrated complete clearance of SK lesions in study PEP005-020 were enrolled in the study</w:t>
      </w:r>
      <w:r>
        <w:t xml:space="preserve">. </w:t>
      </w:r>
      <w:r w:rsidRPr="006A162E">
        <w:t xml:space="preserve">At 12 months of follow-up, 62.5% of patients in the CC57 population treated with PEP005 Gel, 0.05% in study PEP005-020 (N=38) had at least one new or recurrent AK lesion within the selected treatment area. The estimated median time to lesion recurrence was 274 days. Based on the number of lesions observed within the treatment area during 12 months of follow-up relative to the number of lesions at baseline (determined prior to treatment with PEP005 Gel in the </w:t>
      </w:r>
      <w:r w:rsidR="00631F91" w:rsidRPr="00631F91">
        <w:t>Phase III</w:t>
      </w:r>
      <w:r w:rsidRPr="006A162E">
        <w:t xml:space="preserve"> study), the mean lesion-based recurrence rate was 11.3%.</w:t>
      </w:r>
    </w:p>
    <w:p w:rsidR="002E6F0C" w:rsidRPr="00924980" w:rsidRDefault="002E6F0C" w:rsidP="0010596D">
      <w:pPr>
        <w:pStyle w:val="ListBullet"/>
        <w:rPr>
          <w:b/>
        </w:rPr>
      </w:pPr>
      <w:r w:rsidRPr="002D0C73">
        <w:rPr>
          <w:b/>
        </w:rPr>
        <w:t xml:space="preserve">PEP005-032 </w:t>
      </w:r>
      <w:r w:rsidRPr="002D0C73">
        <w:t xml:space="preserve">was a 12 month, long-term follow-up study of patients with actinic keratosis on non-head locations (trunk and extremities) who completed Day 57 in study PEP005-028. The objectives of the study were to summarize treatment area recurrences of actinic keratosis lesions, in the selected treatment area during a 12-month follow-up period for patients with complete clearance, who completed Day 57 in study PEP005-028, and to summarize long-term safety data, in selected treatment area over a 12-month follow-up period for patients with complete clearance, who completed Day 57 in study PEP005-028. A total of 43 patients were enrolled (38 received PEP005 Gel 0.05% and 5 received vehicle gel in the previous study [PEP005-028]). At 12 months of follow-up, 50% of patients treated with PEP005 Gel, 0.05% in study PEP005-028 (N=38) had at least one new or recurrent SK lesion within the selected treatment area. The estimated median time to recurrence was &gt; 183 days. Based on the number of lesions observed within the treatment area during 12 months of follow-up relative to the number of lesions at baseline (determined prior to treatment with PEP005 Gel in the </w:t>
      </w:r>
      <w:r w:rsidR="00631F91" w:rsidRPr="00631F91">
        <w:t>Phase III</w:t>
      </w:r>
      <w:r w:rsidRPr="002D0C73">
        <w:t xml:space="preserve"> studies), the mean lesion-based recurrence rate was 14.9%. At 12 months of follow-up, 80% of patients treated with vehicle gel in the previous study (N=5) had a new or recurrent SK lesion, with a median time to recurrence of 183 days, and the mean lesion-based recurrence rate at 12 months was 19.2%.</w:t>
      </w:r>
    </w:p>
    <w:p w:rsidR="002E6F0C" w:rsidRDefault="002E6F0C" w:rsidP="0010596D">
      <w:pPr>
        <w:pStyle w:val="ListBullet"/>
      </w:pPr>
      <w:r w:rsidRPr="00924980">
        <w:lastRenderedPageBreak/>
        <w:t>In addition</w:t>
      </w:r>
      <w:r>
        <w:t xml:space="preserve"> to the studies mentioned above, a further 9 clinical studies provided supporting information on efficacy. These studies were</w:t>
      </w:r>
      <w:r w:rsidR="00631F91" w:rsidRPr="00631F91">
        <w:t xml:space="preserve"> </w:t>
      </w:r>
      <w:r w:rsidRPr="006A162E">
        <w:t>PEP005-</w:t>
      </w:r>
      <w:r>
        <w:t>007,</w:t>
      </w:r>
      <w:r w:rsidRPr="00924980">
        <w:t xml:space="preserve"> </w:t>
      </w:r>
      <w:r w:rsidRPr="006A162E">
        <w:t>PEP005-</w:t>
      </w:r>
      <w:r>
        <w:t xml:space="preserve">020, </w:t>
      </w:r>
      <w:r w:rsidRPr="006A162E">
        <w:t>PEP005-</w:t>
      </w:r>
      <w:r>
        <w:t xml:space="preserve">004, </w:t>
      </w:r>
      <w:r w:rsidRPr="006A162E">
        <w:t>PEP005-</w:t>
      </w:r>
      <w:r>
        <w:t xml:space="preserve">017, </w:t>
      </w:r>
      <w:r w:rsidRPr="006A162E">
        <w:t>PEP005-</w:t>
      </w:r>
      <w:r>
        <w:t xml:space="preserve">018, </w:t>
      </w:r>
      <w:r w:rsidRPr="006A162E">
        <w:t>PEP005-</w:t>
      </w:r>
      <w:r>
        <w:t xml:space="preserve">013, </w:t>
      </w:r>
      <w:r w:rsidRPr="006A162E">
        <w:t>PEP005-</w:t>
      </w:r>
      <w:r>
        <w:t>022, AGN204332-004 and</w:t>
      </w:r>
      <w:r w:rsidR="00631F91" w:rsidRPr="00631F91">
        <w:t xml:space="preserve"> </w:t>
      </w:r>
      <w:r w:rsidRPr="006A162E">
        <w:t>PEP005-</w:t>
      </w:r>
      <w:r>
        <w:t>001</w:t>
      </w:r>
      <w:r w:rsidR="0010596D">
        <w:t>.</w:t>
      </w:r>
    </w:p>
    <w:p w:rsidR="002E6F0C" w:rsidRPr="0058206D" w:rsidRDefault="002E6F0C" w:rsidP="0010596D">
      <w:pPr>
        <w:pStyle w:val="ListBullet"/>
        <w:rPr>
          <w:b/>
        </w:rPr>
      </w:pPr>
      <w:r w:rsidRPr="0058206D">
        <w:rPr>
          <w:b/>
        </w:rPr>
        <w:t>PEP005-007</w:t>
      </w:r>
      <w:r>
        <w:t xml:space="preserve"> was an open-label, multi-centre, dose-escalation, cohort study.</w:t>
      </w:r>
      <w:r w:rsidRPr="0058206D">
        <w:rPr>
          <w:rFonts w:eastAsia="TimesNewRomanPSMT"/>
          <w:color w:val="010202"/>
        </w:rPr>
        <w:t xml:space="preserve"> </w:t>
      </w:r>
      <w:r w:rsidRPr="00B908F7">
        <w:rPr>
          <w:rFonts w:eastAsia="TimesNewRomanPSMT"/>
          <w:color w:val="010202"/>
        </w:rPr>
        <w:t>The primary objective was to determine the optimal tolerated regimen of PEP005 Topical Gel when administered to</w:t>
      </w:r>
      <w:r>
        <w:rPr>
          <w:rFonts w:eastAsia="TimesNewRomanPSMT"/>
          <w:color w:val="010202"/>
        </w:rPr>
        <w:t xml:space="preserve"> </w:t>
      </w:r>
      <w:r w:rsidRPr="00B908F7">
        <w:rPr>
          <w:rFonts w:eastAsia="TimesNewRomanPSMT"/>
          <w:color w:val="010202"/>
        </w:rPr>
        <w:t>patients once daily as a two or three consecutive day application schedule to a 25 cm</w:t>
      </w:r>
      <w:r w:rsidRPr="00B908F7">
        <w:rPr>
          <w:rFonts w:eastAsia="TimesNewRomanPSMT"/>
          <w:color w:val="010202"/>
          <w:vertAlign w:val="superscript"/>
        </w:rPr>
        <w:t>2</w:t>
      </w:r>
      <w:r w:rsidRPr="00B908F7">
        <w:rPr>
          <w:rFonts w:eastAsia="TimesNewRomanPSMT"/>
          <w:color w:val="010202"/>
        </w:rPr>
        <w:t xml:space="preserve"> contiguous </w:t>
      </w:r>
      <w:r>
        <w:rPr>
          <w:rFonts w:eastAsia="TimesNewRomanPSMT"/>
          <w:color w:val="010202"/>
        </w:rPr>
        <w:t xml:space="preserve">SK </w:t>
      </w:r>
      <w:r w:rsidRPr="00B908F7">
        <w:rPr>
          <w:rFonts w:eastAsia="TimesNewRomanPSMT"/>
          <w:color w:val="010202"/>
        </w:rPr>
        <w:t>treatment area on the face or face and scalp.</w:t>
      </w:r>
      <w:r>
        <w:rPr>
          <w:rFonts w:eastAsia="TimesNewRomanPSMT"/>
          <w:color w:val="010202"/>
        </w:rPr>
        <w:t xml:space="preserve"> </w:t>
      </w:r>
      <w:r w:rsidRPr="006053AB">
        <w:rPr>
          <w:rFonts w:eastAsia="TimesNewRomanPSMT"/>
          <w:color w:val="010202"/>
        </w:rPr>
        <w:t>The study was not statistically powered to evaluate efficacy, and the resulting groups ha</w:t>
      </w:r>
      <w:r>
        <w:rPr>
          <w:rFonts w:eastAsia="TimesNewRomanPSMT"/>
          <w:color w:val="010202"/>
        </w:rPr>
        <w:t>d</w:t>
      </w:r>
      <w:r w:rsidRPr="006053AB">
        <w:rPr>
          <w:rFonts w:eastAsia="TimesNewRomanPSMT"/>
          <w:color w:val="010202"/>
        </w:rPr>
        <w:t xml:space="preserve"> a small number of patients</w:t>
      </w:r>
      <w:r>
        <w:rPr>
          <w:rFonts w:eastAsia="TimesNewRomanPSMT"/>
          <w:color w:val="010202"/>
        </w:rPr>
        <w:t>.</w:t>
      </w:r>
    </w:p>
    <w:p w:rsidR="002E6F0C" w:rsidRPr="0058206D" w:rsidRDefault="002E6F0C" w:rsidP="0010596D">
      <w:pPr>
        <w:pStyle w:val="ListBullet"/>
        <w:rPr>
          <w:b/>
        </w:rPr>
      </w:pPr>
      <w:r w:rsidRPr="0058206D">
        <w:rPr>
          <w:b/>
        </w:rPr>
        <w:t>PEP005-020</w:t>
      </w:r>
      <w:r>
        <w:t xml:space="preserve"> was a</w:t>
      </w:r>
      <w:r w:rsidRPr="00EA5C01">
        <w:t xml:space="preserve"> multi-cent</w:t>
      </w:r>
      <w:r>
        <w:t>re</w:t>
      </w:r>
      <w:r w:rsidRPr="00EA5C01">
        <w:t>, open-label study to evaluate the safety and efficacy of PEP005 (ingenol mebutate) Gel, 0.05% in</w:t>
      </w:r>
      <w:r>
        <w:t xml:space="preserve"> </w:t>
      </w:r>
      <w:r w:rsidRPr="00EA5C01">
        <w:t>patients with actinic keratoses on non-head locations (trunk and extremities)</w:t>
      </w:r>
      <w:r>
        <w:t>. The objectives of the study were t</w:t>
      </w:r>
      <w:r w:rsidRPr="00EA5C01">
        <w:t>o evaluate the safety of PEP005 Gel, 0.05% when administered once daily for two consecutive days</w:t>
      </w:r>
      <w:r>
        <w:t xml:space="preserve"> </w:t>
      </w:r>
      <w:r w:rsidRPr="00EA5C01">
        <w:t>(Days 1 and 2) to a 25 cm</w:t>
      </w:r>
      <w:r w:rsidRPr="00681B48">
        <w:rPr>
          <w:vertAlign w:val="superscript"/>
        </w:rPr>
        <w:t>2</w:t>
      </w:r>
      <w:r w:rsidRPr="00EA5C01">
        <w:t xml:space="preserve"> contiguous actinic keratosis treatment area on non-head locations</w:t>
      </w:r>
      <w:r>
        <w:t>, and t</w:t>
      </w:r>
      <w:r w:rsidRPr="00EA5C01">
        <w:t xml:space="preserve">o evaluate the efficacy of PEP005 Gel, 0.05% when </w:t>
      </w:r>
      <w:r>
        <w:t>administered</w:t>
      </w:r>
      <w:r w:rsidRPr="00EA5C01">
        <w:t xml:space="preserve"> once daily for two consecutive days</w:t>
      </w:r>
      <w:r>
        <w:t xml:space="preserve"> </w:t>
      </w:r>
      <w:r w:rsidRPr="00EA5C01">
        <w:t>(Days 1 and 2) to a 25 cm</w:t>
      </w:r>
      <w:r w:rsidRPr="00681B48">
        <w:rPr>
          <w:vertAlign w:val="superscript"/>
        </w:rPr>
        <w:t>2</w:t>
      </w:r>
      <w:r w:rsidRPr="00EA5C01">
        <w:t xml:space="preserve"> contiguous </w:t>
      </w:r>
      <w:r>
        <w:t>S</w:t>
      </w:r>
      <w:r w:rsidRPr="00EA5C01">
        <w:t>K treatment area on non-head locations.</w:t>
      </w:r>
      <w:r w:rsidRPr="0058206D">
        <w:t xml:space="preserve"> </w:t>
      </w:r>
      <w:r w:rsidRPr="0044125B">
        <w:t>No hypotheses were tested and no inferential analyses were performed in this study</w:t>
      </w:r>
      <w:r>
        <w:t xml:space="preserve">. </w:t>
      </w:r>
      <w:r w:rsidRPr="0044125B">
        <w:t xml:space="preserve">Overall, 40/102 (39.2%) patients had a complete clearance of </w:t>
      </w:r>
      <w:r>
        <w:t>S</w:t>
      </w:r>
      <w:r w:rsidRPr="0044125B">
        <w:t>K lesions at Day 57</w:t>
      </w:r>
      <w:r>
        <w:t xml:space="preserve">. </w:t>
      </w:r>
      <w:r w:rsidRPr="0044125B">
        <w:t>The overall partial clearance rate was 54.9%</w:t>
      </w:r>
      <w:r>
        <w:t>.</w:t>
      </w:r>
    </w:p>
    <w:p w:rsidR="002E6F0C" w:rsidRPr="00A9623E" w:rsidRDefault="002E6F0C" w:rsidP="0010596D">
      <w:pPr>
        <w:pStyle w:val="ListBullet"/>
        <w:rPr>
          <w:b/>
        </w:rPr>
      </w:pPr>
      <w:r w:rsidRPr="00A9623E">
        <w:rPr>
          <w:b/>
        </w:rPr>
        <w:t xml:space="preserve">PEP005-004 </w:t>
      </w:r>
      <w:r w:rsidRPr="00A9623E">
        <w:rPr>
          <w:rFonts w:eastAsia="TimesNewRomanPSMT"/>
        </w:rPr>
        <w:t>was an open-label, dose-escalation, cohort study to determine the maximum tolerated dose and safety of PEP005 Topical Gel when applied on Day 1 and Day 2 to actinic keratoses on the shoulders, chest, back, or arms followed by a post-treatment follow-up period lasting at</w:t>
      </w:r>
      <w:r>
        <w:rPr>
          <w:rFonts w:eastAsia="TimesNewRomanPSMT"/>
        </w:rPr>
        <w:t xml:space="preserve"> </w:t>
      </w:r>
      <w:r w:rsidRPr="00A9623E">
        <w:rPr>
          <w:rFonts w:eastAsia="TimesNewRomanPSMT"/>
        </w:rPr>
        <w:t xml:space="preserve">least four weeks. The primary objective of this study was to determine the maximum tolerated dose (MTD) for PEP005 Topical Gel, administered once daily for two consecutive days, by applying 90 </w:t>
      </w:r>
      <w:r w:rsidR="0041198F">
        <w:rPr>
          <w:rFonts w:eastAsia="TimesNewRomanPSMT"/>
        </w:rPr>
        <w:t>µ</w:t>
      </w:r>
      <w:r w:rsidRPr="00A9623E">
        <w:rPr>
          <w:rFonts w:eastAsia="TimesNewRomanPSMT"/>
        </w:rPr>
        <w:t>L of PEP005 Topical Gel over a 3 cm x 3 cm field surrounding a target actinic keratosis lesion comprising both diseased and perilesional skin</w:t>
      </w:r>
      <w:r>
        <w:rPr>
          <w:rFonts w:eastAsia="TimesNewRomanPSMT"/>
        </w:rPr>
        <w:t>.</w:t>
      </w:r>
      <w:r w:rsidRPr="00A9623E">
        <w:rPr>
          <w:rFonts w:eastAsia="TimesNewRomanPSMT"/>
        </w:rPr>
        <w:t xml:space="preserve"> </w:t>
      </w:r>
      <w:r w:rsidRPr="00173C5D">
        <w:rPr>
          <w:rFonts w:eastAsia="TimesNewRomanPSMT"/>
        </w:rPr>
        <w:t>No hypothesis/inferential testing was conducted for this study</w:t>
      </w:r>
      <w:r>
        <w:rPr>
          <w:rFonts w:eastAsia="TimesNewRomanPSMT"/>
        </w:rPr>
        <w:t xml:space="preserve">. </w:t>
      </w:r>
      <w:r w:rsidRPr="00983E65">
        <w:rPr>
          <w:rFonts w:eastAsia="TimesNewRomanPSMT"/>
        </w:rPr>
        <w:t>At the Day 29 (End of Study) assessment, complete clearance was reported in two (66.7%)</w:t>
      </w:r>
      <w:r>
        <w:rPr>
          <w:rFonts w:eastAsia="TimesNewRomanPSMT"/>
        </w:rPr>
        <w:t xml:space="preserve"> </w:t>
      </w:r>
      <w:r w:rsidRPr="00983E65">
        <w:rPr>
          <w:rFonts w:eastAsia="TimesNewRomanPSMT"/>
        </w:rPr>
        <w:t>patients in the 0.01% PEP005 Topical Gel cohort, one (33.3%) patient in the 0.025% PEP005</w:t>
      </w:r>
      <w:r>
        <w:rPr>
          <w:rFonts w:eastAsia="TimesNewRomanPSMT"/>
        </w:rPr>
        <w:t xml:space="preserve"> </w:t>
      </w:r>
      <w:r w:rsidRPr="00983E65">
        <w:rPr>
          <w:rFonts w:eastAsia="TimesNewRomanPSMT"/>
        </w:rPr>
        <w:t>Topical Gel cohort, six (60.0%) patients in the 0.05% PEP005 Topical Gel cohort, and three</w:t>
      </w:r>
      <w:r>
        <w:rPr>
          <w:rFonts w:eastAsia="TimesNewRomanPSMT"/>
        </w:rPr>
        <w:t xml:space="preserve"> </w:t>
      </w:r>
      <w:r w:rsidRPr="00983E65">
        <w:rPr>
          <w:rFonts w:eastAsia="TimesNewRomanPSMT"/>
        </w:rPr>
        <w:t>(50.0%) patients in the 0.075% PEP005 Topical Gel cohort.</w:t>
      </w:r>
    </w:p>
    <w:p w:rsidR="002E6F0C" w:rsidRPr="00A9623E" w:rsidRDefault="002E6F0C" w:rsidP="0010596D">
      <w:pPr>
        <w:pStyle w:val="ListBullet"/>
        <w:rPr>
          <w:b/>
        </w:rPr>
      </w:pPr>
      <w:r w:rsidRPr="00A9623E">
        <w:rPr>
          <w:b/>
        </w:rPr>
        <w:t>PEP005-017</w:t>
      </w:r>
      <w:r>
        <w:rPr>
          <w:b/>
        </w:rPr>
        <w:t xml:space="preserve"> </w:t>
      </w:r>
      <w:r>
        <w:t>was a</w:t>
      </w:r>
      <w:r>
        <w:rPr>
          <w:rFonts w:ascii="TimesNewRoman" w:hAnsi="TimesNewRoman" w:cs="TimesNewRoman"/>
        </w:rPr>
        <w:t xml:space="preserve"> </w:t>
      </w:r>
      <w:r w:rsidRPr="006A162E">
        <w:t>randomized, double-blind, vehicle-controlled study to evaluate the pharmacokinetics of PEP005 (ingenol mebutate) Gel, 0.05%, when applied in a maximal use setting to the dorsal aspect of the forearm in patients with actinic keratosis. The primary objective was to evaluate the potential for systemic exposure of ingenol mebutate when applied in a maximal use setting to the dorsal aspect of the forearm in patients with actinic keratosis. The secondary objectives were to evaluate the safety and efficacy of PEP005 Gel, 0.05%, when applied in a maximal use setting to the dorsal aspect of the forearm in patients with actinic keratosis.</w:t>
      </w:r>
      <w:r>
        <w:t xml:space="preserve"> </w:t>
      </w:r>
      <w:r w:rsidRPr="006A162E">
        <w:t>Of the patients who received treatment with PEP005 Gel, 0.05%, 77% (10/13) had complete clearance of all SK lesions, and all patients had partial clearance.</w:t>
      </w:r>
    </w:p>
    <w:p w:rsidR="002E6F0C" w:rsidRPr="00C37CB0" w:rsidRDefault="002E6F0C" w:rsidP="0010596D">
      <w:pPr>
        <w:pStyle w:val="ListBullet"/>
        <w:rPr>
          <w:b/>
        </w:rPr>
      </w:pPr>
      <w:r w:rsidRPr="00A9623E">
        <w:rPr>
          <w:b/>
        </w:rPr>
        <w:t xml:space="preserve">PEP005-018 </w:t>
      </w:r>
      <w:r w:rsidRPr="00A9623E">
        <w:t>was a multicentre, open-label study to examine the safety and tolera</w:t>
      </w:r>
      <w:r>
        <w:t>bility</w:t>
      </w:r>
      <w:r w:rsidRPr="00A9623E">
        <w:t xml:space="preserve"> of 0.05% PEP005 Topical Gel in patients with actinic keratoses on the dorsum of the hand. The objectives of the study were to examine the safety and toleration of PEP005 Gel, 0.05%, administered on two consecutive days, to a 25 cm</w:t>
      </w:r>
      <w:r w:rsidRPr="00A9623E">
        <w:rPr>
          <w:vertAlign w:val="superscript"/>
        </w:rPr>
        <w:t>2</w:t>
      </w:r>
      <w:r>
        <w:t xml:space="preserve"> </w:t>
      </w:r>
      <w:r w:rsidRPr="00A9623E">
        <w:t>contiguous SK treatment area on the dorsum of a single hand, and to examine the efficacy of PEP005 Gel, 0.05%, administered on two consecutive days, to a 25 cm</w:t>
      </w:r>
      <w:r w:rsidRPr="00A9623E">
        <w:rPr>
          <w:vertAlign w:val="superscript"/>
        </w:rPr>
        <w:t xml:space="preserve">2 </w:t>
      </w:r>
      <w:r w:rsidRPr="00A9623E">
        <w:t>contiguous SK treatment area on the dorsum of a single hand</w:t>
      </w:r>
      <w:r>
        <w:t>.</w:t>
      </w:r>
      <w:r w:rsidRPr="00C37CB0">
        <w:t xml:space="preserve"> </w:t>
      </w:r>
      <w:r w:rsidRPr="00EA5C01">
        <w:t>At Day 57, the complete clearance rate was 27.3% (3/11 patients), and the partial clearance rate was 45.5%</w:t>
      </w:r>
      <w:r>
        <w:t xml:space="preserve"> </w:t>
      </w:r>
      <w:r w:rsidRPr="00EA5C01">
        <w:t>(5/11 patients).</w:t>
      </w:r>
    </w:p>
    <w:p w:rsidR="002E6F0C" w:rsidRPr="00FD64A9" w:rsidRDefault="002E6F0C" w:rsidP="0010596D">
      <w:pPr>
        <w:pStyle w:val="ListBullet"/>
        <w:rPr>
          <w:b/>
        </w:rPr>
      </w:pPr>
      <w:r w:rsidRPr="00FD64A9">
        <w:rPr>
          <w:b/>
        </w:rPr>
        <w:t xml:space="preserve">PEP005-013 </w:t>
      </w:r>
      <w:r w:rsidRPr="00FD64A9">
        <w:rPr>
          <w:rFonts w:eastAsia="TimesNewRomanPSMT"/>
        </w:rPr>
        <w:t>was a Phase I, pharmacokinetic study to evaluate the extent of systemic absorption of PEP005, when applied as 0.05% PEP005 Topical Gel to a 100 cm</w:t>
      </w:r>
      <w:r w:rsidRPr="00FD64A9">
        <w:rPr>
          <w:rFonts w:eastAsia="TimesNewRomanPSMT"/>
          <w:vertAlign w:val="superscript"/>
        </w:rPr>
        <w:t>2</w:t>
      </w:r>
      <w:r w:rsidRPr="00FD64A9">
        <w:rPr>
          <w:rFonts w:eastAsia="TimesNewRomanPSMT"/>
        </w:rPr>
        <w:t xml:space="preserve"> (5 cm x 20 </w:t>
      </w:r>
      <w:r w:rsidRPr="00FD64A9">
        <w:rPr>
          <w:rFonts w:eastAsia="TimesNewRomanPSMT"/>
        </w:rPr>
        <w:lastRenderedPageBreak/>
        <w:t xml:space="preserve">cm) contiguous actinic keratosis treatment area on the extensor (dorsal aspect) forearm. </w:t>
      </w:r>
      <w:r>
        <w:rPr>
          <w:rFonts w:eastAsia="TimesNewRomanPSMT"/>
        </w:rPr>
        <w:t>No efficacy results were provided.</w:t>
      </w:r>
    </w:p>
    <w:p w:rsidR="002E6F0C" w:rsidRPr="006A162E" w:rsidRDefault="002E6F0C" w:rsidP="0010596D">
      <w:pPr>
        <w:pStyle w:val="ListBullet"/>
      </w:pPr>
      <w:r w:rsidRPr="00C37CB0">
        <w:rPr>
          <w:b/>
        </w:rPr>
        <w:t>PEP005-022</w:t>
      </w:r>
      <w:r>
        <w:rPr>
          <w:b/>
        </w:rPr>
        <w:t xml:space="preserve"> </w:t>
      </w:r>
      <w:r>
        <w:t xml:space="preserve">was </w:t>
      </w:r>
      <w:r w:rsidRPr="006A162E">
        <w:t>a multicentre, open-label, dose-area escalation, cohort study to evaluate the safety and</w:t>
      </w:r>
      <w:r>
        <w:t xml:space="preserve"> </w:t>
      </w:r>
      <w:r w:rsidRPr="006A162E">
        <w:t>tolerability of 0.05% PEP005 Topical Gel applied for two consecutive days to treatment area(s) of up to a total of 100 cm</w:t>
      </w:r>
      <w:r w:rsidRPr="006A162E">
        <w:rPr>
          <w:vertAlign w:val="superscript"/>
        </w:rPr>
        <w:t>2</w:t>
      </w:r>
      <w:r w:rsidRPr="006A162E">
        <w:t xml:space="preserve"> in patients with actinic keratoses on the extensor (dorsal aspect)</w:t>
      </w:r>
      <w:r>
        <w:t xml:space="preserve"> </w:t>
      </w:r>
      <w:r w:rsidRPr="006A162E">
        <w:t>forearm(s). The objective of the study was to evaluate the safety and tolerability of two, once-daily, consecutive applications of PEP005 Gel, 0.05%, when applied to 25, 50, 75, or 100 cm</w:t>
      </w:r>
      <w:r w:rsidRPr="006A162E">
        <w:rPr>
          <w:vertAlign w:val="superscript"/>
        </w:rPr>
        <w:t>2</w:t>
      </w:r>
      <w:r w:rsidRPr="006A162E">
        <w:t xml:space="preserve"> actinic keratosis treatment area(s) on the dorsal forearm(s).</w:t>
      </w:r>
      <w:r w:rsidRPr="00FD64A9">
        <w:t xml:space="preserve"> </w:t>
      </w:r>
      <w:r w:rsidRPr="006A162E">
        <w:t>No efficacy results were provided.</w:t>
      </w:r>
    </w:p>
    <w:p w:rsidR="002E6F0C" w:rsidRPr="00C37CB0" w:rsidRDefault="002E6F0C" w:rsidP="0010596D">
      <w:pPr>
        <w:pStyle w:val="ListBullet"/>
        <w:rPr>
          <w:b/>
        </w:rPr>
      </w:pPr>
      <w:r w:rsidRPr="00C37CB0">
        <w:rPr>
          <w:b/>
        </w:rPr>
        <w:t>AGN204332-004</w:t>
      </w:r>
      <w:r>
        <w:rPr>
          <w:b/>
        </w:rPr>
        <w:t xml:space="preserve"> </w:t>
      </w:r>
      <w:r>
        <w:t>was a</w:t>
      </w:r>
      <w:r w:rsidRPr="00471E7F">
        <w:t xml:space="preserve"> multicentre, double-blind, parallel, randomised, vehicle-controlled study of the safety</w:t>
      </w:r>
      <w:r>
        <w:t xml:space="preserve"> </w:t>
      </w:r>
      <w:r w:rsidRPr="00471E7F">
        <w:t>of a single application of up to 0.2 ml of 0.01% PEP005 gel to actinic keratoses on the shoulders, chest,</w:t>
      </w:r>
      <w:r>
        <w:t xml:space="preserve"> </w:t>
      </w:r>
      <w:r w:rsidRPr="00471E7F">
        <w:t>back and/or arms followed by a post-treatment follow-up period lasting at least 2 weeks</w:t>
      </w:r>
      <w:r>
        <w:t xml:space="preserve">. </w:t>
      </w:r>
      <w:r w:rsidRPr="00471E7F">
        <w:t>A total of 80 lesions were treated (55 with 0.01% PEP005; 25 with PEP005 vehicle). Complete</w:t>
      </w:r>
      <w:r>
        <w:t xml:space="preserve"> </w:t>
      </w:r>
      <w:r w:rsidRPr="00471E7F">
        <w:t>clearance in all five lesions at last available follow-up was reported for one patient treated with 0.01%</w:t>
      </w:r>
      <w:r>
        <w:t xml:space="preserve"> </w:t>
      </w:r>
      <w:r w:rsidRPr="00471E7F">
        <w:t>PEP005. Another 0.01% PEP005 patient had complete clearance in 4/5 treated lesions.</w:t>
      </w:r>
      <w:r>
        <w:t xml:space="preserve"> </w:t>
      </w:r>
      <w:r w:rsidRPr="00471E7F">
        <w:t>Extent of lesion clearance according to individual lesions showed that at Day 14, 8/55 lesions (15%)</w:t>
      </w:r>
      <w:r>
        <w:t xml:space="preserve"> </w:t>
      </w:r>
      <w:r w:rsidRPr="00471E7F">
        <w:t>treated with active gel had complete clearance and by the last available follow-up, this had increased to</w:t>
      </w:r>
      <w:r>
        <w:t xml:space="preserve"> </w:t>
      </w:r>
      <w:r w:rsidRPr="00471E7F">
        <w:t>16/55 lesions (29%) treated with active gel</w:t>
      </w:r>
      <w:r>
        <w:t>.</w:t>
      </w:r>
    </w:p>
    <w:p w:rsidR="002E6F0C" w:rsidRPr="001D27DC" w:rsidRDefault="002E6F0C" w:rsidP="0010596D">
      <w:pPr>
        <w:pStyle w:val="ListBullet"/>
      </w:pPr>
      <w:r w:rsidRPr="0058675E">
        <w:rPr>
          <w:b/>
        </w:rPr>
        <w:t>PEP005-001</w:t>
      </w:r>
      <w:r w:rsidRPr="0058675E">
        <w:t xml:space="preserve"> </w:t>
      </w:r>
      <w:r>
        <w:t>was a</w:t>
      </w:r>
      <w:r w:rsidRPr="0058675E">
        <w:t xml:space="preserve"> multi-centre, randomized, double-blind, parallel-group, vehicle-controlled study conducted in Australia between March and October 2005.</w:t>
      </w:r>
      <w:r w:rsidRPr="0058675E">
        <w:rPr>
          <w:sz w:val="20"/>
          <w:szCs w:val="20"/>
        </w:rPr>
        <w:t xml:space="preserve"> </w:t>
      </w:r>
      <w:r w:rsidRPr="0058675E">
        <w:t xml:space="preserve">The primary objective of the study was to determine the safety of PEP005 Topical Gel at 0.0025%, 0.01%, and 0.05% administered as two applications to patients with SK on the arms, shoulders, chest, face, and/or scalp under the following two treatment schedules: Day 1 and Day 2 or Day 1 and Day 8. The study was not statistically powered to conduct formal </w:t>
      </w:r>
      <w:r w:rsidR="00DF6B0A">
        <w:t>hypothesis/inferential testing.</w:t>
      </w:r>
    </w:p>
    <w:p w:rsidR="00C22678" w:rsidRDefault="00C22678" w:rsidP="00DF6B0A">
      <w:pPr>
        <w:pStyle w:val="Heading2"/>
      </w:pPr>
      <w:bookmarkStart w:id="98" w:name="_Toc367127761"/>
      <w:r>
        <w:t>Clinical safety</w:t>
      </w:r>
      <w:bookmarkEnd w:id="98"/>
    </w:p>
    <w:p w:rsidR="002E6F0C" w:rsidRDefault="0010596D" w:rsidP="00DF6B0A">
      <w:pPr>
        <w:pStyle w:val="Heading3"/>
      </w:pPr>
      <w:bookmarkStart w:id="99" w:name="_Toc367127762"/>
      <w:r>
        <w:t>I</w:t>
      </w:r>
      <w:r w:rsidR="002E6F0C">
        <w:t>ntroduction</w:t>
      </w:r>
      <w:bookmarkEnd w:id="99"/>
    </w:p>
    <w:p w:rsidR="002E6F0C" w:rsidRDefault="002E6F0C" w:rsidP="002E6F0C">
      <w:pPr>
        <w:autoSpaceDE w:val="0"/>
        <w:autoSpaceDN w:val="0"/>
        <w:adjustRightInd w:val="0"/>
      </w:pPr>
      <w:r>
        <w:t>Information on safety was available from all clinical studies detailed above. In addition, a further 7 studies provided additional safety information. Of these studies, three assessed safety in healthy volunteers (PEP005-005, PEP005-023, and PEP005-024), and four provided safety data in patients receiving treatment for non-malignant skin cancer (NMSC) (PEP005-002, PEP005-003,</w:t>
      </w:r>
      <w:r w:rsidRPr="00AB7949">
        <w:t xml:space="preserve"> </w:t>
      </w:r>
      <w:r>
        <w:t>PEP005-008 and PEP005-009). These studies are described below.</w:t>
      </w:r>
    </w:p>
    <w:p w:rsidR="002E6F0C" w:rsidRDefault="002E6F0C" w:rsidP="00DF6B0A">
      <w:pPr>
        <w:pStyle w:val="Heading3"/>
      </w:pPr>
      <w:bookmarkStart w:id="100" w:name="_Toc367127763"/>
      <w:r w:rsidRPr="00AB7949">
        <w:t>PEP005-005</w:t>
      </w:r>
      <w:bookmarkEnd w:id="100"/>
    </w:p>
    <w:p w:rsidR="002E6F0C" w:rsidRDefault="002E6F0C" w:rsidP="002E6F0C">
      <w:pPr>
        <w:autoSpaceDE w:val="0"/>
        <w:autoSpaceDN w:val="0"/>
        <w:adjustRightInd w:val="0"/>
      </w:pPr>
      <w:r>
        <w:t>This study was a r</w:t>
      </w:r>
      <w:r w:rsidRPr="008F4F1A">
        <w:t xml:space="preserve">andomized, </w:t>
      </w:r>
      <w:r>
        <w:t>c</w:t>
      </w:r>
      <w:r w:rsidRPr="008F4F1A">
        <w:t xml:space="preserve">ontrolled </w:t>
      </w:r>
      <w:r>
        <w:t>s</w:t>
      </w:r>
      <w:r w:rsidRPr="008F4F1A">
        <w:t xml:space="preserve">tudy to </w:t>
      </w:r>
      <w:r>
        <w:t>e</w:t>
      </w:r>
      <w:r w:rsidRPr="008F4F1A">
        <w:t xml:space="preserve">valuate the </w:t>
      </w:r>
      <w:r>
        <w:t>s</w:t>
      </w:r>
      <w:r w:rsidRPr="008F4F1A">
        <w:t xml:space="preserve">ensitizing </w:t>
      </w:r>
      <w:r>
        <w:t>p</w:t>
      </w:r>
      <w:r w:rsidRPr="008F4F1A">
        <w:t>otential of PEP005 Topical Gel</w:t>
      </w:r>
      <w:r>
        <w:t xml:space="preserve"> </w:t>
      </w:r>
      <w:r w:rsidRPr="008F4F1A">
        <w:t xml:space="preserve">(0.01% concentration) in </w:t>
      </w:r>
      <w:r>
        <w:t>h</w:t>
      </w:r>
      <w:r w:rsidRPr="008F4F1A">
        <w:t xml:space="preserve">ealthy </w:t>
      </w:r>
      <w:r>
        <w:t>v</w:t>
      </w:r>
      <w:r w:rsidRPr="008F4F1A">
        <w:t xml:space="preserve">olunteers </w:t>
      </w:r>
      <w:r>
        <w:t>u</w:t>
      </w:r>
      <w:r w:rsidRPr="008F4F1A">
        <w:t xml:space="preserve">sing a </w:t>
      </w:r>
      <w:r>
        <w:t>r</w:t>
      </w:r>
      <w:r w:rsidRPr="008F4F1A">
        <w:t xml:space="preserve">epeat </w:t>
      </w:r>
      <w:r>
        <w:t>i</w:t>
      </w:r>
      <w:r w:rsidRPr="008F4F1A">
        <w:t xml:space="preserve">nsult </w:t>
      </w:r>
      <w:r>
        <w:t>p</w:t>
      </w:r>
      <w:r w:rsidRPr="008F4F1A">
        <w:t xml:space="preserve">atch </w:t>
      </w:r>
      <w:r>
        <w:t>t</w:t>
      </w:r>
      <w:r w:rsidRPr="008F4F1A">
        <w:t xml:space="preserve">est </w:t>
      </w:r>
      <w:r>
        <w:t>d</w:t>
      </w:r>
      <w:r w:rsidRPr="008F4F1A">
        <w:t>esign.</w:t>
      </w:r>
      <w:r>
        <w:t xml:space="preserve"> </w:t>
      </w:r>
      <w:r w:rsidRPr="008F4F1A">
        <w:t>The primary objective of this study was to determine the sensitization potential of PEP005 Topical</w:t>
      </w:r>
      <w:r>
        <w:t xml:space="preserve"> </w:t>
      </w:r>
      <w:r w:rsidRPr="008F4F1A">
        <w:t>Gel (0.01% concentration) on normal skin. The secondary objective was to evaluate skin irritation. Additionally,</w:t>
      </w:r>
      <w:r>
        <w:t xml:space="preserve"> </w:t>
      </w:r>
      <w:r w:rsidRPr="008F4F1A">
        <w:t>safety was assessed by evaluation of adverse events reported during the study. A</w:t>
      </w:r>
      <w:r>
        <w:t xml:space="preserve"> </w:t>
      </w:r>
      <w:r w:rsidRPr="008F4F1A">
        <w:t>total of 238</w:t>
      </w:r>
      <w:r>
        <w:t xml:space="preserve"> subjects </w:t>
      </w:r>
      <w:r w:rsidRPr="008F4F1A">
        <w:t xml:space="preserve">were enrolled. Two hundred twenty were evaluable for </w:t>
      </w:r>
      <w:r>
        <w:t>s</w:t>
      </w:r>
      <w:r w:rsidRPr="008F4F1A">
        <w:t>ensitization analysis and 226 were evaluable</w:t>
      </w:r>
      <w:r>
        <w:t xml:space="preserve"> </w:t>
      </w:r>
      <w:r w:rsidRPr="008F4F1A">
        <w:t xml:space="preserve">for irritation analysis. </w:t>
      </w:r>
      <w:r>
        <w:t>Subjects were h</w:t>
      </w:r>
      <w:r w:rsidRPr="008F4F1A">
        <w:t>ealthy male and female subjects 18 to 65 years of age with</w:t>
      </w:r>
      <w:r>
        <w:t xml:space="preserve"> </w:t>
      </w:r>
      <w:r w:rsidRPr="008F4F1A">
        <w:t>Fitzpatrick skin types of I, II, III, and IV. PEP005 Topical Gel (0.01% concentration) was applied topically in the amount sufficient</w:t>
      </w:r>
      <w:r>
        <w:t xml:space="preserve"> </w:t>
      </w:r>
      <w:r w:rsidRPr="008F4F1A">
        <w:t>to cover a 4 cm</w:t>
      </w:r>
      <w:r w:rsidRPr="0010596D">
        <w:rPr>
          <w:vertAlign w:val="superscript"/>
        </w:rPr>
        <w:t xml:space="preserve">2 </w:t>
      </w:r>
      <w:r w:rsidRPr="008F4F1A">
        <w:t xml:space="preserve">area of skin (10 </w:t>
      </w:r>
      <w:r w:rsidRPr="008F4F1A">
        <w:rPr>
          <w:rFonts w:eastAsia="TimesNewRomanPSMT"/>
        </w:rPr>
        <w:t>μ</w:t>
      </w:r>
      <w:r w:rsidRPr="008F4F1A">
        <w:t>L) 3 times weekly for 3 weeks (9 applications total) during the induction phase,</w:t>
      </w:r>
      <w:r>
        <w:t xml:space="preserve"> </w:t>
      </w:r>
      <w:r w:rsidRPr="008F4F1A">
        <w:t>and 1 time during the challenge phase</w:t>
      </w:r>
      <w:r>
        <w:t>.</w:t>
      </w:r>
      <w:r w:rsidRPr="003E6F2E">
        <w:rPr>
          <w:b/>
          <w:bCs/>
          <w:sz w:val="20"/>
          <w:szCs w:val="20"/>
        </w:rPr>
        <w:t xml:space="preserve"> </w:t>
      </w:r>
      <w:r w:rsidRPr="003E6F2E">
        <w:rPr>
          <w:bCs/>
        </w:rPr>
        <w:t xml:space="preserve">The determination of dermal sensitization </w:t>
      </w:r>
      <w:r w:rsidRPr="003E6F2E">
        <w:rPr>
          <w:bCs/>
        </w:rPr>
        <w:lastRenderedPageBreak/>
        <w:t>potential was based on specific scoring criteria derived</w:t>
      </w:r>
      <w:r>
        <w:rPr>
          <w:bCs/>
        </w:rPr>
        <w:t xml:space="preserve"> </w:t>
      </w:r>
      <w:r w:rsidRPr="003E6F2E">
        <w:rPr>
          <w:bCs/>
        </w:rPr>
        <w:t>from observations in the challenge phase of the study, and confirmed in the rechallenge phase, if necessary.</w:t>
      </w:r>
      <w:r w:rsidRPr="003E6F2E">
        <w:rPr>
          <w:sz w:val="20"/>
          <w:szCs w:val="20"/>
        </w:rPr>
        <w:t xml:space="preserve"> </w:t>
      </w:r>
      <w:r w:rsidRPr="003E6F2E">
        <w:t>The mean and total irritation scores during induction were tested pairwise for product differences</w:t>
      </w:r>
      <w:r>
        <w:t xml:space="preserve"> </w:t>
      </w:r>
      <w:r w:rsidRPr="003E6F2E">
        <w:t>using Fisher’s protected least significant differences in the context of the 2-way analysis of variance (ANOVA),</w:t>
      </w:r>
      <w:r>
        <w:t xml:space="preserve"> </w:t>
      </w:r>
      <w:r w:rsidRPr="003E6F2E">
        <w:t>including main effects of subject and product, without interaction. Pairwise differences were tested only if the</w:t>
      </w:r>
      <w:r>
        <w:t xml:space="preserve"> </w:t>
      </w:r>
      <w:r w:rsidRPr="003E6F2E">
        <w:t>null hypothesis of a common mean score for all products was rejected at the 5% level</w:t>
      </w:r>
      <w:r>
        <w:rPr>
          <w:sz w:val="20"/>
          <w:szCs w:val="20"/>
        </w:rPr>
        <w:t xml:space="preserve">. </w:t>
      </w:r>
      <w:r>
        <w:t>Results from this study are included below</w:t>
      </w:r>
      <w:r w:rsidRPr="003E6F2E">
        <w:t xml:space="preserve">. </w:t>
      </w:r>
      <w:r>
        <w:t>T</w:t>
      </w:r>
      <w:r w:rsidRPr="003E6F2E">
        <w:t>here was no evidence of a sensitization potential or</w:t>
      </w:r>
      <w:r w:rsidR="0010596D">
        <w:t xml:space="preserve"> </w:t>
      </w:r>
      <w:r w:rsidRPr="003E6F2E">
        <w:t>significant irritation following repeated applications of PEP005 Topical Gel (0.01% concentration).</w:t>
      </w:r>
    </w:p>
    <w:p w:rsidR="0010596D" w:rsidRDefault="0010596D" w:rsidP="00DF6B0A">
      <w:pPr>
        <w:pStyle w:val="TableTitle"/>
      </w:pPr>
      <w:r>
        <w:t>Table 5</w:t>
      </w:r>
      <w:r w:rsidR="00281572">
        <w:t>1</w:t>
      </w:r>
      <w:r>
        <w:t>. Summary of Challenging responses to PEP topical gel (0.01%)</w:t>
      </w:r>
    </w:p>
    <w:p w:rsidR="002E6F0C" w:rsidRDefault="002E6F0C" w:rsidP="002E6F0C">
      <w:pPr>
        <w:autoSpaceDE w:val="0"/>
        <w:autoSpaceDN w:val="0"/>
        <w:adjustRightInd w:val="0"/>
      </w:pPr>
      <w:r>
        <w:rPr>
          <w:noProof/>
          <w:lang w:eastAsia="en-AU"/>
        </w:rPr>
        <w:drawing>
          <wp:inline distT="0" distB="0" distL="0" distR="0">
            <wp:extent cx="5305425" cy="1058467"/>
            <wp:effectExtent l="19050" t="0" r="9525" b="0"/>
            <wp:docPr id="60" name="Picture 60" descr="Table 51. Summary of Challenging responses to PEP topical ge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14" b="12866"/>
                    <a:stretch>
                      <a:fillRect/>
                    </a:stretch>
                  </pic:blipFill>
                  <pic:spPr bwMode="auto">
                    <a:xfrm>
                      <a:off x="0" y="0"/>
                      <a:ext cx="5305425" cy="1058467"/>
                    </a:xfrm>
                    <a:prstGeom prst="rect">
                      <a:avLst/>
                    </a:prstGeom>
                    <a:noFill/>
                    <a:ln>
                      <a:noFill/>
                    </a:ln>
                  </pic:spPr>
                </pic:pic>
              </a:graphicData>
            </a:graphic>
          </wp:inline>
        </w:drawing>
      </w:r>
    </w:p>
    <w:p w:rsidR="0010596D" w:rsidRDefault="0010596D" w:rsidP="00DF6B0A">
      <w:pPr>
        <w:pStyle w:val="TableTitle"/>
      </w:pPr>
      <w:r>
        <w:t>Table 5</w:t>
      </w:r>
      <w:r w:rsidR="00281572">
        <w:t>2</w:t>
      </w:r>
      <w:r>
        <w:t>. Mean cumulative irritation scores</w:t>
      </w:r>
    </w:p>
    <w:p w:rsidR="002E6F0C" w:rsidRDefault="002E6F0C" w:rsidP="00DF6B0A">
      <w:r>
        <w:rPr>
          <w:noProof/>
          <w:lang w:eastAsia="en-AU"/>
        </w:rPr>
        <w:drawing>
          <wp:inline distT="0" distB="0" distL="0" distR="0">
            <wp:extent cx="5438775" cy="910060"/>
            <wp:effectExtent l="19050" t="0" r="9525" b="0"/>
            <wp:docPr id="61" name="Picture 61" descr="Table 52. Mean cumulative irritation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19" b="13907"/>
                    <a:stretch>
                      <a:fillRect/>
                    </a:stretch>
                  </pic:blipFill>
                  <pic:spPr bwMode="auto">
                    <a:xfrm>
                      <a:off x="0" y="0"/>
                      <a:ext cx="5438775" cy="910060"/>
                    </a:xfrm>
                    <a:prstGeom prst="rect">
                      <a:avLst/>
                    </a:prstGeom>
                    <a:noFill/>
                    <a:ln>
                      <a:noFill/>
                    </a:ln>
                  </pic:spPr>
                </pic:pic>
              </a:graphicData>
            </a:graphic>
          </wp:inline>
        </w:drawing>
      </w:r>
    </w:p>
    <w:p w:rsidR="0010596D" w:rsidRDefault="0010596D" w:rsidP="00DF6B0A">
      <w:pPr>
        <w:pStyle w:val="TableTitle"/>
      </w:pPr>
      <w:r>
        <w:t>Table 5</w:t>
      </w:r>
      <w:r w:rsidR="00281572">
        <w:t>3</w:t>
      </w:r>
      <w:r>
        <w:t>. Summary of Treatment-Emergent Adverse Events.</w:t>
      </w:r>
    </w:p>
    <w:p w:rsidR="0010596D" w:rsidRDefault="002E6F0C" w:rsidP="0010596D">
      <w:pPr>
        <w:autoSpaceDE w:val="0"/>
        <w:autoSpaceDN w:val="0"/>
        <w:adjustRightInd w:val="0"/>
        <w:rPr>
          <w:b/>
        </w:rPr>
      </w:pPr>
      <w:r>
        <w:rPr>
          <w:noProof/>
          <w:lang w:eastAsia="en-AU"/>
        </w:rPr>
        <w:drawing>
          <wp:inline distT="0" distB="0" distL="0" distR="0">
            <wp:extent cx="4762500" cy="1504950"/>
            <wp:effectExtent l="19050" t="0" r="0" b="0"/>
            <wp:docPr id="62" name="Picture 62" descr="Table 53. Summary of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29" b="13333"/>
                    <a:stretch>
                      <a:fillRect/>
                    </a:stretch>
                  </pic:blipFill>
                  <pic:spPr bwMode="auto">
                    <a:xfrm>
                      <a:off x="0" y="0"/>
                      <a:ext cx="4762500" cy="1504950"/>
                    </a:xfrm>
                    <a:prstGeom prst="rect">
                      <a:avLst/>
                    </a:prstGeom>
                    <a:noFill/>
                    <a:ln>
                      <a:noFill/>
                    </a:ln>
                  </pic:spPr>
                </pic:pic>
              </a:graphicData>
            </a:graphic>
          </wp:inline>
        </w:drawing>
      </w:r>
    </w:p>
    <w:p w:rsidR="002E6F0C" w:rsidRPr="00AB7949" w:rsidRDefault="002E6F0C" w:rsidP="00DF6B0A">
      <w:pPr>
        <w:pStyle w:val="Heading3"/>
      </w:pPr>
      <w:bookmarkStart w:id="101" w:name="_Toc367127764"/>
      <w:r w:rsidRPr="00AB7949">
        <w:t>PEP005-023</w:t>
      </w:r>
      <w:bookmarkEnd w:id="101"/>
    </w:p>
    <w:p w:rsidR="00B22010" w:rsidRDefault="002E6F0C" w:rsidP="002E6F0C">
      <w:pPr>
        <w:autoSpaceDE w:val="0"/>
        <w:autoSpaceDN w:val="0"/>
        <w:adjustRightInd w:val="0"/>
      </w:pPr>
      <w:r>
        <w:t xml:space="preserve">This study was a </w:t>
      </w:r>
      <w:r w:rsidRPr="00B70095">
        <w:t>4-</w:t>
      </w:r>
      <w:r>
        <w:t>d</w:t>
      </w:r>
      <w:r w:rsidRPr="00B70095">
        <w:t xml:space="preserve">ay, </w:t>
      </w:r>
      <w:r>
        <w:t>r</w:t>
      </w:r>
      <w:r w:rsidRPr="00B70095">
        <w:t xml:space="preserve">andomized, </w:t>
      </w:r>
      <w:r>
        <w:t>c</w:t>
      </w:r>
      <w:r w:rsidRPr="00B70095">
        <w:t xml:space="preserve">ontrolled, </w:t>
      </w:r>
      <w:r>
        <w:t>op</w:t>
      </w:r>
      <w:r w:rsidRPr="00B70095">
        <w:t xml:space="preserve">en </w:t>
      </w:r>
      <w:r>
        <w:t>a</w:t>
      </w:r>
      <w:r w:rsidRPr="00B70095">
        <w:t xml:space="preserve">pplication </w:t>
      </w:r>
      <w:r>
        <w:t>s</w:t>
      </w:r>
      <w:r w:rsidRPr="00B70095">
        <w:t xml:space="preserve">tudy to </w:t>
      </w:r>
      <w:r>
        <w:t>e</w:t>
      </w:r>
      <w:r w:rsidRPr="00B70095">
        <w:t xml:space="preserve">valuate the </w:t>
      </w:r>
      <w:r>
        <w:t>p</w:t>
      </w:r>
      <w:r w:rsidRPr="00B70095">
        <w:t>hoto</w:t>
      </w:r>
      <w:r w:rsidR="00B22010">
        <w:t>-</w:t>
      </w:r>
      <w:r w:rsidRPr="00B70095">
        <w:t>irritation</w:t>
      </w:r>
      <w:r>
        <w:t xml:space="preserve"> p</w:t>
      </w:r>
      <w:r w:rsidRPr="00B70095">
        <w:t xml:space="preserve">otential of PEP005 (ingenol mebutate) Gel, 0.01% in </w:t>
      </w:r>
      <w:r>
        <w:t>h</w:t>
      </w:r>
      <w:r w:rsidRPr="00B70095">
        <w:t xml:space="preserve">ealthy </w:t>
      </w:r>
      <w:r>
        <w:t>v</w:t>
      </w:r>
      <w:r w:rsidRPr="00B70095">
        <w:t xml:space="preserve">olunteers, </w:t>
      </w:r>
      <w:r>
        <w:t>u</w:t>
      </w:r>
      <w:r w:rsidRPr="00B70095">
        <w:t xml:space="preserve">sing a </w:t>
      </w:r>
      <w:r>
        <w:t>phototoxicity</w:t>
      </w:r>
      <w:r w:rsidRPr="00B70095">
        <w:t xml:space="preserve"> </w:t>
      </w:r>
      <w:r>
        <w:t>t</w:t>
      </w:r>
      <w:r w:rsidRPr="00B70095">
        <w:t xml:space="preserve">est </w:t>
      </w:r>
      <w:r>
        <w:t>d</w:t>
      </w:r>
      <w:r w:rsidRPr="00B70095">
        <w:t>esign. The primary objective of this study was to determine the photo</w:t>
      </w:r>
      <w:r w:rsidR="00B22010">
        <w:t>-</w:t>
      </w:r>
      <w:r w:rsidRPr="00B70095">
        <w:t>irritation potential of PEP005 Gel, 0.01% and its</w:t>
      </w:r>
      <w:r>
        <w:t xml:space="preserve"> </w:t>
      </w:r>
      <w:r w:rsidRPr="00B70095">
        <w:t>vehicle when topical application to skin was followed by light exposure.</w:t>
      </w:r>
      <w:r>
        <w:t xml:space="preserve"> </w:t>
      </w:r>
      <w:r w:rsidRPr="00B70095">
        <w:t>In addition, the safety of PEP005 Gel, 0.01% was assessed by evaluation of any adverse events (AEs) reported</w:t>
      </w:r>
      <w:r>
        <w:t xml:space="preserve"> </w:t>
      </w:r>
      <w:r w:rsidRPr="00B70095">
        <w:t>during the study. This was a single-centre, randomized, within-subject comparison study of PEP005 Gel, 0.01% and vehicle. Each</w:t>
      </w:r>
      <w:r>
        <w:t xml:space="preserve"> </w:t>
      </w:r>
      <w:r w:rsidRPr="00B70095">
        <w:t>subject received applications of the study medications at 4 separate treatment areas, of which 2 were irradiated and</w:t>
      </w:r>
      <w:r>
        <w:t xml:space="preserve"> </w:t>
      </w:r>
      <w:r w:rsidRPr="00B70095">
        <w:t xml:space="preserve">2 remained non-irradiated. A fifth untreated area was also irradiated. </w:t>
      </w:r>
      <w:r>
        <w:t xml:space="preserve">A total of </w:t>
      </w:r>
      <w:r w:rsidRPr="00B70095">
        <w:t>34 subjects were enrolled; 33 subjects completed the study</w:t>
      </w:r>
      <w:r>
        <w:t xml:space="preserve"> </w:t>
      </w:r>
      <w:r w:rsidRPr="00B70095">
        <w:t xml:space="preserve">and were evaluable. </w:t>
      </w:r>
      <w:r>
        <w:t>Subjects were h</w:t>
      </w:r>
      <w:r w:rsidRPr="00B70095">
        <w:t>ealthy males or females between the ages of 18 and 65 with Fitzpatrick Skin Type I, II or III who were free of any</w:t>
      </w:r>
      <w:r>
        <w:t xml:space="preserve"> </w:t>
      </w:r>
      <w:r w:rsidRPr="00B70095">
        <w:t>visible skin disease at the treatment area. Assessment of the treatment areas was performed once daily, on Days 2 through 4.</w:t>
      </w:r>
      <w:r>
        <w:t xml:space="preserve"> </w:t>
      </w:r>
      <w:r w:rsidRPr="00B70095">
        <w:t xml:space="preserve">Assessment of the untreated, irradiated control area was performed once daily, on Days 3 and 4. Selected pairwise comparisons were </w:t>
      </w:r>
      <w:r w:rsidRPr="00B70095">
        <w:lastRenderedPageBreak/>
        <w:t>performed on the mean of the ordinal response scores</w:t>
      </w:r>
      <w:r>
        <w:t xml:space="preserve"> </w:t>
      </w:r>
      <w:r w:rsidRPr="00B70095">
        <w:t>assigned on Day 3 and Day 4 in the context of the analyses of variance (ANOVA). Pairs compared were: Study</w:t>
      </w:r>
      <w:r>
        <w:t xml:space="preserve"> </w:t>
      </w:r>
      <w:r w:rsidRPr="00B70095">
        <w:t>medications irradiated versus non-irradiated and study medications irradiated versus untreated irradiated control.</w:t>
      </w:r>
      <w:r>
        <w:t xml:space="preserve"> Results from this study are included below.</w:t>
      </w:r>
      <w:r w:rsidRPr="00080A8B">
        <w:rPr>
          <w:sz w:val="19"/>
          <w:szCs w:val="19"/>
        </w:rPr>
        <w:t xml:space="preserve"> </w:t>
      </w:r>
      <w:r w:rsidRPr="00080A8B">
        <w:t>There were no statistically significant differences between these irradiated</w:t>
      </w:r>
      <w:r>
        <w:t xml:space="preserve"> </w:t>
      </w:r>
      <w:r w:rsidRPr="00080A8B">
        <w:t>treatment areas with respect to signs of photo</w:t>
      </w:r>
      <w:r w:rsidR="00B22010">
        <w:t>-</w:t>
      </w:r>
      <w:r w:rsidRPr="00080A8B">
        <w:t>irritation. There was no significant irritation observed at the non</w:t>
      </w:r>
      <w:r w:rsidR="00B22010">
        <w:t>-</w:t>
      </w:r>
      <w:r w:rsidRPr="00080A8B">
        <w:t>irradiated</w:t>
      </w:r>
      <w:r>
        <w:t xml:space="preserve"> </w:t>
      </w:r>
      <w:r w:rsidRPr="00080A8B">
        <w:t>areas treated with the study medication or vehicle, and there was no statistically significant difference in</w:t>
      </w:r>
      <w:r>
        <w:t xml:space="preserve"> </w:t>
      </w:r>
      <w:r w:rsidRPr="00080A8B">
        <w:t>signs of the photo</w:t>
      </w:r>
      <w:r w:rsidR="00B22010">
        <w:t>-</w:t>
      </w:r>
      <w:r w:rsidRPr="00080A8B">
        <w:t>irritation between non-irradiated treatment areas. Irradiated treatment areas showed significantly</w:t>
      </w:r>
      <w:r>
        <w:t xml:space="preserve"> </w:t>
      </w:r>
      <w:r w:rsidRPr="00080A8B">
        <w:t>more photo</w:t>
      </w:r>
      <w:r w:rsidR="00B22010">
        <w:t>-</w:t>
      </w:r>
      <w:r w:rsidRPr="00080A8B">
        <w:t>irritation than non-irradiated treatment areas. There were no adverse events during the study.</w:t>
      </w:r>
    </w:p>
    <w:p w:rsidR="002E6F0C" w:rsidRDefault="00B22010" w:rsidP="00DF6B0A">
      <w:pPr>
        <w:pStyle w:val="TableTitle"/>
      </w:pPr>
      <w:r>
        <w:t>Table 5</w:t>
      </w:r>
      <w:r w:rsidR="00281572">
        <w:t>4</w:t>
      </w:r>
      <w:r>
        <w:t>. Summary of Photo-irritation</w:t>
      </w:r>
    </w:p>
    <w:p w:rsidR="002E6F0C" w:rsidRDefault="002E6F0C" w:rsidP="002E6F0C">
      <w:pPr>
        <w:autoSpaceDE w:val="0"/>
        <w:autoSpaceDN w:val="0"/>
        <w:adjustRightInd w:val="0"/>
      </w:pPr>
      <w:r>
        <w:rPr>
          <w:noProof/>
          <w:lang w:eastAsia="en-AU"/>
        </w:rPr>
        <w:drawing>
          <wp:inline distT="0" distB="0" distL="0" distR="0">
            <wp:extent cx="5441021" cy="1514475"/>
            <wp:effectExtent l="19050" t="0" r="7279" b="0"/>
            <wp:docPr id="63" name="Picture 63" descr="Table 54. Summary of Photoirr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43" b="10959"/>
                    <a:stretch>
                      <a:fillRect/>
                    </a:stretch>
                  </pic:blipFill>
                  <pic:spPr bwMode="auto">
                    <a:xfrm>
                      <a:off x="0" y="0"/>
                      <a:ext cx="5441021" cy="1514475"/>
                    </a:xfrm>
                    <a:prstGeom prst="rect">
                      <a:avLst/>
                    </a:prstGeom>
                    <a:noFill/>
                    <a:ln>
                      <a:noFill/>
                    </a:ln>
                  </pic:spPr>
                </pic:pic>
              </a:graphicData>
            </a:graphic>
          </wp:inline>
        </w:drawing>
      </w:r>
    </w:p>
    <w:p w:rsidR="002E6F0C" w:rsidRPr="00AB7949" w:rsidRDefault="002E6F0C" w:rsidP="00DF6B0A">
      <w:pPr>
        <w:pStyle w:val="Heading3"/>
      </w:pPr>
      <w:bookmarkStart w:id="102" w:name="_Toc367127765"/>
      <w:r w:rsidRPr="00AB7949">
        <w:t>PEP005-024</w:t>
      </w:r>
      <w:bookmarkEnd w:id="102"/>
    </w:p>
    <w:p w:rsidR="002E6F0C" w:rsidRDefault="002E6F0C" w:rsidP="002E6F0C">
      <w:pPr>
        <w:autoSpaceDE w:val="0"/>
        <w:autoSpaceDN w:val="0"/>
        <w:adjustRightInd w:val="0"/>
      </w:pPr>
      <w:r>
        <w:t>This study was a</w:t>
      </w:r>
      <w:r w:rsidRPr="00841C64">
        <w:t xml:space="preserve"> </w:t>
      </w:r>
      <w:r>
        <w:t>r</w:t>
      </w:r>
      <w:r w:rsidRPr="00841C64">
        <w:t xml:space="preserve">andomized, </w:t>
      </w:r>
      <w:r>
        <w:t>c</w:t>
      </w:r>
      <w:r w:rsidRPr="00841C64">
        <w:t xml:space="preserve">ontrolled </w:t>
      </w:r>
      <w:r>
        <w:t>s</w:t>
      </w:r>
      <w:r w:rsidRPr="00841C64">
        <w:t xml:space="preserve">tudy to </w:t>
      </w:r>
      <w:r>
        <w:t>e</w:t>
      </w:r>
      <w:r w:rsidRPr="00841C64">
        <w:t xml:space="preserve">valuate the </w:t>
      </w:r>
      <w:r>
        <w:t>p</w:t>
      </w:r>
      <w:r w:rsidRPr="00841C64">
        <w:t>hoto</w:t>
      </w:r>
      <w:r w:rsidR="00B22010">
        <w:t>-</w:t>
      </w:r>
      <w:r w:rsidRPr="00841C64">
        <w:t xml:space="preserve">allergic </w:t>
      </w:r>
      <w:r>
        <w:t>p</w:t>
      </w:r>
      <w:r w:rsidRPr="00841C64">
        <w:t>otential of PEP005</w:t>
      </w:r>
      <w:r w:rsidR="00B22010">
        <w:t xml:space="preserve"> </w:t>
      </w:r>
      <w:r w:rsidRPr="00841C64">
        <w:t xml:space="preserve">(ingenol mebutate) Gel, 0.01% in </w:t>
      </w:r>
      <w:r>
        <w:t>h</w:t>
      </w:r>
      <w:r w:rsidRPr="00841C64">
        <w:t xml:space="preserve">ealthy </w:t>
      </w:r>
      <w:r>
        <w:t>v</w:t>
      </w:r>
      <w:r w:rsidRPr="00841C64">
        <w:t xml:space="preserve">olunteers </w:t>
      </w:r>
      <w:r>
        <w:t>u</w:t>
      </w:r>
      <w:r w:rsidRPr="00841C64">
        <w:t xml:space="preserve">sing an </w:t>
      </w:r>
      <w:r>
        <w:t>o</w:t>
      </w:r>
      <w:r w:rsidRPr="00841C64">
        <w:t xml:space="preserve">pen </w:t>
      </w:r>
      <w:r>
        <w:t>a</w:t>
      </w:r>
      <w:r w:rsidRPr="00841C64">
        <w:t xml:space="preserve">pplication </w:t>
      </w:r>
      <w:r>
        <w:t>p</w:t>
      </w:r>
      <w:r w:rsidRPr="00841C64">
        <w:t>hoto</w:t>
      </w:r>
      <w:r w:rsidR="00B22010">
        <w:t>-</w:t>
      </w:r>
      <w:r w:rsidRPr="00841C64">
        <w:t xml:space="preserve">allergic </w:t>
      </w:r>
      <w:r>
        <w:t>t</w:t>
      </w:r>
      <w:r w:rsidRPr="00841C64">
        <w:t xml:space="preserve">est </w:t>
      </w:r>
      <w:r>
        <w:t>d</w:t>
      </w:r>
      <w:r w:rsidRPr="00841C64">
        <w:t>esign</w:t>
      </w:r>
      <w:r>
        <w:t xml:space="preserve">. </w:t>
      </w:r>
      <w:r w:rsidRPr="00841C64">
        <w:t>The primary objective of this study was to determine the photo</w:t>
      </w:r>
      <w:r w:rsidR="00B22010">
        <w:t>-</w:t>
      </w:r>
      <w:r w:rsidRPr="00841C64">
        <w:t>allergic (sensitizing) potential of</w:t>
      </w:r>
      <w:r>
        <w:t xml:space="preserve"> </w:t>
      </w:r>
      <w:r w:rsidRPr="00841C64">
        <w:t>PEP005 Gel, 0.01% on normal skin.</w:t>
      </w:r>
      <w:r>
        <w:t xml:space="preserve"> </w:t>
      </w:r>
      <w:r w:rsidRPr="00841C64">
        <w:t>In addition, the safety of PEP005 Gel, 0.01% was assessed by evaluation of any adverse events (AEs) reported</w:t>
      </w:r>
      <w:r>
        <w:t xml:space="preserve"> </w:t>
      </w:r>
      <w:r w:rsidRPr="00841C64">
        <w:t>during the study. The trial design was a single-centre, randomized</w:t>
      </w:r>
      <w:r>
        <w:t xml:space="preserve"> </w:t>
      </w:r>
      <w:r w:rsidRPr="00841C64">
        <w:t>within-subject comparison study.</w:t>
      </w:r>
      <w:r w:rsidR="00631F91" w:rsidRPr="00631F91">
        <w:t xml:space="preserve"> </w:t>
      </w:r>
      <w:r>
        <w:t xml:space="preserve">A total of </w:t>
      </w:r>
      <w:r w:rsidRPr="00841C64">
        <w:t>60 subjects were enrolled; 55 subjects completed the study</w:t>
      </w:r>
      <w:r>
        <w:t xml:space="preserve"> </w:t>
      </w:r>
      <w:r w:rsidRPr="00841C64">
        <w:t xml:space="preserve">and were evaluable. </w:t>
      </w:r>
      <w:r>
        <w:t>Subjects were h</w:t>
      </w:r>
      <w:r w:rsidRPr="00841C64">
        <w:t>ealthy males or females between the ages of 18 and 65 with Fitzpatrick Skin Type I, II or III who were free of any</w:t>
      </w:r>
      <w:r>
        <w:t xml:space="preserve"> </w:t>
      </w:r>
      <w:r w:rsidRPr="00841C64">
        <w:t>visible skin disease at the treatment area. PEP005 Gel, 0.01% was applied topically twice weekly for 3 weeks in an amount sufficient to cover a</w:t>
      </w:r>
      <w:r>
        <w:t xml:space="preserve"> </w:t>
      </w:r>
      <w:r w:rsidRPr="00841C64">
        <w:t>4 cm</w:t>
      </w:r>
      <w:r w:rsidRPr="00841C64">
        <w:rPr>
          <w:vertAlign w:val="superscript"/>
        </w:rPr>
        <w:t>2</w:t>
      </w:r>
      <w:r w:rsidRPr="00841C64">
        <w:t xml:space="preserve"> (10 μL) area of skin during the induction phase, and 1 time at challenge phase. The incidence of photosensitization reactions were summarized by frequency counts for</w:t>
      </w:r>
      <w:r>
        <w:t xml:space="preserve"> </w:t>
      </w:r>
      <w:r w:rsidRPr="00841C64">
        <w:t>each treatment.</w:t>
      </w:r>
      <w:r>
        <w:t xml:space="preserve"> For tolerability, t</w:t>
      </w:r>
      <w:r w:rsidRPr="00841C64">
        <w:t>he mean numerical equivalent score by subject and treatment, including all scores assigned</w:t>
      </w:r>
      <w:r>
        <w:t xml:space="preserve"> </w:t>
      </w:r>
      <w:r w:rsidRPr="00841C64">
        <w:t>during induction, was analysed in the analysis of variance with factors subject and treatment. All pairwise treatment</w:t>
      </w:r>
      <w:r w:rsidR="00B22010">
        <w:t xml:space="preserve"> </w:t>
      </w:r>
      <w:r w:rsidRPr="00841C64">
        <w:t xml:space="preserve">comparisons were performed. </w:t>
      </w:r>
      <w:r>
        <w:t>Results from this study are included below.</w:t>
      </w:r>
      <w:r w:rsidRPr="00841C64">
        <w:rPr>
          <w:sz w:val="19"/>
          <w:szCs w:val="19"/>
        </w:rPr>
        <w:t xml:space="preserve"> </w:t>
      </w:r>
      <w:r w:rsidRPr="00841C64">
        <w:t>Neither</w:t>
      </w:r>
      <w:r>
        <w:t xml:space="preserve"> </w:t>
      </w:r>
      <w:r w:rsidRPr="00841C64">
        <w:t xml:space="preserve">PEP005 Gel 0.01% nor </w:t>
      </w:r>
      <w:r w:rsidR="0041198F">
        <w:t xml:space="preserve">the </w:t>
      </w:r>
      <w:r w:rsidRPr="00841C64">
        <w:t>vehicle showed any potential for photosensitization. Mean scores showed moderate</w:t>
      </w:r>
      <w:r w:rsidR="00B22010">
        <w:t xml:space="preserve"> </w:t>
      </w:r>
      <w:r w:rsidRPr="00841C64">
        <w:t>erythema at the treatment areas irradiated after the application of PEP005 Gel, 0.01% and the vehicle.</w:t>
      </w:r>
      <w:r>
        <w:t xml:space="preserve"> </w:t>
      </w:r>
      <w:r w:rsidRPr="00841C64">
        <w:t>Non-irradiated treatment areas showed mild irritation for PEP005 Gel, 0.01% and no irritation to vehicle</w:t>
      </w:r>
      <w:r>
        <w:t>.</w:t>
      </w:r>
    </w:p>
    <w:p w:rsidR="00B22010" w:rsidRDefault="00B22010" w:rsidP="00DF6B0A">
      <w:pPr>
        <w:pStyle w:val="TableTitle"/>
      </w:pPr>
      <w:r>
        <w:t>Table 5</w:t>
      </w:r>
      <w:r w:rsidR="00281572">
        <w:t>5</w:t>
      </w:r>
      <w:r>
        <w:t>. Summary of Local Tolerability</w:t>
      </w:r>
    </w:p>
    <w:p w:rsidR="002E6F0C" w:rsidRDefault="002E6F0C" w:rsidP="00B22010">
      <w:pPr>
        <w:autoSpaceDE w:val="0"/>
        <w:autoSpaceDN w:val="0"/>
        <w:adjustRightInd w:val="0"/>
      </w:pPr>
      <w:r>
        <w:rPr>
          <w:noProof/>
          <w:lang w:eastAsia="en-AU"/>
        </w:rPr>
        <w:drawing>
          <wp:inline distT="0" distB="0" distL="0" distR="0">
            <wp:extent cx="5324475" cy="1066266"/>
            <wp:effectExtent l="19050" t="0" r="0" b="0"/>
            <wp:docPr id="64" name="Picture 64" descr="Table 55. Summary of Local Tol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59" b="12944"/>
                    <a:stretch>
                      <a:fillRect/>
                    </a:stretch>
                  </pic:blipFill>
                  <pic:spPr bwMode="auto">
                    <a:xfrm>
                      <a:off x="0" y="0"/>
                      <a:ext cx="5344513" cy="1070279"/>
                    </a:xfrm>
                    <a:prstGeom prst="rect">
                      <a:avLst/>
                    </a:prstGeom>
                    <a:noFill/>
                    <a:ln>
                      <a:noFill/>
                    </a:ln>
                  </pic:spPr>
                </pic:pic>
              </a:graphicData>
            </a:graphic>
          </wp:inline>
        </w:drawing>
      </w:r>
    </w:p>
    <w:p w:rsidR="00B22010" w:rsidRDefault="00B22010" w:rsidP="00DF6B0A">
      <w:pPr>
        <w:pStyle w:val="TableTitle"/>
      </w:pPr>
      <w:r>
        <w:lastRenderedPageBreak/>
        <w:t>Table 5</w:t>
      </w:r>
      <w:r w:rsidR="00281572">
        <w:t>6</w:t>
      </w:r>
      <w:r>
        <w:t>. Number (%) of subjects with most frequent adverse events (≥2%)</w:t>
      </w:r>
    </w:p>
    <w:p w:rsidR="002E6F0C" w:rsidRPr="000F2DD8" w:rsidRDefault="002E6F0C" w:rsidP="00DF6B0A">
      <w:r>
        <w:rPr>
          <w:noProof/>
          <w:lang w:eastAsia="en-AU"/>
        </w:rPr>
        <w:drawing>
          <wp:inline distT="0" distB="0" distL="0" distR="0">
            <wp:extent cx="3314700" cy="1285875"/>
            <wp:effectExtent l="19050" t="0" r="0" b="0"/>
            <wp:docPr id="65" name="Picture 65" descr="Table 56. Number (%) of subjects with most frequent adverse ev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25" t="16884" r="17761" b="11854"/>
                    <a:stretch>
                      <a:fillRect/>
                    </a:stretch>
                  </pic:blipFill>
                  <pic:spPr bwMode="auto">
                    <a:xfrm>
                      <a:off x="0" y="0"/>
                      <a:ext cx="3314700" cy="1285875"/>
                    </a:xfrm>
                    <a:prstGeom prst="rect">
                      <a:avLst/>
                    </a:prstGeom>
                    <a:noFill/>
                    <a:ln>
                      <a:noFill/>
                    </a:ln>
                  </pic:spPr>
                </pic:pic>
              </a:graphicData>
            </a:graphic>
          </wp:inline>
        </w:drawing>
      </w:r>
    </w:p>
    <w:p w:rsidR="002E6F0C" w:rsidRPr="00AB7949" w:rsidRDefault="002E6F0C" w:rsidP="00DF6B0A">
      <w:pPr>
        <w:pStyle w:val="Heading3"/>
      </w:pPr>
      <w:bookmarkStart w:id="103" w:name="_Toc367127766"/>
      <w:r w:rsidRPr="00AB7949">
        <w:t>PEP005-002</w:t>
      </w:r>
      <w:bookmarkEnd w:id="103"/>
    </w:p>
    <w:p w:rsidR="0041198F" w:rsidRDefault="002E6F0C" w:rsidP="002E6F0C">
      <w:pPr>
        <w:autoSpaceDE w:val="0"/>
        <w:autoSpaceDN w:val="0"/>
        <w:adjustRightInd w:val="0"/>
        <w:sectPr w:rsidR="0041198F" w:rsidSect="003E365A">
          <w:footerReference w:type="default" r:id="rId88"/>
          <w:pgSz w:w="11906" w:h="16838" w:code="9"/>
          <w:pgMar w:top="1440" w:right="1440" w:bottom="1440" w:left="1440" w:header="907" w:footer="216" w:gutter="0"/>
          <w:cols w:space="708"/>
          <w:docGrid w:linePitch="360"/>
        </w:sectPr>
      </w:pPr>
      <w:r>
        <w:t>This study was a</w:t>
      </w:r>
      <w:r w:rsidRPr="00200AD9">
        <w:t xml:space="preserve"> multi-centre, randomized, double-blind, parallel-group, vehicle-controlled study to</w:t>
      </w:r>
      <w:r>
        <w:t xml:space="preserve"> </w:t>
      </w:r>
      <w:r w:rsidRPr="00200AD9">
        <w:t>determine the safety of PEP005 Topical Gel, 0.0025%, 0.01%, and 0.05%, with two treatment schedules,</w:t>
      </w:r>
      <w:r>
        <w:t xml:space="preserve"> </w:t>
      </w:r>
      <w:r w:rsidRPr="00200AD9">
        <w:t>Day 1 and Day 2 or Day 1 and Day 8 applications to nodular basal cell carcinoma. The primary objective of this study was to determine the safety of PEP005 Topical Gel at</w:t>
      </w:r>
      <w:r>
        <w:t xml:space="preserve"> </w:t>
      </w:r>
      <w:r w:rsidRPr="00200AD9">
        <w:t>0.0025%, 0.01%, and 0.05% administered as two applications to patients with nodular basal cell</w:t>
      </w:r>
      <w:r>
        <w:t xml:space="preserve"> </w:t>
      </w:r>
      <w:r w:rsidRPr="00200AD9">
        <w:t>carcinoma (nBCC) under the following two treatment schedules: Day 1 and Day 2 or Day 1 and Day 8.</w:t>
      </w:r>
      <w:r w:rsidRPr="00200AD9">
        <w:rPr>
          <w:sz w:val="21"/>
          <w:szCs w:val="21"/>
        </w:rPr>
        <w:t xml:space="preserve"> </w:t>
      </w:r>
      <w:r w:rsidRPr="00200AD9">
        <w:t>A total of 58 patients were enrolled and all 58 patients were included in</w:t>
      </w:r>
      <w:r w:rsidR="00B22010">
        <w:t xml:space="preserve"> </w:t>
      </w:r>
      <w:r w:rsidRPr="00200AD9">
        <w:t xml:space="preserve">the Intent-to-Treat and Safety analyses, with 29 patients randomized to each treatment Arm. </w:t>
      </w:r>
      <w:r>
        <w:t>Subjects were m</w:t>
      </w:r>
      <w:r w:rsidRPr="00200AD9">
        <w:t>ale or female patients who were at least 18 years of age</w:t>
      </w:r>
      <w:r>
        <w:t xml:space="preserve"> </w:t>
      </w:r>
      <w:r w:rsidRPr="00200AD9">
        <w:t>who had at least one nBCC lesion on the arm, shoulder, chest, face, neck, abdomen, back, leg, or scalp. Safety was evaluated by monitoring the incidence of AEs (including the incidence and severity</w:t>
      </w:r>
      <w:r>
        <w:t xml:space="preserve"> </w:t>
      </w:r>
      <w:r w:rsidRPr="00200AD9">
        <w:t>of local skin reactions following study medication treatment); changes in haematology, serum chemistry,</w:t>
      </w:r>
      <w:r>
        <w:t xml:space="preserve"> </w:t>
      </w:r>
      <w:r w:rsidRPr="00200AD9">
        <w:t>and urinalysis test results; vital signs measurements; and physical examination results during the study. The analysis in this study was primarily descriptive in nature. The study was not</w:t>
      </w:r>
      <w:r w:rsidR="00B22010">
        <w:t xml:space="preserve"> </w:t>
      </w:r>
      <w:r w:rsidRPr="00200AD9">
        <w:t xml:space="preserve">statistically powered to conduct formal hypothesis/inferential testing. </w:t>
      </w:r>
      <w:r>
        <w:t xml:space="preserve">Results from this study are included below. </w:t>
      </w:r>
      <w:r w:rsidRPr="00200AD9">
        <w:t>Results obtained in this study demonstrate that the application of PEP005 Topical</w:t>
      </w:r>
      <w:r>
        <w:t xml:space="preserve"> </w:t>
      </w:r>
      <w:r w:rsidRPr="00200AD9">
        <w:t>Gel at concentrations of 0.0025%, 0.01%, and 0.05% is safe and well tolerated. Due to the small numbers</w:t>
      </w:r>
      <w:r>
        <w:t xml:space="preserve"> </w:t>
      </w:r>
      <w:r w:rsidRPr="00200AD9">
        <w:t>of patients per treatment group, no statistically significant differences were observed among treatment</w:t>
      </w:r>
      <w:r>
        <w:t xml:space="preserve"> </w:t>
      </w:r>
      <w:r w:rsidRPr="00200AD9">
        <w:t>groups. A higher</w:t>
      </w:r>
      <w:r>
        <w:t xml:space="preserve"> </w:t>
      </w:r>
      <w:r w:rsidRPr="00200AD9">
        <w:t>frequency of moderate or severe local skin reactions were reported for the 0.01% and 0.05% PEP005</w:t>
      </w:r>
      <w:r>
        <w:t xml:space="preserve"> </w:t>
      </w:r>
      <w:r w:rsidRPr="00200AD9">
        <w:t>Topical Gel groups of Arm A and Arm B.</w:t>
      </w:r>
    </w:p>
    <w:p w:rsidR="00B22010" w:rsidRPr="00200AD9" w:rsidRDefault="00B22010" w:rsidP="003B7AB8">
      <w:pPr>
        <w:pStyle w:val="TableTitle"/>
      </w:pPr>
      <w:r>
        <w:lastRenderedPageBreak/>
        <w:t>Table 5</w:t>
      </w:r>
      <w:r w:rsidR="00281572">
        <w:t>7</w:t>
      </w:r>
      <w:r>
        <w:t>. Overall Treatment Emergent Adverse Event information for Treatment arm A and B-mITT population</w:t>
      </w:r>
    </w:p>
    <w:p w:rsidR="002E6F0C" w:rsidRDefault="002E6F0C" w:rsidP="002E6F0C">
      <w:pPr>
        <w:autoSpaceDE w:val="0"/>
        <w:autoSpaceDN w:val="0"/>
        <w:adjustRightInd w:val="0"/>
      </w:pPr>
      <w:r>
        <w:rPr>
          <w:noProof/>
          <w:lang w:eastAsia="en-AU"/>
        </w:rPr>
        <w:drawing>
          <wp:inline distT="0" distB="0" distL="0" distR="0">
            <wp:extent cx="8686800" cy="3619887"/>
            <wp:effectExtent l="19050" t="0" r="0" b="0"/>
            <wp:docPr id="66" name="Picture 66" descr="Table 57. Overall treatment Emergent adverse event information for Treatment arm A and B-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67" b="4437"/>
                    <a:stretch>
                      <a:fillRect/>
                    </a:stretch>
                  </pic:blipFill>
                  <pic:spPr bwMode="auto">
                    <a:xfrm>
                      <a:off x="0" y="0"/>
                      <a:ext cx="8692342" cy="3622196"/>
                    </a:xfrm>
                    <a:prstGeom prst="rect">
                      <a:avLst/>
                    </a:prstGeom>
                    <a:noFill/>
                    <a:ln>
                      <a:noFill/>
                    </a:ln>
                  </pic:spPr>
                </pic:pic>
              </a:graphicData>
            </a:graphic>
          </wp:inline>
        </w:drawing>
      </w:r>
    </w:p>
    <w:p w:rsidR="00B22010" w:rsidRDefault="00B22010" w:rsidP="003B7AB8">
      <w:pPr>
        <w:pStyle w:val="TableTitle"/>
      </w:pPr>
      <w:r>
        <w:lastRenderedPageBreak/>
        <w:t>Table 5</w:t>
      </w:r>
      <w:r w:rsidR="00281572">
        <w:t>8</w:t>
      </w:r>
      <w:r>
        <w:t>. Treatment Emergent adverse events in ≥2 patients by Preferred Term in Decreasing Frequency-mITT population</w:t>
      </w:r>
    </w:p>
    <w:p w:rsidR="0041198F" w:rsidRDefault="002E6F0C" w:rsidP="003B7AB8">
      <w:pPr>
        <w:sectPr w:rsidR="0041198F" w:rsidSect="0041198F">
          <w:footerReference w:type="default" r:id="rId90"/>
          <w:pgSz w:w="16838" w:h="11906" w:orient="landscape" w:code="9"/>
          <w:pgMar w:top="1440" w:right="1440" w:bottom="1440" w:left="1440" w:header="907" w:footer="216" w:gutter="0"/>
          <w:cols w:space="708"/>
          <w:docGrid w:linePitch="360"/>
        </w:sectPr>
      </w:pPr>
      <w:r>
        <w:rPr>
          <w:noProof/>
          <w:lang w:eastAsia="en-AU"/>
        </w:rPr>
        <w:drawing>
          <wp:inline distT="0" distB="0" distL="0" distR="0">
            <wp:extent cx="8530461" cy="3067050"/>
            <wp:effectExtent l="19050" t="0" r="3939" b="0"/>
            <wp:docPr id="67" name="Picture 67" descr="Table 58. Treatment Emergent adverse events in ≥2 patients by Preferred Term in Decreasing Frequency-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94" b="4540"/>
                    <a:stretch>
                      <a:fillRect/>
                    </a:stretch>
                  </pic:blipFill>
                  <pic:spPr bwMode="auto">
                    <a:xfrm>
                      <a:off x="0" y="0"/>
                      <a:ext cx="8548312" cy="3073468"/>
                    </a:xfrm>
                    <a:prstGeom prst="rect">
                      <a:avLst/>
                    </a:prstGeom>
                    <a:noFill/>
                    <a:ln>
                      <a:noFill/>
                    </a:ln>
                  </pic:spPr>
                </pic:pic>
              </a:graphicData>
            </a:graphic>
          </wp:inline>
        </w:drawing>
      </w:r>
    </w:p>
    <w:p w:rsidR="002E6F0C" w:rsidRPr="00AB7949" w:rsidRDefault="002E6F0C" w:rsidP="00B22010">
      <w:pPr>
        <w:pStyle w:val="Heading3"/>
      </w:pPr>
      <w:bookmarkStart w:id="104" w:name="_Toc367127767"/>
      <w:r w:rsidRPr="00AB7949">
        <w:lastRenderedPageBreak/>
        <w:t>PEP005-003</w:t>
      </w:r>
      <w:bookmarkEnd w:id="104"/>
    </w:p>
    <w:p w:rsidR="002E6F0C" w:rsidRDefault="002E6F0C" w:rsidP="002E6F0C">
      <w:pPr>
        <w:autoSpaceDE w:val="0"/>
        <w:autoSpaceDN w:val="0"/>
        <w:adjustRightInd w:val="0"/>
        <w:rPr>
          <w:rFonts w:eastAsia="TimesNewRomanPSMT"/>
        </w:rPr>
      </w:pPr>
      <w:r>
        <w:t>This study was a</w:t>
      </w:r>
      <w:r w:rsidRPr="00200AD9">
        <w:rPr>
          <w:rFonts w:eastAsia="TimesNewRomanPSMT"/>
        </w:rPr>
        <w:t xml:space="preserve"> multi-cent</w:t>
      </w:r>
      <w:r>
        <w:rPr>
          <w:rFonts w:eastAsia="TimesNewRomanPSMT"/>
        </w:rPr>
        <w:t>re</w:t>
      </w:r>
      <w:r w:rsidRPr="00200AD9">
        <w:rPr>
          <w:rFonts w:eastAsia="TimesNewRomanPSMT"/>
        </w:rPr>
        <w:t>, randomized, double-blind, parallel-group, vehicle-controlled study to</w:t>
      </w:r>
      <w:r>
        <w:rPr>
          <w:rFonts w:eastAsia="TimesNewRomanPSMT"/>
        </w:rPr>
        <w:t xml:space="preserve"> </w:t>
      </w:r>
      <w:r w:rsidRPr="00200AD9">
        <w:rPr>
          <w:rFonts w:eastAsia="TimesNewRomanPSMT"/>
        </w:rPr>
        <w:t>determine the safety of PEP005 0.0025%, 0.01%, and 0.05% gel with two treatment schedules, Day 1 and</w:t>
      </w:r>
      <w:r>
        <w:rPr>
          <w:rFonts w:eastAsia="TimesNewRomanPSMT"/>
        </w:rPr>
        <w:t xml:space="preserve"> </w:t>
      </w:r>
      <w:r w:rsidRPr="00200AD9">
        <w:rPr>
          <w:rFonts w:eastAsia="TimesNewRomanPSMT"/>
        </w:rPr>
        <w:t>Day 2 or Day 1 and Day 8 applications to superficial basal cell carcinoma</w:t>
      </w:r>
      <w:r>
        <w:rPr>
          <w:rFonts w:eastAsia="TimesNewRomanPSMT"/>
        </w:rPr>
        <w:t>.</w:t>
      </w:r>
      <w:r w:rsidRPr="00186970">
        <w:rPr>
          <w:rFonts w:ascii="TimesNewRomanPSMT" w:eastAsia="TimesNewRomanPSMT" w:cs="TimesNewRomanPSMT"/>
          <w:sz w:val="21"/>
          <w:szCs w:val="21"/>
        </w:rPr>
        <w:t xml:space="preserve"> </w:t>
      </w:r>
      <w:r w:rsidRPr="00186970">
        <w:rPr>
          <w:rFonts w:eastAsia="TimesNewRomanPSMT"/>
        </w:rPr>
        <w:t>The primary objective of this study was to determine the safety of 0.0025%, 0.01%, and</w:t>
      </w:r>
      <w:r>
        <w:rPr>
          <w:rFonts w:eastAsia="TimesNewRomanPSMT"/>
        </w:rPr>
        <w:t xml:space="preserve"> </w:t>
      </w:r>
      <w:r w:rsidRPr="00186970">
        <w:rPr>
          <w:rFonts w:eastAsia="TimesNewRomanPSMT"/>
        </w:rPr>
        <w:t>0.05% PEP005 Topical Gel, administered as two applications to patients with superficial basal cell</w:t>
      </w:r>
      <w:r w:rsidR="00B22010">
        <w:rPr>
          <w:rFonts w:eastAsia="TimesNewRomanPSMT"/>
        </w:rPr>
        <w:t xml:space="preserve"> </w:t>
      </w:r>
      <w:r w:rsidRPr="00186970">
        <w:rPr>
          <w:rFonts w:eastAsia="TimesNewRomanPSMT"/>
        </w:rPr>
        <w:t>carcinoma (sBCC) under the following two treatment schedules: Day 1 and Day 2 or Day 1 and Day 8. A total of 92 patients were screened, 60 were analysed for efficacy, and</w:t>
      </w:r>
      <w:r>
        <w:rPr>
          <w:rFonts w:eastAsia="TimesNewRomanPSMT"/>
        </w:rPr>
        <w:t xml:space="preserve"> </w:t>
      </w:r>
      <w:r w:rsidRPr="00186970">
        <w:rPr>
          <w:rFonts w:eastAsia="TimesNewRomanPSMT"/>
        </w:rPr>
        <w:t xml:space="preserve">60 were analysed for safety. </w:t>
      </w:r>
      <w:r>
        <w:rPr>
          <w:rFonts w:eastAsia="TimesNewRomanPSMT"/>
        </w:rPr>
        <w:t>Subjects were m</w:t>
      </w:r>
      <w:r w:rsidRPr="00186970">
        <w:rPr>
          <w:rFonts w:eastAsia="TimesNewRomanPSMT"/>
        </w:rPr>
        <w:t>ale or female patients, who were at least 18 years of age,</w:t>
      </w:r>
      <w:r>
        <w:rPr>
          <w:rFonts w:eastAsia="TimesNewRomanPSMT"/>
        </w:rPr>
        <w:t xml:space="preserve"> </w:t>
      </w:r>
      <w:r w:rsidRPr="00186970">
        <w:rPr>
          <w:rFonts w:eastAsia="TimesNewRomanPSMT"/>
        </w:rPr>
        <w:t>who had at least one sBCC lesion on the arm, shoulder, chest, face, neck, abdomen, back, leg or scalp. Safety was evaluated by monitoring the incidence of AEs (including the incidence and severity</w:t>
      </w:r>
      <w:r w:rsidR="00B22010">
        <w:rPr>
          <w:rFonts w:eastAsia="TimesNewRomanPSMT"/>
        </w:rPr>
        <w:t xml:space="preserve"> </w:t>
      </w:r>
      <w:r w:rsidRPr="00186970">
        <w:rPr>
          <w:rFonts w:eastAsia="TimesNewRomanPSMT"/>
        </w:rPr>
        <w:t>of local skin reactions to study medication); and changes in haematology, serum chemistry and urinalysis</w:t>
      </w:r>
      <w:r>
        <w:rPr>
          <w:rFonts w:eastAsia="TimesNewRomanPSMT"/>
        </w:rPr>
        <w:t xml:space="preserve"> </w:t>
      </w:r>
      <w:r w:rsidRPr="00186970">
        <w:rPr>
          <w:rFonts w:eastAsia="TimesNewRomanPSMT"/>
        </w:rPr>
        <w:t>test results; vital signs measurements; and physical examination during the study. The analysis in this study was primarily descriptive in nature. The study was not</w:t>
      </w:r>
      <w:r>
        <w:rPr>
          <w:rFonts w:eastAsia="TimesNewRomanPSMT"/>
        </w:rPr>
        <w:t xml:space="preserve"> </w:t>
      </w:r>
      <w:r w:rsidRPr="00186970">
        <w:rPr>
          <w:rFonts w:eastAsia="TimesNewRomanPSMT"/>
        </w:rPr>
        <w:t>statistically powered to conduct formal hypothesis/inferential testing.</w:t>
      </w:r>
      <w:r w:rsidRPr="00186970">
        <w:t xml:space="preserve"> </w:t>
      </w:r>
      <w:r>
        <w:t>Results from this study are included below.</w:t>
      </w:r>
      <w:r w:rsidRPr="00186970">
        <w:rPr>
          <w:rFonts w:ascii="TimesNewRomanPSMT" w:eastAsia="TimesNewRomanPSMT" w:cs="TimesNewRomanPSMT"/>
          <w:sz w:val="21"/>
          <w:szCs w:val="21"/>
        </w:rPr>
        <w:t xml:space="preserve"> </w:t>
      </w:r>
      <w:r w:rsidRPr="00186970">
        <w:rPr>
          <w:rFonts w:eastAsia="TimesNewRomanPSMT"/>
        </w:rPr>
        <w:t>Overall, the incidence of AEs was low. No patients enrolled in this study had any</w:t>
      </w:r>
      <w:r>
        <w:rPr>
          <w:rFonts w:eastAsia="TimesNewRomanPSMT"/>
        </w:rPr>
        <w:t xml:space="preserve"> </w:t>
      </w:r>
      <w:r w:rsidRPr="00186970">
        <w:rPr>
          <w:rFonts w:eastAsia="TimesNewRomanPSMT"/>
        </w:rPr>
        <w:t>serious adverse events (SAEs). Of the 60 patients enrolled in this study, four patients had a wound</w:t>
      </w:r>
      <w:r w:rsidR="00B22010">
        <w:rPr>
          <w:rFonts w:eastAsia="TimesNewRomanPSMT"/>
        </w:rPr>
        <w:t xml:space="preserve"> </w:t>
      </w:r>
      <w:r w:rsidRPr="00186970">
        <w:rPr>
          <w:rFonts w:eastAsia="TimesNewRomanPSMT"/>
        </w:rPr>
        <w:t>infection and three patients experienced a fall. Each of the following AEs were experienced by two</w:t>
      </w:r>
      <w:r>
        <w:rPr>
          <w:rFonts w:eastAsia="TimesNewRomanPSMT"/>
        </w:rPr>
        <w:t xml:space="preserve"> </w:t>
      </w:r>
      <w:r w:rsidRPr="00186970">
        <w:rPr>
          <w:rFonts w:eastAsia="TimesNewRomanPSMT"/>
        </w:rPr>
        <w:t>patients: application site pain, erythema, back pain, increased blood glucose, headache, postoperative</w:t>
      </w:r>
      <w:r>
        <w:rPr>
          <w:rFonts w:eastAsia="TimesNewRomanPSMT"/>
        </w:rPr>
        <w:t xml:space="preserve"> </w:t>
      </w:r>
      <w:r w:rsidRPr="00186970">
        <w:rPr>
          <w:rFonts w:eastAsia="TimesNewRomanPSMT"/>
        </w:rPr>
        <w:t>infection and viral infection. Most treatment-emergent AEs were classified as mild or moderate in intensity.</w:t>
      </w:r>
    </w:p>
    <w:p w:rsidR="00CE46E8" w:rsidRDefault="00CE46E8" w:rsidP="00B22010">
      <w:pPr>
        <w:pStyle w:val="FigureTitle"/>
        <w:keepNext/>
        <w:sectPr w:rsidR="00CE46E8" w:rsidSect="0041198F">
          <w:footerReference w:type="default" r:id="rId92"/>
          <w:pgSz w:w="11906" w:h="16838" w:code="9"/>
          <w:pgMar w:top="1440" w:right="1440" w:bottom="1440" w:left="1440" w:header="907" w:footer="216" w:gutter="0"/>
          <w:cols w:space="708"/>
          <w:docGrid w:linePitch="360"/>
        </w:sectPr>
      </w:pPr>
    </w:p>
    <w:p w:rsidR="00B22010" w:rsidRPr="00186970" w:rsidRDefault="00B22010" w:rsidP="003B7AB8">
      <w:pPr>
        <w:pStyle w:val="TableTitle"/>
      </w:pPr>
      <w:r w:rsidRPr="00B22010">
        <w:lastRenderedPageBreak/>
        <w:t>Table 5</w:t>
      </w:r>
      <w:r w:rsidR="00281572">
        <w:t>9</w:t>
      </w:r>
      <w:r w:rsidRPr="00B22010">
        <w:t>. Overall Treatment Emergent Adverse Event information for Treatment arm A and B-mITT population</w:t>
      </w:r>
    </w:p>
    <w:p w:rsidR="002E6F0C" w:rsidRDefault="002E6F0C" w:rsidP="003B7AB8">
      <w:r>
        <w:rPr>
          <w:noProof/>
          <w:lang w:eastAsia="en-AU"/>
        </w:rPr>
        <w:drawing>
          <wp:inline distT="0" distB="0" distL="0" distR="0">
            <wp:extent cx="7734300" cy="2575888"/>
            <wp:effectExtent l="19050" t="0" r="0" b="0"/>
            <wp:docPr id="68" name="Picture 68" descr="Table 59. Overall Treatment Emergent Adverse Event information for Treatment arm A and B-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8" b="5785"/>
                    <a:stretch>
                      <a:fillRect/>
                    </a:stretch>
                  </pic:blipFill>
                  <pic:spPr bwMode="auto">
                    <a:xfrm>
                      <a:off x="0" y="0"/>
                      <a:ext cx="7734300" cy="2575888"/>
                    </a:xfrm>
                    <a:prstGeom prst="rect">
                      <a:avLst/>
                    </a:prstGeom>
                    <a:noFill/>
                    <a:ln>
                      <a:noFill/>
                    </a:ln>
                  </pic:spPr>
                </pic:pic>
              </a:graphicData>
            </a:graphic>
          </wp:inline>
        </w:drawing>
      </w:r>
    </w:p>
    <w:p w:rsidR="00B22010" w:rsidRDefault="00B22010" w:rsidP="00CF3BC5">
      <w:pPr>
        <w:pStyle w:val="TableTitle"/>
      </w:pPr>
      <w:r w:rsidRPr="00B22010">
        <w:t xml:space="preserve">Table </w:t>
      </w:r>
      <w:r w:rsidR="00281572">
        <w:t>60</w:t>
      </w:r>
      <w:r w:rsidRPr="00B22010">
        <w:t>. Treatment Emergent adverse events in ≥2 patients by Preferred Term in Decreasing Frequency-mITT population</w:t>
      </w:r>
    </w:p>
    <w:p w:rsidR="00CE46E8" w:rsidRDefault="002E6F0C" w:rsidP="00215696">
      <w:pPr>
        <w:sectPr w:rsidR="00CE46E8" w:rsidSect="00CE46E8">
          <w:footerReference w:type="default" r:id="rId94"/>
          <w:pgSz w:w="16838" w:h="11906" w:orient="landscape" w:code="9"/>
          <w:pgMar w:top="1440" w:right="1440" w:bottom="1440" w:left="1440" w:header="907" w:footer="216" w:gutter="0"/>
          <w:cols w:space="708"/>
          <w:docGrid w:linePitch="360"/>
        </w:sectPr>
      </w:pPr>
      <w:r>
        <w:rPr>
          <w:noProof/>
          <w:lang w:eastAsia="en-AU"/>
        </w:rPr>
        <w:drawing>
          <wp:inline distT="0" distB="0" distL="0" distR="0">
            <wp:extent cx="7820025" cy="2396419"/>
            <wp:effectExtent l="19050" t="0" r="9525" b="0"/>
            <wp:docPr id="69" name="Picture 69" descr="Table 60. Treatment Emergent adverse events in ≥2 patients by Preferred Term in Decreasing Frequency-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28" b="5194"/>
                    <a:stretch>
                      <a:fillRect/>
                    </a:stretch>
                  </pic:blipFill>
                  <pic:spPr bwMode="auto">
                    <a:xfrm>
                      <a:off x="0" y="0"/>
                      <a:ext cx="7839232" cy="2402305"/>
                    </a:xfrm>
                    <a:prstGeom prst="rect">
                      <a:avLst/>
                    </a:prstGeom>
                    <a:noFill/>
                    <a:ln>
                      <a:noFill/>
                    </a:ln>
                  </pic:spPr>
                </pic:pic>
              </a:graphicData>
            </a:graphic>
          </wp:inline>
        </w:drawing>
      </w:r>
    </w:p>
    <w:p w:rsidR="002E6F0C" w:rsidRPr="00AB7949" w:rsidRDefault="002E6F0C" w:rsidP="00B22010">
      <w:pPr>
        <w:pStyle w:val="Heading3"/>
      </w:pPr>
      <w:bookmarkStart w:id="105" w:name="_Toc367127768"/>
      <w:r w:rsidRPr="00AB7949">
        <w:lastRenderedPageBreak/>
        <w:t>PEP005-008</w:t>
      </w:r>
      <w:bookmarkEnd w:id="105"/>
    </w:p>
    <w:p w:rsidR="002E6F0C" w:rsidRPr="002261C6" w:rsidRDefault="002E6F0C" w:rsidP="002E6F0C">
      <w:pPr>
        <w:autoSpaceDE w:val="0"/>
        <w:autoSpaceDN w:val="0"/>
        <w:adjustRightInd w:val="0"/>
      </w:pPr>
      <w:r>
        <w:t>This study was a m</w:t>
      </w:r>
      <w:r w:rsidRPr="00865D7A">
        <w:t>ulti-centre, open-label study to determine the safety and efficacy of PEP005 0.05% Topical Gel in patients with</w:t>
      </w:r>
      <w:r>
        <w:t xml:space="preserve"> </w:t>
      </w:r>
      <w:r w:rsidRPr="00865D7A">
        <w:t>cutaneous Squamous Cell Carcinoma in situ (SCCIS, Bowen’s Disease).</w:t>
      </w:r>
      <w:r>
        <w:t>A secondary objective of the study was t</w:t>
      </w:r>
      <w:r w:rsidRPr="00865D7A">
        <w:t>o evaluate the safety and tolerability of PEP005 0.05% Topical Gel applied once daily for two days. A total of 34 subjects were screened and 25 were enrolled in the study. All 25 subjects received at least one dose of</w:t>
      </w:r>
      <w:r>
        <w:t xml:space="preserve"> </w:t>
      </w:r>
      <w:r w:rsidRPr="00865D7A">
        <w:t>PEP005 0.05% Topical Gel and also had at least one post-baseline assessment of lesion clearance (Intent-To-Treat</w:t>
      </w:r>
      <w:r>
        <w:t xml:space="preserve"> </w:t>
      </w:r>
      <w:r w:rsidRPr="00865D7A">
        <w:t xml:space="preserve">[ITT] population). All 25 subjects were included in the analyses of efficacy and safety. </w:t>
      </w:r>
      <w:r>
        <w:t>Subjects were m</w:t>
      </w:r>
      <w:r w:rsidRPr="00865D7A">
        <w:t>ale subjects or post-menopausal female subjects (no menses for at least 12 consecutive months or without a</w:t>
      </w:r>
      <w:r>
        <w:t xml:space="preserve"> </w:t>
      </w:r>
      <w:r w:rsidRPr="00865D7A">
        <w:t>uterus) of at least 18 years of age were to have a histological diagnosis of a primary, clinically diagnosed SCCIS</w:t>
      </w:r>
      <w:r>
        <w:t xml:space="preserve"> </w:t>
      </w:r>
      <w:r w:rsidRPr="00865D7A">
        <w:t>lesion within 90 days of the screening visit. The longest diameter of the SCCIS lesion was to be between</w:t>
      </w:r>
      <w:r>
        <w:t xml:space="preserve"> </w:t>
      </w:r>
      <w:r w:rsidRPr="00865D7A">
        <w:t>5 mm and 20 mm. Safety was evaluated by (1) the incidence and severity of drug-related Local Skin Responses (LSRs), (2) the</w:t>
      </w:r>
      <w:r w:rsidR="00B22010">
        <w:t xml:space="preserve"> </w:t>
      </w:r>
      <w:r w:rsidRPr="00865D7A">
        <w:t>incidence of treatment-related AEs and (3) the incidence of changes in vital signs from baseline (Day 1) through to</w:t>
      </w:r>
      <w:r>
        <w:t xml:space="preserve"> </w:t>
      </w:r>
      <w:r w:rsidRPr="00865D7A">
        <w:t>the End of Study Visit (Day 57 or 85). Safety parameters were assessed using summary statistics. Local Skin Responses were summarised using</w:t>
      </w:r>
      <w:r>
        <w:t xml:space="preserve"> </w:t>
      </w:r>
      <w:r w:rsidRPr="00865D7A">
        <w:t>descriptive statistics and the incidence of AEs was summarised by frequency tables. Vital signs were presented for</w:t>
      </w:r>
      <w:r>
        <w:t xml:space="preserve"> </w:t>
      </w:r>
      <w:r w:rsidRPr="00865D7A">
        <w:t>each study visit.</w:t>
      </w:r>
      <w:r w:rsidRPr="002261C6">
        <w:t xml:space="preserve"> </w:t>
      </w:r>
      <w:r>
        <w:t>Results from this study are included below.</w:t>
      </w:r>
      <w:r w:rsidRPr="002261C6">
        <w:rPr>
          <w:sz w:val="19"/>
          <w:szCs w:val="19"/>
        </w:rPr>
        <w:t xml:space="preserve"> </w:t>
      </w:r>
      <w:r w:rsidRPr="002261C6">
        <w:t xml:space="preserve">All 25 subjects experienced at least one </w:t>
      </w:r>
      <w:r>
        <w:t>expected</w:t>
      </w:r>
      <w:r w:rsidRPr="002261C6">
        <w:t xml:space="preserve"> LSR greater than baseline within the first week</w:t>
      </w:r>
      <w:r>
        <w:t xml:space="preserve"> </w:t>
      </w:r>
      <w:r w:rsidRPr="002261C6">
        <w:t>after receiving PEP005 0.05% Topical Gel. Of these, the most frequently reported responses were erythema</w:t>
      </w:r>
      <w:r>
        <w:t xml:space="preserve"> </w:t>
      </w:r>
      <w:r w:rsidRPr="002261C6">
        <w:t>(25 / 25; 100%), skin desquamation (20 / 25; 80%) and swelling (14 / 25; 56%). Scarring was not reported. Most</w:t>
      </w:r>
      <w:r w:rsidR="00B22010">
        <w:t xml:space="preserve"> </w:t>
      </w:r>
      <w:r w:rsidRPr="002261C6">
        <w:t xml:space="preserve">LSRs were mild in severity and resolved by the end of the study. Of the 25 subjects who </w:t>
      </w:r>
      <w:r>
        <w:t>r</w:t>
      </w:r>
      <w:r w:rsidRPr="002261C6">
        <w:t>eceived treatment,</w:t>
      </w:r>
      <w:r>
        <w:t xml:space="preserve"> </w:t>
      </w:r>
      <w:r w:rsidRPr="002261C6">
        <w:t>12 (48%) reported 17 AEs; all events were mild to moderate in severity and only one, diarrhoea, was considered to</w:t>
      </w:r>
      <w:r>
        <w:t xml:space="preserve"> </w:t>
      </w:r>
      <w:r w:rsidRPr="002261C6">
        <w:t>be possibly related to the study treatment. One serious adverse event (SAE) was reported in the study but this event</w:t>
      </w:r>
      <w:r>
        <w:t xml:space="preserve"> </w:t>
      </w:r>
      <w:r w:rsidRPr="002261C6">
        <w:t>(worsening of chronic heart failure) was a result of the subject’s medical condition before enrolment and was</w:t>
      </w:r>
      <w:r>
        <w:t xml:space="preserve"> </w:t>
      </w:r>
      <w:r w:rsidRPr="002261C6">
        <w:t>considered to be unrelated to the study medication. There were no reported deaths. There were no clinically</w:t>
      </w:r>
      <w:r w:rsidR="00B22010">
        <w:t xml:space="preserve"> </w:t>
      </w:r>
      <w:r w:rsidRPr="002261C6">
        <w:t>relevant changes in vital signs throughout the study</w:t>
      </w:r>
      <w:r>
        <w:t>.</w:t>
      </w:r>
    </w:p>
    <w:p w:rsidR="002E6F0C" w:rsidRDefault="00B22010" w:rsidP="00215696">
      <w:pPr>
        <w:pStyle w:val="TableTitle"/>
      </w:pPr>
      <w:r>
        <w:lastRenderedPageBreak/>
        <w:t>Table 6</w:t>
      </w:r>
      <w:r w:rsidR="00281572">
        <w:t>1</w:t>
      </w:r>
      <w:r>
        <w:t>. Summary of expected local skin responses (Lsrs) that increased in severity from baseline.*</w:t>
      </w:r>
      <w:r w:rsidR="002E6F0C" w:rsidRPr="00215696">
        <w:rPr>
          <w:noProof/>
          <w:lang w:eastAsia="en-AU"/>
        </w:rPr>
        <w:drawing>
          <wp:inline distT="0" distB="0" distL="0" distR="0">
            <wp:extent cx="5920105" cy="2576830"/>
            <wp:effectExtent l="19050" t="0" r="4445" b="0"/>
            <wp:docPr id="70" name="Picture 70" descr="Table 61. Summary of expected local skin responses (Lsrs) that increased in severity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802"/>
                    <a:stretch>
                      <a:fillRect/>
                    </a:stretch>
                  </pic:blipFill>
                  <pic:spPr bwMode="auto">
                    <a:xfrm>
                      <a:off x="0" y="0"/>
                      <a:ext cx="5920105" cy="2576830"/>
                    </a:xfrm>
                    <a:prstGeom prst="rect">
                      <a:avLst/>
                    </a:prstGeom>
                    <a:noFill/>
                    <a:ln>
                      <a:noFill/>
                    </a:ln>
                  </pic:spPr>
                </pic:pic>
              </a:graphicData>
            </a:graphic>
          </wp:inline>
        </w:drawing>
      </w:r>
    </w:p>
    <w:p w:rsidR="00B22010" w:rsidRDefault="00B22010" w:rsidP="00215696">
      <w:pPr>
        <w:pStyle w:val="TableTitle"/>
      </w:pPr>
      <w:r w:rsidRPr="00B22010">
        <w:t>Table 6</w:t>
      </w:r>
      <w:r w:rsidR="00281572">
        <w:t>2</w:t>
      </w:r>
      <w:r w:rsidRPr="00B22010">
        <w:t>.</w:t>
      </w:r>
      <w:r>
        <w:t>Highest rated severity of expected local skin responses (LSRs)</w:t>
      </w:r>
      <w:r w:rsidRPr="00B22010">
        <w:t>.</w:t>
      </w:r>
    </w:p>
    <w:p w:rsidR="002E6F0C" w:rsidRDefault="002E6F0C" w:rsidP="00215696">
      <w:r>
        <w:rPr>
          <w:noProof/>
          <w:lang w:eastAsia="en-AU"/>
        </w:rPr>
        <w:drawing>
          <wp:inline distT="0" distB="0" distL="0" distR="0">
            <wp:extent cx="5572125" cy="2453456"/>
            <wp:effectExtent l="19050" t="0" r="9525" b="0"/>
            <wp:docPr id="71" name="Picture 71" descr="Table 62.Highest rated severity of expected local skin responses (L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51"/>
                    <a:stretch>
                      <a:fillRect/>
                    </a:stretch>
                  </pic:blipFill>
                  <pic:spPr bwMode="auto">
                    <a:xfrm>
                      <a:off x="0" y="0"/>
                      <a:ext cx="5572125" cy="2453456"/>
                    </a:xfrm>
                    <a:prstGeom prst="rect">
                      <a:avLst/>
                    </a:prstGeom>
                    <a:noFill/>
                    <a:ln>
                      <a:noFill/>
                    </a:ln>
                  </pic:spPr>
                </pic:pic>
              </a:graphicData>
            </a:graphic>
          </wp:inline>
        </w:drawing>
      </w:r>
    </w:p>
    <w:p w:rsidR="00B22010" w:rsidRDefault="00B22010" w:rsidP="00215696">
      <w:pPr>
        <w:pStyle w:val="TableTitle"/>
      </w:pPr>
      <w:r>
        <w:t>Table 6</w:t>
      </w:r>
      <w:r w:rsidR="00281572">
        <w:t>3</w:t>
      </w:r>
      <w:r>
        <w:t>. Summary of Adverse Events (AEs)</w:t>
      </w:r>
    </w:p>
    <w:p w:rsidR="002E6F0C" w:rsidRDefault="002E6F0C" w:rsidP="002E6F0C">
      <w:pPr>
        <w:autoSpaceDE w:val="0"/>
        <w:autoSpaceDN w:val="0"/>
        <w:adjustRightInd w:val="0"/>
      </w:pPr>
      <w:r>
        <w:rPr>
          <w:noProof/>
          <w:lang w:eastAsia="en-AU"/>
        </w:rPr>
        <w:drawing>
          <wp:inline distT="0" distB="0" distL="0" distR="0">
            <wp:extent cx="5920105" cy="1781175"/>
            <wp:effectExtent l="19050" t="0" r="4445" b="0"/>
            <wp:docPr id="72" name="Picture 72" descr="Table 63. Summary of Adverse Event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17" b="3540"/>
                    <a:stretch>
                      <a:fillRect/>
                    </a:stretch>
                  </pic:blipFill>
                  <pic:spPr bwMode="auto">
                    <a:xfrm>
                      <a:off x="0" y="0"/>
                      <a:ext cx="5920105" cy="1781175"/>
                    </a:xfrm>
                    <a:prstGeom prst="rect">
                      <a:avLst/>
                    </a:prstGeom>
                    <a:noFill/>
                    <a:ln>
                      <a:noFill/>
                    </a:ln>
                  </pic:spPr>
                </pic:pic>
              </a:graphicData>
            </a:graphic>
          </wp:inline>
        </w:drawing>
      </w:r>
    </w:p>
    <w:p w:rsidR="002E6F0C" w:rsidRPr="00AB7949" w:rsidRDefault="002E6F0C" w:rsidP="00215696">
      <w:pPr>
        <w:pStyle w:val="Heading3"/>
      </w:pPr>
      <w:bookmarkStart w:id="106" w:name="_Toc367127769"/>
      <w:r w:rsidRPr="00AB7949">
        <w:t>PEP005-009</w:t>
      </w:r>
      <w:bookmarkEnd w:id="106"/>
    </w:p>
    <w:p w:rsidR="002E6F0C" w:rsidRPr="006A162E" w:rsidRDefault="002E6F0C" w:rsidP="002E6F0C">
      <w:pPr>
        <w:autoSpaceDE w:val="0"/>
        <w:autoSpaceDN w:val="0"/>
        <w:adjustRightInd w:val="0"/>
        <w:rPr>
          <w:sz w:val="19"/>
          <w:szCs w:val="19"/>
        </w:rPr>
      </w:pPr>
      <w:r>
        <w:t xml:space="preserve">This study was </w:t>
      </w:r>
      <w:r w:rsidRPr="006A162E">
        <w:t>an open-label, multicentre, dose-escalation, cohort study to determine the maximum tolerated dose and safety of PEP005 Topical Gel given as either a single</w:t>
      </w:r>
      <w:r w:rsidR="00B22010">
        <w:t xml:space="preserve"> </w:t>
      </w:r>
      <w:r w:rsidRPr="006A162E">
        <w:t xml:space="preserve">application (on Day 1) or as two applications (on Day 1 and Day 8) to a superficial basal cell carcinoma </w:t>
      </w:r>
      <w:r w:rsidRPr="006A162E">
        <w:lastRenderedPageBreak/>
        <w:t>(sBCC) on the trunk. The primary objective was to determine the maximum tolerated dose (MTD) of PEP005 (ingenol mebutate) Gel when administered either as a single application or as two applications to a selected superficial basal cell carcinoma (sBCC) lesion (dose-escalation phase). This was a multicenter, open-label study consisting of two phases, a dose-escalation phase to determine the MTD of PEP005 Gel for the treatment of sBCC, and an expansion phase to evaluate the efficacy of PEP005 Gel in the treatment of sBCC at the MTD. Three patients were enrolled and treated in each of the following PEP005 Gel dose-escalation cohorts for Arm 1 and Arm 2: 0.025%, 0.05%, 0.075%, 0.1%, 0.125%, 0.15%, 0.175%, 0.2%,</w:t>
      </w:r>
      <w:r w:rsidR="00B22010">
        <w:t xml:space="preserve"> </w:t>
      </w:r>
      <w:r w:rsidRPr="006A162E">
        <w:t>0.225% and 0.25%. A total of 30 patients were treated in each arm during the dose-escalation phase. PEP005 Gel, 0.25%, was the maximum concentration used in the dose-escalation phase; despite the fact that no dose-limiting toxicities (DLTs) were reported at this concentration, for the purposes of the analyses this concentration was defined as the MTD in the tables and listings of the study. Additional patients were then enrolled at this concentration in the expansion phase. Twenty-five patients in Arm 1 and 22 patients in Arm 2 were treated at the MTD (PEP005 Gel, 0.25%). These totals included three patients in each arm from the dose-escalation phase. The total number of patients treated in the study was 101 (52 in Arm 1 and 49 in Arm 2). Eligible patients were men and women of non-childbearing potential (i.e., postmenopausal or without a uterus) who were aged at least 18 years and had a clinically diagnosed and histologically confirmed 4 to 15 mm sBCC lesion located on the trunk that was suitable for excision. The initial biopsy for histological confirmation should have removed no more than 20% of the total tumour mass.</w:t>
      </w:r>
    </w:p>
    <w:p w:rsidR="002E6F0C" w:rsidRDefault="002E6F0C" w:rsidP="002E6F0C">
      <w:pPr>
        <w:autoSpaceDE w:val="0"/>
        <w:autoSpaceDN w:val="0"/>
        <w:adjustRightInd w:val="0"/>
      </w:pPr>
      <w:r w:rsidRPr="009E2880">
        <w:t>The following</w:t>
      </w:r>
      <w:r>
        <w:t xml:space="preserve"> safety variables were assessed;</w:t>
      </w:r>
      <w:r w:rsidRPr="009E2880">
        <w:t xml:space="preserve"> </w:t>
      </w:r>
      <w:r>
        <w:t>e</w:t>
      </w:r>
      <w:r w:rsidRPr="009E2880">
        <w:t>xtent of study medication exposure, based on the total number of doses administered and the total volume (a</w:t>
      </w:r>
      <w:r>
        <w:t xml:space="preserve"> </w:t>
      </w:r>
      <w:r w:rsidRPr="009E2880">
        <w:t>calculation of volume [mL] of gel applied based on lesion size);</w:t>
      </w:r>
      <w:r>
        <w:t xml:space="preserve"> i</w:t>
      </w:r>
      <w:r w:rsidRPr="009E2880">
        <w:t>ncidence of AEs and serious AEs (SAEs);</w:t>
      </w:r>
      <w:r>
        <w:t xml:space="preserve"> g</w:t>
      </w:r>
      <w:r w:rsidRPr="009E2880">
        <w:t>rade and change from baseline for LSRs;</w:t>
      </w:r>
      <w:r>
        <w:t xml:space="preserve"> g</w:t>
      </w:r>
      <w:r w:rsidRPr="009E2880">
        <w:t>rade and change from baseline for GSR;</w:t>
      </w:r>
      <w:r>
        <w:t xml:space="preserve"> i</w:t>
      </w:r>
      <w:r w:rsidRPr="009E2880">
        <w:t>ncidence of abnormal proliferation within the treatment area;</w:t>
      </w:r>
      <w:r>
        <w:t xml:space="preserve"> i</w:t>
      </w:r>
      <w:r w:rsidRPr="009E2880">
        <w:t>ncidence of abnormalities in laboratory tests (urinalysis, haematology, and chemistry);</w:t>
      </w:r>
      <w:r>
        <w:t>and i</w:t>
      </w:r>
      <w:r w:rsidRPr="009E2880">
        <w:t>ncidence of change in vital signs and physical examination.</w:t>
      </w:r>
      <w:r w:rsidRPr="009E2880">
        <w:rPr>
          <w:rFonts w:ascii="TimesNewRoman" w:hAnsi="TimesNewRoman" w:cs="TimesNewRoman"/>
          <w:sz w:val="19"/>
          <w:szCs w:val="19"/>
        </w:rPr>
        <w:t xml:space="preserve"> </w:t>
      </w:r>
      <w:r w:rsidRPr="006A162E">
        <w:t xml:space="preserve">The safety analysis was performed using the all patients treated (APT) population. Due to the large number of cohorts in each treatment arm, safety assessments for AEs, LSRs, and GSRs </w:t>
      </w:r>
      <w:r w:rsidRPr="00066583">
        <w:t>were summarized by grouping the cohorts into three categories based on the concentration of PEP005 Gel used: low (0.025% to 0.1%), medium (0.125% to 0.175%), and high (0.2% to 0.25%). Results from</w:t>
      </w:r>
      <w:r w:rsidR="00215696">
        <w:t xml:space="preserve"> this study are included below.</w:t>
      </w:r>
    </w:p>
    <w:p w:rsidR="00066583" w:rsidRPr="00066583" w:rsidRDefault="00066583" w:rsidP="00215696">
      <w:pPr>
        <w:pStyle w:val="TableTitle"/>
      </w:pPr>
      <w:r>
        <w:t>Table 6</w:t>
      </w:r>
      <w:r w:rsidR="00281572">
        <w:t>4</w:t>
      </w:r>
      <w:r>
        <w:t>. Summary of Adverse Events (All patients treated)</w:t>
      </w:r>
    </w:p>
    <w:p w:rsidR="002E6F0C" w:rsidRDefault="002E6F0C" w:rsidP="00215696">
      <w:r>
        <w:rPr>
          <w:noProof/>
          <w:lang w:eastAsia="en-AU"/>
        </w:rPr>
        <w:drawing>
          <wp:inline distT="0" distB="0" distL="0" distR="0">
            <wp:extent cx="5920105" cy="2724150"/>
            <wp:effectExtent l="19050" t="0" r="4445" b="0"/>
            <wp:docPr id="73" name="Picture 73" descr="Table 64. Summary of Adverse Events (All patient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69" b="5231"/>
                    <a:stretch>
                      <a:fillRect/>
                    </a:stretch>
                  </pic:blipFill>
                  <pic:spPr bwMode="auto">
                    <a:xfrm>
                      <a:off x="0" y="0"/>
                      <a:ext cx="5920105" cy="2724150"/>
                    </a:xfrm>
                    <a:prstGeom prst="rect">
                      <a:avLst/>
                    </a:prstGeom>
                    <a:noFill/>
                    <a:ln>
                      <a:noFill/>
                    </a:ln>
                  </pic:spPr>
                </pic:pic>
              </a:graphicData>
            </a:graphic>
          </wp:inline>
        </w:drawing>
      </w:r>
    </w:p>
    <w:p w:rsidR="00066583" w:rsidRDefault="00066583" w:rsidP="00215696">
      <w:pPr>
        <w:pStyle w:val="TableTitle"/>
      </w:pPr>
      <w:r>
        <w:lastRenderedPageBreak/>
        <w:t>Table 6</w:t>
      </w:r>
      <w:r w:rsidR="00281572">
        <w:t>5</w:t>
      </w:r>
      <w:r>
        <w:t>. Adverse Events at the maximum tolerated dose (all patients treated)</w:t>
      </w:r>
    </w:p>
    <w:p w:rsidR="002E6F0C" w:rsidRDefault="002E6F0C" w:rsidP="00215696">
      <w:r>
        <w:rPr>
          <w:noProof/>
          <w:lang w:eastAsia="en-AU"/>
        </w:rPr>
        <w:drawing>
          <wp:inline distT="0" distB="0" distL="0" distR="0">
            <wp:extent cx="5476875" cy="3162300"/>
            <wp:effectExtent l="19050" t="0" r="9525" b="0"/>
            <wp:docPr id="74" name="Picture 74" descr="Table 65. Adverse Events at the maximum tolerated dose (all patient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7" b="8205"/>
                    <a:stretch>
                      <a:fillRect/>
                    </a:stretch>
                  </pic:blipFill>
                  <pic:spPr bwMode="auto">
                    <a:xfrm>
                      <a:off x="0" y="0"/>
                      <a:ext cx="5476875" cy="3162300"/>
                    </a:xfrm>
                    <a:prstGeom prst="rect">
                      <a:avLst/>
                    </a:prstGeom>
                    <a:noFill/>
                    <a:ln>
                      <a:noFill/>
                    </a:ln>
                  </pic:spPr>
                </pic:pic>
              </a:graphicData>
            </a:graphic>
          </wp:inline>
        </w:drawing>
      </w:r>
    </w:p>
    <w:p w:rsidR="002E6F0C" w:rsidRPr="006A162E" w:rsidRDefault="002E6F0C" w:rsidP="002E6F0C">
      <w:pPr>
        <w:autoSpaceDE w:val="0"/>
        <w:autoSpaceDN w:val="0"/>
        <w:adjustRightInd w:val="0"/>
      </w:pPr>
      <w:r w:rsidRPr="006A162E">
        <w:t>Overall, treatment-related AEs occurred in 27% (14/52) of patients in Arm 1 and 55% (27/49) of patients in Arm 2. The most common treatment-related AEs among 47 patients treated at the 0.25% concentration were application-site reactions (36% of patients in Arm 1 and 50% in Arm 2); these included pruritus, irritation and, less frequently, pain. Other possibly treatment-related AEs in the overall study population were limited to influenza and arthralgia in one patient each. All treatment-related AEs were mild or moderate except for the one case of severe lymphangitis, and all had resolved or improved by the end of the study.</w:t>
      </w:r>
    </w:p>
    <w:p w:rsidR="002E6F0C" w:rsidRDefault="002E6F0C" w:rsidP="00215696">
      <w:pPr>
        <w:pStyle w:val="Heading3"/>
      </w:pPr>
      <w:bookmarkStart w:id="107" w:name="_Toc241374318"/>
      <w:bookmarkStart w:id="108" w:name="_Toc314158751"/>
      <w:bookmarkStart w:id="109" w:name="_Toc367127770"/>
      <w:r>
        <w:t>Patient exposure</w:t>
      </w:r>
      <w:bookmarkEnd w:id="107"/>
      <w:bookmarkEnd w:id="108"/>
      <w:bookmarkEnd w:id="109"/>
    </w:p>
    <w:p w:rsidR="002E6F0C" w:rsidRPr="006A162E" w:rsidRDefault="002E6F0C" w:rsidP="002E6F0C">
      <w:pPr>
        <w:autoSpaceDE w:val="0"/>
        <w:autoSpaceDN w:val="0"/>
        <w:adjustRightInd w:val="0"/>
        <w:rPr>
          <w:color w:val="000000"/>
        </w:rPr>
      </w:pPr>
      <w:r w:rsidRPr="006A162E">
        <w:rPr>
          <w:color w:val="000000"/>
        </w:rPr>
        <w:t>In total, 1774 patients/subjects received PEP005 Gel across the 25 completed studies in the</w:t>
      </w:r>
      <w:r w:rsidR="00066583">
        <w:rPr>
          <w:color w:val="000000"/>
        </w:rPr>
        <w:t xml:space="preserve"> </w:t>
      </w:r>
      <w:r w:rsidRPr="006A162E">
        <w:rPr>
          <w:color w:val="000000"/>
        </w:rPr>
        <w:t>clinical development programme. The safety overview provided focused on the 13 studies in which patients received PEP005 Gel across a selected area of skin (i.e., field) for treatment of SK lesions. Within this group of patients, 1165 received PEP005 Gel and 632 received vehicle</w:t>
      </w:r>
      <w:r w:rsidR="00066583">
        <w:rPr>
          <w:color w:val="000000"/>
        </w:rPr>
        <w:t xml:space="preserve"> </w:t>
      </w:r>
      <w:r w:rsidRPr="006A162E">
        <w:rPr>
          <w:color w:val="000000"/>
        </w:rPr>
        <w:t xml:space="preserve">gel. Data from the controlled </w:t>
      </w:r>
      <w:r w:rsidR="00631F91" w:rsidRPr="00631F91">
        <w:rPr>
          <w:color w:val="000000"/>
        </w:rPr>
        <w:t>Phase III</w:t>
      </w:r>
      <w:r w:rsidRPr="006A162E">
        <w:rPr>
          <w:color w:val="000000"/>
        </w:rPr>
        <w:t xml:space="preserve"> studies by treatment location (i.e., face and scalp, or trunk and extremities) was also presented. Safety data from 9 additional studies, in which patients/subjects received PEP005 Gel, provided supportive information; these additional studies included 2 lesion-specific SK studies and 7 non-SK studies (consisting of 3 topical safety studies and 4 NMSC studies). In addition, long-term safety from 3 observational studies was presented. As of 31 March 2011, PEP005 (ingenol mebutate) Gel is not marketed in any country; postmarketing data was therefore not available.</w:t>
      </w:r>
    </w:p>
    <w:p w:rsidR="002E6F0C" w:rsidRDefault="00066583" w:rsidP="00215696">
      <w:pPr>
        <w:pStyle w:val="TableTitle"/>
      </w:pPr>
      <w:r>
        <w:lastRenderedPageBreak/>
        <w:t>Table 6</w:t>
      </w:r>
      <w:r w:rsidR="00281572">
        <w:t>6</w:t>
      </w:r>
      <w:r>
        <w:t>. Summary of number of patients doses with PEP005 gel or vehicle gel for field treatment of AK lesions.</w:t>
      </w:r>
    </w:p>
    <w:p w:rsidR="002E6F0C" w:rsidRDefault="002E6F0C" w:rsidP="002E6F0C">
      <w:pPr>
        <w:autoSpaceDE w:val="0"/>
        <w:autoSpaceDN w:val="0"/>
        <w:adjustRightInd w:val="0"/>
      </w:pPr>
      <w:r>
        <w:rPr>
          <w:noProof/>
          <w:lang w:eastAsia="en-AU"/>
        </w:rPr>
        <w:drawing>
          <wp:inline distT="0" distB="0" distL="0" distR="0">
            <wp:extent cx="5124450" cy="2165637"/>
            <wp:effectExtent l="19050" t="0" r="0" b="0"/>
            <wp:docPr id="75" name="Picture 75" descr="Table 66. Summary of number of patients doses with PEP005 gel or vehicle gel for field treatment of AK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74"/>
                    <a:stretch>
                      <a:fillRect/>
                    </a:stretch>
                  </pic:blipFill>
                  <pic:spPr bwMode="auto">
                    <a:xfrm>
                      <a:off x="0" y="0"/>
                      <a:ext cx="5124450" cy="2165637"/>
                    </a:xfrm>
                    <a:prstGeom prst="rect">
                      <a:avLst/>
                    </a:prstGeom>
                    <a:noFill/>
                    <a:ln>
                      <a:noFill/>
                    </a:ln>
                  </pic:spPr>
                </pic:pic>
              </a:graphicData>
            </a:graphic>
          </wp:inline>
        </w:drawing>
      </w:r>
    </w:p>
    <w:p w:rsidR="002E6F0C" w:rsidRDefault="002E6F0C" w:rsidP="00066583">
      <w:pPr>
        <w:pStyle w:val="Heading3"/>
      </w:pPr>
      <w:bookmarkStart w:id="110" w:name="_Toc241374319"/>
      <w:bookmarkStart w:id="111" w:name="_Toc314158752"/>
      <w:bookmarkStart w:id="112" w:name="_Toc367127771"/>
      <w:r>
        <w:t>Adverse events</w:t>
      </w:r>
      <w:bookmarkEnd w:id="110"/>
      <w:bookmarkEnd w:id="111"/>
      <w:bookmarkEnd w:id="112"/>
    </w:p>
    <w:p w:rsidR="002E6F0C" w:rsidRPr="006A162E" w:rsidRDefault="002E6F0C" w:rsidP="002E6F0C">
      <w:pPr>
        <w:autoSpaceDE w:val="0"/>
        <w:autoSpaceDN w:val="0"/>
        <w:adjustRightInd w:val="0"/>
      </w:pPr>
      <w:r w:rsidRPr="006A162E">
        <w:t>Across all SK field treatment studies, 42.5% of PEP005 Gel-treated patients had an AE</w:t>
      </w:r>
      <w:r w:rsidR="00066583">
        <w:t xml:space="preserve"> </w:t>
      </w:r>
      <w:r w:rsidRPr="006A162E">
        <w:t>compared with 24.2% of vehicle-treated patients. The higher incidence of AEs in the PEP005</w:t>
      </w:r>
      <w:r w:rsidR="00066583">
        <w:t xml:space="preserve"> </w:t>
      </w:r>
      <w:r w:rsidRPr="006A162E">
        <w:t>Gel-treated group was attributed to a higher rate of application site reactions occurring in</w:t>
      </w:r>
      <w:r w:rsidR="00066583">
        <w:t xml:space="preserve"> </w:t>
      </w:r>
      <w:r w:rsidRPr="006A162E">
        <w:t>patients treated with active rather than vehicle gel. The SOC of general disorders and</w:t>
      </w:r>
      <w:r w:rsidR="00066583">
        <w:t xml:space="preserve"> </w:t>
      </w:r>
      <w:r w:rsidRPr="006A162E">
        <w:t>administration site conditions had the highest incidence of AEs for patients treated with</w:t>
      </w:r>
      <w:r w:rsidR="00066583">
        <w:t xml:space="preserve"> </w:t>
      </w:r>
      <w:r w:rsidRPr="006A162E">
        <w:t>PEP005 Gel (22.7% vs. 2.8% for patients treated with vehicle). Within this SOC, application</w:t>
      </w:r>
      <w:r w:rsidR="00066583">
        <w:t xml:space="preserve"> </w:t>
      </w:r>
      <w:r w:rsidRPr="006A162E">
        <w:t>site pruritus, application site pain, and application site irritation were the most frequently</w:t>
      </w:r>
      <w:r w:rsidR="00066583">
        <w:t xml:space="preserve"> </w:t>
      </w:r>
      <w:r w:rsidRPr="006A162E">
        <w:t>reported AEs and were predominantly reported for patients treated with PEP005 Gel rather</w:t>
      </w:r>
      <w:r w:rsidR="00066583">
        <w:t xml:space="preserve"> </w:t>
      </w:r>
      <w:r w:rsidRPr="006A162E">
        <w:t>than patients treated with vehicle. For PEP005 Gel-treated patients, AEs were more likely considered by the investigator as related to treatment compared with those for vehicle-treated patients (also attributed to the higher rate of application site reactions in the PEP005 Gel-treated patients). For PEP005 Gel-treated patients, the most frequently reported AEs considered related to</w:t>
      </w:r>
      <w:r>
        <w:rPr>
          <w:rFonts w:ascii="TimesNewRoman" w:hAnsi="TimesNewRoman" w:cs="TimesNewRoman"/>
        </w:rPr>
        <w:t xml:space="preserve"> </w:t>
      </w:r>
      <w:r w:rsidRPr="006A162E">
        <w:t xml:space="preserve">study medication included application site pruritus (10.7%), application site pain (7.8%), and application site irritation (7.0%). Differences were noted with respect to the incidence of treatment-related AEs between treatment locations. In the controlled </w:t>
      </w:r>
      <w:r w:rsidR="00631F91" w:rsidRPr="00631F91">
        <w:t>Phase III</w:t>
      </w:r>
      <w:r w:rsidRPr="006A162E">
        <w:t xml:space="preserve"> studies, patients treated with PEP005 Gel on the face or scalp had a higher incidence of application site pain than patients treated on the trunk or extremities (13.9% vs. 1.8%, respectively). Similarly, patients treated on the face or scalp had eye-associated disorders, such as eyelid oedema (1.1%) and periorbital oedema (2.6%), whereas patients treated on the trunk or extremities had no reports of these events.</w:t>
      </w:r>
    </w:p>
    <w:p w:rsidR="002E6F0C" w:rsidRDefault="002E6F0C" w:rsidP="002E6F0C">
      <w:pPr>
        <w:autoSpaceDE w:val="0"/>
        <w:autoSpaceDN w:val="0"/>
        <w:adjustRightInd w:val="0"/>
      </w:pPr>
      <w:r w:rsidRPr="006A162E">
        <w:t>The majority of patients had an AE with maximum severity of mild or moderate intensity. Severe AEs were reported by 3.2% of PEP005 Gel-treated patients and 1.6% of vehicle-treated patients. Severe events occurred at a higher frequency for patients treated with PEP005 Gel compared to vehicle in the SOC of general disorders and administrative site conditions, with application site reactions (e.g., irritation, pain and pruritus) attributed for this difference between treatment groups. A summary of adverse events appears below.</w:t>
      </w:r>
    </w:p>
    <w:p w:rsidR="00720557" w:rsidRDefault="00720557" w:rsidP="00066583">
      <w:pPr>
        <w:pStyle w:val="FigureTitle"/>
        <w:sectPr w:rsidR="00720557" w:rsidSect="00CE46E8">
          <w:footerReference w:type="default" r:id="rId102"/>
          <w:pgSz w:w="11906" w:h="16838" w:code="9"/>
          <w:pgMar w:top="1440" w:right="1440" w:bottom="1440" w:left="1440" w:header="907" w:footer="216" w:gutter="0"/>
          <w:cols w:space="708"/>
          <w:docGrid w:linePitch="360"/>
        </w:sectPr>
      </w:pPr>
    </w:p>
    <w:p w:rsidR="00066583" w:rsidRDefault="00066583" w:rsidP="003136C7">
      <w:pPr>
        <w:pStyle w:val="TableTitle"/>
      </w:pPr>
      <w:r>
        <w:lastRenderedPageBreak/>
        <w:t>Table 6</w:t>
      </w:r>
      <w:r w:rsidR="00281572">
        <w:t>7</w:t>
      </w:r>
      <w:r>
        <w:t>. Overview of Adverse Events</w:t>
      </w:r>
    </w:p>
    <w:p w:rsidR="002E6F0C" w:rsidRDefault="002E6F0C" w:rsidP="002E6F0C">
      <w:pPr>
        <w:autoSpaceDE w:val="0"/>
        <w:autoSpaceDN w:val="0"/>
        <w:adjustRightInd w:val="0"/>
      </w:pPr>
      <w:r>
        <w:rPr>
          <w:noProof/>
          <w:lang w:eastAsia="en-AU"/>
        </w:rPr>
        <w:drawing>
          <wp:inline distT="0" distB="0" distL="0" distR="0">
            <wp:extent cx="8254454" cy="3267075"/>
            <wp:effectExtent l="19050" t="0" r="0" b="0"/>
            <wp:docPr id="76" name="Picture 76" descr="Table 67. Overview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26" b="9059"/>
                    <a:stretch>
                      <a:fillRect/>
                    </a:stretch>
                  </pic:blipFill>
                  <pic:spPr bwMode="auto">
                    <a:xfrm>
                      <a:off x="0" y="0"/>
                      <a:ext cx="8253755" cy="3266798"/>
                    </a:xfrm>
                    <a:prstGeom prst="rect">
                      <a:avLst/>
                    </a:prstGeom>
                    <a:noFill/>
                    <a:ln>
                      <a:noFill/>
                    </a:ln>
                  </pic:spPr>
                </pic:pic>
              </a:graphicData>
            </a:graphic>
          </wp:inline>
        </w:drawing>
      </w:r>
    </w:p>
    <w:p w:rsidR="00066583" w:rsidRDefault="00066583" w:rsidP="003136C7">
      <w:pPr>
        <w:pStyle w:val="TableTitle"/>
      </w:pPr>
      <w:r>
        <w:lastRenderedPageBreak/>
        <w:t>Table 6</w:t>
      </w:r>
      <w:r w:rsidR="00281572">
        <w:t>8</w:t>
      </w:r>
      <w:r>
        <w:t>. Summary</w:t>
      </w:r>
      <w:r w:rsidR="00B363D0">
        <w:t xml:space="preserve"> </w:t>
      </w:r>
      <w:r>
        <w:t>of</w:t>
      </w:r>
      <w:r w:rsidRPr="00066583">
        <w:t xml:space="preserve"> Treatment Emergent adverse events </w:t>
      </w:r>
      <w:r w:rsidR="00B363D0">
        <w:t xml:space="preserve">with an incidence of ≥1% in any group. </w:t>
      </w:r>
    </w:p>
    <w:p w:rsidR="002E6F0C" w:rsidRDefault="002E6F0C" w:rsidP="003136C7">
      <w:r>
        <w:rPr>
          <w:noProof/>
          <w:lang w:eastAsia="en-AU"/>
        </w:rPr>
        <w:drawing>
          <wp:inline distT="0" distB="0" distL="0" distR="0">
            <wp:extent cx="8171413" cy="3733800"/>
            <wp:effectExtent l="19050" t="0" r="1037" b="0"/>
            <wp:docPr id="77" name="Picture 77" descr="Table 68. Summary of Treatment Emergent adverse events with an incidence of ≥1% in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87" b="6563"/>
                    <a:stretch>
                      <a:fillRect/>
                    </a:stretch>
                  </pic:blipFill>
                  <pic:spPr bwMode="auto">
                    <a:xfrm>
                      <a:off x="0" y="0"/>
                      <a:ext cx="8171413" cy="3733800"/>
                    </a:xfrm>
                    <a:prstGeom prst="rect">
                      <a:avLst/>
                    </a:prstGeom>
                    <a:noFill/>
                    <a:ln>
                      <a:noFill/>
                    </a:ln>
                  </pic:spPr>
                </pic:pic>
              </a:graphicData>
            </a:graphic>
          </wp:inline>
        </w:drawing>
      </w:r>
    </w:p>
    <w:p w:rsidR="00B363D0" w:rsidRDefault="00066583" w:rsidP="00283881">
      <w:pPr>
        <w:pStyle w:val="TableTitle"/>
      </w:pPr>
      <w:r w:rsidRPr="00B363D0">
        <w:lastRenderedPageBreak/>
        <w:t>Table 6</w:t>
      </w:r>
      <w:r w:rsidR="00281572">
        <w:t>8</w:t>
      </w:r>
      <w:r w:rsidR="00B363D0">
        <w:t xml:space="preserve"> continued</w:t>
      </w:r>
      <w:r w:rsidRPr="00B363D0">
        <w:t>. Summary</w:t>
      </w:r>
      <w:r w:rsidR="00B363D0" w:rsidRPr="00B363D0">
        <w:t xml:space="preserve"> </w:t>
      </w:r>
      <w:r w:rsidRPr="00B363D0">
        <w:t xml:space="preserve">of Treatment Emergent adverse events </w:t>
      </w:r>
      <w:r w:rsidR="00B363D0" w:rsidRPr="00B363D0">
        <w:t>with an incidence of ≥1% in any group.</w:t>
      </w:r>
    </w:p>
    <w:p w:rsidR="002E6F0C" w:rsidRDefault="002E6F0C" w:rsidP="00283881">
      <w:r>
        <w:rPr>
          <w:noProof/>
          <w:lang w:eastAsia="en-AU"/>
        </w:rPr>
        <w:drawing>
          <wp:inline distT="0" distB="0" distL="0" distR="0">
            <wp:extent cx="7850851" cy="3857625"/>
            <wp:effectExtent l="19050" t="0" r="0" b="0"/>
            <wp:docPr id="78" name="Picture 78" descr="Table 68 continued. Summary of Treatment Emergent adverse events with an incidence of ≥1% in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5" t="4448" b="5638"/>
                    <a:stretch>
                      <a:fillRect/>
                    </a:stretch>
                  </pic:blipFill>
                  <pic:spPr bwMode="auto">
                    <a:xfrm>
                      <a:off x="0" y="0"/>
                      <a:ext cx="7850851" cy="3857625"/>
                    </a:xfrm>
                    <a:prstGeom prst="rect">
                      <a:avLst/>
                    </a:prstGeom>
                    <a:noFill/>
                    <a:ln>
                      <a:noFill/>
                    </a:ln>
                  </pic:spPr>
                </pic:pic>
              </a:graphicData>
            </a:graphic>
          </wp:inline>
        </w:drawing>
      </w:r>
    </w:p>
    <w:p w:rsidR="00B363D0" w:rsidRDefault="00B363D0" w:rsidP="00283881">
      <w:pPr>
        <w:pStyle w:val="TableTitle"/>
      </w:pPr>
      <w:r>
        <w:lastRenderedPageBreak/>
        <w:t>Table 6</w:t>
      </w:r>
      <w:r w:rsidR="00281572">
        <w:t>9</w:t>
      </w:r>
      <w:r>
        <w:t>. Summary of treatment Emergent Adverse Events considered related to study medication with an incidence ≥1% in any group.</w:t>
      </w:r>
    </w:p>
    <w:p w:rsidR="002E6F0C" w:rsidRDefault="002E6F0C" w:rsidP="00283881">
      <w:r>
        <w:rPr>
          <w:noProof/>
          <w:lang w:eastAsia="en-AU"/>
        </w:rPr>
        <w:drawing>
          <wp:inline distT="0" distB="0" distL="0" distR="0">
            <wp:extent cx="8092347" cy="3905250"/>
            <wp:effectExtent l="19050" t="0" r="3903" b="0"/>
            <wp:docPr id="79" name="Picture 79" descr="Table 69. Summary of treatment emergent adverse events considered related to study medication with an incidence ≥1% in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7" t="5097" b="6147"/>
                    <a:stretch>
                      <a:fillRect/>
                    </a:stretch>
                  </pic:blipFill>
                  <pic:spPr bwMode="auto">
                    <a:xfrm>
                      <a:off x="0" y="0"/>
                      <a:ext cx="8092347" cy="3905250"/>
                    </a:xfrm>
                    <a:prstGeom prst="rect">
                      <a:avLst/>
                    </a:prstGeom>
                    <a:noFill/>
                    <a:ln>
                      <a:noFill/>
                    </a:ln>
                  </pic:spPr>
                </pic:pic>
              </a:graphicData>
            </a:graphic>
          </wp:inline>
        </w:drawing>
      </w:r>
    </w:p>
    <w:p w:rsidR="00720557" w:rsidRDefault="00720557" w:rsidP="00720557">
      <w:pPr>
        <w:keepNext/>
        <w:autoSpaceDE w:val="0"/>
        <w:autoSpaceDN w:val="0"/>
        <w:adjustRightInd w:val="0"/>
        <w:rPr>
          <w:b/>
        </w:rPr>
        <w:sectPr w:rsidR="00720557" w:rsidSect="00720557">
          <w:footerReference w:type="default" r:id="rId107"/>
          <w:pgSz w:w="16838" w:h="11906" w:orient="landscape" w:code="9"/>
          <w:pgMar w:top="1440" w:right="1440" w:bottom="1440" w:left="1440" w:header="907" w:footer="216" w:gutter="0"/>
          <w:cols w:space="708"/>
          <w:docGrid w:linePitch="360"/>
        </w:sectPr>
      </w:pPr>
    </w:p>
    <w:p w:rsidR="00B363D0" w:rsidRPr="00B363D0" w:rsidRDefault="00B363D0" w:rsidP="00283881">
      <w:pPr>
        <w:pStyle w:val="TableTitle"/>
      </w:pPr>
      <w:r w:rsidRPr="00B363D0">
        <w:lastRenderedPageBreak/>
        <w:t xml:space="preserve">Table </w:t>
      </w:r>
      <w:r w:rsidR="00281572">
        <w:t>70</w:t>
      </w:r>
      <w:r w:rsidRPr="00B363D0">
        <w:t xml:space="preserve">. Summary Of </w:t>
      </w:r>
      <w:r>
        <w:t xml:space="preserve">Severe </w:t>
      </w:r>
      <w:r w:rsidRPr="00B363D0">
        <w:t xml:space="preserve">Treatment Emergent Adverse Events </w:t>
      </w:r>
      <w:r>
        <w:t xml:space="preserve">reported by </w:t>
      </w:r>
      <w:r w:rsidRPr="00B363D0">
        <w:t xml:space="preserve"> ≥</w:t>
      </w:r>
      <w:r>
        <w:t>2 patients in either treatment arm (All fields application AK studies)</w:t>
      </w:r>
      <w:r w:rsidRPr="00B363D0">
        <w:t>.</w:t>
      </w:r>
    </w:p>
    <w:p w:rsidR="002E6F0C" w:rsidRDefault="002E6F0C" w:rsidP="00283881">
      <w:r>
        <w:rPr>
          <w:noProof/>
          <w:lang w:eastAsia="en-AU"/>
        </w:rPr>
        <w:drawing>
          <wp:inline distT="0" distB="0" distL="0" distR="0">
            <wp:extent cx="5506085" cy="3105150"/>
            <wp:effectExtent l="19050" t="0" r="0" b="0"/>
            <wp:docPr id="80" name="Picture 80" descr="Table 70. Summary Of Severe Treatment Emergent Adverse Events reported by  ≥2 patients in either treatment arm (All fields application A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3" t="10354" b="7323"/>
                    <a:stretch>
                      <a:fillRect/>
                    </a:stretch>
                  </pic:blipFill>
                  <pic:spPr bwMode="auto">
                    <a:xfrm>
                      <a:off x="0" y="0"/>
                      <a:ext cx="5506085" cy="3105150"/>
                    </a:xfrm>
                    <a:prstGeom prst="rect">
                      <a:avLst/>
                    </a:prstGeom>
                    <a:noFill/>
                    <a:ln>
                      <a:noFill/>
                    </a:ln>
                  </pic:spPr>
                </pic:pic>
              </a:graphicData>
            </a:graphic>
          </wp:inline>
        </w:drawing>
      </w:r>
    </w:p>
    <w:p w:rsidR="00B363D0" w:rsidRDefault="00B363D0" w:rsidP="00283881">
      <w:pPr>
        <w:pStyle w:val="TableTitle"/>
      </w:pPr>
      <w:r>
        <w:t>Table 7</w:t>
      </w:r>
      <w:r w:rsidR="00281572">
        <w:t>1</w:t>
      </w:r>
      <w:r>
        <w:t xml:space="preserve">. Summary of all severe treatment-emergent adverse events considered related to study medication </w:t>
      </w:r>
      <w:r w:rsidRPr="00B363D0">
        <w:t>(All fields application AK studies)</w:t>
      </w:r>
    </w:p>
    <w:p w:rsidR="002E6F0C" w:rsidRDefault="002E6F0C" w:rsidP="00283881">
      <w:r>
        <w:rPr>
          <w:noProof/>
          <w:lang w:eastAsia="en-AU"/>
        </w:rPr>
        <w:drawing>
          <wp:inline distT="0" distB="0" distL="0" distR="0">
            <wp:extent cx="5452110" cy="3419475"/>
            <wp:effectExtent l="19050" t="0" r="0" b="0"/>
            <wp:docPr id="81" name="Picture 81" descr="Table 71. Summary of all severe treatment-emergent adverse events considered related to study medication (All fields application A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5" t="9135" b="4567"/>
                    <a:stretch>
                      <a:fillRect/>
                    </a:stretch>
                  </pic:blipFill>
                  <pic:spPr bwMode="auto">
                    <a:xfrm>
                      <a:off x="0" y="0"/>
                      <a:ext cx="5452110" cy="3419475"/>
                    </a:xfrm>
                    <a:prstGeom prst="rect">
                      <a:avLst/>
                    </a:prstGeom>
                    <a:noFill/>
                    <a:ln>
                      <a:noFill/>
                    </a:ln>
                  </pic:spPr>
                </pic:pic>
              </a:graphicData>
            </a:graphic>
          </wp:inline>
        </w:drawing>
      </w:r>
    </w:p>
    <w:p w:rsidR="00B363D0" w:rsidRDefault="00B363D0" w:rsidP="002E6F0C">
      <w:pPr>
        <w:autoSpaceDE w:val="0"/>
        <w:autoSpaceDN w:val="0"/>
        <w:adjustRightInd w:val="0"/>
      </w:pPr>
    </w:p>
    <w:p w:rsidR="00720557" w:rsidRDefault="00720557" w:rsidP="00B363D0">
      <w:pPr>
        <w:pStyle w:val="FigureTitle"/>
        <w:keepNext/>
        <w:sectPr w:rsidR="00720557" w:rsidSect="00720557">
          <w:footerReference w:type="default" r:id="rId110"/>
          <w:pgSz w:w="11906" w:h="16838" w:code="9"/>
          <w:pgMar w:top="1440" w:right="1440" w:bottom="1440" w:left="1440" w:header="907" w:footer="216" w:gutter="0"/>
          <w:cols w:space="708"/>
          <w:docGrid w:linePitch="360"/>
        </w:sectPr>
      </w:pPr>
    </w:p>
    <w:p w:rsidR="00B363D0" w:rsidRDefault="00B363D0" w:rsidP="00283881">
      <w:pPr>
        <w:pStyle w:val="TableTitle"/>
      </w:pPr>
      <w:r>
        <w:lastRenderedPageBreak/>
        <w:t>Table 7</w:t>
      </w:r>
      <w:r w:rsidR="00281572">
        <w:t>2</w:t>
      </w:r>
      <w:r>
        <w:t xml:space="preserve">. </w:t>
      </w:r>
      <w:r w:rsidRPr="00B363D0">
        <w:t xml:space="preserve">Summary of adverse events </w:t>
      </w:r>
      <w:r>
        <w:t>with an incidence ≥1% for the PEP005 gel-treated patients in the all AK population by PEP005 gel concentrations</w:t>
      </w:r>
    </w:p>
    <w:p w:rsidR="002E6F0C" w:rsidRDefault="002E6F0C" w:rsidP="00283881">
      <w:r>
        <w:rPr>
          <w:noProof/>
          <w:lang w:eastAsia="en-AU"/>
        </w:rPr>
        <w:drawing>
          <wp:inline distT="0" distB="0" distL="0" distR="0">
            <wp:extent cx="7267575" cy="3274033"/>
            <wp:effectExtent l="19050" t="0" r="9525" b="0"/>
            <wp:docPr id="82" name="Picture 82" descr="Table 72. Summary of adverse events with an incidence ≥1% for the PEP005 gel-treated patients in the all AK population by PEP005 ge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82" b="5828"/>
                    <a:stretch>
                      <a:fillRect/>
                    </a:stretch>
                  </pic:blipFill>
                  <pic:spPr bwMode="auto">
                    <a:xfrm>
                      <a:off x="0" y="0"/>
                      <a:ext cx="7267575" cy="3274033"/>
                    </a:xfrm>
                    <a:prstGeom prst="rect">
                      <a:avLst/>
                    </a:prstGeom>
                    <a:noFill/>
                    <a:ln>
                      <a:noFill/>
                    </a:ln>
                  </pic:spPr>
                </pic:pic>
              </a:graphicData>
            </a:graphic>
          </wp:inline>
        </w:drawing>
      </w:r>
      <w:r>
        <w:rPr>
          <w:noProof/>
          <w:lang w:eastAsia="en-AU"/>
        </w:rPr>
        <w:drawing>
          <wp:inline distT="0" distB="0" distL="0" distR="0">
            <wp:extent cx="7267575" cy="1718868"/>
            <wp:effectExtent l="19050" t="0" r="9525" b="0"/>
            <wp:docPr id="83" name="Picture 83" descr="Table 72 continued. Summary of adverse events with an incidence ≥1% for the PEP005 gel-treated patients in the all AK population by PEP005 ge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364" b="8022"/>
                    <a:stretch>
                      <a:fillRect/>
                    </a:stretch>
                  </pic:blipFill>
                  <pic:spPr bwMode="auto">
                    <a:xfrm>
                      <a:off x="0" y="0"/>
                      <a:ext cx="7267575" cy="1718868"/>
                    </a:xfrm>
                    <a:prstGeom prst="rect">
                      <a:avLst/>
                    </a:prstGeom>
                    <a:noFill/>
                    <a:ln>
                      <a:noFill/>
                    </a:ln>
                  </pic:spPr>
                </pic:pic>
              </a:graphicData>
            </a:graphic>
          </wp:inline>
        </w:drawing>
      </w:r>
    </w:p>
    <w:p w:rsidR="002E6F0C" w:rsidRPr="00D46584" w:rsidRDefault="00B363D0" w:rsidP="00283881">
      <w:pPr>
        <w:pStyle w:val="TableTitle"/>
      </w:pPr>
      <w:r>
        <w:lastRenderedPageBreak/>
        <w:t>Table 7</w:t>
      </w:r>
      <w:r w:rsidR="00281572">
        <w:t>3</w:t>
      </w:r>
      <w:r>
        <w:t>. Summary of treatment-emergent Adverse Events and Local Skin reactions in the Controlled Phase III studies with an incidence ≥1% in any group (continued)</w:t>
      </w:r>
    </w:p>
    <w:p w:rsidR="00720557" w:rsidRDefault="002E6F0C" w:rsidP="00283881">
      <w:pPr>
        <w:sectPr w:rsidR="00720557" w:rsidSect="00720557">
          <w:footerReference w:type="default" r:id="rId113"/>
          <w:pgSz w:w="16838" w:h="11906" w:orient="landscape" w:code="9"/>
          <w:pgMar w:top="1440" w:right="1440" w:bottom="1440" w:left="1440" w:header="907" w:footer="216" w:gutter="0"/>
          <w:cols w:space="708"/>
          <w:docGrid w:linePitch="360"/>
        </w:sectPr>
      </w:pPr>
      <w:r>
        <w:rPr>
          <w:noProof/>
          <w:lang w:eastAsia="en-AU"/>
        </w:rPr>
        <w:drawing>
          <wp:inline distT="0" distB="0" distL="0" distR="0">
            <wp:extent cx="8450274" cy="3276600"/>
            <wp:effectExtent l="19050" t="0" r="7926" b="0"/>
            <wp:docPr id="84" name="Picture 84" descr="Table 73. Summary of treatment-emergent Adverse Events and Local Skin reactions in the Controlled Phase III studies with an incidence ≥1% in any 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85" b="5654"/>
                    <a:stretch>
                      <a:fillRect/>
                    </a:stretch>
                  </pic:blipFill>
                  <pic:spPr bwMode="auto">
                    <a:xfrm>
                      <a:off x="0" y="0"/>
                      <a:ext cx="8450274" cy="3276600"/>
                    </a:xfrm>
                    <a:prstGeom prst="rect">
                      <a:avLst/>
                    </a:prstGeom>
                    <a:noFill/>
                    <a:ln>
                      <a:noFill/>
                    </a:ln>
                  </pic:spPr>
                </pic:pic>
              </a:graphicData>
            </a:graphic>
          </wp:inline>
        </w:drawing>
      </w:r>
    </w:p>
    <w:p w:rsidR="002E6F0C" w:rsidRDefault="002E6F0C" w:rsidP="00CA6EBD">
      <w:pPr>
        <w:pStyle w:val="Heading3"/>
      </w:pPr>
      <w:bookmarkStart w:id="113" w:name="_Toc241374320"/>
      <w:bookmarkStart w:id="114" w:name="_Toc314158753"/>
      <w:bookmarkStart w:id="115" w:name="_Toc367127772"/>
      <w:r>
        <w:lastRenderedPageBreak/>
        <w:t>Serious adverse events and deaths</w:t>
      </w:r>
      <w:bookmarkEnd w:id="113"/>
      <w:bookmarkEnd w:id="114"/>
      <w:bookmarkEnd w:id="115"/>
    </w:p>
    <w:p w:rsidR="002E6F0C" w:rsidRDefault="002E6F0C" w:rsidP="002E6F0C">
      <w:pPr>
        <w:autoSpaceDE w:val="0"/>
        <w:autoSpaceDN w:val="0"/>
        <w:adjustRightInd w:val="0"/>
        <w:rPr>
          <w:color w:val="000000"/>
        </w:rPr>
      </w:pPr>
      <w:r w:rsidRPr="006A162E">
        <w:rPr>
          <w:color w:val="000000"/>
        </w:rPr>
        <w:t>Among the patients who received field applications of PEP005 Gel or vehicle for treatment of</w:t>
      </w:r>
      <w:r w:rsidR="001731A6">
        <w:rPr>
          <w:color w:val="000000"/>
        </w:rPr>
        <w:t xml:space="preserve"> </w:t>
      </w:r>
      <w:r w:rsidRPr="006A162E">
        <w:rPr>
          <w:color w:val="000000"/>
        </w:rPr>
        <w:t xml:space="preserve">AK lesions, SAEs were identified (by both the investigator and Applicant) for 4.2% of patients in the PEP005 Gel group and 3.6% of patients in the vehicle group. Of these SAEs, BCC (occurring in 1.5% of PEP005 Gel-treated patients and 1.1% of vehicle-treated patients) and SCC (0.9% of PEP005 Gel-treated patients and 0.8% of vehicle-treated patients) were the most frequently reported for both treatment groups (reflecting both investigator- and Applicant-identified events; all serious events of BCC and approximately half of the reported SCCs were reclassified as SAEs by the Applicant). Three patients (all treated with PEP005 Gel, 0.05%) had an SAE that was assessed as treatment-related; 1 patient had Bowen’s disease, graded as mild and 2 patients had SCC, 1 graded as mild and the other graded as moderate. For all 3 patients, the SAE resolved following excision. Across all studies, there was one death, which occurred in a patient who received PEP005 Gel, 0.005% in study PEP005-015. The patient, a </w:t>
      </w:r>
      <w:r>
        <w:rPr>
          <w:color w:val="000000"/>
        </w:rPr>
        <w:t>[information redacted]</w:t>
      </w:r>
      <w:r w:rsidRPr="006A162E">
        <w:rPr>
          <w:color w:val="000000"/>
        </w:rPr>
        <w:t xml:space="preserve"> white male, died of coronary artery atherosclerosis and hypertension approximately 4 months after receiving study treatment. The investigator judged the death as not related to study medication.</w:t>
      </w:r>
      <w:r>
        <w:rPr>
          <w:color w:val="000000"/>
        </w:rPr>
        <w:t xml:space="preserve"> A summary of SAEs appears below.</w:t>
      </w:r>
    </w:p>
    <w:p w:rsidR="003E365A" w:rsidRDefault="003E365A" w:rsidP="00C75DEA">
      <w:pPr>
        <w:pStyle w:val="FigureTitle"/>
        <w:keepNext/>
        <w:sectPr w:rsidR="003E365A" w:rsidSect="00720557">
          <w:footerReference w:type="default" r:id="rId115"/>
          <w:pgSz w:w="11906" w:h="16838" w:code="9"/>
          <w:pgMar w:top="1440" w:right="1440" w:bottom="1440" w:left="1440" w:header="907" w:footer="216" w:gutter="0"/>
          <w:cols w:space="708"/>
          <w:docGrid w:linePitch="360"/>
        </w:sectPr>
      </w:pPr>
    </w:p>
    <w:p w:rsidR="00C75DEA" w:rsidRDefault="00C75DEA" w:rsidP="00CA6EBD">
      <w:pPr>
        <w:pStyle w:val="TableTitle"/>
      </w:pPr>
      <w:r>
        <w:lastRenderedPageBreak/>
        <w:t>Table 7</w:t>
      </w:r>
      <w:r w:rsidR="00281572">
        <w:t>4</w:t>
      </w:r>
      <w:r>
        <w:t>. Summary of serious adverse events (including both investigator-determined and applicant determined events).</w:t>
      </w:r>
    </w:p>
    <w:p w:rsidR="003E365A" w:rsidRDefault="003E365A" w:rsidP="008813F2">
      <w:r>
        <w:rPr>
          <w:noProof/>
          <w:lang w:eastAsia="en-AU"/>
        </w:rPr>
        <w:drawing>
          <wp:inline distT="0" distB="0" distL="0" distR="0">
            <wp:extent cx="7620000" cy="3853727"/>
            <wp:effectExtent l="19050" t="0" r="0" b="0"/>
            <wp:docPr id="90" name="Picture 85" descr="Table 74. Summary of serious adverse events (including both investigator-determined and applicant determin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27" b="3725"/>
                    <a:stretch>
                      <a:fillRect/>
                    </a:stretch>
                  </pic:blipFill>
                  <pic:spPr bwMode="auto">
                    <a:xfrm>
                      <a:off x="0" y="0"/>
                      <a:ext cx="7640052" cy="3863868"/>
                    </a:xfrm>
                    <a:prstGeom prst="rect">
                      <a:avLst/>
                    </a:prstGeom>
                    <a:noFill/>
                    <a:ln>
                      <a:noFill/>
                    </a:ln>
                  </pic:spPr>
                </pic:pic>
              </a:graphicData>
            </a:graphic>
          </wp:inline>
        </w:drawing>
      </w:r>
    </w:p>
    <w:p w:rsidR="003E365A" w:rsidRDefault="003E365A" w:rsidP="008813F2">
      <w:pPr>
        <w:pStyle w:val="TableTitle"/>
      </w:pPr>
      <w:r w:rsidRPr="003E365A">
        <w:lastRenderedPageBreak/>
        <w:t>Table 74</w:t>
      </w:r>
      <w:r>
        <w:t xml:space="preserve"> continued</w:t>
      </w:r>
      <w:r w:rsidRPr="003E365A">
        <w:t>. Summary of serious adverse events (including both investigator-determined and applicant determined events)</w:t>
      </w:r>
    </w:p>
    <w:p w:rsidR="002E6F0C" w:rsidRDefault="002E6F0C" w:rsidP="008813F2">
      <w:r>
        <w:rPr>
          <w:noProof/>
          <w:lang w:eastAsia="en-AU"/>
        </w:rPr>
        <w:drawing>
          <wp:inline distT="0" distB="0" distL="0" distR="0">
            <wp:extent cx="8675007" cy="4229100"/>
            <wp:effectExtent l="19050" t="0" r="0" b="0"/>
            <wp:docPr id="86" name="Picture 86" descr="Table 74 continued. Summary of serious adverse events (including both investigator-determined and applicant determin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17" b="4518"/>
                    <a:stretch>
                      <a:fillRect/>
                    </a:stretch>
                  </pic:blipFill>
                  <pic:spPr bwMode="auto">
                    <a:xfrm>
                      <a:off x="0" y="0"/>
                      <a:ext cx="8676759" cy="4229954"/>
                    </a:xfrm>
                    <a:prstGeom prst="rect">
                      <a:avLst/>
                    </a:prstGeom>
                    <a:noFill/>
                    <a:ln>
                      <a:noFill/>
                    </a:ln>
                  </pic:spPr>
                </pic:pic>
              </a:graphicData>
            </a:graphic>
          </wp:inline>
        </w:drawing>
      </w:r>
    </w:p>
    <w:p w:rsidR="003E365A" w:rsidRDefault="003E365A" w:rsidP="003E365A">
      <w:pPr>
        <w:keepNext/>
        <w:keepLines/>
        <w:autoSpaceDE w:val="0"/>
        <w:autoSpaceDN w:val="0"/>
        <w:adjustRightInd w:val="0"/>
        <w:sectPr w:rsidR="003E365A" w:rsidSect="003E365A">
          <w:footerReference w:type="default" r:id="rId118"/>
          <w:pgSz w:w="16838" w:h="11906" w:orient="landscape" w:code="9"/>
          <w:pgMar w:top="1440" w:right="1440" w:bottom="1440" w:left="1440" w:header="907" w:footer="216" w:gutter="0"/>
          <w:cols w:space="708"/>
          <w:docGrid w:linePitch="360"/>
        </w:sectPr>
      </w:pPr>
    </w:p>
    <w:p w:rsidR="00C75DEA" w:rsidRDefault="00C75DEA" w:rsidP="008813F2">
      <w:pPr>
        <w:pStyle w:val="TableTitle"/>
      </w:pPr>
      <w:r>
        <w:lastRenderedPageBreak/>
        <w:t>Table 7</w:t>
      </w:r>
      <w:r w:rsidR="00281572">
        <w:t>5</w:t>
      </w:r>
      <w:r>
        <w:t xml:space="preserve">. </w:t>
      </w:r>
      <w:r w:rsidRPr="00C75DEA">
        <w:t xml:space="preserve">Summary of </w:t>
      </w:r>
      <w:r>
        <w:t>I</w:t>
      </w:r>
      <w:r w:rsidRPr="00C75DEA">
        <w:t xml:space="preserve">nvestigator-determined and </w:t>
      </w:r>
      <w:r>
        <w:t>A</w:t>
      </w:r>
      <w:r w:rsidRPr="00C75DEA">
        <w:t xml:space="preserve">pplicant determined </w:t>
      </w:r>
      <w:r>
        <w:t>SAEs for All Field Application AK studies</w:t>
      </w:r>
      <w:r w:rsidRPr="00C75DEA">
        <w:t>.</w:t>
      </w:r>
    </w:p>
    <w:p w:rsidR="002E6F0C" w:rsidRDefault="002E6F0C" w:rsidP="008813F2">
      <w:r>
        <w:rPr>
          <w:noProof/>
          <w:lang w:eastAsia="en-AU"/>
        </w:rPr>
        <w:drawing>
          <wp:inline distT="0" distB="0" distL="0" distR="0">
            <wp:extent cx="5476875" cy="2571750"/>
            <wp:effectExtent l="19050" t="0" r="9525" b="0"/>
            <wp:docPr id="87" name="Picture 87" descr="Table 75. Summary of Investigator-determined and Applicant determined SAEs for All Field Application A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92" b="5231"/>
                    <a:stretch>
                      <a:fillRect/>
                    </a:stretch>
                  </pic:blipFill>
                  <pic:spPr bwMode="auto">
                    <a:xfrm>
                      <a:off x="0" y="0"/>
                      <a:ext cx="5476875" cy="2571750"/>
                    </a:xfrm>
                    <a:prstGeom prst="rect">
                      <a:avLst/>
                    </a:prstGeom>
                    <a:noFill/>
                    <a:ln>
                      <a:noFill/>
                    </a:ln>
                  </pic:spPr>
                </pic:pic>
              </a:graphicData>
            </a:graphic>
          </wp:inline>
        </w:drawing>
      </w:r>
    </w:p>
    <w:p w:rsidR="00C75DEA" w:rsidRDefault="00C75DEA" w:rsidP="008813F2">
      <w:pPr>
        <w:pStyle w:val="TableTitle"/>
      </w:pPr>
      <w:r>
        <w:t>Table 7</w:t>
      </w:r>
      <w:r w:rsidR="00281572">
        <w:t>6</w:t>
      </w:r>
      <w:r>
        <w:t>. Summary of patients with an SCC by location (</w:t>
      </w:r>
      <w:r w:rsidRPr="00C75DEA">
        <w:t>All Field Application AK studies.</w:t>
      </w:r>
      <w:r>
        <w:t>)</w:t>
      </w:r>
    </w:p>
    <w:p w:rsidR="002E6F0C" w:rsidRPr="00666C27" w:rsidRDefault="002E6F0C" w:rsidP="008813F2">
      <w:r>
        <w:rPr>
          <w:noProof/>
          <w:lang w:eastAsia="en-AU"/>
        </w:rPr>
        <w:drawing>
          <wp:inline distT="0" distB="0" distL="0" distR="0">
            <wp:extent cx="5404485" cy="1266825"/>
            <wp:effectExtent l="19050" t="0" r="5715" b="0"/>
            <wp:docPr id="88" name="Picture 88" descr="Table 76. Summary of patients with an SCC by location (All Field Application A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760" b="17113"/>
                    <a:stretch>
                      <a:fillRect/>
                    </a:stretch>
                  </pic:blipFill>
                  <pic:spPr bwMode="auto">
                    <a:xfrm>
                      <a:off x="0" y="0"/>
                      <a:ext cx="5404485" cy="1266825"/>
                    </a:xfrm>
                    <a:prstGeom prst="rect">
                      <a:avLst/>
                    </a:prstGeom>
                    <a:noFill/>
                    <a:ln>
                      <a:noFill/>
                    </a:ln>
                  </pic:spPr>
                </pic:pic>
              </a:graphicData>
            </a:graphic>
          </wp:inline>
        </w:drawing>
      </w:r>
    </w:p>
    <w:p w:rsidR="002E6F0C" w:rsidRDefault="002E6F0C" w:rsidP="001731A6">
      <w:pPr>
        <w:pStyle w:val="Heading3"/>
      </w:pPr>
      <w:bookmarkStart w:id="116" w:name="_Toc241374321"/>
      <w:bookmarkStart w:id="117" w:name="_Toc314158754"/>
      <w:bookmarkStart w:id="118" w:name="_Toc367127773"/>
      <w:r>
        <w:t>Laboratory findings</w:t>
      </w:r>
      <w:bookmarkEnd w:id="116"/>
      <w:bookmarkEnd w:id="117"/>
      <w:bookmarkEnd w:id="118"/>
    </w:p>
    <w:p w:rsidR="002E6F0C" w:rsidRPr="006A162E" w:rsidRDefault="002E6F0C" w:rsidP="002E6F0C">
      <w:pPr>
        <w:autoSpaceDE w:val="0"/>
        <w:autoSpaceDN w:val="0"/>
        <w:adjustRightInd w:val="0"/>
      </w:pPr>
      <w:r w:rsidRPr="006A162E">
        <w:t>The vast majority of clinical laboratory parameters (haematology and serum chemistry) were within normal limits at the time points measured in the studies. The proportion of patients with normal laboratory values at baseline followed by shifts away from this normal range at later time points was generally similar between treatment groups, with no apparent trend.</w:t>
      </w:r>
      <w:r w:rsidR="00631F91" w:rsidRPr="00631F91">
        <w:t xml:space="preserve"> </w:t>
      </w:r>
      <w:r w:rsidRPr="006A162E">
        <w:t>There were no meaningful shifts or trends in any of the clinical laboratory parameters.</w:t>
      </w:r>
    </w:p>
    <w:p w:rsidR="002E6F0C" w:rsidRDefault="002E6F0C" w:rsidP="001731A6">
      <w:pPr>
        <w:pStyle w:val="Heading3"/>
      </w:pPr>
      <w:bookmarkStart w:id="119" w:name="_Toc241374322"/>
      <w:bookmarkStart w:id="120" w:name="_Toc314158755"/>
      <w:bookmarkStart w:id="121" w:name="_Toc367127774"/>
      <w:r>
        <w:t>Safety in special populations</w:t>
      </w:r>
      <w:bookmarkEnd w:id="119"/>
      <w:bookmarkEnd w:id="120"/>
      <w:bookmarkEnd w:id="121"/>
    </w:p>
    <w:p w:rsidR="002E6F0C" w:rsidRDefault="002E6F0C" w:rsidP="002E6F0C">
      <w:pPr>
        <w:autoSpaceDE w:val="0"/>
        <w:autoSpaceDN w:val="0"/>
        <w:adjustRightInd w:val="0"/>
      </w:pPr>
      <w:r>
        <w:t>Not applicable.</w:t>
      </w:r>
    </w:p>
    <w:p w:rsidR="002E6F0C" w:rsidRDefault="002E6F0C" w:rsidP="001731A6">
      <w:pPr>
        <w:pStyle w:val="Heading3"/>
      </w:pPr>
      <w:bookmarkStart w:id="122" w:name="_Toc241374323"/>
      <w:bookmarkStart w:id="123" w:name="_Toc314158756"/>
      <w:bookmarkStart w:id="124" w:name="_Toc367127775"/>
      <w:r>
        <w:t>Immunological events</w:t>
      </w:r>
      <w:bookmarkEnd w:id="122"/>
      <w:bookmarkEnd w:id="123"/>
      <w:bookmarkEnd w:id="124"/>
    </w:p>
    <w:p w:rsidR="002E6F0C" w:rsidRDefault="002E6F0C" w:rsidP="002E6F0C">
      <w:pPr>
        <w:autoSpaceDE w:val="0"/>
        <w:autoSpaceDN w:val="0"/>
        <w:adjustRightInd w:val="0"/>
      </w:pPr>
      <w:r>
        <w:t>Not applicable.</w:t>
      </w:r>
    </w:p>
    <w:p w:rsidR="002E6F0C" w:rsidRDefault="002E6F0C" w:rsidP="00E82244">
      <w:pPr>
        <w:pStyle w:val="Heading3"/>
      </w:pPr>
      <w:bookmarkStart w:id="125" w:name="_Toc241374324"/>
      <w:bookmarkStart w:id="126" w:name="_Toc314158757"/>
      <w:bookmarkStart w:id="127" w:name="_Toc367127776"/>
      <w:r>
        <w:t>Safety related to drug-drug interactions and other interactions</w:t>
      </w:r>
      <w:bookmarkEnd w:id="125"/>
      <w:bookmarkEnd w:id="126"/>
      <w:bookmarkEnd w:id="127"/>
    </w:p>
    <w:p w:rsidR="002E6F0C" w:rsidRDefault="002E6F0C" w:rsidP="002E6F0C">
      <w:pPr>
        <w:autoSpaceDE w:val="0"/>
        <w:autoSpaceDN w:val="0"/>
        <w:adjustRightInd w:val="0"/>
      </w:pPr>
      <w:r>
        <w:t>Not applicable.</w:t>
      </w:r>
    </w:p>
    <w:p w:rsidR="002E6F0C" w:rsidRDefault="002E6F0C" w:rsidP="001731A6">
      <w:pPr>
        <w:pStyle w:val="Heading3"/>
      </w:pPr>
      <w:bookmarkStart w:id="128" w:name="_Toc241374325"/>
      <w:bookmarkStart w:id="129" w:name="_Toc314158758"/>
      <w:bookmarkStart w:id="130" w:name="_Toc367127777"/>
      <w:r>
        <w:t>Discontinuation due to adverse events</w:t>
      </w:r>
      <w:bookmarkEnd w:id="128"/>
      <w:bookmarkEnd w:id="129"/>
      <w:bookmarkEnd w:id="130"/>
    </w:p>
    <w:p w:rsidR="002E6F0C" w:rsidRPr="006A162E" w:rsidRDefault="002E6F0C" w:rsidP="002E6F0C">
      <w:pPr>
        <w:autoSpaceDE w:val="0"/>
        <w:autoSpaceDN w:val="0"/>
        <w:adjustRightInd w:val="0"/>
        <w:rPr>
          <w:color w:val="000000"/>
        </w:rPr>
      </w:pPr>
      <w:r w:rsidRPr="006A162E">
        <w:rPr>
          <w:color w:val="000000"/>
        </w:rPr>
        <w:t>In the 13 studies that evaluated field treatment of PEP005 Gel for SK lesions, a total of</w:t>
      </w:r>
      <w:r w:rsidR="001731A6">
        <w:rPr>
          <w:color w:val="000000"/>
        </w:rPr>
        <w:t xml:space="preserve"> </w:t>
      </w:r>
      <w:r w:rsidRPr="006A162E">
        <w:rPr>
          <w:color w:val="000000"/>
        </w:rPr>
        <w:t>3 patients (1 treated with PEP005 Gel and 2 treated with vehicle) discontinued from the study</w:t>
      </w:r>
      <w:r w:rsidR="001731A6">
        <w:rPr>
          <w:color w:val="000000"/>
        </w:rPr>
        <w:t xml:space="preserve"> </w:t>
      </w:r>
      <w:r w:rsidRPr="006A162E">
        <w:rPr>
          <w:color w:val="000000"/>
        </w:rPr>
        <w:t xml:space="preserve">due to one </w:t>
      </w:r>
      <w:r w:rsidRPr="006A162E">
        <w:rPr>
          <w:color w:val="000000"/>
        </w:rPr>
        <w:lastRenderedPageBreak/>
        <w:t>or more AEs. The patient treated with PEP005 Gel discontinued study PEP005-</w:t>
      </w:r>
      <w:r w:rsidR="001731A6">
        <w:rPr>
          <w:color w:val="000000"/>
        </w:rPr>
        <w:t xml:space="preserve"> </w:t>
      </w:r>
      <w:r w:rsidRPr="006A162E">
        <w:rPr>
          <w:color w:val="000000"/>
        </w:rPr>
        <w:t>016</w:t>
      </w:r>
      <w:r w:rsidRPr="006A162E">
        <w:rPr>
          <w:color w:val="0000FF"/>
        </w:rPr>
        <w:t xml:space="preserve"> </w:t>
      </w:r>
      <w:r w:rsidRPr="006A162E">
        <w:rPr>
          <w:color w:val="000000"/>
        </w:rPr>
        <w:t>due to severe application site (face) pain, severe eye pain, and severe periorbital oedema.</w:t>
      </w:r>
    </w:p>
    <w:p w:rsidR="002E6F0C" w:rsidRPr="006A162E" w:rsidRDefault="002E6F0C" w:rsidP="002E6F0C">
      <w:pPr>
        <w:autoSpaceDE w:val="0"/>
        <w:autoSpaceDN w:val="0"/>
        <w:adjustRightInd w:val="0"/>
        <w:rPr>
          <w:color w:val="000000"/>
        </w:rPr>
      </w:pPr>
      <w:r w:rsidRPr="006A162E">
        <w:rPr>
          <w:color w:val="000000"/>
        </w:rPr>
        <w:t>The vehicle-treated patients discontinued due to multiple trauma and loss of consciousness after falling off a ladder (1 patient) and severe myocardial infarction (MI; 1 patient). Across the 9 additional studies (lesion-specific and non-SK), 1 patient (who received PEP005 Gel, 0.05% in study PEP005-008) discontinued from the study due to diarrhoea, which was moderate in intensity.</w:t>
      </w:r>
    </w:p>
    <w:p w:rsidR="002E6F0C" w:rsidRPr="006A162E" w:rsidRDefault="002E6F0C" w:rsidP="002E6F0C">
      <w:pPr>
        <w:autoSpaceDE w:val="0"/>
        <w:autoSpaceDN w:val="0"/>
        <w:adjustRightInd w:val="0"/>
      </w:pPr>
      <w:r w:rsidRPr="006A162E">
        <w:t>In the 13 SK field treatment studies, a total of 37 patients (37 treated with PEP005 Gel and</w:t>
      </w:r>
      <w:r w:rsidR="001731A6">
        <w:t xml:space="preserve"> </w:t>
      </w:r>
      <w:r w:rsidRPr="006A162E">
        <w:t>0 treated with vehicle) discontinued study medication due to one or more AEs. Although patients discontinued study medication, most remained in the study for observation of SK lesion disposition and safety assessments through Day 57. Discontinuation of study medication was primarily attributed to application site reactions, notably application site irritation and application site pain, reported by 16 patients each. Across the 9 additional studies, 4 patients discontinued dosing due to application site pain, erythema and skin exfoliation, lymphangitis, and pregnancy.</w:t>
      </w:r>
    </w:p>
    <w:p w:rsidR="002E6F0C" w:rsidRDefault="002E6F0C" w:rsidP="001731A6">
      <w:pPr>
        <w:pStyle w:val="Heading3"/>
      </w:pPr>
      <w:bookmarkStart w:id="131" w:name="_Toc241374326"/>
      <w:bookmarkStart w:id="132" w:name="_Toc314158759"/>
      <w:bookmarkStart w:id="133" w:name="_Toc367127778"/>
      <w:r>
        <w:t>Postmarketing experience</w:t>
      </w:r>
      <w:bookmarkEnd w:id="131"/>
      <w:bookmarkEnd w:id="132"/>
      <w:bookmarkEnd w:id="133"/>
    </w:p>
    <w:p w:rsidR="002E6F0C" w:rsidRDefault="002E6F0C" w:rsidP="002E6F0C">
      <w:pPr>
        <w:autoSpaceDE w:val="0"/>
        <w:autoSpaceDN w:val="0"/>
        <w:adjustRightInd w:val="0"/>
      </w:pPr>
      <w:r w:rsidRPr="006A162E">
        <w:rPr>
          <w:color w:val="000000"/>
        </w:rPr>
        <w:t>Postmarketing data was not available</w:t>
      </w:r>
      <w:r>
        <w:rPr>
          <w:rFonts w:ascii="TimesNewRoman" w:hAnsi="TimesNewRoman" w:cs="TimesNewRoman"/>
          <w:color w:val="000000"/>
        </w:rPr>
        <w:t>.</w:t>
      </w:r>
    </w:p>
    <w:p w:rsidR="002E6F0C" w:rsidRDefault="002E6F0C" w:rsidP="001731A6">
      <w:pPr>
        <w:pStyle w:val="Heading3"/>
      </w:pPr>
      <w:bookmarkStart w:id="134" w:name="_Toc241374328"/>
      <w:bookmarkStart w:id="135" w:name="_Toc314158761"/>
      <w:bookmarkStart w:id="136" w:name="_Toc367127779"/>
      <w:r>
        <w:t>Evaluator’s overall conclusions on clinical safety</w:t>
      </w:r>
      <w:bookmarkEnd w:id="134"/>
      <w:bookmarkEnd w:id="135"/>
      <w:bookmarkEnd w:id="136"/>
    </w:p>
    <w:p w:rsidR="002E6F0C" w:rsidRDefault="002E6F0C" w:rsidP="00E82244">
      <w:pPr>
        <w:pStyle w:val="ListBullet"/>
      </w:pPr>
      <w:r>
        <w:t xml:space="preserve">Information on safety was available from all clinical studies. A total of </w:t>
      </w:r>
      <w:r w:rsidRPr="006A162E">
        <w:t>1774 patients/subjects received PEP005 Gel across the 25 completed studies in the</w:t>
      </w:r>
      <w:r>
        <w:t xml:space="preserve"> </w:t>
      </w:r>
      <w:r w:rsidRPr="006A162E">
        <w:t>clinical development programme. The safety overview provided focused on the 13 studies in which patients received PEP005 Gel across a selected area of skin (i.e., field) for treatment of SK lesions. Within this group of patients, 1165 received PEP005 Gel and 632 received vehicle</w:t>
      </w:r>
      <w:r>
        <w:t xml:space="preserve"> </w:t>
      </w:r>
      <w:r w:rsidRPr="006A162E">
        <w:t>gel.</w:t>
      </w:r>
      <w:r>
        <w:t xml:space="preserve"> L</w:t>
      </w:r>
      <w:r w:rsidRPr="006A162E">
        <w:t xml:space="preserve">ong-term safety from 3 observational studies was </w:t>
      </w:r>
      <w:r>
        <w:t xml:space="preserve">also </w:t>
      </w:r>
      <w:r w:rsidRPr="006A162E">
        <w:t xml:space="preserve">presented. </w:t>
      </w:r>
      <w:r>
        <w:t>In addition, a further 7 studies provided additional safety information. Of these studies, three assessed safety in healthy volunteers (PEP005-005, PEP005-023, and PEP005-024), and four provided safety data in patients receiving treatment for non-malignant skin cancer (NMSC) (PEP005-002, PEP005-003,</w:t>
      </w:r>
      <w:r w:rsidRPr="00AB7949">
        <w:t xml:space="preserve"> </w:t>
      </w:r>
      <w:r>
        <w:t>PEP005-008 and PEP005-009).</w:t>
      </w:r>
    </w:p>
    <w:p w:rsidR="002E6F0C" w:rsidRPr="008470CF" w:rsidRDefault="002E6F0C" w:rsidP="001731A6">
      <w:pPr>
        <w:pStyle w:val="ListBullet"/>
      </w:pPr>
      <w:r>
        <w:t xml:space="preserve">Of the supporting studies in healthy volunteers, </w:t>
      </w:r>
      <w:r w:rsidRPr="00EB3218">
        <w:rPr>
          <w:b/>
        </w:rPr>
        <w:t>PEP005-005</w:t>
      </w:r>
      <w:r>
        <w:t xml:space="preserve"> was a r</w:t>
      </w:r>
      <w:r w:rsidRPr="008F4F1A">
        <w:t xml:space="preserve">andomized, </w:t>
      </w:r>
      <w:r>
        <w:t>c</w:t>
      </w:r>
      <w:r w:rsidRPr="008F4F1A">
        <w:t xml:space="preserve">ontrolled </w:t>
      </w:r>
      <w:r>
        <w:t>s</w:t>
      </w:r>
      <w:r w:rsidRPr="008F4F1A">
        <w:t xml:space="preserve">tudy to </w:t>
      </w:r>
      <w:r>
        <w:t>e</w:t>
      </w:r>
      <w:r w:rsidRPr="008F4F1A">
        <w:t xml:space="preserve">valuate the </w:t>
      </w:r>
      <w:r>
        <w:t>s</w:t>
      </w:r>
      <w:r w:rsidRPr="008F4F1A">
        <w:t xml:space="preserve">ensitizing </w:t>
      </w:r>
      <w:r>
        <w:t>p</w:t>
      </w:r>
      <w:r w:rsidRPr="008F4F1A">
        <w:t>otential of PEP005 Topical Gel</w:t>
      </w:r>
      <w:r>
        <w:t xml:space="preserve"> </w:t>
      </w:r>
      <w:r w:rsidRPr="008F4F1A">
        <w:t xml:space="preserve">(0.01% concentration) </w:t>
      </w:r>
      <w:r>
        <w:t>u</w:t>
      </w:r>
      <w:r w:rsidRPr="008F4F1A">
        <w:t xml:space="preserve">sing a </w:t>
      </w:r>
      <w:r>
        <w:t>r</w:t>
      </w:r>
      <w:r w:rsidRPr="008F4F1A">
        <w:t xml:space="preserve">epeat </w:t>
      </w:r>
      <w:r>
        <w:t>i</w:t>
      </w:r>
      <w:r w:rsidRPr="008F4F1A">
        <w:t xml:space="preserve">nsult </w:t>
      </w:r>
      <w:r>
        <w:t>p</w:t>
      </w:r>
      <w:r w:rsidRPr="008F4F1A">
        <w:t xml:space="preserve">atch </w:t>
      </w:r>
      <w:r>
        <w:t>t</w:t>
      </w:r>
      <w:r w:rsidRPr="008F4F1A">
        <w:t xml:space="preserve">est </w:t>
      </w:r>
      <w:r>
        <w:t>d</w:t>
      </w:r>
      <w:r w:rsidRPr="008F4F1A">
        <w:t>esign.</w:t>
      </w:r>
      <w:r>
        <w:t xml:space="preserve"> </w:t>
      </w:r>
      <w:r w:rsidRPr="008F4F1A">
        <w:t>A</w:t>
      </w:r>
      <w:r>
        <w:t xml:space="preserve"> </w:t>
      </w:r>
      <w:r w:rsidRPr="008F4F1A">
        <w:t>total of 238</w:t>
      </w:r>
      <w:r>
        <w:t xml:space="preserve"> subjects </w:t>
      </w:r>
      <w:r w:rsidRPr="008F4F1A">
        <w:t xml:space="preserve">were enrolled. </w:t>
      </w:r>
      <w:r>
        <w:t>T</w:t>
      </w:r>
      <w:r w:rsidRPr="003E6F2E">
        <w:t>here was no evidence of a sensitization potential or</w:t>
      </w:r>
      <w:r>
        <w:t xml:space="preserve"> </w:t>
      </w:r>
      <w:r w:rsidRPr="003E6F2E">
        <w:t>significant irritation following repeated applications of PEP005 Topical Gel (0.01% concentration).</w:t>
      </w:r>
      <w:r w:rsidRPr="00DD01F6">
        <w:t xml:space="preserve"> </w:t>
      </w:r>
      <w:r w:rsidRPr="00EB3218">
        <w:rPr>
          <w:b/>
        </w:rPr>
        <w:t>PEP005-023</w:t>
      </w:r>
      <w:r w:rsidRPr="0065083F">
        <w:t xml:space="preserve"> </w:t>
      </w:r>
      <w:r>
        <w:t xml:space="preserve">was a </w:t>
      </w:r>
      <w:r w:rsidRPr="00B70095">
        <w:t>4-</w:t>
      </w:r>
      <w:r>
        <w:t>d</w:t>
      </w:r>
      <w:r w:rsidRPr="00B70095">
        <w:t xml:space="preserve">ay, </w:t>
      </w:r>
      <w:r>
        <w:t>r</w:t>
      </w:r>
      <w:r w:rsidRPr="00B70095">
        <w:t xml:space="preserve">andomized, </w:t>
      </w:r>
      <w:r>
        <w:t>c</w:t>
      </w:r>
      <w:r w:rsidRPr="00B70095">
        <w:t xml:space="preserve">ontrolled, </w:t>
      </w:r>
      <w:r>
        <w:t>op</w:t>
      </w:r>
      <w:r w:rsidRPr="00B70095">
        <w:t xml:space="preserve">en </w:t>
      </w:r>
      <w:r>
        <w:t>a</w:t>
      </w:r>
      <w:r w:rsidRPr="00B70095">
        <w:t xml:space="preserve">pplication </w:t>
      </w:r>
      <w:r>
        <w:t>s</w:t>
      </w:r>
      <w:r w:rsidRPr="00B70095">
        <w:t xml:space="preserve">tudy to </w:t>
      </w:r>
      <w:r>
        <w:t>e</w:t>
      </w:r>
      <w:r w:rsidRPr="00B70095">
        <w:t xml:space="preserve">valuate the </w:t>
      </w:r>
      <w:r>
        <w:t>p</w:t>
      </w:r>
      <w:r w:rsidRPr="00B70095">
        <w:t>hoto</w:t>
      </w:r>
      <w:r>
        <w:t>-</w:t>
      </w:r>
      <w:r w:rsidRPr="00B70095">
        <w:t>irritation</w:t>
      </w:r>
      <w:r>
        <w:t xml:space="preserve"> p</w:t>
      </w:r>
      <w:r w:rsidRPr="00B70095">
        <w:t xml:space="preserve">otential of PEP005 (ingenol mebutate) Gel, 0.01%, </w:t>
      </w:r>
      <w:r>
        <w:t>u</w:t>
      </w:r>
      <w:r w:rsidRPr="00B70095">
        <w:t xml:space="preserve">sing a </w:t>
      </w:r>
      <w:r>
        <w:t>phototoxicity</w:t>
      </w:r>
      <w:r w:rsidRPr="00B70095">
        <w:t xml:space="preserve"> </w:t>
      </w:r>
      <w:r>
        <w:t>t</w:t>
      </w:r>
      <w:r w:rsidRPr="00B70095">
        <w:t xml:space="preserve">est </w:t>
      </w:r>
      <w:r>
        <w:t>d</w:t>
      </w:r>
      <w:r w:rsidRPr="00B70095">
        <w:t>esign</w:t>
      </w:r>
      <w:r>
        <w:t xml:space="preserve">. A total of </w:t>
      </w:r>
      <w:r w:rsidRPr="00B70095">
        <w:t>34 subjects were enrolled</w:t>
      </w:r>
      <w:r>
        <w:t xml:space="preserve">. </w:t>
      </w:r>
      <w:r w:rsidRPr="00080A8B">
        <w:t>There were no statistically significant differences between these irradiated</w:t>
      </w:r>
      <w:r>
        <w:t xml:space="preserve"> </w:t>
      </w:r>
      <w:r w:rsidRPr="00080A8B">
        <w:t>treatment areas with respect to signs of photo</w:t>
      </w:r>
      <w:r>
        <w:t>-</w:t>
      </w:r>
      <w:r w:rsidRPr="00080A8B">
        <w:t>irritation. There was no significant irritation observed at the non</w:t>
      </w:r>
      <w:r>
        <w:t>-</w:t>
      </w:r>
      <w:r w:rsidRPr="00080A8B">
        <w:t>irradiated</w:t>
      </w:r>
      <w:r>
        <w:t xml:space="preserve"> </w:t>
      </w:r>
      <w:r w:rsidRPr="00080A8B">
        <w:t>areas treated with the study medication or vehicle, and there was no statistically significant difference in</w:t>
      </w:r>
      <w:r>
        <w:t xml:space="preserve"> </w:t>
      </w:r>
      <w:r w:rsidRPr="00080A8B">
        <w:t>signs of the photo</w:t>
      </w:r>
      <w:r>
        <w:t>-</w:t>
      </w:r>
      <w:r w:rsidRPr="00080A8B">
        <w:t>irritation between non-irradiated treatment areas.</w:t>
      </w:r>
      <w:r w:rsidRPr="0065083F">
        <w:t xml:space="preserve"> </w:t>
      </w:r>
      <w:r w:rsidRPr="00EB3218">
        <w:rPr>
          <w:b/>
        </w:rPr>
        <w:t>PEP005-024</w:t>
      </w:r>
      <w:r>
        <w:t xml:space="preserve"> was a</w:t>
      </w:r>
      <w:r w:rsidRPr="00841C64">
        <w:t xml:space="preserve"> </w:t>
      </w:r>
      <w:r>
        <w:t>r</w:t>
      </w:r>
      <w:r w:rsidRPr="00841C64">
        <w:t xml:space="preserve">andomized, </w:t>
      </w:r>
      <w:r>
        <w:t>c</w:t>
      </w:r>
      <w:r w:rsidRPr="00841C64">
        <w:t xml:space="preserve">ontrolled </w:t>
      </w:r>
      <w:r>
        <w:t>s</w:t>
      </w:r>
      <w:r w:rsidRPr="00841C64">
        <w:t xml:space="preserve">tudy to </w:t>
      </w:r>
      <w:r>
        <w:t>e</w:t>
      </w:r>
      <w:r w:rsidRPr="00841C64">
        <w:t xml:space="preserve">valuate the </w:t>
      </w:r>
      <w:r>
        <w:t>p</w:t>
      </w:r>
      <w:r w:rsidRPr="00841C64">
        <w:t xml:space="preserve">hotoallergic </w:t>
      </w:r>
      <w:r>
        <w:t>p</w:t>
      </w:r>
      <w:r w:rsidRPr="00841C64">
        <w:t>otential of PEP005</w:t>
      </w:r>
      <w:r>
        <w:t xml:space="preserve"> </w:t>
      </w:r>
      <w:r w:rsidRPr="00841C64">
        <w:t xml:space="preserve">(ingenol mebutate) Gel, 0.01% in </w:t>
      </w:r>
      <w:r>
        <w:t>h</w:t>
      </w:r>
      <w:r w:rsidRPr="00841C64">
        <w:t xml:space="preserve">ealthy </w:t>
      </w:r>
      <w:r>
        <w:t>v</w:t>
      </w:r>
      <w:r w:rsidRPr="00841C64">
        <w:t xml:space="preserve">olunteers </w:t>
      </w:r>
      <w:r>
        <w:t>u</w:t>
      </w:r>
      <w:r w:rsidRPr="00841C64">
        <w:t xml:space="preserve">sing an </w:t>
      </w:r>
      <w:r>
        <w:t>o</w:t>
      </w:r>
      <w:r w:rsidRPr="00841C64">
        <w:t xml:space="preserve">pen </w:t>
      </w:r>
      <w:r>
        <w:t>a</w:t>
      </w:r>
      <w:r w:rsidRPr="00841C64">
        <w:t xml:space="preserve">pplication </w:t>
      </w:r>
      <w:r>
        <w:t>p</w:t>
      </w:r>
      <w:r w:rsidRPr="00841C64">
        <w:t xml:space="preserve">hotoallergic </w:t>
      </w:r>
      <w:r>
        <w:t>t</w:t>
      </w:r>
      <w:r w:rsidRPr="00841C64">
        <w:t xml:space="preserve">est </w:t>
      </w:r>
      <w:r>
        <w:t>d</w:t>
      </w:r>
      <w:r w:rsidRPr="00841C64">
        <w:t>esign</w:t>
      </w:r>
      <w:r>
        <w:t>.</w:t>
      </w:r>
      <w:r w:rsidRPr="008470CF">
        <w:t xml:space="preserve"> </w:t>
      </w:r>
      <w:r>
        <w:t xml:space="preserve">A total of </w:t>
      </w:r>
      <w:r w:rsidRPr="00841C64">
        <w:t>60 subjects were enrolled</w:t>
      </w:r>
      <w:r>
        <w:t xml:space="preserve">. </w:t>
      </w:r>
      <w:r w:rsidRPr="00841C64">
        <w:t>Neither</w:t>
      </w:r>
      <w:r>
        <w:t xml:space="preserve"> </w:t>
      </w:r>
      <w:r w:rsidRPr="00841C64">
        <w:t>PEP005 Gel 0.01% nor vehicle showed any potential for photosensitization</w:t>
      </w:r>
      <w:r>
        <w:t>.</w:t>
      </w:r>
    </w:p>
    <w:p w:rsidR="002E6F0C" w:rsidRPr="00F03019" w:rsidRDefault="002E6F0C" w:rsidP="00E82244">
      <w:pPr>
        <w:pStyle w:val="ListBullet"/>
      </w:pPr>
      <w:r>
        <w:t xml:space="preserve">Of the supporting studies in patients receiving treatment for non-malignant skin cancer (NMSC), </w:t>
      </w:r>
      <w:r w:rsidRPr="008470CF">
        <w:rPr>
          <w:b/>
        </w:rPr>
        <w:t>PEP005-002</w:t>
      </w:r>
      <w:r>
        <w:t xml:space="preserve"> was a</w:t>
      </w:r>
      <w:r w:rsidRPr="00200AD9">
        <w:t xml:space="preserve"> multi-centre, randomized, double-blind, parallel-group, vehicle-controlled study to</w:t>
      </w:r>
      <w:r>
        <w:t xml:space="preserve"> </w:t>
      </w:r>
      <w:r w:rsidRPr="00200AD9">
        <w:t>determine the safety of PEP005 Topical Gel, 0.0025%, 0.01%, and 0.05%, with two treatment schedules,</w:t>
      </w:r>
      <w:r>
        <w:t xml:space="preserve"> </w:t>
      </w:r>
      <w:r w:rsidRPr="00200AD9">
        <w:t xml:space="preserve">Day 1 and Day 2 or Day 1 and Day 8 applications </w:t>
      </w:r>
      <w:r w:rsidRPr="00200AD9">
        <w:lastRenderedPageBreak/>
        <w:t>to nodular basal cell carcinoma. A total of 58 patients were enrolled</w:t>
      </w:r>
      <w:r>
        <w:t xml:space="preserve">. </w:t>
      </w:r>
      <w:r w:rsidRPr="00200AD9">
        <w:t>The study was not</w:t>
      </w:r>
      <w:r>
        <w:t xml:space="preserve"> </w:t>
      </w:r>
      <w:r w:rsidRPr="00200AD9">
        <w:t>statistically powered to conduct formal hypothesis/inferential testing.</w:t>
      </w:r>
      <w:r>
        <w:t xml:space="preserve"> N</w:t>
      </w:r>
      <w:r w:rsidRPr="00200AD9">
        <w:t>o statistically significant differences were observed among treatment</w:t>
      </w:r>
      <w:r>
        <w:t xml:space="preserve"> </w:t>
      </w:r>
      <w:r w:rsidRPr="00200AD9">
        <w:t>groups</w:t>
      </w:r>
      <w:r>
        <w:t xml:space="preserve">. </w:t>
      </w:r>
      <w:r w:rsidRPr="008470CF">
        <w:rPr>
          <w:b/>
        </w:rPr>
        <w:t>PEP005-003</w:t>
      </w:r>
      <w:r w:rsidR="00631F91" w:rsidRPr="00631F91">
        <w:t xml:space="preserve"> </w:t>
      </w:r>
      <w:r>
        <w:t>was a</w:t>
      </w:r>
      <w:r w:rsidRPr="00200AD9">
        <w:rPr>
          <w:rFonts w:eastAsia="TimesNewRomanPSMT"/>
        </w:rPr>
        <w:t xml:space="preserve"> multi-cent</w:t>
      </w:r>
      <w:r>
        <w:rPr>
          <w:rFonts w:eastAsia="TimesNewRomanPSMT"/>
        </w:rPr>
        <w:t>re</w:t>
      </w:r>
      <w:r w:rsidRPr="00200AD9">
        <w:rPr>
          <w:rFonts w:eastAsia="TimesNewRomanPSMT"/>
        </w:rPr>
        <w:t>, randomized, double-blind, parallel-group, vehicle-controlled study to</w:t>
      </w:r>
      <w:r>
        <w:rPr>
          <w:rFonts w:eastAsia="TimesNewRomanPSMT"/>
        </w:rPr>
        <w:t xml:space="preserve"> </w:t>
      </w:r>
      <w:r w:rsidRPr="00200AD9">
        <w:rPr>
          <w:rFonts w:eastAsia="TimesNewRomanPSMT"/>
        </w:rPr>
        <w:t>determine the safety of PEP005 0.0025%, 0.01%, and 0.05% gel with two treatment schedules, Day 1 and</w:t>
      </w:r>
      <w:r>
        <w:rPr>
          <w:rFonts w:eastAsia="TimesNewRomanPSMT"/>
        </w:rPr>
        <w:t xml:space="preserve"> </w:t>
      </w:r>
      <w:r w:rsidRPr="00200AD9">
        <w:rPr>
          <w:rFonts w:eastAsia="TimesNewRomanPSMT"/>
        </w:rPr>
        <w:t>Day 2 or Day 1 and Day 8 applications to superficial basal cell carcinoma</w:t>
      </w:r>
      <w:r>
        <w:rPr>
          <w:rFonts w:eastAsia="TimesNewRomanPSMT"/>
        </w:rPr>
        <w:t>.</w:t>
      </w:r>
      <w:r w:rsidRPr="00186970">
        <w:rPr>
          <w:rFonts w:ascii="TimesNewRomanPSMT" w:eastAsia="TimesNewRomanPSMT" w:cs="TimesNewRomanPSMT"/>
          <w:sz w:val="21"/>
          <w:szCs w:val="21"/>
        </w:rPr>
        <w:t xml:space="preserve"> </w:t>
      </w:r>
      <w:r w:rsidRPr="00186970">
        <w:rPr>
          <w:rFonts w:eastAsia="TimesNewRomanPSMT"/>
        </w:rPr>
        <w:t>The study was not</w:t>
      </w:r>
      <w:r>
        <w:rPr>
          <w:rFonts w:eastAsia="TimesNewRomanPSMT"/>
        </w:rPr>
        <w:t xml:space="preserve"> </w:t>
      </w:r>
      <w:r w:rsidRPr="00186970">
        <w:rPr>
          <w:rFonts w:eastAsia="TimesNewRomanPSMT"/>
        </w:rPr>
        <w:t>statistically powered to conduct formal hypothesis/inferential testing.</w:t>
      </w:r>
      <w:r w:rsidRPr="00186970">
        <w:t xml:space="preserve"> </w:t>
      </w:r>
      <w:r w:rsidRPr="00186970">
        <w:rPr>
          <w:rFonts w:eastAsia="TimesNewRomanPSMT"/>
        </w:rPr>
        <w:t>Overall, the incidence of AEs was low. No patients enrolled in this study had any</w:t>
      </w:r>
      <w:r>
        <w:rPr>
          <w:rFonts w:eastAsia="TimesNewRomanPSMT"/>
        </w:rPr>
        <w:t xml:space="preserve"> </w:t>
      </w:r>
      <w:r w:rsidRPr="00186970">
        <w:rPr>
          <w:rFonts w:eastAsia="TimesNewRomanPSMT"/>
        </w:rPr>
        <w:t>serious adverse events (SAEs). Of the 60 patients enrolled in this study, four patients had a wound</w:t>
      </w:r>
      <w:r w:rsidR="00631F91" w:rsidRPr="00631F91">
        <w:rPr>
          <w:rFonts w:eastAsia="TimesNewRomanPSMT"/>
        </w:rPr>
        <w:t xml:space="preserve"> </w:t>
      </w:r>
      <w:r w:rsidRPr="00186970">
        <w:rPr>
          <w:rFonts w:eastAsia="TimesNewRomanPSMT"/>
        </w:rPr>
        <w:t>infection and three patients experienced a fall</w:t>
      </w:r>
      <w:r>
        <w:rPr>
          <w:rFonts w:eastAsia="TimesNewRomanPSMT"/>
        </w:rPr>
        <w:t xml:space="preserve">. </w:t>
      </w:r>
      <w:r w:rsidRPr="00CC6074">
        <w:rPr>
          <w:b/>
        </w:rPr>
        <w:t>PEP005-008</w:t>
      </w:r>
      <w:r>
        <w:t xml:space="preserve"> was a m</w:t>
      </w:r>
      <w:r w:rsidRPr="00865D7A">
        <w:t>ulti-centre, open-label study to determine the safety and efficacy of PEP005 0.05% Topical Gel in patients with</w:t>
      </w:r>
      <w:r>
        <w:t xml:space="preserve"> </w:t>
      </w:r>
      <w:r w:rsidRPr="00865D7A">
        <w:t>cutaneous Squamous Cell Carcinoma in situ (SCCIS, Bowen’s Disease).</w:t>
      </w:r>
      <w:r w:rsidRPr="00CC6074">
        <w:t xml:space="preserve"> </w:t>
      </w:r>
      <w:r w:rsidRPr="00865D7A">
        <w:t>A total of 34 subjects were screened and 25 were enrolled in the study</w:t>
      </w:r>
      <w:r>
        <w:t xml:space="preserve">. </w:t>
      </w:r>
      <w:r w:rsidRPr="00865D7A">
        <w:t>Safety parameters were assessed using summary statistics</w:t>
      </w:r>
      <w:r>
        <w:t>.</w:t>
      </w:r>
      <w:r w:rsidR="00631F91" w:rsidRPr="00631F91">
        <w:t xml:space="preserve"> </w:t>
      </w:r>
      <w:r w:rsidRPr="002261C6">
        <w:t xml:space="preserve">All 25 subjects experienced at least one </w:t>
      </w:r>
      <w:r>
        <w:t>expected</w:t>
      </w:r>
      <w:r w:rsidRPr="002261C6">
        <w:t xml:space="preserve"> LSR greater than baseline within the first week</w:t>
      </w:r>
      <w:r>
        <w:t xml:space="preserve"> </w:t>
      </w:r>
      <w:r w:rsidRPr="002261C6">
        <w:t>after receiving PEP005 0.05% Topical Gel. Of these, the most frequently reported responses were erythema</w:t>
      </w:r>
      <w:r>
        <w:t xml:space="preserve"> </w:t>
      </w:r>
      <w:r w:rsidRPr="002261C6">
        <w:t>(25 / 25; 100%), skin desquamation (20 / 25; 80%) and swelling (14 / 25; 56%).</w:t>
      </w:r>
      <w:r>
        <w:t xml:space="preserve"> </w:t>
      </w:r>
      <w:r w:rsidRPr="00F03019">
        <w:rPr>
          <w:b/>
        </w:rPr>
        <w:t>PEP005-009</w:t>
      </w:r>
      <w:r w:rsidRPr="00F03019">
        <w:t xml:space="preserve"> </w:t>
      </w:r>
      <w:r>
        <w:t xml:space="preserve">was </w:t>
      </w:r>
      <w:r w:rsidRPr="006A162E">
        <w:t>an open-label, multicentre, dose-escalation, cohort study to determine the maximum tolerated dose and safety of PEP005 Topical Gel given as either a single</w:t>
      </w:r>
      <w:r>
        <w:t xml:space="preserve"> </w:t>
      </w:r>
      <w:r w:rsidRPr="006A162E">
        <w:t>application (on Day 1) or as two applications (on Day 1 and Day 8) to a superficial basal cell carcinoma (sBCC) on the trunk.</w:t>
      </w:r>
      <w:r>
        <w:t xml:space="preserve"> </w:t>
      </w:r>
      <w:r w:rsidRPr="006A162E">
        <w:t xml:space="preserve">The most common treatment-related AEs among 47 patients treated at the 0.25% concentration were application-site reactions (36% of patients in Arm 1 and 50% in Arm 2); these included pruritus, irritation and, less frequently, pain. Other possibly treatment-related AEs in the overall study population were limited to influenza and </w:t>
      </w:r>
      <w:r w:rsidR="00E82244">
        <w:t>arthralgia in one patient each.</w:t>
      </w:r>
    </w:p>
    <w:p w:rsidR="002E6F0C" w:rsidRPr="006A162E" w:rsidRDefault="002E6F0C" w:rsidP="001731A6">
      <w:pPr>
        <w:pStyle w:val="ListBullet"/>
      </w:pPr>
      <w:r>
        <w:t>From the overall safety database (a</w:t>
      </w:r>
      <w:r w:rsidRPr="006A162E">
        <w:t>cross all SK field treatment studies</w:t>
      </w:r>
      <w:r>
        <w:t xml:space="preserve">), </w:t>
      </w:r>
      <w:r w:rsidRPr="006A162E">
        <w:t>42.5% of PEP005 Gel-treated patients had an AE</w:t>
      </w:r>
      <w:r>
        <w:t xml:space="preserve"> </w:t>
      </w:r>
      <w:r w:rsidRPr="006A162E">
        <w:t>compared with 24.2% of vehicle-treated patients</w:t>
      </w:r>
      <w:r>
        <w:t>.</w:t>
      </w:r>
      <w:r w:rsidR="00631F91" w:rsidRPr="00631F91">
        <w:t xml:space="preserve"> </w:t>
      </w:r>
      <w:r w:rsidRPr="006A162E">
        <w:t>For PEP005 Gel-treated patients, the most frequently reported AEs considered related to</w:t>
      </w:r>
      <w:r>
        <w:rPr>
          <w:rFonts w:ascii="TimesNewRoman" w:hAnsi="TimesNewRoman" w:cs="TimesNewRoman"/>
        </w:rPr>
        <w:t xml:space="preserve"> </w:t>
      </w:r>
      <w:r w:rsidRPr="006A162E">
        <w:t xml:space="preserve">study medication included application site pruritus (10.7%), application site pain (7.8%), and application site irritation (7.0%). Differences were noted with respect to the incidence of treatment-related AEs between treatment locations. In the controlled </w:t>
      </w:r>
      <w:r w:rsidR="00631F91" w:rsidRPr="00631F91">
        <w:t>Phase III</w:t>
      </w:r>
      <w:r w:rsidRPr="006A162E">
        <w:t xml:space="preserve"> studies, patients treated with PEP005 Gel on the face or scalp had a higher incidence of application site pain than patients treated on the trunk or extremities (13.9% vs. 1.8%, respectively). Similarly, patients treated on the face or scalp had eye-associated disorders, such as eyelid oedema (1.1%) and periorbital oedema (2.6%), whereas patients treated on the trunk or extremities had no reports of these events.</w:t>
      </w:r>
      <w:r w:rsidRPr="007F202F">
        <w:t xml:space="preserve"> </w:t>
      </w:r>
      <w:r w:rsidRPr="006A162E">
        <w:t>The majority of patients had an AE with maximum severity of mild or moderate intensity. Severe AEs were reported by 3.2% of PEP005 Gel-treated patients and 1.6% of vehicle-treated patients.</w:t>
      </w:r>
    </w:p>
    <w:p w:rsidR="002E6F0C" w:rsidRPr="007F202F" w:rsidRDefault="002E6F0C" w:rsidP="001731A6">
      <w:pPr>
        <w:pStyle w:val="ListBullet"/>
      </w:pPr>
      <w:r>
        <w:t>From the overall safety database (a</w:t>
      </w:r>
      <w:r w:rsidRPr="006A162E">
        <w:t>cross all SK field treatment studies</w:t>
      </w:r>
      <w:r>
        <w:t xml:space="preserve">), </w:t>
      </w:r>
      <w:r w:rsidRPr="006A162E">
        <w:t>SAEs were identified for 4.2% of patients in the PEP005 Gel group and 3.6% of patients in the vehicle group. Of these SAEs, BCC (occurring in 1.5% of PEP005 Gel-treated patients and 1.1% of vehicle-treated patients) and SCC (0.9% of PEP005 Gel-treated patients and 0.8% of vehicle-treated patients) were the most frequently reported for both treatment groups . Three patients (all treated with PEP005 Gel, 0.05%) had an SAE that was assessed as treatment-related; 1 patient had Bowen’s disease, graded as mild and 2 patients had SCC, 1 graded as mild an</w:t>
      </w:r>
      <w:r w:rsidR="00E82244">
        <w:t>d the other graded as moderate.</w:t>
      </w:r>
    </w:p>
    <w:p w:rsidR="002E6F0C" w:rsidRDefault="002E6F0C" w:rsidP="001731A6">
      <w:pPr>
        <w:pStyle w:val="ListBullet"/>
      </w:pPr>
      <w:r w:rsidRPr="000C0E8A">
        <w:t xml:space="preserve">Across all studies, there was one death, which occurred in a patient who received PEP005 Gel, 0.005% in study PEP005-015. The patient, a </w:t>
      </w:r>
      <w:r>
        <w:t>[information redacted] W</w:t>
      </w:r>
      <w:r w:rsidRPr="000C0E8A">
        <w:t>hite male, died of coronary artery atherosclerosis and hypertension approximately 4 months after receiving study treatment.</w:t>
      </w:r>
      <w:r w:rsidR="00631F91" w:rsidRPr="00631F91">
        <w:t xml:space="preserve"> </w:t>
      </w:r>
      <w:r>
        <w:t xml:space="preserve">There were no safety issues identified with regard to abnormal laboratory findings. </w:t>
      </w:r>
      <w:r w:rsidRPr="000C0E8A">
        <w:t>No significant safety issues were identified as a result of discontinuations.</w:t>
      </w:r>
    </w:p>
    <w:p w:rsidR="002E6F0C" w:rsidRPr="000C0E8A" w:rsidRDefault="002E6F0C" w:rsidP="001731A6">
      <w:pPr>
        <w:pStyle w:val="ListBullet"/>
      </w:pPr>
      <w:r>
        <w:lastRenderedPageBreak/>
        <w:t xml:space="preserve">Safety results from pivotal studies were consistent with the overall safety database, and did not raise any </w:t>
      </w:r>
      <w:r w:rsidRPr="000C0E8A">
        <w:t>significant safety issues</w:t>
      </w:r>
      <w:r>
        <w:t>.</w:t>
      </w:r>
    </w:p>
    <w:p w:rsidR="002E6F0C" w:rsidRPr="003858E1" w:rsidRDefault="002E6F0C" w:rsidP="001731A6">
      <w:pPr>
        <w:pStyle w:val="ListBullet"/>
      </w:pPr>
      <w:r w:rsidRPr="003858E1">
        <w:t>Long-term safety was assessed in 3 prospective, longitudinal, observational studies (</w:t>
      </w:r>
      <w:r w:rsidRPr="00AB1740">
        <w:t>PEP005-030, PEP005-031</w:t>
      </w:r>
      <w:r w:rsidRPr="003858E1">
        <w:t xml:space="preserve">, and </w:t>
      </w:r>
      <w:r w:rsidRPr="00AB1740">
        <w:t>PEP005-032</w:t>
      </w:r>
      <w:r w:rsidRPr="003858E1">
        <w:t xml:space="preserve">) that were designed to evaluate lesion recurrence and safety within the selected treatment area over a 12-month follow-up period in patients who had achieved complete clearance of AK lesions in studies </w:t>
      </w:r>
      <w:r w:rsidRPr="00AB1740">
        <w:t>PEP005-016</w:t>
      </w:r>
      <w:r w:rsidRPr="003858E1">
        <w:t xml:space="preserve">, </w:t>
      </w:r>
      <w:r w:rsidRPr="00AB1740">
        <w:t>PEP005- 020</w:t>
      </w:r>
      <w:r w:rsidRPr="003858E1">
        <w:t xml:space="preserve">, </w:t>
      </w:r>
      <w:r w:rsidRPr="00AB1740">
        <w:t>PEP005-025</w:t>
      </w:r>
      <w:r w:rsidRPr="003858E1">
        <w:t xml:space="preserve">, and </w:t>
      </w:r>
      <w:r w:rsidRPr="00AB1740">
        <w:t>PEP005-028</w:t>
      </w:r>
      <w:r w:rsidRPr="003858E1">
        <w:t>. A total of 198 patients had demonstrated complete clearance of AK lesions (following treatment with PEP005 Gel [184 patients] or vehicle [14 patients]) at the Day 57 visit of the prior study and were enrolled in the long-term, follow-up studies. During follow-up, no patient received PEP005 Gel, and 14 patients prematurely discontinued due to: withdrawal of consent (9 patients), protocol violation (2 patients), lost to follow-up (1 patient), investigator decision (1 patient), and inability to return to the study site for the 12-month visit (1 patient). Over 12 months of follow-up, 3 of the 198 patients had an AE within the selected treatment area that consisted of a mild sun burn, a moderate haematoma, and a mild rash. All 3 AEs occurred approximately 8 to 9 months after the start of follow-up; all events resolved within 2 weeks of onset, and all were considered not related to the study drug received during the</w:t>
      </w:r>
      <w:r>
        <w:t xml:space="preserve"> </w:t>
      </w:r>
      <w:r w:rsidRPr="003858E1">
        <w:t>prior study.</w:t>
      </w:r>
    </w:p>
    <w:p w:rsidR="002E6F0C" w:rsidRDefault="00E82244" w:rsidP="001731A6">
      <w:pPr>
        <w:pStyle w:val="Heading2"/>
      </w:pPr>
      <w:bookmarkStart w:id="137" w:name="_Toc236802588"/>
      <w:bookmarkStart w:id="138" w:name="_Toc314158768"/>
      <w:bookmarkStart w:id="139" w:name="_Toc367127780"/>
      <w:r>
        <w:t>Summary and d</w:t>
      </w:r>
      <w:r w:rsidR="00C75DEA">
        <w:t>iscussion</w:t>
      </w:r>
      <w:bookmarkEnd w:id="137"/>
      <w:bookmarkEnd w:id="138"/>
      <w:bookmarkEnd w:id="139"/>
    </w:p>
    <w:p w:rsidR="002E6F0C" w:rsidRDefault="002E6F0C" w:rsidP="001731A6">
      <w:pPr>
        <w:pStyle w:val="Heading3"/>
      </w:pPr>
      <w:bookmarkStart w:id="140" w:name="_Toc236802592"/>
      <w:bookmarkStart w:id="141" w:name="_Toc241374331"/>
      <w:bookmarkStart w:id="142" w:name="_Toc314158769"/>
      <w:bookmarkStart w:id="143" w:name="_Toc367127781"/>
      <w:r>
        <w:t>Clinical aspects</w:t>
      </w:r>
      <w:bookmarkEnd w:id="140"/>
      <w:bookmarkEnd w:id="141"/>
      <w:bookmarkEnd w:id="142"/>
      <w:bookmarkEnd w:id="143"/>
    </w:p>
    <w:p w:rsidR="002E6F0C" w:rsidRDefault="002E6F0C" w:rsidP="001731A6">
      <w:pPr>
        <w:pStyle w:val="Heading4"/>
      </w:pPr>
      <w:r>
        <w:t>Pharmacokinetics</w:t>
      </w:r>
    </w:p>
    <w:p w:rsidR="002E6F0C" w:rsidRDefault="002E6F0C" w:rsidP="00C75DEA">
      <w:r>
        <w:t>Ingenol mebutate, at the concentrations applied topically for treatment of SK lesions, has no detectable systemic absorption. This is supported by the human PK profile from allometric scaling, as well as some limited PK data obtained from subjects in 4 clinical studies.</w:t>
      </w:r>
    </w:p>
    <w:p w:rsidR="002E6F0C" w:rsidRDefault="002E6F0C" w:rsidP="001731A6">
      <w:pPr>
        <w:pStyle w:val="Heading4"/>
      </w:pPr>
      <w:r>
        <w:t>Pharmacodynamics</w:t>
      </w:r>
    </w:p>
    <w:p w:rsidR="002E6F0C" w:rsidRDefault="002E6F0C" w:rsidP="00C75DEA">
      <w:r>
        <w:t>No clinical studies on human pharmacodynamics were conducted.</w:t>
      </w:r>
      <w:r w:rsidR="00631F91" w:rsidRPr="00631F91">
        <w:t xml:space="preserve"> </w:t>
      </w:r>
      <w:r>
        <w:t>The mechanism of action in SK is not fully understood, but appears to be a combination of induction of local lesion cell death and promotion of an inflammatory response with neutrophils and other immuno</w:t>
      </w:r>
      <w:r w:rsidR="0041198F">
        <w:t>-</w:t>
      </w:r>
      <w:r>
        <w:t>competent cells.</w:t>
      </w:r>
    </w:p>
    <w:p w:rsidR="002E6F0C" w:rsidRDefault="002E6F0C" w:rsidP="001731A6">
      <w:pPr>
        <w:pStyle w:val="Heading4"/>
      </w:pPr>
      <w:r>
        <w:t>Clinical efficacy</w:t>
      </w:r>
    </w:p>
    <w:p w:rsidR="002E6F0C" w:rsidRDefault="002E6F0C" w:rsidP="001731A6">
      <w:pPr>
        <w:pStyle w:val="Heading5"/>
      </w:pPr>
      <w:r>
        <w:t>Dose-response studies and main clinical studies</w:t>
      </w:r>
    </w:p>
    <w:p w:rsidR="002E6F0C" w:rsidRDefault="002E6F0C" w:rsidP="00C75DEA">
      <w:r>
        <w:t xml:space="preserve">Information on clinical efficacy was provided for the 2 specific indications, the treatment of solar (actinic) keratoses (SK) on the face and scalp (0.015% Picato Gel), and for the treatment of SK on the body (non-head regions) (0.05% Picato Gel). For the first indication, PEP005-015, PEP005-016 and PEP005-025 were randomised, double-blind, vehicle-controlled, parallel-group studies, and were the pivotal studies. PEP005-015 was a dose-ranging study that included the proposed dosage regimen treatment on head locations. PEP005-016 and PEP005-025 were </w:t>
      </w:r>
      <w:r w:rsidR="00631F91" w:rsidRPr="00631F91">
        <w:t>Phase III</w:t>
      </w:r>
      <w:r>
        <w:t xml:space="preserve"> studies that evaluated the proposed dosage regimen of Picato Gel for treatment of head locations. For the second indication, PEP005-014 and PEP005-028 were well-controlled </w:t>
      </w:r>
      <w:r w:rsidR="00631F91" w:rsidRPr="00631F91">
        <w:t>Phase III</w:t>
      </w:r>
      <w:r>
        <w:t xml:space="preserve"> studies that evaluated the proposed dosage regimen application of Picato Gel for treatment of non-head locations, and should be regarded as the pivotal studies for this indication. Additionally, PEP005-006 was a </w:t>
      </w:r>
      <w:r w:rsidR="00631F91" w:rsidRPr="00631F91">
        <w:t>Phase II</w:t>
      </w:r>
      <w:r>
        <w:t>, randomised, double-blind, double dummy, vehicle-controlled sequential cohort study which provided dose-ranging information for the second indication, although it included subjects with both face and scalp as well as body (non-head regions) SK.</w:t>
      </w:r>
    </w:p>
    <w:p w:rsidR="002E6F0C" w:rsidRPr="00265C56" w:rsidRDefault="002E6F0C" w:rsidP="00C75DEA">
      <w:r>
        <w:lastRenderedPageBreak/>
        <w:t>For the pivotal studies, a</w:t>
      </w:r>
      <w:r w:rsidRPr="00F77D80">
        <w:t xml:space="preserve"> study design using an active comparator was not employed because of the potential to</w:t>
      </w:r>
      <w:r>
        <w:t xml:space="preserve"> </w:t>
      </w:r>
      <w:r w:rsidRPr="00F77D80">
        <w:t xml:space="preserve">introduce bias with regard to the selection and timing of study endpoints. </w:t>
      </w:r>
      <w:r>
        <w:t xml:space="preserve">This was reasonable, as </w:t>
      </w:r>
      <w:r w:rsidRPr="00F77D80">
        <w:t>any available active comparator used in the same patient population represent different</w:t>
      </w:r>
      <w:r>
        <w:t xml:space="preserve"> </w:t>
      </w:r>
      <w:r w:rsidRPr="00F77D80">
        <w:t>modalities of treatment. As a result, efficacy endpoints would have been measured at different</w:t>
      </w:r>
      <w:r>
        <w:t xml:space="preserve"> </w:t>
      </w:r>
      <w:r w:rsidRPr="00F77D80">
        <w:t>times during a comparator trial.</w:t>
      </w:r>
      <w:r>
        <w:t xml:space="preserve"> As an example, </w:t>
      </w:r>
      <w:r w:rsidRPr="00265C56">
        <w:rPr>
          <w:rFonts w:cs="TimesNewRoman"/>
        </w:rPr>
        <w:t>Imiquimod is approved for treatment on the face and scalp, and is available in two strengths.</w:t>
      </w:r>
      <w:r>
        <w:rPr>
          <w:rFonts w:cs="TimesNewRoman"/>
        </w:rPr>
        <w:t xml:space="preserve"> </w:t>
      </w:r>
      <w:r w:rsidRPr="00265C56">
        <w:rPr>
          <w:rFonts w:cs="TimesNewRoman"/>
        </w:rPr>
        <w:t>The first is a 5% cream (Aldara</w:t>
      </w:r>
      <w:r w:rsidRPr="00265C56">
        <w:rPr>
          <w:rFonts w:cs="TimesNewRoman"/>
          <w:szCs w:val="16"/>
        </w:rPr>
        <w:t>™</w:t>
      </w:r>
      <w:r w:rsidRPr="00265C56">
        <w:rPr>
          <w:rFonts w:cs="TimesNewRoman"/>
        </w:rPr>
        <w:t>) which in Australia is approved for cyclic treatment; 3 times</w:t>
      </w:r>
      <w:r>
        <w:rPr>
          <w:rFonts w:cs="TimesNewRoman"/>
        </w:rPr>
        <w:t xml:space="preserve"> </w:t>
      </w:r>
      <w:r w:rsidRPr="00265C56">
        <w:rPr>
          <w:rFonts w:cs="TimesNewRoman"/>
        </w:rPr>
        <w:t>per week for 4 weeks. After a 4-week no-treatment period another 4-week course can be</w:t>
      </w:r>
      <w:r>
        <w:rPr>
          <w:rFonts w:cs="TimesNewRoman"/>
        </w:rPr>
        <w:t xml:space="preserve"> </w:t>
      </w:r>
      <w:r w:rsidRPr="00265C56">
        <w:rPr>
          <w:rFonts w:cs="TimesNewRoman"/>
        </w:rPr>
        <w:t>applied if required. A continuous treatment period of 3 times per week for 16 weeks is also</w:t>
      </w:r>
      <w:r>
        <w:rPr>
          <w:rFonts w:cs="TimesNewRoman"/>
        </w:rPr>
        <w:t xml:space="preserve"> </w:t>
      </w:r>
      <w:r w:rsidRPr="00265C56">
        <w:rPr>
          <w:rFonts w:cs="TimesNewRoman"/>
        </w:rPr>
        <w:t>approved in Australia</w:t>
      </w:r>
      <w:r>
        <w:t xml:space="preserve"> All pivotal studies were vehicle-controlled</w:t>
      </w:r>
      <w:r>
        <w:rPr>
          <w:rFonts w:cs="TimesNewRoman"/>
        </w:rPr>
        <w:t>.</w:t>
      </w:r>
    </w:p>
    <w:p w:rsidR="002E6F0C" w:rsidRDefault="002E6F0C" w:rsidP="00C75DEA">
      <w:pPr>
        <w:rPr>
          <w:color w:val="000000"/>
        </w:rPr>
      </w:pPr>
      <w:r>
        <w:t>For the pivotal studies, t</w:t>
      </w:r>
      <w:r w:rsidRPr="00F505B2">
        <w:t xml:space="preserve">he majority of </w:t>
      </w:r>
      <w:r>
        <w:t>S</w:t>
      </w:r>
      <w:r w:rsidRPr="00F505B2">
        <w:t xml:space="preserve">Ks </w:t>
      </w:r>
      <w:r>
        <w:t>we</w:t>
      </w:r>
      <w:r w:rsidRPr="00F505B2">
        <w:t>re diagnosed clinically, not histologically</w:t>
      </w:r>
      <w:r>
        <w:t xml:space="preserve">. </w:t>
      </w:r>
      <w:r w:rsidRPr="00F505B2">
        <w:rPr>
          <w:color w:val="000000"/>
        </w:rPr>
        <w:t xml:space="preserve">In a study where 271 lesions were biopsied to correlate </w:t>
      </w:r>
      <w:r>
        <w:rPr>
          <w:color w:val="000000"/>
        </w:rPr>
        <w:t>S</w:t>
      </w:r>
      <w:r w:rsidRPr="00F505B2">
        <w:rPr>
          <w:color w:val="000000"/>
        </w:rPr>
        <w:t>K</w:t>
      </w:r>
      <w:r>
        <w:rPr>
          <w:color w:val="000000"/>
        </w:rPr>
        <w:t xml:space="preserve"> </w:t>
      </w:r>
      <w:r w:rsidRPr="00F505B2">
        <w:rPr>
          <w:color w:val="000000"/>
        </w:rPr>
        <w:t>and SCC, clinical diagnosis and histopathologic findings agreed in 91% of the biopsies</w:t>
      </w:r>
      <w:r>
        <w:rPr>
          <w:color w:val="000000"/>
        </w:rPr>
        <w:t xml:space="preserve">. </w:t>
      </w:r>
      <w:r w:rsidRPr="002B4026">
        <w:rPr>
          <w:rFonts w:cs="AdvUnivers"/>
          <w:szCs w:val="18"/>
        </w:rPr>
        <w:t>Punch biopsies of 220 clinically diagnosed untreated AKs were</w:t>
      </w:r>
      <w:r w:rsidR="00631F91" w:rsidRPr="00631F91">
        <w:rPr>
          <w:rFonts w:cs="AdvUnivers"/>
          <w:szCs w:val="18"/>
        </w:rPr>
        <w:t xml:space="preserve"> </w:t>
      </w:r>
      <w:r>
        <w:rPr>
          <w:rFonts w:cs="AdvUnivers"/>
          <w:szCs w:val="18"/>
        </w:rPr>
        <w:t>p</w:t>
      </w:r>
      <w:r w:rsidRPr="002B4026">
        <w:rPr>
          <w:rFonts w:cs="AdvUnivers"/>
          <w:szCs w:val="18"/>
        </w:rPr>
        <w:t>erformed at</w:t>
      </w:r>
      <w:r>
        <w:rPr>
          <w:rFonts w:cs="AdvUnivers"/>
          <w:szCs w:val="18"/>
        </w:rPr>
        <w:t xml:space="preserve"> </w:t>
      </w:r>
      <w:r w:rsidRPr="002B4026">
        <w:rPr>
          <w:rFonts w:cs="AdvUnivers"/>
          <w:szCs w:val="18"/>
        </w:rPr>
        <w:t>baseline plus 51 lesions unresponsive to treatment (total, 271).</w:t>
      </w:r>
      <w:r>
        <w:rPr>
          <w:rFonts w:cs="AdvUnivers"/>
          <w:szCs w:val="18"/>
        </w:rPr>
        <w:t xml:space="preserve"> </w:t>
      </w:r>
      <w:r w:rsidRPr="002B4026">
        <w:rPr>
          <w:rFonts w:cs="AdvUnivers"/>
          <w:szCs w:val="18"/>
        </w:rPr>
        <w:t>Clinical diagnosis and histopathologic findings agreed in 91% (246/271) of the</w:t>
      </w:r>
      <w:r>
        <w:rPr>
          <w:rFonts w:cs="AdvUnivers"/>
          <w:szCs w:val="18"/>
        </w:rPr>
        <w:t xml:space="preserve"> </w:t>
      </w:r>
      <w:r w:rsidRPr="002B4026">
        <w:rPr>
          <w:rFonts w:cs="AdvUnivers"/>
          <w:szCs w:val="18"/>
        </w:rPr>
        <w:t xml:space="preserve">lesions biopsied. The </w:t>
      </w:r>
      <w:r w:rsidR="001731A6">
        <w:rPr>
          <w:rFonts w:cs="AdvUnivers"/>
          <w:szCs w:val="18"/>
        </w:rPr>
        <w:t>results</w:t>
      </w:r>
      <w:r w:rsidRPr="002B4026">
        <w:rPr>
          <w:rFonts w:cs="AdvUnivers"/>
          <w:szCs w:val="18"/>
        </w:rPr>
        <w:t xml:space="preserve"> </w:t>
      </w:r>
      <w:r w:rsidR="001731A6">
        <w:rPr>
          <w:rFonts w:cs="AdvUnivers"/>
          <w:szCs w:val="18"/>
        </w:rPr>
        <w:t>from</w:t>
      </w:r>
      <w:r w:rsidRPr="002B4026">
        <w:rPr>
          <w:rFonts w:cs="AdvUnivers"/>
          <w:szCs w:val="18"/>
        </w:rPr>
        <w:t xml:space="preserve"> the biopsied lesions were: (1) benign changes 4% (11/271)</w:t>
      </w:r>
      <w:r>
        <w:rPr>
          <w:rFonts w:cs="AdvUnivers"/>
          <w:szCs w:val="18"/>
        </w:rPr>
        <w:t xml:space="preserve"> </w:t>
      </w:r>
      <w:r w:rsidRPr="002B4026">
        <w:rPr>
          <w:rFonts w:cs="AdvUnivers"/>
          <w:szCs w:val="18"/>
        </w:rPr>
        <w:t>and (2) occult cutaneous malignancy in 5% (14/271) of the cases, 12 squamous cell carcinomas</w:t>
      </w:r>
      <w:r>
        <w:rPr>
          <w:rFonts w:cs="AdvUnivers"/>
          <w:szCs w:val="18"/>
        </w:rPr>
        <w:t xml:space="preserve"> </w:t>
      </w:r>
      <w:r w:rsidRPr="002B4026">
        <w:rPr>
          <w:rFonts w:cs="AdvUnivers"/>
          <w:szCs w:val="18"/>
        </w:rPr>
        <w:t>and 2 basal cell carcinomas</w:t>
      </w:r>
      <w:r>
        <w:rPr>
          <w:rFonts w:cs="AdvUnivers"/>
          <w:szCs w:val="18"/>
        </w:rPr>
        <w:t xml:space="preserve">. </w:t>
      </w:r>
      <w:r>
        <w:rPr>
          <w:color w:val="000000"/>
        </w:rPr>
        <w:t>H</w:t>
      </w:r>
      <w:r w:rsidRPr="00F505B2">
        <w:rPr>
          <w:color w:val="000000"/>
        </w:rPr>
        <w:t xml:space="preserve">istological data were evaluated in a </w:t>
      </w:r>
      <w:r w:rsidR="00631F91" w:rsidRPr="00631F91">
        <w:rPr>
          <w:color w:val="000000"/>
        </w:rPr>
        <w:t>Phase I</w:t>
      </w:r>
      <w:r w:rsidRPr="00F505B2">
        <w:rPr>
          <w:color w:val="000000"/>
        </w:rPr>
        <w:t>,</w:t>
      </w:r>
      <w:r>
        <w:rPr>
          <w:color w:val="000000"/>
        </w:rPr>
        <w:t xml:space="preserve"> </w:t>
      </w:r>
      <w:r w:rsidRPr="00F505B2">
        <w:rPr>
          <w:color w:val="000000"/>
        </w:rPr>
        <w:t>lesion-specific study (</w:t>
      </w:r>
      <w:r w:rsidRPr="00F505B2">
        <w:t>PEP005-001</w:t>
      </w:r>
      <w:r w:rsidRPr="00F505B2">
        <w:rPr>
          <w:color w:val="000000"/>
        </w:rPr>
        <w:t xml:space="preserve">). </w:t>
      </w:r>
      <w:r>
        <w:rPr>
          <w:color w:val="000000"/>
        </w:rPr>
        <w:t>While only small numbers were involved, it did appear to support histological confirmation of clearance.</w:t>
      </w:r>
    </w:p>
    <w:p w:rsidR="002E6F0C" w:rsidRDefault="002E6F0C" w:rsidP="00C75DEA">
      <w:pPr>
        <w:rPr>
          <w:color w:val="000000"/>
        </w:rPr>
      </w:pPr>
      <w:r>
        <w:t>For the pivotal studies, t</w:t>
      </w:r>
      <w:r w:rsidRPr="00F505B2">
        <w:t>he comparative efficacy analyses for head and non-head locations used the same efficacy</w:t>
      </w:r>
      <w:r>
        <w:t xml:space="preserve"> </w:t>
      </w:r>
      <w:r w:rsidRPr="00F505B2">
        <w:t>endpoints. For the combined studies populations, the primary efficacy endpoint was complete</w:t>
      </w:r>
      <w:r>
        <w:t xml:space="preserve"> </w:t>
      </w:r>
      <w:r w:rsidRPr="00F505B2">
        <w:rPr>
          <w:color w:val="000000"/>
        </w:rPr>
        <w:t xml:space="preserve">clearance, defined as the proportion of patients at Day 57 with no clinically visible </w:t>
      </w:r>
      <w:r>
        <w:rPr>
          <w:color w:val="000000"/>
        </w:rPr>
        <w:t>S</w:t>
      </w:r>
      <w:r w:rsidRPr="00F505B2">
        <w:rPr>
          <w:color w:val="000000"/>
        </w:rPr>
        <w:t>K lesions</w:t>
      </w:r>
      <w:r>
        <w:rPr>
          <w:color w:val="000000"/>
        </w:rPr>
        <w:t xml:space="preserve"> </w:t>
      </w:r>
      <w:r w:rsidRPr="00F505B2">
        <w:rPr>
          <w:color w:val="000000"/>
        </w:rPr>
        <w:t>in the selected treatment area. For the head location, this endpoint was pre</w:t>
      </w:r>
      <w:r>
        <w:rPr>
          <w:color w:val="000000"/>
        </w:rPr>
        <w:t>-</w:t>
      </w:r>
      <w:r w:rsidRPr="00F505B2">
        <w:rPr>
          <w:color w:val="000000"/>
        </w:rPr>
        <w:t>specified as the</w:t>
      </w:r>
      <w:r>
        <w:rPr>
          <w:color w:val="000000"/>
        </w:rPr>
        <w:t xml:space="preserve"> </w:t>
      </w:r>
      <w:r w:rsidRPr="00F505B2">
        <w:rPr>
          <w:color w:val="000000"/>
        </w:rPr>
        <w:t xml:space="preserve">primary endpoint in the two adequate and well-controlled </w:t>
      </w:r>
      <w:r w:rsidR="00631F91" w:rsidRPr="00631F91">
        <w:rPr>
          <w:color w:val="000000"/>
        </w:rPr>
        <w:t>Phase III</w:t>
      </w:r>
      <w:r w:rsidRPr="00F505B2">
        <w:rPr>
          <w:color w:val="000000"/>
        </w:rPr>
        <w:t xml:space="preserve"> studies (</w:t>
      </w:r>
      <w:r w:rsidRPr="00F505B2">
        <w:t>PEP005-016</w:t>
      </w:r>
      <w:r w:rsidRPr="00F505B2">
        <w:rPr>
          <w:color w:val="0000FF"/>
        </w:rPr>
        <w:t xml:space="preserve"> </w:t>
      </w:r>
      <w:r w:rsidRPr="00F505B2">
        <w:rPr>
          <w:color w:val="000000"/>
        </w:rPr>
        <w:t>and</w:t>
      </w:r>
      <w:r>
        <w:rPr>
          <w:color w:val="000000"/>
        </w:rPr>
        <w:t xml:space="preserve"> </w:t>
      </w:r>
      <w:r w:rsidRPr="00F505B2">
        <w:t>PEP005-025</w:t>
      </w:r>
      <w:r w:rsidRPr="00F505B2">
        <w:rPr>
          <w:color w:val="000000"/>
        </w:rPr>
        <w:t xml:space="preserve">) and the </w:t>
      </w:r>
      <w:r w:rsidR="00631F91" w:rsidRPr="00631F91">
        <w:rPr>
          <w:color w:val="000000"/>
        </w:rPr>
        <w:t>Phase II</w:t>
      </w:r>
      <w:r w:rsidRPr="00F505B2">
        <w:rPr>
          <w:color w:val="000000"/>
        </w:rPr>
        <w:t xml:space="preserve"> dose-ranging study (</w:t>
      </w:r>
      <w:r w:rsidRPr="00F505B2">
        <w:t>PEP005-015</w:t>
      </w:r>
      <w:r w:rsidRPr="00F505B2">
        <w:rPr>
          <w:color w:val="000000"/>
        </w:rPr>
        <w:t>). For the non-head location,</w:t>
      </w:r>
      <w:r>
        <w:rPr>
          <w:color w:val="000000"/>
        </w:rPr>
        <w:t xml:space="preserve"> </w:t>
      </w:r>
      <w:r w:rsidRPr="00F505B2">
        <w:rPr>
          <w:color w:val="000000"/>
        </w:rPr>
        <w:t>this endpoint was pre</w:t>
      </w:r>
      <w:r>
        <w:rPr>
          <w:color w:val="000000"/>
        </w:rPr>
        <w:t>-</w:t>
      </w:r>
      <w:r w:rsidRPr="00F505B2">
        <w:rPr>
          <w:color w:val="000000"/>
        </w:rPr>
        <w:t>specified as the primary endpoint in the two adequate and well</w:t>
      </w:r>
      <w:r>
        <w:rPr>
          <w:color w:val="000000"/>
        </w:rPr>
        <w:t xml:space="preserve"> </w:t>
      </w:r>
      <w:r w:rsidRPr="00F505B2">
        <w:rPr>
          <w:color w:val="000000"/>
        </w:rPr>
        <w:t>controlled</w:t>
      </w:r>
      <w:r>
        <w:rPr>
          <w:color w:val="000000"/>
        </w:rPr>
        <w:t xml:space="preserve"> </w:t>
      </w:r>
      <w:r w:rsidR="00631F91" w:rsidRPr="00631F91">
        <w:rPr>
          <w:color w:val="000000"/>
        </w:rPr>
        <w:t>Phase III</w:t>
      </w:r>
      <w:r w:rsidRPr="00F505B2">
        <w:rPr>
          <w:color w:val="000000"/>
        </w:rPr>
        <w:t xml:space="preserve"> studies (</w:t>
      </w:r>
      <w:r w:rsidRPr="00F505B2">
        <w:t>PEP005-014</w:t>
      </w:r>
      <w:r w:rsidRPr="00F505B2">
        <w:rPr>
          <w:color w:val="0000FF"/>
        </w:rPr>
        <w:t xml:space="preserve"> </w:t>
      </w:r>
      <w:r w:rsidRPr="00F505B2">
        <w:rPr>
          <w:color w:val="000000"/>
        </w:rPr>
        <w:t xml:space="preserve">and </w:t>
      </w:r>
      <w:r w:rsidRPr="00F505B2">
        <w:t>PEP005-028</w:t>
      </w:r>
      <w:r w:rsidRPr="00F505B2">
        <w:rPr>
          <w:color w:val="000000"/>
        </w:rPr>
        <w:t>) but was a secondary endpoint in</w:t>
      </w:r>
      <w:r>
        <w:rPr>
          <w:color w:val="000000"/>
        </w:rPr>
        <w:t xml:space="preserve"> </w:t>
      </w:r>
      <w:r w:rsidRPr="00F505B2">
        <w:rPr>
          <w:color w:val="000000"/>
        </w:rPr>
        <w:t xml:space="preserve">the </w:t>
      </w:r>
      <w:r w:rsidR="00631F91" w:rsidRPr="00631F91">
        <w:rPr>
          <w:color w:val="000000"/>
        </w:rPr>
        <w:t>Phase II</w:t>
      </w:r>
      <w:r w:rsidRPr="00F505B2">
        <w:rPr>
          <w:color w:val="000000"/>
        </w:rPr>
        <w:t xml:space="preserve"> dose-ranging study (</w:t>
      </w:r>
      <w:r w:rsidRPr="00F505B2">
        <w:t>PEP005-006</w:t>
      </w:r>
      <w:r w:rsidRPr="00F505B2">
        <w:rPr>
          <w:color w:val="000000"/>
        </w:rPr>
        <w:t>). The secondary endpoint was partial clearance</w:t>
      </w:r>
      <w:r>
        <w:rPr>
          <w:color w:val="000000"/>
        </w:rPr>
        <w:t xml:space="preserve"> </w:t>
      </w:r>
      <w:r w:rsidRPr="00F505B2">
        <w:rPr>
          <w:color w:val="000000"/>
        </w:rPr>
        <w:t>rate, defined as the proportion of patients at Day 57 with a 75% or greater reduction in the</w:t>
      </w:r>
      <w:r>
        <w:rPr>
          <w:color w:val="000000"/>
        </w:rPr>
        <w:t xml:space="preserve"> </w:t>
      </w:r>
      <w:r w:rsidRPr="00F505B2">
        <w:rPr>
          <w:color w:val="000000"/>
        </w:rPr>
        <w:t xml:space="preserve">number of clinically visible </w:t>
      </w:r>
      <w:r>
        <w:rPr>
          <w:color w:val="000000"/>
        </w:rPr>
        <w:t>S</w:t>
      </w:r>
      <w:r w:rsidRPr="00F505B2">
        <w:rPr>
          <w:color w:val="000000"/>
        </w:rPr>
        <w:t>K lesions identified at baseline in the selected treatment area.</w:t>
      </w:r>
      <w:r>
        <w:rPr>
          <w:color w:val="000000"/>
        </w:rPr>
        <w:t xml:space="preserve"> </w:t>
      </w:r>
      <w:r w:rsidRPr="00F505B2">
        <w:rPr>
          <w:color w:val="000000"/>
        </w:rPr>
        <w:t xml:space="preserve">Percent reduction from baseline in the total number of </w:t>
      </w:r>
      <w:r>
        <w:rPr>
          <w:color w:val="000000"/>
        </w:rPr>
        <w:t>S</w:t>
      </w:r>
      <w:r w:rsidRPr="00F505B2">
        <w:rPr>
          <w:color w:val="000000"/>
        </w:rPr>
        <w:t>K lesions at Day 57 was an additional</w:t>
      </w:r>
      <w:r>
        <w:rPr>
          <w:color w:val="000000"/>
        </w:rPr>
        <w:t xml:space="preserve"> </w:t>
      </w:r>
      <w:r w:rsidRPr="00F505B2">
        <w:rPr>
          <w:color w:val="000000"/>
        </w:rPr>
        <w:t>endpoint.</w:t>
      </w:r>
      <w:r>
        <w:rPr>
          <w:color w:val="000000"/>
        </w:rPr>
        <w:t xml:space="preserve"> These efficacy endpoints were clinically appropriate. All pivotal studies were adequately powered to produce statistically significant results.</w:t>
      </w:r>
    </w:p>
    <w:p w:rsidR="002E6F0C" w:rsidRDefault="002E6F0C" w:rsidP="00C75DEA">
      <w:pPr>
        <w:rPr>
          <w:rFonts w:cs="TimesNewRoman"/>
          <w:color w:val="000000"/>
        </w:rPr>
      </w:pPr>
      <w:r w:rsidRPr="00534E86">
        <w:rPr>
          <w:rFonts w:cs="TimesNewRoman"/>
          <w:color w:val="000000"/>
        </w:rPr>
        <w:t xml:space="preserve">For the head locations, results of the primary efficacy analyses were statistically significant for both </w:t>
      </w:r>
      <w:r>
        <w:rPr>
          <w:rFonts w:cs="TimesNewRoman"/>
          <w:color w:val="000000"/>
        </w:rPr>
        <w:t xml:space="preserve">pivotal </w:t>
      </w:r>
      <w:r w:rsidRPr="00534E86">
        <w:rPr>
          <w:rFonts w:cs="TimesNewRoman"/>
          <w:color w:val="000000"/>
        </w:rPr>
        <w:t>studies. At Day 57, 37% and 47% of the PEP005 Gel-treated patients achieved complete</w:t>
      </w:r>
      <w:r>
        <w:rPr>
          <w:rFonts w:cs="TimesNewRoman"/>
          <w:color w:val="000000"/>
        </w:rPr>
        <w:t xml:space="preserve"> </w:t>
      </w:r>
      <w:r w:rsidRPr="00534E86">
        <w:rPr>
          <w:rFonts w:cs="TimesNewRoman"/>
          <w:color w:val="000000"/>
        </w:rPr>
        <w:t xml:space="preserve">clearance compared to 2% and 5% of vehicle gel-treated patients in Study </w:t>
      </w:r>
      <w:r w:rsidRPr="00CB5A53">
        <w:rPr>
          <w:rFonts w:cs="TimesNewRoman"/>
        </w:rPr>
        <w:t>PEP005-016</w:t>
      </w:r>
      <w:r w:rsidRPr="00534E86">
        <w:rPr>
          <w:rFonts w:cs="TimesNewRoman"/>
          <w:color w:val="0000FF"/>
        </w:rPr>
        <w:t xml:space="preserve"> </w:t>
      </w:r>
      <w:r w:rsidRPr="00534E86">
        <w:rPr>
          <w:rFonts w:cs="TimesNewRoman"/>
          <w:color w:val="000000"/>
        </w:rPr>
        <w:t>and</w:t>
      </w:r>
      <w:r>
        <w:rPr>
          <w:rFonts w:cs="TimesNewRoman"/>
          <w:color w:val="000000"/>
        </w:rPr>
        <w:t xml:space="preserve"> </w:t>
      </w:r>
      <w:r w:rsidRPr="00CB5A53">
        <w:rPr>
          <w:rFonts w:cs="TimesNewRoman"/>
        </w:rPr>
        <w:t>PEP005-025</w:t>
      </w:r>
      <w:r w:rsidRPr="00534E86">
        <w:rPr>
          <w:rFonts w:cs="TimesNewRoman"/>
          <w:color w:val="000000"/>
        </w:rPr>
        <w:t>, respectively (Study PEP005-016, p &lt; 0.001; Study PEP005-025, p &lt; 0.001).</w:t>
      </w:r>
      <w:r>
        <w:rPr>
          <w:rFonts w:cs="TimesNewRoman"/>
          <w:color w:val="000000"/>
        </w:rPr>
        <w:t xml:space="preserve"> </w:t>
      </w:r>
      <w:r w:rsidRPr="00534E86">
        <w:rPr>
          <w:rFonts w:cs="TimesNewRoman"/>
          <w:color w:val="000000"/>
        </w:rPr>
        <w:t>Findings from the secondary analysis were consistent between the studies; 60% and 68% of</w:t>
      </w:r>
      <w:r>
        <w:rPr>
          <w:rFonts w:cs="TimesNewRoman"/>
          <w:color w:val="000000"/>
        </w:rPr>
        <w:t xml:space="preserve"> </w:t>
      </w:r>
      <w:r w:rsidRPr="00534E86">
        <w:rPr>
          <w:rFonts w:cs="TimesNewRoman"/>
          <w:color w:val="000000"/>
        </w:rPr>
        <w:t>the PEP005 Gel-treated patients achieved partial clearance compared to 7% and 8% of vehicle</w:t>
      </w:r>
      <w:r>
        <w:rPr>
          <w:rFonts w:cs="TimesNewRoman"/>
          <w:color w:val="000000"/>
        </w:rPr>
        <w:t xml:space="preserve"> </w:t>
      </w:r>
      <w:r w:rsidRPr="00534E86">
        <w:rPr>
          <w:rFonts w:cs="TimesNewRoman"/>
          <w:color w:val="000000"/>
        </w:rPr>
        <w:t>gel-treated patients in Study PEP005-016 and PEP005-025, respectively (Study PEP005-016,</w:t>
      </w:r>
      <w:r>
        <w:rPr>
          <w:rFonts w:cs="TimesNewRoman"/>
          <w:color w:val="000000"/>
        </w:rPr>
        <w:t xml:space="preserve"> </w:t>
      </w:r>
      <w:r w:rsidRPr="00534E86">
        <w:rPr>
          <w:rFonts w:cs="TimesNewRoman"/>
          <w:color w:val="000000"/>
        </w:rPr>
        <w:t>p &lt; 0.001; Study PEP005-025, p &lt; 0.001). The additional efficacy endpoint of percent</w:t>
      </w:r>
      <w:r>
        <w:rPr>
          <w:rFonts w:cs="TimesNewRoman"/>
          <w:color w:val="000000"/>
        </w:rPr>
        <w:t xml:space="preserve"> </w:t>
      </w:r>
      <w:r w:rsidRPr="00534E86">
        <w:rPr>
          <w:rFonts w:cs="TimesNewRoman"/>
          <w:color w:val="000000"/>
        </w:rPr>
        <w:t xml:space="preserve">reduction from baseline in the number of </w:t>
      </w:r>
      <w:r>
        <w:rPr>
          <w:rFonts w:cs="TimesNewRoman"/>
          <w:color w:val="000000"/>
        </w:rPr>
        <w:t>S</w:t>
      </w:r>
      <w:r w:rsidRPr="00534E86">
        <w:rPr>
          <w:rFonts w:cs="TimesNewRoman"/>
          <w:color w:val="000000"/>
        </w:rPr>
        <w:t>K lesions was also positive and consistent across</w:t>
      </w:r>
      <w:r>
        <w:rPr>
          <w:rFonts w:cs="TimesNewRoman"/>
          <w:color w:val="000000"/>
        </w:rPr>
        <w:t xml:space="preserve"> </w:t>
      </w:r>
      <w:r w:rsidRPr="00534E86">
        <w:rPr>
          <w:rFonts w:cs="TimesNewRoman"/>
          <w:color w:val="000000"/>
        </w:rPr>
        <w:t>the two studies (median of 83% and 87% in the PEP005 Gel groups for PEP005-016 and</w:t>
      </w:r>
      <w:r>
        <w:rPr>
          <w:rFonts w:cs="TimesNewRoman"/>
          <w:color w:val="000000"/>
        </w:rPr>
        <w:t xml:space="preserve"> </w:t>
      </w:r>
      <w:r w:rsidRPr="00534E86">
        <w:rPr>
          <w:rFonts w:cs="TimesNewRoman"/>
          <w:color w:val="000000"/>
        </w:rPr>
        <w:t>PEP005-025, respectively versus 0% in the vehicle gel group for each study).</w:t>
      </w:r>
    </w:p>
    <w:p w:rsidR="002E6F0C" w:rsidRDefault="002E6F0C" w:rsidP="00C75DEA">
      <w:pPr>
        <w:rPr>
          <w:rFonts w:cs="TimesNewRoman"/>
          <w:color w:val="000000"/>
        </w:rPr>
      </w:pPr>
      <w:r w:rsidRPr="00CB5A53">
        <w:rPr>
          <w:rFonts w:cs="TimesNewRoman"/>
          <w:color w:val="000000"/>
        </w:rPr>
        <w:t>For the non-head locations</w:t>
      </w:r>
      <w:r>
        <w:rPr>
          <w:rFonts w:cs="TimesNewRoman"/>
          <w:color w:val="000000"/>
        </w:rPr>
        <w:t>,</w:t>
      </w:r>
      <w:r w:rsidRPr="00CB5A53">
        <w:rPr>
          <w:rFonts w:cs="TimesNewRoman"/>
          <w:color w:val="000000"/>
        </w:rPr>
        <w:t xml:space="preserve"> results of the primary efficacy analyses were statistically significant for both controlled</w:t>
      </w:r>
      <w:r>
        <w:rPr>
          <w:rFonts w:cs="TimesNewRoman"/>
          <w:color w:val="000000"/>
        </w:rPr>
        <w:t xml:space="preserve"> </w:t>
      </w:r>
      <w:r w:rsidRPr="00CB5A53">
        <w:rPr>
          <w:rFonts w:cs="TimesNewRoman"/>
          <w:color w:val="000000"/>
        </w:rPr>
        <w:t>studies. At Day 57, 28% and 42% of the PEP005 Gel-treated patients achieved</w:t>
      </w:r>
      <w:r>
        <w:rPr>
          <w:rFonts w:cs="TimesNewRoman"/>
          <w:color w:val="000000"/>
        </w:rPr>
        <w:t xml:space="preserve"> </w:t>
      </w:r>
      <w:r w:rsidRPr="00CB5A53">
        <w:rPr>
          <w:rFonts w:cs="TimesNewRoman"/>
          <w:color w:val="000000"/>
        </w:rPr>
        <w:t xml:space="preserve">complete clearance compared to 5% in each of the vehicle gel groups in Study </w:t>
      </w:r>
      <w:r w:rsidRPr="002D3BC7">
        <w:rPr>
          <w:rFonts w:cs="TimesNewRoman"/>
        </w:rPr>
        <w:t>PEP005-014</w:t>
      </w:r>
      <w:r>
        <w:rPr>
          <w:rFonts w:cs="TimesNewRoman"/>
        </w:rPr>
        <w:t xml:space="preserve"> </w:t>
      </w:r>
      <w:r w:rsidRPr="00CB5A53">
        <w:rPr>
          <w:rFonts w:cs="TimesNewRoman"/>
          <w:color w:val="000000"/>
        </w:rPr>
        <w:t xml:space="preserve">and </w:t>
      </w:r>
      <w:r w:rsidRPr="002D3BC7">
        <w:rPr>
          <w:rFonts w:cs="TimesNewRoman"/>
        </w:rPr>
        <w:t>PEP005-028</w:t>
      </w:r>
      <w:r w:rsidRPr="00CB5A53">
        <w:rPr>
          <w:rFonts w:cs="TimesNewRoman"/>
          <w:color w:val="000000"/>
        </w:rPr>
        <w:t>, respectively (Study PEP005-014, p &lt; 0.001; Study PEP005-028, p &lt; 0.001).</w:t>
      </w:r>
      <w:r>
        <w:rPr>
          <w:rFonts w:cs="TimesNewRoman"/>
          <w:color w:val="000000"/>
        </w:rPr>
        <w:t xml:space="preserve"> </w:t>
      </w:r>
      <w:r w:rsidRPr="00CB5A53">
        <w:rPr>
          <w:rFonts w:cs="TimesNewRoman"/>
          <w:color w:val="000000"/>
        </w:rPr>
        <w:t>Findings from the secondary analysis were consistent between the studies; 44% and 55% of</w:t>
      </w:r>
      <w:r>
        <w:rPr>
          <w:rFonts w:cs="TimesNewRoman"/>
          <w:color w:val="000000"/>
        </w:rPr>
        <w:t xml:space="preserve"> </w:t>
      </w:r>
      <w:r w:rsidRPr="00CB5A53">
        <w:rPr>
          <w:rFonts w:cs="TimesNewRoman"/>
          <w:color w:val="000000"/>
        </w:rPr>
        <w:t xml:space="preserve">the PEP005 Gel-treated patients achieved partial clearance compared to 7% in each of </w:t>
      </w:r>
      <w:r w:rsidRPr="00CB5A53">
        <w:rPr>
          <w:rFonts w:cs="TimesNewRoman"/>
          <w:color w:val="000000"/>
        </w:rPr>
        <w:lastRenderedPageBreak/>
        <w:t>the</w:t>
      </w:r>
      <w:r>
        <w:rPr>
          <w:rFonts w:cs="TimesNewRoman"/>
          <w:color w:val="000000"/>
        </w:rPr>
        <w:t xml:space="preserve"> </w:t>
      </w:r>
      <w:r w:rsidRPr="00CB5A53">
        <w:rPr>
          <w:rFonts w:cs="TimesNewRoman"/>
          <w:color w:val="000000"/>
        </w:rPr>
        <w:t>vehicle gel groups in Study PEP005-014 and PEP005-028, respectively (Study PEP005-014,</w:t>
      </w:r>
      <w:r>
        <w:rPr>
          <w:rFonts w:cs="TimesNewRoman"/>
          <w:color w:val="000000"/>
        </w:rPr>
        <w:t xml:space="preserve"> </w:t>
      </w:r>
      <w:r w:rsidRPr="00CB5A53">
        <w:rPr>
          <w:rFonts w:cs="TimesNewRoman"/>
          <w:color w:val="000000"/>
        </w:rPr>
        <w:t>p &lt; 0.001; Study PEP005-028, p &lt; 0.001). The additional efficacy endpoint of percent</w:t>
      </w:r>
      <w:r>
        <w:rPr>
          <w:rFonts w:cs="TimesNewRoman"/>
          <w:color w:val="000000"/>
        </w:rPr>
        <w:t xml:space="preserve"> </w:t>
      </w:r>
      <w:r w:rsidRPr="00CB5A53">
        <w:rPr>
          <w:rFonts w:cs="TimesNewRoman"/>
          <w:color w:val="000000"/>
        </w:rPr>
        <w:t xml:space="preserve">reduction from baseline in the number of </w:t>
      </w:r>
      <w:r>
        <w:rPr>
          <w:rFonts w:cs="TimesNewRoman"/>
          <w:color w:val="000000"/>
        </w:rPr>
        <w:t>S</w:t>
      </w:r>
      <w:r w:rsidRPr="00CB5A53">
        <w:rPr>
          <w:rFonts w:cs="TimesNewRoman"/>
          <w:color w:val="000000"/>
        </w:rPr>
        <w:t>K lesions was also positive and consistent across</w:t>
      </w:r>
      <w:r>
        <w:rPr>
          <w:rFonts w:cs="TimesNewRoman"/>
          <w:color w:val="000000"/>
        </w:rPr>
        <w:t xml:space="preserve"> </w:t>
      </w:r>
      <w:r w:rsidRPr="00CB5A53">
        <w:rPr>
          <w:rFonts w:cs="TimesNewRoman"/>
          <w:color w:val="000000"/>
        </w:rPr>
        <w:t>the two studies (median of 69% and 75% in the PEP005 Gel groups for PEP005-014 and</w:t>
      </w:r>
      <w:r>
        <w:rPr>
          <w:rFonts w:cs="TimesNewRoman"/>
          <w:color w:val="000000"/>
        </w:rPr>
        <w:t xml:space="preserve"> </w:t>
      </w:r>
      <w:r w:rsidRPr="00CB5A53">
        <w:rPr>
          <w:rFonts w:cs="TimesNewRoman"/>
          <w:color w:val="000000"/>
        </w:rPr>
        <w:t>PEP005-028, respectively versus 0% in the vehicle gel group for each study).</w:t>
      </w:r>
    </w:p>
    <w:p w:rsidR="002E6F0C" w:rsidRDefault="002E6F0C" w:rsidP="008457BC">
      <w:pPr>
        <w:pStyle w:val="Heading5"/>
      </w:pPr>
      <w:r>
        <w:t>Clinical studies in special populations</w:t>
      </w:r>
    </w:p>
    <w:p w:rsidR="002E6F0C" w:rsidRDefault="002E6F0C" w:rsidP="00173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
        <w:t>Not applicable.</w:t>
      </w:r>
    </w:p>
    <w:p w:rsidR="002E6F0C" w:rsidRDefault="002E6F0C" w:rsidP="008457BC">
      <w:pPr>
        <w:pStyle w:val="Heading5"/>
      </w:pPr>
      <w:r>
        <w:t>Analysis performed across trials (pooled analyses and meta-analysis)</w:t>
      </w:r>
    </w:p>
    <w:p w:rsidR="002E6F0C" w:rsidRDefault="002E6F0C" w:rsidP="00C75DEA">
      <w:r>
        <w:t>F</w:t>
      </w:r>
      <w:r w:rsidRPr="006A162E">
        <w:t>or the head and scalp indication, data were pooled across studies and referred to as “combined studies populations”. Two combined studies populations were presented. One combined studies population pooled data from</w:t>
      </w:r>
      <w:r>
        <w:t xml:space="preserve"> </w:t>
      </w:r>
      <w:r w:rsidRPr="006A162E">
        <w:t>PEP005-016 and PEP005-025 and another pooled data PEP005-016, PEP005-025, and</w:t>
      </w:r>
      <w:r>
        <w:t xml:space="preserve"> </w:t>
      </w:r>
      <w:r w:rsidRPr="006A162E">
        <w:t>PEP005-015.</w:t>
      </w:r>
      <w:r>
        <w:t xml:space="preserve"> F</w:t>
      </w:r>
      <w:r w:rsidRPr="006A162E">
        <w:t>or the trunk and extremities indication, data were pooled across studies and referred to as “combined studies populations”. Two combined studies populations were presented. One combined studies population pooled data from PEP005-014</w:t>
      </w:r>
      <w:r w:rsidRPr="006A162E">
        <w:rPr>
          <w:color w:val="0000FF"/>
        </w:rPr>
        <w:t xml:space="preserve"> </w:t>
      </w:r>
      <w:r w:rsidRPr="006A162E">
        <w:t>and PEP005-028 and another pooled data from PEP005-014, PEP005-028, and PEP005-006.</w:t>
      </w:r>
    </w:p>
    <w:p w:rsidR="002E6F0C" w:rsidRPr="00534E86" w:rsidRDefault="002E6F0C" w:rsidP="00C75DEA">
      <w:r w:rsidRPr="00534E86">
        <w:rPr>
          <w:rFonts w:cs="TimesNewRoman"/>
        </w:rPr>
        <w:t xml:space="preserve">For the combined </w:t>
      </w:r>
      <w:r>
        <w:rPr>
          <w:rFonts w:cs="TimesNewRoman"/>
        </w:rPr>
        <w:t xml:space="preserve">head and scalp </w:t>
      </w:r>
      <w:r w:rsidRPr="00534E86">
        <w:rPr>
          <w:rFonts w:cs="TimesNewRoman"/>
        </w:rPr>
        <w:t>data, 42% of PEP005 Gel patients achieved complete clearance compared</w:t>
      </w:r>
      <w:r>
        <w:rPr>
          <w:rFonts w:cs="TimesNewRoman"/>
        </w:rPr>
        <w:t xml:space="preserve"> </w:t>
      </w:r>
      <w:r w:rsidRPr="00534E86">
        <w:rPr>
          <w:rFonts w:cs="TimesNewRoman"/>
        </w:rPr>
        <w:t>with 4% of vehicle gel patients (p &lt; 0.001). In addition, 64% of PEP005 Gel patients</w:t>
      </w:r>
      <w:r>
        <w:rPr>
          <w:rFonts w:cs="TimesNewRoman"/>
        </w:rPr>
        <w:t xml:space="preserve"> </w:t>
      </w:r>
      <w:r w:rsidRPr="00534E86">
        <w:rPr>
          <w:rFonts w:cs="TimesNewRoman"/>
        </w:rPr>
        <w:t>achieved partial clearance compared to 7% of vehicle gel patients (p &lt; 0.001).</w:t>
      </w:r>
      <w:r>
        <w:rPr>
          <w:rFonts w:cs="TimesNewRoman"/>
        </w:rPr>
        <w:t xml:space="preserve"> </w:t>
      </w:r>
      <w:r w:rsidRPr="00534E86">
        <w:rPr>
          <w:rFonts w:cs="TimesNewRoman"/>
        </w:rPr>
        <w:t xml:space="preserve">For the combined </w:t>
      </w:r>
      <w:r>
        <w:rPr>
          <w:rFonts w:cs="TimesNewRoman"/>
        </w:rPr>
        <w:t xml:space="preserve">trunk and extremities </w:t>
      </w:r>
      <w:r w:rsidRPr="00534E86">
        <w:rPr>
          <w:rFonts w:cs="TimesNewRoman"/>
        </w:rPr>
        <w:t>data, 34% of PEP005 Gel patients achieved complete clearance compared</w:t>
      </w:r>
      <w:r>
        <w:rPr>
          <w:rFonts w:cs="TimesNewRoman"/>
        </w:rPr>
        <w:t xml:space="preserve"> </w:t>
      </w:r>
      <w:r w:rsidRPr="00534E86">
        <w:rPr>
          <w:rFonts w:cs="TimesNewRoman"/>
        </w:rPr>
        <w:t>with 5% of vehicle gel patients (p &lt; 0.001). In addition, 49% of PEP005 Gel patients</w:t>
      </w:r>
      <w:r>
        <w:rPr>
          <w:rFonts w:cs="TimesNewRoman"/>
        </w:rPr>
        <w:t xml:space="preserve"> </w:t>
      </w:r>
      <w:r w:rsidRPr="00534E86">
        <w:rPr>
          <w:rFonts w:cs="TimesNewRoman"/>
        </w:rPr>
        <w:t xml:space="preserve">achieved partial clearance </w:t>
      </w:r>
      <w:r>
        <w:rPr>
          <w:rFonts w:cs="TimesNewRoman"/>
        </w:rPr>
        <w:t>compared</w:t>
      </w:r>
      <w:r w:rsidRPr="00534E86">
        <w:rPr>
          <w:rFonts w:cs="TimesNewRoman"/>
        </w:rPr>
        <w:t xml:space="preserve"> to 7% of vehicle gel patients (p &lt; 0.001).</w:t>
      </w:r>
    </w:p>
    <w:p w:rsidR="002E6F0C" w:rsidRDefault="002E6F0C" w:rsidP="008457BC">
      <w:pPr>
        <w:pStyle w:val="Heading5"/>
      </w:pPr>
      <w:r>
        <w:t>Supportive studies</w:t>
      </w:r>
    </w:p>
    <w:p w:rsidR="002E6F0C" w:rsidRDefault="002E6F0C" w:rsidP="00C75DEA">
      <w:r w:rsidRPr="00C75DEA">
        <w:t xml:space="preserve">Three clinical studies provided information on long-term efficacy. PEP005-030 was a long-term follow-up study in patients who achieved complete clearance at Day 57 in studies PEP005-016 and PEP005-025 for the head and scalp indication. Two trials (PEP005-031 and PEP005-032) were long-term follow-up studies in patients who achieved complete clearance at Day 57 in previous trials for the trunk and extremities indication. No study medication was administered during these studies. In PEP005-030 at 12 months of follow-up, 54% of patients who had been treated with PEP005 Gel in the previous </w:t>
      </w:r>
      <w:r w:rsidR="00631F91" w:rsidRPr="00C75DEA">
        <w:t>Phase III</w:t>
      </w:r>
      <w:r w:rsidRPr="00C75DEA">
        <w:t xml:space="preserve"> studies (N=108), had at least one new or recurrent AK lesion within the selected treatment area. The estimated median time to lesion recurrence was 365 days. Based on the number of lesions observed within the treatment area during 12 months of follow-up relative to the number of lesions at baseline (determined prior to treatment with PEP005 Gel in the </w:t>
      </w:r>
      <w:r w:rsidR="00631F91" w:rsidRPr="00C75DEA">
        <w:t>Phase III</w:t>
      </w:r>
      <w:r w:rsidRPr="00C75DEA">
        <w:t xml:space="preserve"> studies), the mean lesion-based recurrence rate was 13%. For the combined PEP005-031 and PEP005-032 at 12 months of follow-up, 56% of patients who had been treated with PEP005 Gel in the previous </w:t>
      </w:r>
      <w:r w:rsidR="00631F91" w:rsidRPr="00C75DEA">
        <w:t>Phase III</w:t>
      </w:r>
      <w:r w:rsidRPr="00C75DEA">
        <w:t xml:space="preserve"> studies (N=76), had at least one new or recurrent AK lesion within the selected treatment area. The estimated median time to lesion recurrence was 274 days. Based on the number of lesions observed within the treatment area during 12 months of follow-up relative to the number of lesions at baseline (determined prior to treatment with PEP005 Gel in the </w:t>
      </w:r>
      <w:r w:rsidR="00631F91" w:rsidRPr="00C75DEA">
        <w:t>Phase III</w:t>
      </w:r>
      <w:r w:rsidRPr="00C75DEA">
        <w:t xml:space="preserve"> studies), the mean lesion-based recurrence rate was 13%. A further 9 clinical studies provided supporting information on efficacy. These studies were PEP005-007, PEP005-020, PEP005-004, PEP005-017, PEP005-018, PEP005-</w:t>
      </w:r>
      <w:r>
        <w:t xml:space="preserve">013, </w:t>
      </w:r>
      <w:r w:rsidRPr="006A162E">
        <w:t>PEP005-</w:t>
      </w:r>
      <w:r>
        <w:t>022, AGN204332-004 and PEP005</w:t>
      </w:r>
      <w:r w:rsidRPr="006A162E">
        <w:t>-</w:t>
      </w:r>
      <w:r>
        <w:t>001. These studies were either open-label, involved small numbers, or had limited statistical power.</w:t>
      </w:r>
    </w:p>
    <w:p w:rsidR="002E6F0C" w:rsidRDefault="002E6F0C" w:rsidP="002E6F0C">
      <w:pPr>
        <w:pStyle w:val="Heading5"/>
      </w:pPr>
      <w:r>
        <w:t>Clinical safety</w:t>
      </w:r>
    </w:p>
    <w:p w:rsidR="002E6F0C" w:rsidRDefault="002E6F0C" w:rsidP="001731A6">
      <w:pPr>
        <w:pStyle w:val="Heading6"/>
      </w:pPr>
      <w:r>
        <w:t>Patient exposure</w:t>
      </w:r>
    </w:p>
    <w:p w:rsidR="002E6F0C" w:rsidRDefault="002E6F0C" w:rsidP="00C75DEA">
      <w:r>
        <w:t>A total of</w:t>
      </w:r>
      <w:r w:rsidRPr="006A162E">
        <w:t xml:space="preserve"> 1774 patients/subjects received PEP005 Gel across the 25 completed studies in the</w:t>
      </w:r>
      <w:r>
        <w:t xml:space="preserve"> </w:t>
      </w:r>
      <w:r w:rsidRPr="006A162E">
        <w:t>clinical development programme. The safety overview provided focused on the 13 studies in which patients received PEP005 Gel across a selected area of skin (i.e., field) for treatment of SK lesions. Within this group of patients, 1165 received PEP005 Gel and 632 received vehicle</w:t>
      </w:r>
      <w:r>
        <w:t xml:space="preserve"> </w:t>
      </w:r>
      <w:r w:rsidRPr="006A162E">
        <w:t>gel.</w:t>
      </w:r>
    </w:p>
    <w:p w:rsidR="002E6F0C" w:rsidRDefault="002E6F0C" w:rsidP="001731A6">
      <w:pPr>
        <w:pStyle w:val="Heading6"/>
      </w:pPr>
      <w:r>
        <w:lastRenderedPageBreak/>
        <w:t>Adverse events</w:t>
      </w:r>
    </w:p>
    <w:p w:rsidR="002E6F0C" w:rsidRPr="006A162E" w:rsidRDefault="002E6F0C" w:rsidP="00C75DEA">
      <w:r>
        <w:t xml:space="preserve">A total of </w:t>
      </w:r>
      <w:r w:rsidRPr="006A162E">
        <w:t>42.5% of PEP005 Gel-treated patients had an AE</w:t>
      </w:r>
      <w:r>
        <w:t xml:space="preserve"> </w:t>
      </w:r>
      <w:r w:rsidRPr="006A162E">
        <w:t>compared with 24.2% of vehicle-treated patients.</w:t>
      </w:r>
      <w:r w:rsidR="00631F91" w:rsidRPr="00631F91">
        <w:t xml:space="preserve"> </w:t>
      </w:r>
      <w:r w:rsidRPr="006A162E">
        <w:t>For PEP005 Gel-treated patients, the most frequently reported AEs considered related to</w:t>
      </w:r>
      <w:r>
        <w:rPr>
          <w:rFonts w:ascii="TimesNewRoman" w:hAnsi="TimesNewRoman" w:cs="TimesNewRoman"/>
        </w:rPr>
        <w:t xml:space="preserve"> </w:t>
      </w:r>
      <w:r w:rsidRPr="006A162E">
        <w:t xml:space="preserve">study medication included application site pruritus (10.7%), application site pain (7.8%), and application site irritation (7.0%). Differences were noted with respect to the incidence of treatment-related AEs between treatment locations. In the controlled </w:t>
      </w:r>
      <w:r w:rsidR="00631F91" w:rsidRPr="00631F91">
        <w:t>Phase III</w:t>
      </w:r>
      <w:r w:rsidRPr="006A162E">
        <w:t xml:space="preserve"> studies, patients treated with PEP005 Gel on the face or scalp had a higher incidence of application site pain than patients treated on the trunk or extremities (13.9% vs. 1.8%, respectively). Similarly, patients treated on the face or scalp had eye-associated disorders, such as eyelid oedema (1.1%) and periorbital oedema (2.6%), whereas patients treated on the trunk or extremities had no reports of these events.</w:t>
      </w:r>
    </w:p>
    <w:p w:rsidR="002E6F0C" w:rsidRDefault="002E6F0C" w:rsidP="00C75DEA">
      <w:r w:rsidRPr="006A162E">
        <w:t>The majority of patients had an AE with maximum severity of mild or moderate intensity. Severe AEs were reported by 3.2% of PEP005 Gel-treated patients and 1.6% of vehicle-treated patients. Severe events occurred at a higher frequency for patients treated with PEP005 Gel compared to vehicle in the SOC of general disorders and administrative site conditions, with application site reactions (e.g., irritation, pain and pruritus) attributed for this diffe</w:t>
      </w:r>
      <w:r w:rsidR="008457BC">
        <w:t>rence between treatment groups.</w:t>
      </w:r>
    </w:p>
    <w:p w:rsidR="002E6F0C" w:rsidRDefault="002E6F0C" w:rsidP="008457BC">
      <w:pPr>
        <w:pStyle w:val="Heading6"/>
      </w:pPr>
      <w:r>
        <w:t>Serious adverse events and deaths</w:t>
      </w:r>
    </w:p>
    <w:p w:rsidR="002E6F0C" w:rsidRPr="006A162E" w:rsidRDefault="002E6F0C" w:rsidP="00C75DEA">
      <w:r w:rsidRPr="006A162E">
        <w:t>SAEs were identified (by both the investigator and Applicant) for 4.2% of patients in the PEP005 Gel group and 3.6% of patients in the vehicle group. Of these SAEs, BCC (occurring in 1.5% of PEP005 Gel-treated patients and 1.1% of vehicle-treated patients) and SCC (0.9% of PEP005 Gel-treated patients and 0.8% of vehicle-treated patients) were the most frequently reported for both treatment groups</w:t>
      </w:r>
      <w:r>
        <w:t>.</w:t>
      </w:r>
      <w:r w:rsidRPr="006A162E">
        <w:t xml:space="preserve"> Across all studies, there was one death, which occurred in a patient who received PEP005 Gel, 0.005% in study PEP005-015. The investigator judged the death as not related to study medication.</w:t>
      </w:r>
    </w:p>
    <w:p w:rsidR="002E6F0C" w:rsidRDefault="002E6F0C" w:rsidP="001731A6">
      <w:pPr>
        <w:pStyle w:val="Heading6"/>
      </w:pPr>
      <w:r>
        <w:t>Laboratory findings</w:t>
      </w:r>
    </w:p>
    <w:p w:rsidR="002E6F0C" w:rsidRPr="006A162E" w:rsidRDefault="002E6F0C" w:rsidP="00C75DEA">
      <w:pPr>
        <w:pStyle w:val="ListBullet"/>
        <w:numPr>
          <w:ilvl w:val="0"/>
          <w:numId w:val="0"/>
        </w:numPr>
        <w:ind w:left="360" w:hanging="360"/>
      </w:pPr>
      <w:r w:rsidRPr="006A162E">
        <w:t>There were no meaningful shifts or trends in any of the clinical laboratory parameters.</w:t>
      </w:r>
    </w:p>
    <w:p w:rsidR="002E6F0C" w:rsidRDefault="002E6F0C" w:rsidP="001731A6">
      <w:pPr>
        <w:pStyle w:val="Heading6"/>
      </w:pPr>
      <w:r>
        <w:t>Safety in special populations</w:t>
      </w:r>
    </w:p>
    <w:p w:rsidR="002E6F0C" w:rsidRDefault="002E6F0C" w:rsidP="00173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
        <w:t>Not applicable.</w:t>
      </w:r>
    </w:p>
    <w:p w:rsidR="002E6F0C" w:rsidRDefault="002E6F0C" w:rsidP="001731A6">
      <w:pPr>
        <w:pStyle w:val="Heading6"/>
      </w:pPr>
      <w:r>
        <w:t>Immunological events</w:t>
      </w:r>
    </w:p>
    <w:p w:rsidR="002E6F0C" w:rsidRDefault="002E6F0C" w:rsidP="00173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
        <w:t>Not applicable.</w:t>
      </w:r>
    </w:p>
    <w:p w:rsidR="002E6F0C" w:rsidRDefault="002E6F0C" w:rsidP="00C75DEA">
      <w:pPr>
        <w:pStyle w:val="Heading6"/>
      </w:pPr>
      <w:r>
        <w:t>Safety related to drug-drug interactions and other interactions</w:t>
      </w:r>
    </w:p>
    <w:p w:rsidR="002E6F0C" w:rsidRDefault="002E6F0C" w:rsidP="00C75D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
        <w:t>Not applicable.</w:t>
      </w:r>
    </w:p>
    <w:p w:rsidR="002E6F0C" w:rsidRDefault="002E6F0C" w:rsidP="00C75DEA">
      <w:pPr>
        <w:pStyle w:val="Heading6"/>
      </w:pPr>
      <w:r>
        <w:t>Discontinuation due to adverse events</w:t>
      </w:r>
    </w:p>
    <w:p w:rsidR="002E6F0C" w:rsidRPr="00586F98" w:rsidRDefault="002E6F0C" w:rsidP="002E6F0C">
      <w:pPr>
        <w:rPr>
          <w:lang w:eastAsia="ja-JP"/>
        </w:rPr>
      </w:pPr>
      <w:r w:rsidRPr="006A162E">
        <w:rPr>
          <w:color w:val="000000"/>
        </w:rPr>
        <w:t>In the 13 studies that evaluated field treatment of PEP005 Gel for SK lesions, a total of</w:t>
      </w:r>
      <w:r>
        <w:rPr>
          <w:color w:val="000000"/>
        </w:rPr>
        <w:t xml:space="preserve"> </w:t>
      </w:r>
      <w:r w:rsidRPr="006A162E">
        <w:rPr>
          <w:color w:val="000000"/>
        </w:rPr>
        <w:t>3 patients (1 treated with PEP005 Gel and 2 treated with vehicle) discontinued from the study</w:t>
      </w:r>
      <w:r>
        <w:rPr>
          <w:color w:val="000000"/>
        </w:rPr>
        <w:t xml:space="preserve"> </w:t>
      </w:r>
      <w:r w:rsidRPr="006A162E">
        <w:rPr>
          <w:color w:val="000000"/>
        </w:rPr>
        <w:t>due to one or more AEs.</w:t>
      </w:r>
      <w:r>
        <w:rPr>
          <w:color w:val="000000"/>
        </w:rPr>
        <w:t xml:space="preserve"> </w:t>
      </w:r>
      <w:r w:rsidRPr="006A162E">
        <w:t>In the 13 SK field treatment studies, a total of 37 patients (37 treated with PEP005 Gel and</w:t>
      </w:r>
      <w:r>
        <w:t xml:space="preserve"> </w:t>
      </w:r>
      <w:r w:rsidRPr="006A162E">
        <w:t>0 treated with vehicle) discontinued study medication due to one or more AEs.</w:t>
      </w:r>
      <w:r>
        <w:t xml:space="preserve"> No significant safety issues were identified as a result of these discontinuations.</w:t>
      </w:r>
    </w:p>
    <w:p w:rsidR="00C22678" w:rsidRDefault="00C22678" w:rsidP="008457BC">
      <w:pPr>
        <w:pStyle w:val="Heading2"/>
      </w:pPr>
      <w:bookmarkStart w:id="144" w:name="_Toc367127782"/>
      <w:r>
        <w:lastRenderedPageBreak/>
        <w:t>First round benefit-risk assessment</w:t>
      </w:r>
      <w:bookmarkEnd w:id="144"/>
    </w:p>
    <w:p w:rsidR="00C75DEA" w:rsidRDefault="00C75DEA" w:rsidP="008457BC">
      <w:pPr>
        <w:pStyle w:val="Heading3"/>
      </w:pPr>
      <w:bookmarkStart w:id="145" w:name="_Toc236802595"/>
      <w:bookmarkStart w:id="146" w:name="_Toc241374333"/>
      <w:bookmarkStart w:id="147" w:name="_Toc314158771"/>
      <w:bookmarkStart w:id="148" w:name="_Toc367127783"/>
      <w:r>
        <w:t>Benefits</w:t>
      </w:r>
      <w:bookmarkEnd w:id="145"/>
      <w:bookmarkEnd w:id="146"/>
      <w:bookmarkEnd w:id="147"/>
      <w:bookmarkEnd w:id="148"/>
    </w:p>
    <w:p w:rsidR="00C75DEA" w:rsidRDefault="00C75DEA" w:rsidP="00C75DEA">
      <w:pPr>
        <w:autoSpaceDE w:val="0"/>
        <w:autoSpaceDN w:val="0"/>
        <w:adjustRightInd w:val="0"/>
        <w:rPr>
          <w:color w:val="000000"/>
        </w:rPr>
      </w:pPr>
      <w:r>
        <w:rPr>
          <w:color w:val="000000"/>
        </w:rPr>
        <w:t>From the clinical study information provided</w:t>
      </w:r>
      <w:r w:rsidRPr="004A6D79">
        <w:rPr>
          <w:color w:val="000000"/>
        </w:rPr>
        <w:t>, the complete clearance rates of PEP005 Gel, 0.015% on head</w:t>
      </w:r>
      <w:r>
        <w:rPr>
          <w:color w:val="000000"/>
        </w:rPr>
        <w:t xml:space="preserve"> </w:t>
      </w:r>
      <w:r w:rsidRPr="004A6D79">
        <w:rPr>
          <w:color w:val="000000"/>
        </w:rPr>
        <w:t>locations were 37% and 47%, and for PEP005 Gel, 0.05% on non-head locations, the</w:t>
      </w:r>
      <w:r>
        <w:rPr>
          <w:color w:val="000000"/>
        </w:rPr>
        <w:t xml:space="preserve"> </w:t>
      </w:r>
      <w:r w:rsidRPr="004A6D79">
        <w:rPr>
          <w:color w:val="000000"/>
        </w:rPr>
        <w:t>complete clearance rates were 28% and 42%. These results were statistically significant in</w:t>
      </w:r>
      <w:r>
        <w:rPr>
          <w:color w:val="000000"/>
        </w:rPr>
        <w:t xml:space="preserve"> </w:t>
      </w:r>
      <w:r w:rsidRPr="004A6D79">
        <w:rPr>
          <w:color w:val="000000"/>
        </w:rPr>
        <w:t>comparison to vehicle gel (p &lt; 0.001, for each study and for the pooled Phase 3 data for each</w:t>
      </w:r>
      <w:r>
        <w:rPr>
          <w:color w:val="000000"/>
        </w:rPr>
        <w:t xml:space="preserve"> </w:t>
      </w:r>
      <w:r w:rsidRPr="004A6D79">
        <w:rPr>
          <w:color w:val="000000"/>
        </w:rPr>
        <w:t xml:space="preserve">location [head and non-head]). </w:t>
      </w:r>
      <w:r>
        <w:rPr>
          <w:color w:val="000000"/>
        </w:rPr>
        <w:t xml:space="preserve">These results appear comparable with </w:t>
      </w:r>
      <w:r w:rsidRPr="004A6D79">
        <w:rPr>
          <w:color w:val="000000"/>
        </w:rPr>
        <w:t>currently marketed products (</w:t>
      </w:r>
      <w:r>
        <w:rPr>
          <w:color w:val="000000"/>
        </w:rPr>
        <w:t xml:space="preserve">figures provided by the applicant were </w:t>
      </w:r>
      <w:r w:rsidRPr="004A6D79">
        <w:rPr>
          <w:color w:val="000000"/>
        </w:rPr>
        <w:t>15-58% for</w:t>
      </w:r>
      <w:r>
        <w:rPr>
          <w:color w:val="000000"/>
        </w:rPr>
        <w:t xml:space="preserve"> </w:t>
      </w:r>
      <w:r w:rsidRPr="004A6D79">
        <w:rPr>
          <w:color w:val="000000"/>
        </w:rPr>
        <w:t xml:space="preserve">5-FU; 34-47% for diclofenac; </w:t>
      </w:r>
      <w:r>
        <w:rPr>
          <w:color w:val="000000"/>
        </w:rPr>
        <w:t xml:space="preserve">and </w:t>
      </w:r>
      <w:r w:rsidRPr="004A6D79">
        <w:rPr>
          <w:color w:val="000000"/>
        </w:rPr>
        <w:t xml:space="preserve">26-46% for imiquimod). </w:t>
      </w:r>
      <w:r>
        <w:rPr>
          <w:color w:val="000000"/>
        </w:rPr>
        <w:t>A table summarising results for Aldara (imiquimod) appears below.</w:t>
      </w:r>
    </w:p>
    <w:p w:rsidR="00C75DEA" w:rsidRDefault="00C75DEA" w:rsidP="008457BC">
      <w:pPr>
        <w:pStyle w:val="TableTitle"/>
      </w:pPr>
      <w:r>
        <w:t>Table</w:t>
      </w:r>
      <w:r w:rsidR="00281572">
        <w:t xml:space="preserve"> 77</w:t>
      </w:r>
      <w:r>
        <w:t>. Trials of topical treatments for Actinic Keratoses</w:t>
      </w:r>
    </w:p>
    <w:p w:rsidR="00C75DEA" w:rsidRDefault="00C75DEA" w:rsidP="00C75DEA">
      <w:pPr>
        <w:autoSpaceDE w:val="0"/>
        <w:autoSpaceDN w:val="0"/>
        <w:adjustRightInd w:val="0"/>
        <w:rPr>
          <w:color w:val="000000"/>
        </w:rPr>
      </w:pPr>
      <w:r>
        <w:rPr>
          <w:noProof/>
          <w:color w:val="000000"/>
          <w:lang w:eastAsia="en-AU"/>
        </w:rPr>
        <w:drawing>
          <wp:inline distT="0" distB="0" distL="0" distR="0">
            <wp:extent cx="5629275" cy="2762250"/>
            <wp:effectExtent l="19050" t="0" r="9525" b="0"/>
            <wp:docPr id="89" name="Picture 89" descr="Table 77. Trials of topical treatments for Actinic Kerat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1" t="10191" r="2982" b="9918"/>
                    <a:stretch>
                      <a:fillRect/>
                    </a:stretch>
                  </pic:blipFill>
                  <pic:spPr bwMode="auto">
                    <a:xfrm>
                      <a:off x="0" y="0"/>
                      <a:ext cx="5629275" cy="2762250"/>
                    </a:xfrm>
                    <a:prstGeom prst="rect">
                      <a:avLst/>
                    </a:prstGeom>
                    <a:noFill/>
                    <a:ln>
                      <a:noFill/>
                    </a:ln>
                  </pic:spPr>
                </pic:pic>
              </a:graphicData>
            </a:graphic>
          </wp:inline>
        </w:drawing>
      </w:r>
    </w:p>
    <w:p w:rsidR="00C75DEA" w:rsidRPr="00C75DEA" w:rsidRDefault="00C75DEA" w:rsidP="008457BC">
      <w:pPr>
        <w:pStyle w:val="TableDescription"/>
        <w:rPr>
          <w:color w:val="000000"/>
        </w:rPr>
      </w:pPr>
      <w:r w:rsidRPr="00C75DEA">
        <w:rPr>
          <w:color w:val="000000"/>
        </w:rPr>
        <w:t>(</w:t>
      </w:r>
      <w:r w:rsidRPr="00C75DEA">
        <w:t xml:space="preserve">McIntyre WJ et al. Treatment options for actinic keratoses. </w:t>
      </w:r>
      <w:r w:rsidRPr="00C75DEA">
        <w:rPr>
          <w:i/>
        </w:rPr>
        <w:t>Am Fam Physician</w:t>
      </w:r>
      <w:r w:rsidRPr="00C75DEA">
        <w:t xml:space="preserve"> 2007;76(5):667-71)</w:t>
      </w:r>
    </w:p>
    <w:p w:rsidR="00C75DEA" w:rsidRDefault="00C75DEA" w:rsidP="00C75DEA">
      <w:pPr>
        <w:autoSpaceDE w:val="0"/>
        <w:autoSpaceDN w:val="0"/>
        <w:adjustRightInd w:val="0"/>
        <w:rPr>
          <w:color w:val="000000"/>
        </w:rPr>
      </w:pPr>
      <w:r w:rsidRPr="004A6D79">
        <w:rPr>
          <w:color w:val="000000"/>
        </w:rPr>
        <w:t>PEP005 Gel treatment, however, is</w:t>
      </w:r>
      <w:r>
        <w:rPr>
          <w:color w:val="000000"/>
        </w:rPr>
        <w:t xml:space="preserve"> </w:t>
      </w:r>
      <w:r w:rsidRPr="004A6D79">
        <w:rPr>
          <w:color w:val="000000"/>
        </w:rPr>
        <w:t>efficacious after being applied for a substantially shorter duration. For head (face and scalp),</w:t>
      </w:r>
      <w:r>
        <w:rPr>
          <w:color w:val="000000"/>
        </w:rPr>
        <w:t xml:space="preserve"> </w:t>
      </w:r>
      <w:r w:rsidRPr="004A6D79">
        <w:rPr>
          <w:color w:val="000000"/>
        </w:rPr>
        <w:t>PEP005 Gel, 0.015% is applied for three days and for non-head (trunk and extremities),</w:t>
      </w:r>
      <w:r>
        <w:rPr>
          <w:color w:val="000000"/>
        </w:rPr>
        <w:t xml:space="preserve"> </w:t>
      </w:r>
      <w:r w:rsidRPr="004A6D79">
        <w:rPr>
          <w:color w:val="000000"/>
        </w:rPr>
        <w:t xml:space="preserve">PEP005 Gel, 0.05% is applied for only two days. In contrast, </w:t>
      </w:r>
      <w:r>
        <w:rPr>
          <w:color w:val="000000"/>
        </w:rPr>
        <w:t xml:space="preserve">the applicant noted that </w:t>
      </w:r>
      <w:r w:rsidRPr="004A6D79">
        <w:rPr>
          <w:color w:val="000000"/>
        </w:rPr>
        <w:t>other products have longer</w:t>
      </w:r>
      <w:r>
        <w:rPr>
          <w:color w:val="000000"/>
        </w:rPr>
        <w:t xml:space="preserve"> </w:t>
      </w:r>
      <w:r w:rsidRPr="004A6D79">
        <w:rPr>
          <w:color w:val="000000"/>
        </w:rPr>
        <w:t>durations of treatment. Treatment with 5-FU requires at least 3 to 4 weeks diclofenac</w:t>
      </w:r>
      <w:r>
        <w:rPr>
          <w:color w:val="000000"/>
        </w:rPr>
        <w:t xml:space="preserve"> </w:t>
      </w:r>
      <w:r w:rsidRPr="004A6D79">
        <w:rPr>
          <w:color w:val="000000"/>
        </w:rPr>
        <w:t>requires 8 to 12 weeks, and imiquimod requires 4 weeks of treatment with efficacy assessment</w:t>
      </w:r>
      <w:r>
        <w:rPr>
          <w:color w:val="000000"/>
        </w:rPr>
        <w:t xml:space="preserve"> </w:t>
      </w:r>
      <w:r w:rsidRPr="004A6D79">
        <w:rPr>
          <w:color w:val="000000"/>
        </w:rPr>
        <w:t>after the following 4-week off treatment period or 16 weeks of continuous treatment.</w:t>
      </w:r>
      <w:r>
        <w:rPr>
          <w:color w:val="000000"/>
        </w:rPr>
        <w:t xml:space="preserve"> </w:t>
      </w:r>
      <w:r w:rsidRPr="004A6D79">
        <w:rPr>
          <w:color w:val="000000"/>
        </w:rPr>
        <w:t>Longer treatment durations reduce patient compliance. Treatment compliance with the</w:t>
      </w:r>
      <w:r>
        <w:rPr>
          <w:color w:val="000000"/>
        </w:rPr>
        <w:t xml:space="preserve"> </w:t>
      </w:r>
      <w:r w:rsidRPr="004A6D79">
        <w:rPr>
          <w:color w:val="000000"/>
        </w:rPr>
        <w:t xml:space="preserve">PEP005 Gel dosing regimen in the Phase 3 studies was </w:t>
      </w:r>
      <w:r>
        <w:rPr>
          <w:color w:val="000000"/>
        </w:rPr>
        <w:t xml:space="preserve">noted to be </w:t>
      </w:r>
      <w:r w:rsidRPr="004A6D79">
        <w:rPr>
          <w:color w:val="000000"/>
        </w:rPr>
        <w:t xml:space="preserve">99%. </w:t>
      </w:r>
      <w:r>
        <w:rPr>
          <w:color w:val="000000"/>
        </w:rPr>
        <w:t xml:space="preserve">It must be noted, however, that the safety and efficacy of </w:t>
      </w:r>
      <w:r w:rsidRPr="004A6D79">
        <w:rPr>
          <w:color w:val="000000"/>
        </w:rPr>
        <w:t>PEP005 Gel treatment</w:t>
      </w:r>
      <w:r>
        <w:rPr>
          <w:color w:val="000000"/>
        </w:rPr>
        <w:t xml:space="preserve"> was not directly compar</w:t>
      </w:r>
      <w:r w:rsidR="008457BC">
        <w:rPr>
          <w:color w:val="000000"/>
        </w:rPr>
        <w:t>ed with any active comparators.</w:t>
      </w:r>
    </w:p>
    <w:p w:rsidR="00C75DEA" w:rsidRDefault="00C75DEA" w:rsidP="00C75DEA">
      <w:pPr>
        <w:autoSpaceDE w:val="0"/>
        <w:autoSpaceDN w:val="0"/>
        <w:adjustRightInd w:val="0"/>
        <w:rPr>
          <w:color w:val="000000"/>
        </w:rPr>
      </w:pPr>
      <w:r w:rsidRPr="004A6D79">
        <w:rPr>
          <w:color w:val="000000"/>
        </w:rPr>
        <w:t xml:space="preserve">PEP005 Gel applied topically at the concentrations used for treatment of </w:t>
      </w:r>
      <w:r>
        <w:rPr>
          <w:color w:val="000000"/>
        </w:rPr>
        <w:t>S</w:t>
      </w:r>
      <w:r w:rsidRPr="004A6D79">
        <w:rPr>
          <w:color w:val="000000"/>
        </w:rPr>
        <w:t>K lesions, has no</w:t>
      </w:r>
      <w:r>
        <w:rPr>
          <w:color w:val="000000"/>
        </w:rPr>
        <w:t xml:space="preserve"> </w:t>
      </w:r>
      <w:r w:rsidRPr="004A6D79">
        <w:rPr>
          <w:color w:val="000000"/>
        </w:rPr>
        <w:t xml:space="preserve">systemic absorption, whereas, </w:t>
      </w:r>
      <w:r>
        <w:rPr>
          <w:color w:val="000000"/>
        </w:rPr>
        <w:t xml:space="preserve">the applicant noted that </w:t>
      </w:r>
      <w:r w:rsidRPr="004A6D79">
        <w:rPr>
          <w:color w:val="000000"/>
        </w:rPr>
        <w:t>measurable plasma concentrations occur with use of 5-FU,</w:t>
      </w:r>
      <w:r>
        <w:rPr>
          <w:color w:val="000000"/>
        </w:rPr>
        <w:t xml:space="preserve"> </w:t>
      </w:r>
      <w:r w:rsidRPr="004A6D79">
        <w:rPr>
          <w:color w:val="000000"/>
        </w:rPr>
        <w:t>diclofenac, and imiquimod.</w:t>
      </w:r>
    </w:p>
    <w:p w:rsidR="00C75DEA" w:rsidRPr="004A6D79" w:rsidRDefault="00C75DEA" w:rsidP="00C75DEA">
      <w:pPr>
        <w:autoSpaceDE w:val="0"/>
        <w:autoSpaceDN w:val="0"/>
        <w:adjustRightInd w:val="0"/>
      </w:pPr>
      <w:r>
        <w:rPr>
          <w:color w:val="000000"/>
        </w:rPr>
        <w:t>A</w:t>
      </w:r>
      <w:r w:rsidRPr="004A6D79">
        <w:rPr>
          <w:color w:val="000000"/>
        </w:rPr>
        <w:t xml:space="preserve"> follow-up period of 12 months</w:t>
      </w:r>
      <w:r>
        <w:rPr>
          <w:color w:val="000000"/>
        </w:rPr>
        <w:t xml:space="preserve"> </w:t>
      </w:r>
      <w:r w:rsidRPr="004A6D79">
        <w:rPr>
          <w:color w:val="000000"/>
        </w:rPr>
        <w:t>was selected for each of the long-term studies. At the 12 month follow-up, patient-based</w:t>
      </w:r>
      <w:r>
        <w:rPr>
          <w:color w:val="000000"/>
        </w:rPr>
        <w:t xml:space="preserve"> </w:t>
      </w:r>
      <w:r w:rsidRPr="004A6D79">
        <w:rPr>
          <w:color w:val="000000"/>
        </w:rPr>
        <w:t>recurrence was 54% for head (face and scalp) locations and 56% for non-head (trunk and</w:t>
      </w:r>
      <w:r>
        <w:rPr>
          <w:color w:val="000000"/>
        </w:rPr>
        <w:t xml:space="preserve"> </w:t>
      </w:r>
      <w:r w:rsidRPr="004A6D79">
        <w:rPr>
          <w:color w:val="000000"/>
        </w:rPr>
        <w:t>extremities) locations.</w:t>
      </w:r>
      <w:r>
        <w:rPr>
          <w:color w:val="000000"/>
        </w:rPr>
        <w:t xml:space="preserve"> The applicant noted that t</w:t>
      </w:r>
      <w:r w:rsidRPr="004A6D79">
        <w:rPr>
          <w:color w:val="000000"/>
        </w:rPr>
        <w:t>hese results are consistent with patient-based recurrence for imiquimod</w:t>
      </w:r>
      <w:r>
        <w:rPr>
          <w:color w:val="000000"/>
        </w:rPr>
        <w:t xml:space="preserve"> </w:t>
      </w:r>
      <w:r w:rsidRPr="004A6D79">
        <w:rPr>
          <w:color w:val="000000"/>
        </w:rPr>
        <w:t>(42-67%). Lesion-based recurrence at 12 month</w:t>
      </w:r>
      <w:r>
        <w:rPr>
          <w:color w:val="000000"/>
        </w:rPr>
        <w:t xml:space="preserve"> </w:t>
      </w:r>
      <w:r w:rsidRPr="004A6D79">
        <w:rPr>
          <w:color w:val="000000"/>
        </w:rPr>
        <w:t>follow-up was 13% for PEP005 Gel treated patients in each location (head and non-</w:t>
      </w:r>
      <w:r w:rsidRPr="004A6D79">
        <w:rPr>
          <w:color w:val="000000"/>
        </w:rPr>
        <w:lastRenderedPageBreak/>
        <w:t>head).</w:t>
      </w:r>
      <w:r>
        <w:rPr>
          <w:color w:val="000000"/>
        </w:rPr>
        <w:t xml:space="preserve"> </w:t>
      </w:r>
      <w:r w:rsidRPr="004A6D79">
        <w:rPr>
          <w:color w:val="000000"/>
        </w:rPr>
        <w:t>These findings are also consistent with lesion-based recurrence of 9% observed for imiquimod</w:t>
      </w:r>
      <w:r>
        <w:rPr>
          <w:color w:val="000000"/>
        </w:rPr>
        <w:t>.</w:t>
      </w:r>
    </w:p>
    <w:p w:rsidR="00C75DEA" w:rsidRDefault="00C75DEA" w:rsidP="008457BC">
      <w:pPr>
        <w:pStyle w:val="Heading3"/>
      </w:pPr>
      <w:bookmarkStart w:id="149" w:name="_Toc236802596"/>
      <w:bookmarkStart w:id="150" w:name="_Toc241374334"/>
      <w:bookmarkStart w:id="151" w:name="_Toc314158772"/>
      <w:bookmarkStart w:id="152" w:name="_Toc367127784"/>
      <w:r>
        <w:t>Risks</w:t>
      </w:r>
      <w:bookmarkEnd w:id="149"/>
      <w:bookmarkEnd w:id="150"/>
      <w:bookmarkEnd w:id="151"/>
      <w:bookmarkEnd w:id="152"/>
    </w:p>
    <w:p w:rsidR="00C75DEA" w:rsidRDefault="00C75DEA" w:rsidP="00C75DEA">
      <w:pPr>
        <w:autoSpaceDE w:val="0"/>
        <w:autoSpaceDN w:val="0"/>
        <w:adjustRightInd w:val="0"/>
        <w:rPr>
          <w:color w:val="000000"/>
        </w:rPr>
      </w:pPr>
      <w:r>
        <w:t>Adequate information was provided to establish a side-effect profile for this product. A total of</w:t>
      </w:r>
      <w:r w:rsidRPr="00E711AF">
        <w:t xml:space="preserve"> 43% of patients treated with PEP005 Gel experienced</w:t>
      </w:r>
      <w:r>
        <w:t xml:space="preserve"> </w:t>
      </w:r>
      <w:r w:rsidRPr="00E711AF">
        <w:t>an AE. Most AEs could be attributed to application site reactions and were typically considered</w:t>
      </w:r>
      <w:r>
        <w:t xml:space="preserve"> </w:t>
      </w:r>
      <w:r w:rsidRPr="00E711AF">
        <w:t>related to treatment. Application site pruritus, application site pain, and application site</w:t>
      </w:r>
      <w:r>
        <w:t xml:space="preserve"> </w:t>
      </w:r>
      <w:r w:rsidRPr="00E711AF">
        <w:t>irritation were the most frequently reported. Only 3.2% of PEP005 Gel-treated patients had a</w:t>
      </w:r>
      <w:r>
        <w:t xml:space="preserve"> </w:t>
      </w:r>
      <w:r w:rsidRPr="00E711AF">
        <w:t>severe AE.</w:t>
      </w:r>
      <w:r>
        <w:t xml:space="preserve"> D</w:t>
      </w:r>
      <w:r w:rsidRPr="00E711AF">
        <w:t>iscontinuation of treatment due to an AE occurred in only</w:t>
      </w:r>
      <w:r>
        <w:t xml:space="preserve"> </w:t>
      </w:r>
      <w:r w:rsidRPr="00E711AF">
        <w:t>3% of patients who received PEP005 Gel; discontinuation from the study occurred in 0.1% of</w:t>
      </w:r>
      <w:r>
        <w:t xml:space="preserve"> </w:t>
      </w:r>
      <w:r w:rsidRPr="00E711AF">
        <w:t>patients. Serious AEs occurred at a low incidence (4% of PEP005 Gel patients) and most</w:t>
      </w:r>
      <w:r>
        <w:t xml:space="preserve"> </w:t>
      </w:r>
      <w:r w:rsidRPr="00E711AF">
        <w:t>were unrelated to study medication. One death occurred in a PEP005 Gel-treated patient (due</w:t>
      </w:r>
      <w:r>
        <w:t xml:space="preserve"> </w:t>
      </w:r>
      <w:r w:rsidRPr="00E711AF">
        <w:t>to coronary atherosclerosis and hypertension) and was considered unrelated to study medication.</w:t>
      </w:r>
      <w:r>
        <w:t xml:space="preserve"> N</w:t>
      </w:r>
      <w:r w:rsidRPr="00E711AF">
        <w:t>eoplasms such as BCC and SCC of the skin</w:t>
      </w:r>
      <w:r>
        <w:t xml:space="preserve"> </w:t>
      </w:r>
      <w:r w:rsidRPr="00E711AF">
        <w:t xml:space="preserve">were infrequent, and occurred at similar incidences for PEP005 Gel and vehicle patients. </w:t>
      </w:r>
      <w:r>
        <w:t xml:space="preserve">This profile appeared to compare favourably with </w:t>
      </w:r>
      <w:r w:rsidRPr="004A6D79">
        <w:rPr>
          <w:color w:val="000000"/>
        </w:rPr>
        <w:t>currently marketed products</w:t>
      </w:r>
      <w:r>
        <w:rPr>
          <w:color w:val="000000"/>
        </w:rPr>
        <w:t xml:space="preserve">. While therapeutic failure could present a possible risk, results from the clinical studies program suggest that this would be comparable to any of the active comparators currently marketed. The nature of the treatment of AK using any medication requires clinical follow-up for monitoring of both therapeutic failure and possible recurrence, especially in </w:t>
      </w:r>
      <w:r w:rsidR="008457BC">
        <w:rPr>
          <w:color w:val="000000"/>
        </w:rPr>
        <w:t>chronically solar-damaged skin.</w:t>
      </w:r>
    </w:p>
    <w:p w:rsidR="00C75DEA" w:rsidRPr="00C75DEA" w:rsidRDefault="00C75DEA" w:rsidP="00C75DEA">
      <w:pPr>
        <w:autoSpaceDE w:val="0"/>
        <w:autoSpaceDN w:val="0"/>
        <w:adjustRightInd w:val="0"/>
      </w:pPr>
      <w:r>
        <w:t>Four studies provided data in patients receiving treatment for non-malignant skin cancer (NMSC) (PEP005-002, PEP005-003,</w:t>
      </w:r>
      <w:r w:rsidRPr="00AB7949">
        <w:t xml:space="preserve"> </w:t>
      </w:r>
      <w:r>
        <w:t xml:space="preserve">PEP005-008 and PEP005-009). While these studies were included primarily to contribute to the safety database, they did provide some efficacy data on utility in alternative diagnoses. However for the majority of these studies, the </w:t>
      </w:r>
      <w:r>
        <w:rPr>
          <w:rFonts w:eastAsia="TimesNewRomanPSMT" w:cs="TimesNewRomanPSMT"/>
          <w:szCs w:val="21"/>
        </w:rPr>
        <w:t>analyse</w:t>
      </w:r>
      <w:r w:rsidRPr="003E74A1">
        <w:rPr>
          <w:rFonts w:eastAsia="TimesNewRomanPSMT" w:cs="TimesNewRomanPSMT"/>
          <w:szCs w:val="21"/>
        </w:rPr>
        <w:t>s w</w:t>
      </w:r>
      <w:r>
        <w:rPr>
          <w:rFonts w:eastAsia="TimesNewRomanPSMT" w:cs="TimesNewRomanPSMT"/>
          <w:szCs w:val="21"/>
        </w:rPr>
        <w:t>ere</w:t>
      </w:r>
      <w:r w:rsidRPr="003E74A1">
        <w:rPr>
          <w:rFonts w:eastAsia="TimesNewRomanPSMT" w:cs="TimesNewRomanPSMT"/>
          <w:szCs w:val="21"/>
        </w:rPr>
        <w:t xml:space="preserve"> </w:t>
      </w:r>
      <w:r w:rsidRPr="00C75DEA">
        <w:t>primarily descriptive in nature, and were not statistically powered to conduct formal hypothesis/inferential testing. Conditions treated included nodular BCC, superficial BCC, and SCCIS.</w:t>
      </w:r>
    </w:p>
    <w:p w:rsidR="00C75DEA" w:rsidRDefault="00C75DEA" w:rsidP="00C75DEA">
      <w:pPr>
        <w:autoSpaceDE w:val="0"/>
        <w:autoSpaceDN w:val="0"/>
        <w:adjustRightInd w:val="0"/>
      </w:pPr>
      <w:r w:rsidRPr="00E711AF">
        <w:t>Eye disorders, however, were seen more</w:t>
      </w:r>
      <w:r>
        <w:t xml:space="preserve"> </w:t>
      </w:r>
      <w:r w:rsidRPr="00E711AF">
        <w:t>frequently in patients treated with PEP005 Gel (2.3% vs. 0.3% in vehicle patients).</w:t>
      </w:r>
      <w:r>
        <w:t xml:space="preserve"> </w:t>
      </w:r>
      <w:r w:rsidRPr="00E711AF">
        <w:t>Local skin responses were common with PEP005 Gel treatment; 95% of PEP005 Gel-treated</w:t>
      </w:r>
      <w:r>
        <w:t xml:space="preserve"> </w:t>
      </w:r>
      <w:r w:rsidRPr="00E711AF">
        <w:t>patients showed an increase in LSR scores relative to baseline whereas most patients treated</w:t>
      </w:r>
      <w:r>
        <w:t xml:space="preserve"> </w:t>
      </w:r>
      <w:r w:rsidRPr="00E711AF">
        <w:t>with vehicle showed no change from baseline LSR score. For patients treated on the face or</w:t>
      </w:r>
      <w:r>
        <w:t xml:space="preserve"> </w:t>
      </w:r>
      <w:r w:rsidRPr="00E711AF">
        <w:t>scalp, the maximum LSR score occurred on Day 4, which returned to baseline values (or</w:t>
      </w:r>
      <w:r>
        <w:t xml:space="preserve"> </w:t>
      </w:r>
      <w:r w:rsidRPr="00E711AF">
        <w:t>below) by Day 15. For patients treated on the trunk or extremities, the maximum LSR score</w:t>
      </w:r>
      <w:r>
        <w:t xml:space="preserve"> </w:t>
      </w:r>
      <w:r w:rsidRPr="00E711AF">
        <w:t>occurred between Days 3 and 8, and returned to baseline values (or below) by Day 29.</w:t>
      </w:r>
      <w:r>
        <w:t xml:space="preserve"> </w:t>
      </w:r>
      <w:r w:rsidRPr="00E711AF">
        <w:t>For both treatment locations (face/scalp and trunk/extremities), erythema and flaking/scaling</w:t>
      </w:r>
      <w:r>
        <w:t xml:space="preserve"> </w:t>
      </w:r>
      <w:r w:rsidRPr="00E711AF">
        <w:t>were the most common LSRs, followed by crusting and swelling. Local skin responses on the</w:t>
      </w:r>
      <w:r>
        <w:t xml:space="preserve"> </w:t>
      </w:r>
      <w:r w:rsidRPr="00E711AF">
        <w:t>face and scalp generally were of greater intensity than responses on the trunk and extremities.</w:t>
      </w:r>
      <w:r>
        <w:t xml:space="preserve"> </w:t>
      </w:r>
      <w:r w:rsidRPr="00E711AF">
        <w:t>The majority of patients who received PEP005 Gel showed no</w:t>
      </w:r>
      <w:r>
        <w:t xml:space="preserve"> signs of h</w:t>
      </w:r>
      <w:r w:rsidRPr="00E711AF">
        <w:t xml:space="preserve">ypopigmentation, </w:t>
      </w:r>
      <w:r>
        <w:t xml:space="preserve">hyperpigmentation </w:t>
      </w:r>
      <w:r w:rsidRPr="00E711AF">
        <w:t xml:space="preserve">or scarring at baseline or </w:t>
      </w:r>
      <w:r>
        <w:t xml:space="preserve">at </w:t>
      </w:r>
      <w:r w:rsidR="008457BC">
        <w:t>the end-of-study assessments.</w:t>
      </w:r>
    </w:p>
    <w:p w:rsidR="00C75DEA" w:rsidRDefault="00C75DEA" w:rsidP="00C75DEA">
      <w:pPr>
        <w:autoSpaceDE w:val="0"/>
        <w:autoSpaceDN w:val="0"/>
        <w:adjustRightInd w:val="0"/>
      </w:pPr>
      <w:r w:rsidRPr="00E711AF">
        <w:t>No clinically meaningful</w:t>
      </w:r>
      <w:r>
        <w:t xml:space="preserve"> </w:t>
      </w:r>
      <w:r w:rsidRPr="00E711AF">
        <w:t>changes in laboratory parameters, vital signs, or ECG assessments were seen with PEP005</w:t>
      </w:r>
      <w:r>
        <w:t xml:space="preserve"> </w:t>
      </w:r>
      <w:r w:rsidRPr="00E711AF">
        <w:t>Gel treatment.</w:t>
      </w:r>
      <w:r>
        <w:t xml:space="preserve"> L</w:t>
      </w:r>
      <w:r w:rsidRPr="00E711AF">
        <w:t>ocalised application site disorders (pruritus, pain, irritation) and local</w:t>
      </w:r>
      <w:r>
        <w:t xml:space="preserve"> </w:t>
      </w:r>
      <w:r w:rsidRPr="00E711AF">
        <w:t>skin responses, particularly erythema, flaking, and scaling are the main characteristics of the</w:t>
      </w:r>
      <w:r>
        <w:t xml:space="preserve"> </w:t>
      </w:r>
      <w:r w:rsidRPr="00E711AF">
        <w:t>safety profile of PEP005 Gel. These local adverse events are transient, and typically resolve</w:t>
      </w:r>
      <w:r>
        <w:t xml:space="preserve"> </w:t>
      </w:r>
      <w:r w:rsidRPr="00E711AF">
        <w:t>without sequelae within 2-4 weeks of application. Additionally, PEP005 Gel is not systemically</w:t>
      </w:r>
      <w:r>
        <w:t xml:space="preserve"> </w:t>
      </w:r>
      <w:r w:rsidRPr="00E711AF">
        <w:t xml:space="preserve">absorbed. </w:t>
      </w:r>
      <w:r>
        <w:t>The applicant noted that c</w:t>
      </w:r>
      <w:r w:rsidRPr="00E711AF">
        <w:t>omparator products also report local skin responses but these appear more</w:t>
      </w:r>
      <w:r>
        <w:t xml:space="preserve"> </w:t>
      </w:r>
      <w:r w:rsidRPr="00E711AF">
        <w:t>intense and several products recommend “rest-periods” when severe skin reactions are</w:t>
      </w:r>
      <w:r>
        <w:t xml:space="preserve"> </w:t>
      </w:r>
      <w:r w:rsidRPr="00E711AF">
        <w:t xml:space="preserve">experienced (imiquimod and 5-FU). </w:t>
      </w:r>
      <w:r>
        <w:t>This is consistent with current clinical experience. No tabular summary comparing adverse event rates based on clinical trial data was provided. The applicant also noted that c</w:t>
      </w:r>
      <w:r w:rsidRPr="00E711AF">
        <w:t xml:space="preserve">omparator products also report systemic </w:t>
      </w:r>
      <w:r w:rsidRPr="00E711AF">
        <w:lastRenderedPageBreak/>
        <w:t>absorption</w:t>
      </w:r>
      <w:r>
        <w:t xml:space="preserve"> </w:t>
      </w:r>
      <w:r w:rsidRPr="00E711AF">
        <w:t>when applied topically and systemic adverse events such as flu-like symptoms and fatigue</w:t>
      </w:r>
      <w:r>
        <w:t xml:space="preserve"> </w:t>
      </w:r>
      <w:r w:rsidR="008457BC">
        <w:t>(imiquimod).</w:t>
      </w:r>
    </w:p>
    <w:p w:rsidR="00C75DEA" w:rsidRDefault="00C75DEA" w:rsidP="00C75DEA">
      <w:pPr>
        <w:autoSpaceDE w:val="0"/>
        <w:autoSpaceDN w:val="0"/>
        <w:adjustRightInd w:val="0"/>
      </w:pPr>
      <w:r>
        <w:t>The formulation proposed for marketing was used in the pivotal studies (0.015% Picato Gel in studies PEP005-016 and PEP005-025, 0.05% in studies PEP005-014 and PEP005-028). A valid rationale for the lack of active comparators was provided. While the data set provided only shows that Picato Gel is better than placebo, adequate information was provided to suggest that efficacy was comparable to currently available comparators. While a non-inferiority study would be preferred, this risk would be mitigated by adequate post-marketing surveillance. The superiority margins in the pivotal studies were appropriate, and clinically meaningful.</w:t>
      </w:r>
    </w:p>
    <w:p w:rsidR="00C22678" w:rsidRDefault="00C22678" w:rsidP="00E128EA">
      <w:pPr>
        <w:pStyle w:val="Heading2"/>
      </w:pPr>
      <w:bookmarkStart w:id="153" w:name="_Toc367127785"/>
      <w:r>
        <w:t>First round recommendation regarding authorisation</w:t>
      </w:r>
      <w:bookmarkEnd w:id="153"/>
    </w:p>
    <w:p w:rsidR="00487A52" w:rsidRDefault="00487A52" w:rsidP="00487A52">
      <w:r>
        <w:t>On the basis of the information provided by the applicant, the application for registration of Picato Gel is supported bas</w:t>
      </w:r>
      <w:r w:rsidR="00E128EA">
        <w:t>ed on the proposed indications.</w:t>
      </w:r>
    </w:p>
    <w:p w:rsidR="00C22678" w:rsidRDefault="00C22678" w:rsidP="00E128EA">
      <w:pPr>
        <w:pStyle w:val="Heading2"/>
      </w:pPr>
      <w:bookmarkStart w:id="154" w:name="_Toc367127786"/>
      <w:r>
        <w:t>Clinical questions</w:t>
      </w:r>
      <w:bookmarkEnd w:id="154"/>
    </w:p>
    <w:p w:rsidR="00C618F7" w:rsidRPr="00586F98" w:rsidRDefault="00C75DEA" w:rsidP="00C618F7">
      <w:pPr>
        <w:rPr>
          <w:lang w:eastAsia="ja-JP"/>
        </w:rPr>
      </w:pPr>
      <w:r>
        <w:rPr>
          <w:lang w:eastAsia="ja-JP"/>
        </w:rPr>
        <w:t>N</w:t>
      </w:r>
      <w:r w:rsidR="00E5119A">
        <w:rPr>
          <w:lang w:eastAsia="ja-JP"/>
        </w:rPr>
        <w:t>il</w:t>
      </w:r>
      <w:r>
        <w:rPr>
          <w:lang w:eastAsia="ja-JP"/>
        </w:rPr>
        <w:t>.</w:t>
      </w:r>
    </w:p>
    <w:p w:rsidR="00C618F7" w:rsidRDefault="00C618F7" w:rsidP="00E128EA">
      <w:pPr>
        <w:pStyle w:val="Heading2"/>
      </w:pPr>
      <w:bookmarkStart w:id="155" w:name="_Toc367127787"/>
      <w:r>
        <w:t>References</w:t>
      </w:r>
      <w:bookmarkEnd w:id="155"/>
    </w:p>
    <w:p w:rsidR="00C618F7" w:rsidRPr="00586F98" w:rsidRDefault="00487A52" w:rsidP="00C618F7">
      <w:pPr>
        <w:rPr>
          <w:lang w:eastAsia="ja-JP"/>
        </w:rPr>
      </w:pPr>
      <w:r>
        <w:rPr>
          <w:lang w:eastAsia="ja-JP"/>
        </w:rPr>
        <w:t>Nil</w:t>
      </w:r>
    </w:p>
    <w:bookmarkEnd w:id="1"/>
    <w:bookmarkEnd w:id="0"/>
    <w:bookmarkEnd w:id="2"/>
    <w:p w:rsidR="003D1E62" w:rsidRPr="001D043B" w:rsidRDefault="008E7846" w:rsidP="002666AC">
      <w:pPr>
        <w:sectPr w:rsidR="003D1E62" w:rsidRPr="001D043B" w:rsidSect="003E365A">
          <w:footerReference w:type="default" r:id="rId122"/>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123"/>
      <w:headerReference w:type="default" r:id="rId124"/>
      <w:footerReference w:type="default" r:id="rId125"/>
      <w:headerReference w:type="first" r:id="rId126"/>
      <w:footerReference w:type="first" r:id="rId12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934" w:rsidRDefault="00320934" w:rsidP="00C40A36">
      <w:pPr>
        <w:spacing w:after="0"/>
      </w:pPr>
      <w:r>
        <w:separator/>
      </w:r>
    </w:p>
  </w:endnote>
  <w:endnote w:type="continuationSeparator" w:id="0">
    <w:p w:rsidR="00320934" w:rsidRDefault="0032093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dvUnivers">
    <w:panose1 w:val="00000000000000000000"/>
    <w:charset w:val="00"/>
    <w:family w:val="swiss"/>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83" w:usb1="08070000" w:usb2="00000010" w:usb3="00000000" w:csb0="00020009" w:csb1="00000000"/>
  </w:font>
  <w:font w:name="Arial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284422" w:rsidRPr="00487162" w:rsidTr="0053625B">
      <w:trPr>
        <w:trHeight w:val="269"/>
      </w:trPr>
      <w:tc>
        <w:tcPr>
          <w:tcW w:w="7938" w:type="dxa"/>
          <w:tcMar>
            <w:top w:w="142" w:type="dxa"/>
            <w:bottom w:w="0" w:type="dxa"/>
          </w:tcMar>
        </w:tcPr>
        <w:p w:rsidR="00284422" w:rsidRPr="00487162" w:rsidRDefault="00284422" w:rsidP="00281572">
          <w:pPr>
            <w:pStyle w:val="Footer"/>
          </w:pPr>
          <w:r>
            <w:t>Submission</w:t>
          </w:r>
          <w:r w:rsidRPr="00487162">
            <w:t xml:space="preserve"> PM-20</w:t>
          </w:r>
          <w:r>
            <w:t>11</w:t>
          </w:r>
          <w:r w:rsidRPr="00487162">
            <w:t>-</w:t>
          </w:r>
          <w:r>
            <w:t>02307-3-5 Extract from the Clinical Evaluation Report for Picato Gel</w:t>
          </w:r>
        </w:p>
      </w:tc>
      <w:tc>
        <w:tcPr>
          <w:tcW w:w="923" w:type="dxa"/>
          <w:tcMar>
            <w:top w:w="142" w:type="dxa"/>
            <w:bottom w:w="0" w:type="dxa"/>
          </w:tcMar>
        </w:tcPr>
        <w:p w:rsidR="00284422" w:rsidRPr="00487162" w:rsidRDefault="00284422" w:rsidP="00D855D4">
          <w:pPr>
            <w:pStyle w:val="Footer"/>
            <w:jc w:val="right"/>
          </w:pPr>
          <w:r w:rsidRPr="00487162">
            <w:t xml:space="preserve">Page </w:t>
          </w:r>
          <w:r>
            <w:t>2</w:t>
          </w:r>
          <w:r w:rsidRPr="00487162">
            <w:t xml:space="preserve"> of </w:t>
          </w:r>
          <w:fldSimple w:instr=" NUMPAGES  \* Arabic ">
            <w:r w:rsidR="0070154E">
              <w:rPr>
                <w:noProof/>
              </w:rPr>
              <w:t>98</w:t>
            </w:r>
          </w:fldSimple>
        </w:p>
      </w:tc>
    </w:tr>
  </w:tbl>
  <w:p w:rsidR="00284422" w:rsidRDefault="00284422" w:rsidP="0043797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B8" w:rsidRDefault="003B7AB8" w:rsidP="003B7AB8">
    <w:pPr>
      <w:pStyle w:val="Footer"/>
      <w:tabs>
        <w:tab w:val="clear" w:pos="4513"/>
        <w:tab w:val="clear" w:pos="9026"/>
        <w:tab w:val="center" w:pos="13325"/>
        <w:tab w:val="right" w:pos="13750"/>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70</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B8" w:rsidRDefault="003B7AB8" w:rsidP="0085688A">
    <w:pPr>
      <w:pStyle w:val="Footer"/>
      <w:tabs>
        <w:tab w:val="clear" w:pos="4513"/>
        <w:tab w:val="center" w:pos="8647"/>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71</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B8" w:rsidRDefault="003B7AB8" w:rsidP="003B7AB8">
    <w:pPr>
      <w:pStyle w:val="Footer"/>
      <w:tabs>
        <w:tab w:val="clear" w:pos="4513"/>
        <w:tab w:val="clear" w:pos="9026"/>
        <w:tab w:val="center" w:pos="13325"/>
        <w:tab w:val="right" w:pos="13750"/>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72</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AB8" w:rsidRDefault="003B7AB8" w:rsidP="0085688A">
    <w:pPr>
      <w:pStyle w:val="Footer"/>
      <w:tabs>
        <w:tab w:val="clear" w:pos="4513"/>
        <w:tab w:val="center" w:pos="8647"/>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77</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6C7" w:rsidRDefault="003136C7" w:rsidP="003136C7">
    <w:pPr>
      <w:pStyle w:val="Footer"/>
      <w:tabs>
        <w:tab w:val="clear" w:pos="4513"/>
        <w:tab w:val="clear" w:pos="9026"/>
        <w:tab w:val="center" w:pos="13325"/>
        <w:tab w:val="right" w:pos="13892"/>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81</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80" w:rsidRDefault="009F2180" w:rsidP="0085688A">
    <w:pPr>
      <w:pStyle w:val="Footer"/>
      <w:tabs>
        <w:tab w:val="clear" w:pos="4513"/>
        <w:tab w:val="center" w:pos="8647"/>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82</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81" w:rsidRDefault="00283881" w:rsidP="00283881">
    <w:pPr>
      <w:pStyle w:val="Footer"/>
      <w:tabs>
        <w:tab w:val="clear" w:pos="4513"/>
        <w:tab w:val="clear" w:pos="9026"/>
        <w:tab w:val="center" w:pos="13183"/>
        <w:tab w:val="right" w:pos="13750"/>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84</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81" w:rsidRDefault="00283881" w:rsidP="0085688A">
    <w:pPr>
      <w:pStyle w:val="Footer"/>
      <w:tabs>
        <w:tab w:val="clear" w:pos="4513"/>
        <w:tab w:val="center" w:pos="8647"/>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85</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BD" w:rsidRDefault="00CA6EBD" w:rsidP="00CA6EBD">
    <w:pPr>
      <w:pStyle w:val="Footer"/>
      <w:tabs>
        <w:tab w:val="clear" w:pos="4513"/>
        <w:tab w:val="clear" w:pos="9026"/>
        <w:tab w:val="center" w:pos="13325"/>
        <w:tab w:val="right" w:pos="13750"/>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87</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BD" w:rsidRDefault="00CA6EBD" w:rsidP="0085688A">
    <w:pPr>
      <w:pStyle w:val="Footer"/>
      <w:tabs>
        <w:tab w:val="clear" w:pos="4513"/>
        <w:tab w:val="center" w:pos="8647"/>
      </w:tabs>
      <w:rPr>
        <w:szCs w:val="20"/>
      </w:rPr>
    </w:pPr>
    <w:r>
      <w:rPr>
        <w:szCs w:val="20"/>
      </w:rPr>
      <w:t>Submission PM-2011-02307-3-5 Clinical Evaluation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97</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rsidP="0085688A">
    <w:pPr>
      <w:pStyle w:val="Footer"/>
      <w:tabs>
        <w:tab w:val="clear" w:pos="4513"/>
        <w:tab w:val="center" w:pos="8647"/>
      </w:tabs>
      <w:rPr>
        <w:szCs w:val="20"/>
      </w:rPr>
    </w:pPr>
    <w:r>
      <w:rPr>
        <w:szCs w:val="20"/>
      </w:rPr>
      <w:t>Submission PM-2011-02307-3-5 Clinical Ev</w:t>
    </w:r>
    <w:r w:rsidR="004678CC">
      <w:rPr>
        <w:szCs w:val="20"/>
      </w:rPr>
      <w:t>aluation Report for Picato Gel</w:t>
    </w:r>
    <w:r w:rsidR="00F20B2D">
      <w:rPr>
        <w:szCs w:val="20"/>
      </w:rPr>
      <w:tab/>
    </w:r>
    <w:r>
      <w:rPr>
        <w:szCs w:val="20"/>
      </w:rPr>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4</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84422" w:rsidRPr="00487162" w:rsidTr="008D770F">
              <w:trPr>
                <w:trHeight w:hRule="exact" w:val="564"/>
              </w:trPr>
              <w:tc>
                <w:tcPr>
                  <w:tcW w:w="9175" w:type="dxa"/>
                </w:tcPr>
                <w:p w:rsidR="00284422" w:rsidRPr="00487162" w:rsidRDefault="00284422" w:rsidP="008E7846">
                  <w:pPr>
                    <w:pStyle w:val="TGASignoff"/>
                  </w:pPr>
                  <w:r w:rsidRPr="00487162">
                    <w:t>Therapeutic Goods Administration</w:t>
                  </w:r>
                </w:p>
              </w:tc>
            </w:tr>
            <w:tr w:rsidR="00284422" w:rsidRPr="00487162" w:rsidTr="00E45619">
              <w:trPr>
                <w:trHeight w:val="1221"/>
              </w:trPr>
              <w:tc>
                <w:tcPr>
                  <w:tcW w:w="9175" w:type="dxa"/>
                  <w:tcMar>
                    <w:top w:w="28" w:type="dxa"/>
                  </w:tcMar>
                </w:tcPr>
                <w:p w:rsidR="00284422" w:rsidRPr="00487162" w:rsidRDefault="00284422" w:rsidP="00E45619">
                  <w:pPr>
                    <w:pStyle w:val="Address"/>
                  </w:pPr>
                  <w:r w:rsidRPr="00487162">
                    <w:t>PO Box 100 Woden ACT 2606 Australia</w:t>
                  </w:r>
                </w:p>
                <w:p w:rsidR="00284422" w:rsidRPr="00487162" w:rsidRDefault="00284422" w:rsidP="00E45619">
                  <w:pPr>
                    <w:pStyle w:val="Address"/>
                  </w:pPr>
                  <w:r w:rsidRPr="00487162">
                    <w:t xml:space="preserve">Email: </w:t>
                  </w:r>
                  <w:hyperlink r:id="rId1" w:history="1">
                    <w:r w:rsidRPr="008D770F">
                      <w:rPr>
                        <w:rStyle w:val="Hyperlink"/>
                      </w:rPr>
                      <w:t>info@tga.gov.au</w:t>
                    </w:r>
                  </w:hyperlink>
                  <w:r w:rsidRPr="00631F91">
                    <w:t xml:space="preserve"> </w:t>
                  </w:r>
                  <w:r w:rsidRPr="00487162">
                    <w:t>Phone: 1800 020 653</w:t>
                  </w:r>
                  <w:r w:rsidRPr="00631F91">
                    <w:t xml:space="preserve"> </w:t>
                  </w:r>
                  <w:r w:rsidRPr="00487162">
                    <w:t>Fax: 02 6232 8605</w:t>
                  </w:r>
                </w:p>
                <w:p w:rsidR="00284422" w:rsidRPr="008D770F" w:rsidRDefault="00D54EB2" w:rsidP="008D770F">
                  <w:pPr>
                    <w:pStyle w:val="Address"/>
                    <w:spacing w:line="260" w:lineRule="atLeast"/>
                    <w:rPr>
                      <w:b/>
                      <w:color w:val="0000FF"/>
                      <w:u w:val="single"/>
                    </w:rPr>
                  </w:pPr>
                  <w:hyperlink r:id="rId2" w:history="1">
                    <w:r w:rsidR="00284422" w:rsidRPr="007C06C7">
                      <w:rPr>
                        <w:rStyle w:val="Hyperlink"/>
                        <w:b/>
                      </w:rPr>
                      <w:t>http://www.tga.gov.au</w:t>
                    </w:r>
                  </w:hyperlink>
                </w:p>
              </w:tc>
            </w:tr>
          </w:tbl>
          <w:p w:rsidR="00284422" w:rsidRDefault="00D54EB2" w:rsidP="008E7846">
            <w:pPr>
              <w:pStyle w:val="Notes"/>
            </w:pPr>
          </w:p>
        </w:sdtContent>
      </w:sdt>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84422" w:rsidTr="0010601F">
      <w:trPr>
        <w:trHeight w:val="108"/>
      </w:trPr>
      <w:tc>
        <w:tcPr>
          <w:tcW w:w="8875" w:type="dxa"/>
          <w:gridSpan w:val="2"/>
          <w:tcBorders>
            <w:bottom w:val="single" w:sz="4" w:space="0" w:color="auto"/>
          </w:tcBorders>
          <w:tcMar>
            <w:right w:w="284" w:type="dxa"/>
          </w:tcMar>
        </w:tcPr>
        <w:p w:rsidR="00284422" w:rsidRDefault="00284422" w:rsidP="006E08B3">
          <w:pPr>
            <w:pStyle w:val="Heading3"/>
          </w:pPr>
          <w:r>
            <w:t>Copyright</w:t>
          </w:r>
        </w:p>
        <w:p w:rsidR="00284422" w:rsidRDefault="00284422" w:rsidP="006E08B3">
          <w:r>
            <w:rPr>
              <w:rFonts w:cs="Arial"/>
            </w:rPr>
            <w:t>©</w:t>
          </w:r>
          <w:r>
            <w:t xml:space="preserve"> Commonwealth of Australia [add year]</w:t>
          </w:r>
        </w:p>
        <w:p w:rsidR="00284422" w:rsidRDefault="00284422" w:rsidP="006E08B3"/>
        <w:p w:rsidR="00284422" w:rsidRDefault="00284422"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Pr="00631F91">
            <w:t xml:space="preserve"> </w:t>
          </w:r>
          <w:r w:rsidRPr="006E08B3">
            <w:t>http://www.ag.gov.au/cca</w:t>
          </w:r>
        </w:p>
        <w:p w:rsidR="00284422" w:rsidRDefault="00284422" w:rsidP="006E08B3"/>
        <w:p w:rsidR="00284422" w:rsidRDefault="00284422" w:rsidP="006E08B3">
          <w:pPr>
            <w:pStyle w:val="Heading3"/>
          </w:pPr>
          <w:r>
            <w:t>Confidentiality</w:t>
          </w:r>
        </w:p>
        <w:p w:rsidR="00284422" w:rsidRDefault="002844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84422" w:rsidRDefault="00284422" w:rsidP="006E08B3"/>
        <w:p w:rsidR="00284422" w:rsidRDefault="00284422" w:rsidP="006E08B3">
          <w:r>
            <w:t>For submission made by individuals, all personal details, other than your name, will be removed from your submission before it is published on the TGA’s Internet site.</w:t>
          </w:r>
        </w:p>
        <w:p w:rsidR="00284422" w:rsidRDefault="00284422" w:rsidP="006E08B3"/>
        <w:p w:rsidR="00284422" w:rsidRDefault="00284422" w:rsidP="006E08B3">
          <w:r>
            <w:t>In addition, a list of parties making submissions will be published. If you do not wish to be identified with your submission you must specifically request this in the space provided ib the submission coversheet.</w:t>
          </w:r>
        </w:p>
      </w:tc>
    </w:tr>
    <w:tr w:rsidR="00284422" w:rsidTr="0010601F">
      <w:trPr>
        <w:trHeight w:val="417"/>
      </w:trPr>
      <w:tc>
        <w:tcPr>
          <w:tcW w:w="4519" w:type="dxa"/>
          <w:tcBorders>
            <w:top w:val="single" w:sz="4" w:space="0" w:color="auto"/>
          </w:tcBorders>
          <w:tcMar>
            <w:top w:w="142" w:type="dxa"/>
            <w:bottom w:w="0" w:type="dxa"/>
          </w:tcMar>
        </w:tcPr>
        <w:p w:rsidR="00284422" w:rsidRDefault="00284422" w:rsidP="006E08B3">
          <w:r>
            <w:t>Document title, Part #, Section # - Section title</w:t>
          </w:r>
        </w:p>
        <w:p w:rsidR="00284422" w:rsidRDefault="00284422" w:rsidP="006E08B3">
          <w:r>
            <w:t>V1.0 October 2010</w:t>
          </w:r>
        </w:p>
      </w:tc>
      <w:tc>
        <w:tcPr>
          <w:tcW w:w="4356" w:type="dxa"/>
          <w:tcBorders>
            <w:top w:val="single" w:sz="4" w:space="0" w:color="auto"/>
          </w:tcBorders>
          <w:tcMar>
            <w:top w:w="142" w:type="dxa"/>
            <w:bottom w:w="0" w:type="dxa"/>
          </w:tcMar>
        </w:tcPr>
        <w:p w:rsidR="00284422" w:rsidRDefault="00284422" w:rsidP="006E08B3">
          <w:pPr>
            <w:jc w:val="right"/>
          </w:pPr>
          <w:r>
            <w:t xml:space="preserve">Page </w:t>
          </w:r>
          <w:fldSimple w:instr=" PAGE   \* MERGEFORMAT ">
            <w:r>
              <w:rPr>
                <w:noProof/>
              </w:rPr>
              <w:t>1</w:t>
            </w:r>
          </w:fldSimple>
          <w:r>
            <w:t xml:space="preserve"> of </w:t>
          </w:r>
          <w:fldSimple w:instr=" NUMPAGES  \* Arabic ">
            <w:r>
              <w:rPr>
                <w:noProof/>
              </w:rPr>
              <w:t>99</w:t>
            </w:r>
          </w:fldSimple>
          <w:r w:rsidRPr="00631F91">
            <w:t xml:space="preserve"> </w:t>
          </w:r>
        </w:p>
      </w:tc>
    </w:tr>
  </w:tbl>
  <w:p w:rsidR="00284422" w:rsidRDefault="0028442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CA6" w:rsidRDefault="00067CA6" w:rsidP="00067CA6">
    <w:pPr>
      <w:pStyle w:val="Footer"/>
      <w:tabs>
        <w:tab w:val="clear" w:pos="4513"/>
        <w:tab w:val="clear" w:pos="9026"/>
        <w:tab w:val="center" w:pos="13892"/>
        <w:tab w:val="right" w:pos="14459"/>
      </w:tabs>
      <w:rPr>
        <w:szCs w:val="20"/>
      </w:rPr>
    </w:pPr>
    <w:r>
      <w:rPr>
        <w:szCs w:val="20"/>
      </w:rPr>
      <w:t>Submission PM-2011-02307-3-5 Clinical Ev</w:t>
    </w:r>
    <w:r w:rsidR="009456B2">
      <w:rPr>
        <w:szCs w:val="20"/>
      </w:rPr>
      <w:t>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17</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CA6" w:rsidRDefault="00067CA6" w:rsidP="0085688A">
    <w:pPr>
      <w:pStyle w:val="Footer"/>
      <w:tabs>
        <w:tab w:val="clear" w:pos="4513"/>
        <w:tab w:val="center" w:pos="8647"/>
      </w:tabs>
      <w:rPr>
        <w:szCs w:val="20"/>
      </w:rPr>
    </w:pPr>
    <w:r>
      <w:rPr>
        <w:szCs w:val="20"/>
      </w:rPr>
      <w:t>Submission PM-2011-02307-3-5 Clinical Ev</w:t>
    </w:r>
    <w:r w:rsidR="00E26D6A">
      <w:rPr>
        <w:szCs w:val="20"/>
      </w:rPr>
      <w:t>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33</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84422" w:rsidRPr="00487162" w:rsidTr="00E45619">
      <w:trPr>
        <w:trHeight w:val="269"/>
      </w:trPr>
      <w:tc>
        <w:tcPr>
          <w:tcW w:w="4519" w:type="dxa"/>
          <w:tcBorders>
            <w:top w:val="single" w:sz="4" w:space="0" w:color="auto"/>
          </w:tcBorders>
          <w:tcMar>
            <w:top w:w="142" w:type="dxa"/>
            <w:bottom w:w="0" w:type="dxa"/>
          </w:tcMar>
        </w:tcPr>
        <w:p w:rsidR="00284422" w:rsidRPr="00487162" w:rsidRDefault="00284422" w:rsidP="00FE1DEE">
          <w:pPr>
            <w:pStyle w:val="Footer"/>
          </w:pPr>
          <w:r w:rsidRPr="00487162">
            <w:t>Document title, Part #, Section # - Section title</w:t>
          </w:r>
        </w:p>
        <w:p w:rsidR="00284422" w:rsidRPr="00487162" w:rsidRDefault="00284422" w:rsidP="00FE1DEE">
          <w:pPr>
            <w:pStyle w:val="Footer"/>
          </w:pPr>
          <w:r w:rsidRPr="00487162">
            <w:t>V1.0 October 2010</w:t>
          </w:r>
        </w:p>
      </w:tc>
      <w:tc>
        <w:tcPr>
          <w:tcW w:w="4342" w:type="dxa"/>
          <w:tcBorders>
            <w:top w:val="single" w:sz="4" w:space="0" w:color="auto"/>
          </w:tcBorders>
          <w:tcMar>
            <w:top w:w="142" w:type="dxa"/>
            <w:bottom w:w="0" w:type="dxa"/>
          </w:tcMar>
        </w:tcPr>
        <w:p w:rsidR="00284422" w:rsidRPr="00487162" w:rsidRDefault="0028442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99</w:t>
            </w:r>
          </w:fldSimple>
        </w:p>
      </w:tc>
    </w:tr>
  </w:tbl>
  <w:p w:rsidR="00284422" w:rsidRDefault="0028442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FE" w:rsidRDefault="00A95AFE" w:rsidP="00A95AFE">
    <w:pPr>
      <w:pStyle w:val="Footer"/>
      <w:tabs>
        <w:tab w:val="clear" w:pos="4513"/>
        <w:tab w:val="clear" w:pos="9026"/>
        <w:tab w:val="center" w:pos="13041"/>
        <w:tab w:val="right" w:pos="13892"/>
      </w:tabs>
      <w:rPr>
        <w:szCs w:val="20"/>
      </w:rPr>
    </w:pPr>
    <w:r>
      <w:rPr>
        <w:szCs w:val="20"/>
      </w:rPr>
      <w:t>Submission PM-2011-02307-3-5 Clinical Ev</w:t>
    </w:r>
    <w:r w:rsidR="00CE3B06">
      <w:rPr>
        <w:szCs w:val="20"/>
      </w:rPr>
      <w:t>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34</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FE" w:rsidRDefault="00A95AFE" w:rsidP="0085688A">
    <w:pPr>
      <w:pStyle w:val="Footer"/>
      <w:tabs>
        <w:tab w:val="clear" w:pos="4513"/>
        <w:tab w:val="center" w:pos="8647"/>
      </w:tabs>
      <w:rPr>
        <w:szCs w:val="20"/>
      </w:rPr>
    </w:pPr>
    <w:r>
      <w:rPr>
        <w:szCs w:val="20"/>
      </w:rPr>
      <w:t>Submission PM-2011-02307-3-5 Clinical Ev</w:t>
    </w:r>
    <w:r w:rsidR="006F51C6">
      <w:rPr>
        <w:szCs w:val="20"/>
      </w:rPr>
      <w:t>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43</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EAF" w:rsidRDefault="00E75EAF" w:rsidP="00E75EAF">
    <w:pPr>
      <w:pStyle w:val="Footer"/>
      <w:tabs>
        <w:tab w:val="clear" w:pos="4513"/>
        <w:tab w:val="clear" w:pos="9026"/>
        <w:tab w:val="center" w:pos="13325"/>
        <w:tab w:val="right" w:pos="14034"/>
      </w:tabs>
      <w:rPr>
        <w:szCs w:val="20"/>
      </w:rPr>
    </w:pPr>
    <w:r>
      <w:rPr>
        <w:szCs w:val="20"/>
      </w:rPr>
      <w:t>Submission PM-2011-02307-3-5 Clinical Ev</w:t>
    </w:r>
    <w:r w:rsidR="002A69C4">
      <w:rPr>
        <w:szCs w:val="20"/>
      </w:rPr>
      <w:t>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45</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EAF" w:rsidRDefault="00E75EAF" w:rsidP="0085688A">
    <w:pPr>
      <w:pStyle w:val="Footer"/>
      <w:tabs>
        <w:tab w:val="clear" w:pos="4513"/>
        <w:tab w:val="center" w:pos="8647"/>
      </w:tabs>
      <w:rPr>
        <w:szCs w:val="20"/>
      </w:rPr>
    </w:pPr>
    <w:r>
      <w:rPr>
        <w:szCs w:val="20"/>
      </w:rPr>
      <w:t>Submission PM-2011-02307-3-5 Clinical E</w:t>
    </w:r>
    <w:r w:rsidR="00DF6B0A">
      <w:rPr>
        <w:szCs w:val="20"/>
      </w:rPr>
      <w:t>valuation Report for Picato Gel</w:t>
    </w:r>
    <w:r>
      <w:rPr>
        <w:szCs w:val="20"/>
      </w:rPr>
      <w:tab/>
      <w:t xml:space="preserve">page </w:t>
    </w:r>
    <w:r w:rsidR="00D54EB2">
      <w:rPr>
        <w:rStyle w:val="PageNumber"/>
      </w:rPr>
      <w:fldChar w:fldCharType="begin"/>
    </w:r>
    <w:r>
      <w:rPr>
        <w:rStyle w:val="PageNumber"/>
      </w:rPr>
      <w:instrText xml:space="preserve"> PAGE </w:instrText>
    </w:r>
    <w:r w:rsidR="00D54EB2">
      <w:rPr>
        <w:rStyle w:val="PageNumber"/>
      </w:rPr>
      <w:fldChar w:fldCharType="separate"/>
    </w:r>
    <w:r w:rsidR="0070154E">
      <w:rPr>
        <w:rStyle w:val="PageNumber"/>
        <w:noProof/>
      </w:rPr>
      <w:t>68</w:t>
    </w:r>
    <w:r w:rsidR="00D54EB2">
      <w:rPr>
        <w:rStyle w:val="PageNumber"/>
      </w:rPr>
      <w:fldChar w:fldCharType="end"/>
    </w:r>
    <w:r>
      <w:rPr>
        <w:szCs w:val="20"/>
      </w:rPr>
      <w:t xml:space="preserve"> of </w:t>
    </w:r>
    <w:r w:rsidR="00D54EB2">
      <w:rPr>
        <w:rStyle w:val="PageNumber"/>
      </w:rPr>
      <w:fldChar w:fldCharType="begin"/>
    </w:r>
    <w:r>
      <w:rPr>
        <w:rStyle w:val="PageNumber"/>
      </w:rPr>
      <w:instrText xml:space="preserve"> NUMPAGES </w:instrText>
    </w:r>
    <w:r w:rsidR="00D54EB2">
      <w:rPr>
        <w:rStyle w:val="PageNumber"/>
      </w:rPr>
      <w:fldChar w:fldCharType="separate"/>
    </w:r>
    <w:r w:rsidR="0070154E">
      <w:rPr>
        <w:rStyle w:val="PageNumber"/>
        <w:noProof/>
      </w:rPr>
      <w:t>98</w:t>
    </w:r>
    <w:r w:rsidR="00D54EB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934" w:rsidRDefault="00320934" w:rsidP="00C40A36">
      <w:pPr>
        <w:spacing w:after="0"/>
      </w:pPr>
      <w:r>
        <w:separator/>
      </w:r>
    </w:p>
  </w:footnote>
  <w:footnote w:type="continuationSeparator" w:id="0">
    <w:p w:rsidR="00320934" w:rsidRDefault="00320934" w:rsidP="00C40A36">
      <w:pPr>
        <w:spacing w:after="0"/>
      </w:pPr>
      <w:r>
        <w:continuationSeparator/>
      </w:r>
    </w:p>
  </w:footnote>
  <w:footnote w:id="1">
    <w:p w:rsidR="00284422" w:rsidRPr="00B52245" w:rsidRDefault="00284422" w:rsidP="002E6F0C">
      <w:pPr>
        <w:pStyle w:val="FootnoteText"/>
      </w:pPr>
      <w:r>
        <w:rPr>
          <w:rStyle w:val="FootnoteReference"/>
        </w:rPr>
        <w:footnoteRef/>
      </w:r>
      <w:r w:rsidRPr="00067CA6">
        <w:t xml:space="preserve"> </w:t>
      </w:r>
      <w:r w:rsidRPr="00B52245">
        <w:t>Erratum: Phase III study</w:t>
      </w:r>
    </w:p>
  </w:footnote>
  <w:footnote w:id="2">
    <w:p w:rsidR="00284422" w:rsidRDefault="00284422" w:rsidP="002E6F0C">
      <w:pPr>
        <w:pStyle w:val="FootnoteText"/>
      </w:pPr>
      <w:r>
        <w:rPr>
          <w:rStyle w:val="FootnoteReference"/>
        </w:rPr>
        <w:footnoteRef/>
      </w:r>
      <w:r>
        <w:t xml:space="preserve"> </w:t>
      </w:r>
      <w:r w:rsidRPr="00B52245">
        <w:t>Erratum: Phase III study</w:t>
      </w:r>
    </w:p>
  </w:footnote>
  <w:footnote w:id="3">
    <w:p w:rsidR="00284422" w:rsidRPr="00DF6B0A" w:rsidRDefault="00284422" w:rsidP="00DF6B0A">
      <w:pPr>
        <w:pStyle w:val="FootnoteText"/>
      </w:pPr>
      <w:r>
        <w:rPr>
          <w:rStyle w:val="FootnoteReference"/>
        </w:rPr>
        <w:footnoteRef/>
      </w:r>
      <w:r>
        <w:t xml:space="preserve"> </w:t>
      </w:r>
      <w:r w:rsidRPr="00DF6B0A">
        <w:t>Erratum: Phase III study.</w:t>
      </w:r>
    </w:p>
  </w:footnote>
  <w:footnote w:id="4">
    <w:p w:rsidR="00284422" w:rsidRPr="00DF6B0A" w:rsidRDefault="00284422" w:rsidP="00DF6B0A">
      <w:pPr>
        <w:pStyle w:val="FootnoteText"/>
      </w:pPr>
      <w:r w:rsidRPr="00DF6B0A">
        <w:rPr>
          <w:rStyle w:val="FootnoteReference"/>
        </w:rPr>
        <w:footnoteRef/>
      </w:r>
      <w:r w:rsidRPr="00DF6B0A">
        <w:t xml:space="preserve"> Erratum: Phase III study.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rsidP="0085688A">
    <w:pPr>
      <w:pStyle w:val="Header"/>
      <w:tabs>
        <w:tab w:val="clear" w:pos="9026"/>
        <w:tab w:val="right" w:pos="8931"/>
      </w:tabs>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D54EB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284422" w:rsidRDefault="0070154E" w:rsidP="00593AD1">
    <w:pPr>
      <w:pStyle w:val="HeaderNoLine"/>
    </w:pPr>
    <w:r>
      <w:rPr>
        <w:noProof/>
        <w:lang w:eastAsia="en-AU"/>
      </w:rPr>
      <w:pict>
        <v:shape id="_x0000_i1025" type="#_x0000_t75" alt="Lightblue.jpg" style="width:425.1pt;height:601.4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22" w:rsidRDefault="00284422" w:rsidP="006E08B3">
    <w:r>
      <w:t>Therapeutic Goods Administration</w:t>
    </w:r>
  </w:p>
  <w:p w:rsidR="00284422" w:rsidRDefault="0028442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F66300"/>
    <w:lvl w:ilvl="0">
      <w:start w:val="1"/>
      <w:numFmt w:val="decimal"/>
      <w:lvlText w:val="%1."/>
      <w:lvlJc w:val="left"/>
      <w:pPr>
        <w:tabs>
          <w:tab w:val="num" w:pos="1492"/>
        </w:tabs>
        <w:ind w:left="1492" w:hanging="360"/>
      </w:pPr>
    </w:lvl>
  </w:abstractNum>
  <w:abstractNum w:abstractNumId="1">
    <w:nsid w:val="FFFFFF7D"/>
    <w:multiLevelType w:val="singleLevel"/>
    <w:tmpl w:val="7D220F60"/>
    <w:lvl w:ilvl="0">
      <w:start w:val="1"/>
      <w:numFmt w:val="decimal"/>
      <w:lvlText w:val="%1."/>
      <w:lvlJc w:val="left"/>
      <w:pPr>
        <w:tabs>
          <w:tab w:val="num" w:pos="1209"/>
        </w:tabs>
        <w:ind w:left="1209" w:hanging="360"/>
      </w:pPr>
    </w:lvl>
  </w:abstractNum>
  <w:abstractNum w:abstractNumId="2">
    <w:nsid w:val="FFFFFF7E"/>
    <w:multiLevelType w:val="singleLevel"/>
    <w:tmpl w:val="9280BCCE"/>
    <w:lvl w:ilvl="0">
      <w:start w:val="1"/>
      <w:numFmt w:val="decimal"/>
      <w:lvlText w:val="%1."/>
      <w:lvlJc w:val="left"/>
      <w:pPr>
        <w:tabs>
          <w:tab w:val="num" w:pos="926"/>
        </w:tabs>
        <w:ind w:left="926" w:hanging="360"/>
      </w:pPr>
    </w:lvl>
  </w:abstractNum>
  <w:abstractNum w:abstractNumId="3">
    <w:nsid w:val="FFFFFF7F"/>
    <w:multiLevelType w:val="singleLevel"/>
    <w:tmpl w:val="9EC205B8"/>
    <w:lvl w:ilvl="0">
      <w:start w:val="1"/>
      <w:numFmt w:val="decimal"/>
      <w:lvlText w:val="%1."/>
      <w:lvlJc w:val="left"/>
      <w:pPr>
        <w:tabs>
          <w:tab w:val="num" w:pos="643"/>
        </w:tabs>
        <w:ind w:left="643" w:hanging="360"/>
      </w:pPr>
    </w:lvl>
  </w:abstractNum>
  <w:abstractNum w:abstractNumId="4">
    <w:nsid w:val="FFFFFF80"/>
    <w:multiLevelType w:val="singleLevel"/>
    <w:tmpl w:val="656201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1497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9DA0AE7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B7A7677"/>
    <w:multiLevelType w:val="hybridMultilevel"/>
    <w:tmpl w:val="9CC262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EF61915"/>
    <w:multiLevelType w:val="hybridMultilevel"/>
    <w:tmpl w:val="C2FA9D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2046117"/>
    <w:multiLevelType w:val="hybridMultilevel"/>
    <w:tmpl w:val="0C5EB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3066740A"/>
    <w:multiLevelType w:val="hybridMultilevel"/>
    <w:tmpl w:val="32A09876"/>
    <w:lvl w:ilvl="0" w:tplc="1354F1C8">
      <w:start w:val="1"/>
      <w:numFmt w:val="bullet"/>
      <w:pStyle w:val="Bullet1"/>
      <w:lvlText w:val="•"/>
      <w:lvlJc w:val="left"/>
      <w:pPr>
        <w:tabs>
          <w:tab w:val="num" w:pos="284"/>
        </w:tabs>
        <w:ind w:left="284" w:hanging="284"/>
      </w:pPr>
      <w:rPr>
        <w:rFonts w:ascii="Times New Roman" w:hAnsi="Times New Roman" w:cs="Times New Roman" w:hint="default"/>
      </w:rPr>
    </w:lvl>
    <w:lvl w:ilvl="1" w:tplc="10E2FD60" w:tentative="1">
      <w:start w:val="1"/>
      <w:numFmt w:val="bullet"/>
      <w:lvlText w:val="o"/>
      <w:lvlJc w:val="left"/>
      <w:pPr>
        <w:tabs>
          <w:tab w:val="num" w:pos="1724"/>
        </w:tabs>
        <w:ind w:left="1724" w:hanging="360"/>
      </w:pPr>
      <w:rPr>
        <w:rFonts w:ascii="Courier New" w:hAnsi="Courier New" w:cs="Courier New" w:hint="default"/>
      </w:rPr>
    </w:lvl>
    <w:lvl w:ilvl="2" w:tplc="D68099DA" w:tentative="1">
      <w:start w:val="1"/>
      <w:numFmt w:val="bullet"/>
      <w:lvlText w:val=""/>
      <w:lvlJc w:val="left"/>
      <w:pPr>
        <w:tabs>
          <w:tab w:val="num" w:pos="2444"/>
        </w:tabs>
        <w:ind w:left="2444" w:hanging="360"/>
      </w:pPr>
      <w:rPr>
        <w:rFonts w:ascii="Wingdings" w:hAnsi="Wingdings" w:hint="default"/>
      </w:rPr>
    </w:lvl>
    <w:lvl w:ilvl="3" w:tplc="C3F87284" w:tentative="1">
      <w:start w:val="1"/>
      <w:numFmt w:val="bullet"/>
      <w:lvlText w:val=""/>
      <w:lvlJc w:val="left"/>
      <w:pPr>
        <w:tabs>
          <w:tab w:val="num" w:pos="3164"/>
        </w:tabs>
        <w:ind w:left="3164" w:hanging="360"/>
      </w:pPr>
      <w:rPr>
        <w:rFonts w:ascii="Symbol" w:hAnsi="Symbol" w:hint="default"/>
      </w:rPr>
    </w:lvl>
    <w:lvl w:ilvl="4" w:tplc="D5FA7050" w:tentative="1">
      <w:start w:val="1"/>
      <w:numFmt w:val="bullet"/>
      <w:lvlText w:val="o"/>
      <w:lvlJc w:val="left"/>
      <w:pPr>
        <w:tabs>
          <w:tab w:val="num" w:pos="3884"/>
        </w:tabs>
        <w:ind w:left="3884" w:hanging="360"/>
      </w:pPr>
      <w:rPr>
        <w:rFonts w:ascii="Courier New" w:hAnsi="Courier New" w:cs="Courier New" w:hint="default"/>
      </w:rPr>
    </w:lvl>
    <w:lvl w:ilvl="5" w:tplc="4E36C200" w:tentative="1">
      <w:start w:val="1"/>
      <w:numFmt w:val="bullet"/>
      <w:lvlText w:val=""/>
      <w:lvlJc w:val="left"/>
      <w:pPr>
        <w:tabs>
          <w:tab w:val="num" w:pos="4604"/>
        </w:tabs>
        <w:ind w:left="4604" w:hanging="360"/>
      </w:pPr>
      <w:rPr>
        <w:rFonts w:ascii="Wingdings" w:hAnsi="Wingdings" w:hint="default"/>
      </w:rPr>
    </w:lvl>
    <w:lvl w:ilvl="6" w:tplc="F0D490AE" w:tentative="1">
      <w:start w:val="1"/>
      <w:numFmt w:val="bullet"/>
      <w:lvlText w:val=""/>
      <w:lvlJc w:val="left"/>
      <w:pPr>
        <w:tabs>
          <w:tab w:val="num" w:pos="5324"/>
        </w:tabs>
        <w:ind w:left="5324" w:hanging="360"/>
      </w:pPr>
      <w:rPr>
        <w:rFonts w:ascii="Symbol" w:hAnsi="Symbol" w:hint="default"/>
      </w:rPr>
    </w:lvl>
    <w:lvl w:ilvl="7" w:tplc="CF8A7D2C" w:tentative="1">
      <w:start w:val="1"/>
      <w:numFmt w:val="bullet"/>
      <w:lvlText w:val="o"/>
      <w:lvlJc w:val="left"/>
      <w:pPr>
        <w:tabs>
          <w:tab w:val="num" w:pos="6044"/>
        </w:tabs>
        <w:ind w:left="6044" w:hanging="360"/>
      </w:pPr>
      <w:rPr>
        <w:rFonts w:ascii="Courier New" w:hAnsi="Courier New" w:cs="Courier New" w:hint="default"/>
      </w:rPr>
    </w:lvl>
    <w:lvl w:ilvl="8" w:tplc="9214AB12" w:tentative="1">
      <w:start w:val="1"/>
      <w:numFmt w:val="bullet"/>
      <w:lvlText w:val=""/>
      <w:lvlJc w:val="left"/>
      <w:pPr>
        <w:tabs>
          <w:tab w:val="num" w:pos="6764"/>
        </w:tabs>
        <w:ind w:left="6764" w:hanging="360"/>
      </w:pPr>
      <w:rPr>
        <w:rFonts w:ascii="Wingdings" w:hAnsi="Wingdings" w:hint="default"/>
      </w:rPr>
    </w:lvl>
  </w:abstractNum>
  <w:abstractNum w:abstractNumId="17">
    <w:nsid w:val="36825EF0"/>
    <w:multiLevelType w:val="multilevel"/>
    <w:tmpl w:val="0C5EB2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AC02909"/>
    <w:multiLevelType w:val="hybridMultilevel"/>
    <w:tmpl w:val="A5A8AF8A"/>
    <w:lvl w:ilvl="0" w:tplc="7CCAF10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CDE52D0"/>
    <w:multiLevelType w:val="hybridMultilevel"/>
    <w:tmpl w:val="BB3EDD04"/>
    <w:lvl w:ilvl="0" w:tplc="25522D50">
      <w:start w:val="1"/>
      <w:numFmt w:val="decimal"/>
      <w:lvlText w:val="2.6.%1"/>
      <w:lvlJc w:val="left"/>
      <w:pPr>
        <w:ind w:left="720" w:hanging="360"/>
      </w:pPr>
      <w:rPr>
        <w:rFonts w:ascii="Arial" w:hAnsi="Arial" w:hint="default"/>
        <w:b/>
        <w:i w:val="0"/>
        <w:color w:val="auto"/>
        <w:sz w:val="32"/>
        <w:u w:color="FFFFFF" w:themeColor="background1"/>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nsid w:val="4CFF2607"/>
    <w:multiLevelType w:val="hybridMultilevel"/>
    <w:tmpl w:val="95F8BE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D6B36A5"/>
    <w:multiLevelType w:val="hybridMultilevel"/>
    <w:tmpl w:val="78888DE2"/>
    <w:lvl w:ilvl="0" w:tplc="1D1E80C4">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5BFD44AA"/>
    <w:multiLevelType w:val="hybridMultilevel"/>
    <w:tmpl w:val="578E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5">
    <w:nsid w:val="6D0B1B75"/>
    <w:multiLevelType w:val="multilevel"/>
    <w:tmpl w:val="133EB34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674"/>
        </w:tabs>
        <w:ind w:left="1674" w:hanging="964"/>
      </w:pPr>
      <w:rPr>
        <w:rFonts w:hint="default"/>
      </w:rPr>
    </w:lvl>
    <w:lvl w:ilvl="3">
      <w:start w:val="1"/>
      <w:numFmt w:val="decimal"/>
      <w:pStyle w:val="Heading5"/>
      <w:lvlText w:val="%1.%2.%3.%4."/>
      <w:lvlJc w:val="left"/>
      <w:pPr>
        <w:tabs>
          <w:tab w:val="num" w:pos="1418"/>
        </w:tabs>
        <w:ind w:left="1418"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nsid w:val="6D214E8B"/>
    <w:multiLevelType w:val="hybridMultilevel"/>
    <w:tmpl w:val="A08485A4"/>
    <w:lvl w:ilvl="0" w:tplc="1822325A">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FF4A43EC" w:tentative="1">
      <w:start w:val="1"/>
      <w:numFmt w:val="bullet"/>
      <w:lvlText w:val="o"/>
      <w:lvlJc w:val="left"/>
      <w:pPr>
        <w:tabs>
          <w:tab w:val="num" w:pos="1440"/>
        </w:tabs>
        <w:ind w:left="1440" w:hanging="360"/>
      </w:pPr>
      <w:rPr>
        <w:rFonts w:ascii="Courier New" w:hAnsi="Courier New" w:cs="Courier New" w:hint="default"/>
      </w:rPr>
    </w:lvl>
    <w:lvl w:ilvl="2" w:tplc="474CA32A" w:tentative="1">
      <w:start w:val="1"/>
      <w:numFmt w:val="bullet"/>
      <w:lvlText w:val=""/>
      <w:lvlJc w:val="left"/>
      <w:pPr>
        <w:tabs>
          <w:tab w:val="num" w:pos="2160"/>
        </w:tabs>
        <w:ind w:left="2160" w:hanging="360"/>
      </w:pPr>
      <w:rPr>
        <w:rFonts w:ascii="Wingdings" w:hAnsi="Wingdings" w:hint="default"/>
      </w:rPr>
    </w:lvl>
    <w:lvl w:ilvl="3" w:tplc="2F868058" w:tentative="1">
      <w:start w:val="1"/>
      <w:numFmt w:val="bullet"/>
      <w:lvlText w:val=""/>
      <w:lvlJc w:val="left"/>
      <w:pPr>
        <w:tabs>
          <w:tab w:val="num" w:pos="2880"/>
        </w:tabs>
        <w:ind w:left="2880" w:hanging="360"/>
      </w:pPr>
      <w:rPr>
        <w:rFonts w:ascii="Symbol" w:hAnsi="Symbol" w:hint="default"/>
      </w:rPr>
    </w:lvl>
    <w:lvl w:ilvl="4" w:tplc="5782A338" w:tentative="1">
      <w:start w:val="1"/>
      <w:numFmt w:val="bullet"/>
      <w:lvlText w:val="o"/>
      <w:lvlJc w:val="left"/>
      <w:pPr>
        <w:tabs>
          <w:tab w:val="num" w:pos="3600"/>
        </w:tabs>
        <w:ind w:left="3600" w:hanging="360"/>
      </w:pPr>
      <w:rPr>
        <w:rFonts w:ascii="Courier New" w:hAnsi="Courier New" w:cs="Courier New" w:hint="default"/>
      </w:rPr>
    </w:lvl>
    <w:lvl w:ilvl="5" w:tplc="2DFA36BE" w:tentative="1">
      <w:start w:val="1"/>
      <w:numFmt w:val="bullet"/>
      <w:lvlText w:val=""/>
      <w:lvlJc w:val="left"/>
      <w:pPr>
        <w:tabs>
          <w:tab w:val="num" w:pos="4320"/>
        </w:tabs>
        <w:ind w:left="4320" w:hanging="360"/>
      </w:pPr>
      <w:rPr>
        <w:rFonts w:ascii="Wingdings" w:hAnsi="Wingdings" w:hint="default"/>
      </w:rPr>
    </w:lvl>
    <w:lvl w:ilvl="6" w:tplc="795087FC" w:tentative="1">
      <w:start w:val="1"/>
      <w:numFmt w:val="bullet"/>
      <w:lvlText w:val=""/>
      <w:lvlJc w:val="left"/>
      <w:pPr>
        <w:tabs>
          <w:tab w:val="num" w:pos="5040"/>
        </w:tabs>
        <w:ind w:left="5040" w:hanging="360"/>
      </w:pPr>
      <w:rPr>
        <w:rFonts w:ascii="Symbol" w:hAnsi="Symbol" w:hint="default"/>
      </w:rPr>
    </w:lvl>
    <w:lvl w:ilvl="7" w:tplc="3C7AA298" w:tentative="1">
      <w:start w:val="1"/>
      <w:numFmt w:val="bullet"/>
      <w:lvlText w:val="o"/>
      <w:lvlJc w:val="left"/>
      <w:pPr>
        <w:tabs>
          <w:tab w:val="num" w:pos="5760"/>
        </w:tabs>
        <w:ind w:left="5760" w:hanging="360"/>
      </w:pPr>
      <w:rPr>
        <w:rFonts w:ascii="Courier New" w:hAnsi="Courier New" w:cs="Courier New" w:hint="default"/>
      </w:rPr>
    </w:lvl>
    <w:lvl w:ilvl="8" w:tplc="1DA804DE" w:tentative="1">
      <w:start w:val="1"/>
      <w:numFmt w:val="bullet"/>
      <w:lvlText w:val=""/>
      <w:lvlJc w:val="left"/>
      <w:pPr>
        <w:tabs>
          <w:tab w:val="num" w:pos="6480"/>
        </w:tabs>
        <w:ind w:left="6480" w:hanging="360"/>
      </w:pPr>
      <w:rPr>
        <w:rFonts w:ascii="Wingdings" w:hAnsi="Wingdings" w:hint="default"/>
      </w:rPr>
    </w:lvl>
  </w:abstractNum>
  <w:abstractNum w:abstractNumId="27">
    <w:nsid w:val="6FB5500E"/>
    <w:multiLevelType w:val="hybridMultilevel"/>
    <w:tmpl w:val="FCE0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56D275A"/>
    <w:multiLevelType w:val="hybridMultilevel"/>
    <w:tmpl w:val="7E9A5B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5"/>
  </w:num>
  <w:num w:numId="4">
    <w:abstractNumId w:val="15"/>
  </w:num>
  <w:num w:numId="5">
    <w:abstractNumId w:val="6"/>
  </w:num>
  <w:num w:numId="6">
    <w:abstractNumId w:val="15"/>
  </w:num>
  <w:num w:numId="7">
    <w:abstractNumId w:val="15"/>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5"/>
  </w:num>
  <w:num w:numId="14">
    <w:abstractNumId w:val="15"/>
  </w:num>
  <w:num w:numId="15">
    <w:abstractNumId w:val="15"/>
  </w:num>
  <w:num w:numId="16">
    <w:abstractNumId w:val="13"/>
  </w:num>
  <w:num w:numId="17">
    <w:abstractNumId w:val="13"/>
  </w:num>
  <w:num w:numId="18">
    <w:abstractNumId w:val="13"/>
  </w:num>
  <w:num w:numId="19">
    <w:abstractNumId w:val="15"/>
  </w:num>
  <w:num w:numId="20">
    <w:abstractNumId w:val="15"/>
  </w:num>
  <w:num w:numId="21">
    <w:abstractNumId w:val="15"/>
  </w:num>
  <w:num w:numId="22">
    <w:abstractNumId w:val="13"/>
  </w:num>
  <w:num w:numId="23">
    <w:abstractNumId w:val="13"/>
  </w:num>
  <w:num w:numId="2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9"/>
  </w:num>
  <w:num w:numId="26">
    <w:abstractNumId w:val="21"/>
  </w:num>
  <w:num w:numId="27">
    <w:abstractNumId w:val="23"/>
  </w:num>
  <w:num w:numId="28">
    <w:abstractNumId w:val="24"/>
  </w:num>
  <w:num w:numId="29">
    <w:abstractNumId w:val="25"/>
  </w:num>
  <w:num w:numId="30">
    <w:abstractNumId w:val="25"/>
  </w:num>
  <w:num w:numId="31">
    <w:abstractNumId w:val="25"/>
  </w:num>
  <w:num w:numId="32">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6"/>
  </w:num>
  <w:num w:numId="34">
    <w:abstractNumId w:val="16"/>
  </w:num>
  <w:num w:numId="35">
    <w:abstractNumId w:val="18"/>
  </w:num>
  <w:num w:numId="36">
    <w:abstractNumId w:val="14"/>
  </w:num>
  <w:num w:numId="37">
    <w:abstractNumId w:val="27"/>
  </w:num>
  <w:num w:numId="38">
    <w:abstractNumId w:val="22"/>
  </w:num>
  <w:num w:numId="39">
    <w:abstractNumId w:val="17"/>
  </w:num>
  <w:num w:numId="40">
    <w:abstractNumId w:val="12"/>
  </w:num>
  <w:num w:numId="41">
    <w:abstractNumId w:val="11"/>
  </w:num>
  <w:num w:numId="42">
    <w:abstractNumId w:val="28"/>
  </w:num>
  <w:num w:numId="43">
    <w:abstractNumId w:val="20"/>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1202">
      <o:colormenu v:ext="edit" fillcolor="none [3206]"/>
    </o:shapedefaults>
    <o:shapelayout v:ext="edit">
      <o:idmap v:ext="edit" data="46"/>
    </o:shapelayout>
  </w:hdrShapeDefaults>
  <w:footnotePr>
    <w:footnote w:id="-1"/>
    <w:footnote w:id="0"/>
  </w:footnotePr>
  <w:endnotePr>
    <w:endnote w:id="-1"/>
    <w:endnote w:id="0"/>
  </w:endnotePr>
  <w:compat/>
  <w:rsids>
    <w:rsidRoot w:val="000A3993"/>
    <w:rsid w:val="00002031"/>
    <w:rsid w:val="00004734"/>
    <w:rsid w:val="00006B22"/>
    <w:rsid w:val="0001276A"/>
    <w:rsid w:val="000246AE"/>
    <w:rsid w:val="00025C67"/>
    <w:rsid w:val="00040ACB"/>
    <w:rsid w:val="0005559E"/>
    <w:rsid w:val="00066583"/>
    <w:rsid w:val="00067CA6"/>
    <w:rsid w:val="00077775"/>
    <w:rsid w:val="00090471"/>
    <w:rsid w:val="00097180"/>
    <w:rsid w:val="000A08D0"/>
    <w:rsid w:val="000A3993"/>
    <w:rsid w:val="000A3AED"/>
    <w:rsid w:val="000A63AF"/>
    <w:rsid w:val="000B3532"/>
    <w:rsid w:val="000B3A75"/>
    <w:rsid w:val="000C4F44"/>
    <w:rsid w:val="000C690F"/>
    <w:rsid w:val="000D1295"/>
    <w:rsid w:val="000D391B"/>
    <w:rsid w:val="000D3D6D"/>
    <w:rsid w:val="000D4FC7"/>
    <w:rsid w:val="000E20F7"/>
    <w:rsid w:val="000F02F9"/>
    <w:rsid w:val="000F4869"/>
    <w:rsid w:val="000F5B42"/>
    <w:rsid w:val="000F6E6F"/>
    <w:rsid w:val="00104613"/>
    <w:rsid w:val="0010596D"/>
    <w:rsid w:val="0010601F"/>
    <w:rsid w:val="00106E51"/>
    <w:rsid w:val="0010788A"/>
    <w:rsid w:val="00107A31"/>
    <w:rsid w:val="00110EA5"/>
    <w:rsid w:val="0011179F"/>
    <w:rsid w:val="00112F56"/>
    <w:rsid w:val="00125318"/>
    <w:rsid w:val="001305A2"/>
    <w:rsid w:val="00133238"/>
    <w:rsid w:val="0014197B"/>
    <w:rsid w:val="001447CD"/>
    <w:rsid w:val="001516B1"/>
    <w:rsid w:val="00154EBB"/>
    <w:rsid w:val="00156316"/>
    <w:rsid w:val="00165389"/>
    <w:rsid w:val="0017078F"/>
    <w:rsid w:val="001731A6"/>
    <w:rsid w:val="0017693F"/>
    <w:rsid w:val="0018110E"/>
    <w:rsid w:val="00181684"/>
    <w:rsid w:val="00181A9E"/>
    <w:rsid w:val="001843C6"/>
    <w:rsid w:val="001850E0"/>
    <w:rsid w:val="001A2158"/>
    <w:rsid w:val="001A525F"/>
    <w:rsid w:val="001B09F9"/>
    <w:rsid w:val="001B6448"/>
    <w:rsid w:val="001E07CF"/>
    <w:rsid w:val="001E22EA"/>
    <w:rsid w:val="001E59F1"/>
    <w:rsid w:val="001F49EB"/>
    <w:rsid w:val="001F6CBA"/>
    <w:rsid w:val="00201D4E"/>
    <w:rsid w:val="002076C9"/>
    <w:rsid w:val="00215696"/>
    <w:rsid w:val="00220B8A"/>
    <w:rsid w:val="002257F3"/>
    <w:rsid w:val="00233456"/>
    <w:rsid w:val="002339A5"/>
    <w:rsid w:val="00235844"/>
    <w:rsid w:val="00252740"/>
    <w:rsid w:val="00257848"/>
    <w:rsid w:val="002666AC"/>
    <w:rsid w:val="0027084A"/>
    <w:rsid w:val="00281572"/>
    <w:rsid w:val="00283881"/>
    <w:rsid w:val="00284422"/>
    <w:rsid w:val="00286434"/>
    <w:rsid w:val="00286C59"/>
    <w:rsid w:val="00292113"/>
    <w:rsid w:val="002942D1"/>
    <w:rsid w:val="0029501A"/>
    <w:rsid w:val="002A69C4"/>
    <w:rsid w:val="002B1638"/>
    <w:rsid w:val="002C63ED"/>
    <w:rsid w:val="002C6C33"/>
    <w:rsid w:val="002D6161"/>
    <w:rsid w:val="002E4C9A"/>
    <w:rsid w:val="002E6F0C"/>
    <w:rsid w:val="002F11F8"/>
    <w:rsid w:val="002F3F56"/>
    <w:rsid w:val="002F44B5"/>
    <w:rsid w:val="00311AC0"/>
    <w:rsid w:val="003136C7"/>
    <w:rsid w:val="00320934"/>
    <w:rsid w:val="0032583B"/>
    <w:rsid w:val="00327883"/>
    <w:rsid w:val="00335504"/>
    <w:rsid w:val="003521E8"/>
    <w:rsid w:val="003640EA"/>
    <w:rsid w:val="003658C0"/>
    <w:rsid w:val="003728F3"/>
    <w:rsid w:val="0037496E"/>
    <w:rsid w:val="0037623D"/>
    <w:rsid w:val="00386150"/>
    <w:rsid w:val="003874CE"/>
    <w:rsid w:val="00390900"/>
    <w:rsid w:val="003A7F6C"/>
    <w:rsid w:val="003B1113"/>
    <w:rsid w:val="003B4D60"/>
    <w:rsid w:val="003B634F"/>
    <w:rsid w:val="003B7AB8"/>
    <w:rsid w:val="003B7E39"/>
    <w:rsid w:val="003C58DC"/>
    <w:rsid w:val="003D0A3B"/>
    <w:rsid w:val="003D1E62"/>
    <w:rsid w:val="003E2486"/>
    <w:rsid w:val="003E3208"/>
    <w:rsid w:val="003E365A"/>
    <w:rsid w:val="003F0B04"/>
    <w:rsid w:val="0040134E"/>
    <w:rsid w:val="00405A39"/>
    <w:rsid w:val="0041198F"/>
    <w:rsid w:val="0041245E"/>
    <w:rsid w:val="00415D59"/>
    <w:rsid w:val="0043797D"/>
    <w:rsid w:val="00440A2D"/>
    <w:rsid w:val="00451379"/>
    <w:rsid w:val="004564A7"/>
    <w:rsid w:val="004617BF"/>
    <w:rsid w:val="00463658"/>
    <w:rsid w:val="004678CC"/>
    <w:rsid w:val="004722CC"/>
    <w:rsid w:val="004859F2"/>
    <w:rsid w:val="00487A52"/>
    <w:rsid w:val="004936E4"/>
    <w:rsid w:val="00494E60"/>
    <w:rsid w:val="00497487"/>
    <w:rsid w:val="004A7E13"/>
    <w:rsid w:val="004B7B76"/>
    <w:rsid w:val="004C2DCA"/>
    <w:rsid w:val="004E671B"/>
    <w:rsid w:val="004F0F38"/>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3B0E"/>
    <w:rsid w:val="005C5570"/>
    <w:rsid w:val="005C79A4"/>
    <w:rsid w:val="005D5442"/>
    <w:rsid w:val="005D6154"/>
    <w:rsid w:val="00603F32"/>
    <w:rsid w:val="00630F88"/>
    <w:rsid w:val="00631F91"/>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1C6"/>
    <w:rsid w:val="006F572E"/>
    <w:rsid w:val="0070154E"/>
    <w:rsid w:val="007030C8"/>
    <w:rsid w:val="007046D6"/>
    <w:rsid w:val="00705DB0"/>
    <w:rsid w:val="00720557"/>
    <w:rsid w:val="007224D7"/>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D4833"/>
    <w:rsid w:val="007E6701"/>
    <w:rsid w:val="007E6E27"/>
    <w:rsid w:val="00803532"/>
    <w:rsid w:val="00805D27"/>
    <w:rsid w:val="00821776"/>
    <w:rsid w:val="00823F04"/>
    <w:rsid w:val="008321F5"/>
    <w:rsid w:val="00832369"/>
    <w:rsid w:val="00834660"/>
    <w:rsid w:val="00836BC2"/>
    <w:rsid w:val="008414A0"/>
    <w:rsid w:val="008457BC"/>
    <w:rsid w:val="0085641B"/>
    <w:rsid w:val="0085688A"/>
    <w:rsid w:val="00857136"/>
    <w:rsid w:val="008813F2"/>
    <w:rsid w:val="00886D15"/>
    <w:rsid w:val="00887DD8"/>
    <w:rsid w:val="00896018"/>
    <w:rsid w:val="008960DD"/>
    <w:rsid w:val="0089635C"/>
    <w:rsid w:val="008A2B9D"/>
    <w:rsid w:val="008A5DC4"/>
    <w:rsid w:val="008A5E0B"/>
    <w:rsid w:val="008A6D59"/>
    <w:rsid w:val="008B4B03"/>
    <w:rsid w:val="008B596F"/>
    <w:rsid w:val="008B5A3E"/>
    <w:rsid w:val="008C159F"/>
    <w:rsid w:val="008C1623"/>
    <w:rsid w:val="008C1850"/>
    <w:rsid w:val="008C39BC"/>
    <w:rsid w:val="008C51A9"/>
    <w:rsid w:val="008D10EC"/>
    <w:rsid w:val="008D770F"/>
    <w:rsid w:val="008E7846"/>
    <w:rsid w:val="008F1CCC"/>
    <w:rsid w:val="008F2967"/>
    <w:rsid w:val="008F6943"/>
    <w:rsid w:val="0090031D"/>
    <w:rsid w:val="00902A21"/>
    <w:rsid w:val="00920330"/>
    <w:rsid w:val="009219D7"/>
    <w:rsid w:val="00922D53"/>
    <w:rsid w:val="00923B70"/>
    <w:rsid w:val="00924482"/>
    <w:rsid w:val="00930237"/>
    <w:rsid w:val="009456B2"/>
    <w:rsid w:val="00946EA5"/>
    <w:rsid w:val="0095160F"/>
    <w:rsid w:val="009632BC"/>
    <w:rsid w:val="00963C08"/>
    <w:rsid w:val="0098585A"/>
    <w:rsid w:val="0098669D"/>
    <w:rsid w:val="009A4CED"/>
    <w:rsid w:val="009A690D"/>
    <w:rsid w:val="009B1D12"/>
    <w:rsid w:val="009B416B"/>
    <w:rsid w:val="009C4BD5"/>
    <w:rsid w:val="009D7B77"/>
    <w:rsid w:val="009E0BB0"/>
    <w:rsid w:val="009E3FBB"/>
    <w:rsid w:val="009F2180"/>
    <w:rsid w:val="00A102E4"/>
    <w:rsid w:val="00A12C42"/>
    <w:rsid w:val="00A14DF7"/>
    <w:rsid w:val="00A235D9"/>
    <w:rsid w:val="00A3246D"/>
    <w:rsid w:val="00A36FA7"/>
    <w:rsid w:val="00A475B7"/>
    <w:rsid w:val="00A47AF7"/>
    <w:rsid w:val="00A47C3E"/>
    <w:rsid w:val="00A50226"/>
    <w:rsid w:val="00A60BAD"/>
    <w:rsid w:val="00A742CC"/>
    <w:rsid w:val="00A95AFE"/>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2010"/>
    <w:rsid w:val="00B25034"/>
    <w:rsid w:val="00B33588"/>
    <w:rsid w:val="00B33863"/>
    <w:rsid w:val="00B363D0"/>
    <w:rsid w:val="00B37D17"/>
    <w:rsid w:val="00B4175E"/>
    <w:rsid w:val="00B452CE"/>
    <w:rsid w:val="00B52245"/>
    <w:rsid w:val="00B54C25"/>
    <w:rsid w:val="00B76B91"/>
    <w:rsid w:val="00B77EB1"/>
    <w:rsid w:val="00B8115D"/>
    <w:rsid w:val="00B811C6"/>
    <w:rsid w:val="00B85A87"/>
    <w:rsid w:val="00B92E08"/>
    <w:rsid w:val="00B96EBE"/>
    <w:rsid w:val="00BC622A"/>
    <w:rsid w:val="00BD45E3"/>
    <w:rsid w:val="00BD68F4"/>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1E6C"/>
    <w:rsid w:val="00C73D0B"/>
    <w:rsid w:val="00C75DEA"/>
    <w:rsid w:val="00C772FF"/>
    <w:rsid w:val="00C801AF"/>
    <w:rsid w:val="00C80256"/>
    <w:rsid w:val="00C811C0"/>
    <w:rsid w:val="00CA6EBD"/>
    <w:rsid w:val="00CB6BC0"/>
    <w:rsid w:val="00CC1B7C"/>
    <w:rsid w:val="00CC727F"/>
    <w:rsid w:val="00CE3B06"/>
    <w:rsid w:val="00CE46E8"/>
    <w:rsid w:val="00CF15C3"/>
    <w:rsid w:val="00CF2B6F"/>
    <w:rsid w:val="00CF3BC5"/>
    <w:rsid w:val="00CF58B6"/>
    <w:rsid w:val="00D017ED"/>
    <w:rsid w:val="00D040D3"/>
    <w:rsid w:val="00D04C65"/>
    <w:rsid w:val="00D214E1"/>
    <w:rsid w:val="00D224FE"/>
    <w:rsid w:val="00D46A49"/>
    <w:rsid w:val="00D53A31"/>
    <w:rsid w:val="00D54EB2"/>
    <w:rsid w:val="00D6493E"/>
    <w:rsid w:val="00D7301E"/>
    <w:rsid w:val="00D83AE1"/>
    <w:rsid w:val="00D855D4"/>
    <w:rsid w:val="00D93466"/>
    <w:rsid w:val="00DA1124"/>
    <w:rsid w:val="00DB75B7"/>
    <w:rsid w:val="00DC444A"/>
    <w:rsid w:val="00DC6E02"/>
    <w:rsid w:val="00DE02AE"/>
    <w:rsid w:val="00DF1D7F"/>
    <w:rsid w:val="00DF4BE4"/>
    <w:rsid w:val="00DF6B0A"/>
    <w:rsid w:val="00E02FB4"/>
    <w:rsid w:val="00E07F15"/>
    <w:rsid w:val="00E128EA"/>
    <w:rsid w:val="00E14448"/>
    <w:rsid w:val="00E20571"/>
    <w:rsid w:val="00E235F7"/>
    <w:rsid w:val="00E23659"/>
    <w:rsid w:val="00E239D4"/>
    <w:rsid w:val="00E26130"/>
    <w:rsid w:val="00E26D6A"/>
    <w:rsid w:val="00E2741C"/>
    <w:rsid w:val="00E40B22"/>
    <w:rsid w:val="00E45619"/>
    <w:rsid w:val="00E4588F"/>
    <w:rsid w:val="00E46DA3"/>
    <w:rsid w:val="00E5119A"/>
    <w:rsid w:val="00E51BB1"/>
    <w:rsid w:val="00E624A5"/>
    <w:rsid w:val="00E7344E"/>
    <w:rsid w:val="00E75EAF"/>
    <w:rsid w:val="00E82244"/>
    <w:rsid w:val="00E837D2"/>
    <w:rsid w:val="00E936E3"/>
    <w:rsid w:val="00EB0798"/>
    <w:rsid w:val="00EB40AD"/>
    <w:rsid w:val="00EB586E"/>
    <w:rsid w:val="00EB5FC8"/>
    <w:rsid w:val="00ED3CAD"/>
    <w:rsid w:val="00ED5A41"/>
    <w:rsid w:val="00EE1DE8"/>
    <w:rsid w:val="00F033EC"/>
    <w:rsid w:val="00F04F68"/>
    <w:rsid w:val="00F12670"/>
    <w:rsid w:val="00F14B27"/>
    <w:rsid w:val="00F20B2D"/>
    <w:rsid w:val="00F3148D"/>
    <w:rsid w:val="00F325C5"/>
    <w:rsid w:val="00F32FE0"/>
    <w:rsid w:val="00F35298"/>
    <w:rsid w:val="00F47333"/>
    <w:rsid w:val="00F47E37"/>
    <w:rsid w:val="00F53C07"/>
    <w:rsid w:val="00F54B65"/>
    <w:rsid w:val="00F60CBE"/>
    <w:rsid w:val="00F640B6"/>
    <w:rsid w:val="00F80E40"/>
    <w:rsid w:val="00F848D9"/>
    <w:rsid w:val="00FA5B82"/>
    <w:rsid w:val="00FA639E"/>
    <w:rsid w:val="00FC25E4"/>
    <w:rsid w:val="00FC4EF7"/>
    <w:rsid w:val="00FD29D8"/>
    <w:rsid w:val="00FE1DEE"/>
    <w:rsid w:val="00FF2126"/>
    <w:rsid w:val="00FF5755"/>
    <w:rsid w:val="00FF69BE"/>
    <w:rsid w:val="00FF6E73"/>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512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67CA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41198F"/>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E6F0C"/>
    <w:pPr>
      <w:keepNext/>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7"/>
    </w:pPr>
    <w:rPr>
      <w:rFonts w:ascii="Times New Roman" w:eastAsia="Times New Roman" w:hAnsi="Times New Roman"/>
      <w:i/>
      <w:iCs/>
      <w:kern w:val="16"/>
      <w:sz w:val="24"/>
      <w:szCs w:val="24"/>
      <w:u w:val="single"/>
      <w:lang w:eastAsia="en-AU"/>
    </w:rPr>
  </w:style>
  <w:style w:type="paragraph" w:styleId="Heading9">
    <w:name w:val="heading 9"/>
    <w:basedOn w:val="Normal"/>
    <w:next w:val="Normal"/>
    <w:link w:val="Heading9Char"/>
    <w:qFormat/>
    <w:rsid w:val="002E6F0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8"/>
    </w:pPr>
    <w:rPr>
      <w:rFonts w:ascii="Times New Roman" w:eastAsia="Times New Roman" w:hAnsi="Times New Roman" w:cs="Arial"/>
      <w:i/>
      <w:kern w:val="16"/>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41198F"/>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20B2D"/>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2E6F0C"/>
    <w:rPr>
      <w:rFonts w:ascii="Times New Roman" w:eastAsia="Times New Roman" w:hAnsi="Times New Roman" w:cs="Times New Roman"/>
      <w:i/>
      <w:iCs/>
      <w:kern w:val="16"/>
      <w:sz w:val="24"/>
      <w:szCs w:val="24"/>
      <w:u w:val="single"/>
      <w:lang w:eastAsia="en-AU"/>
    </w:rPr>
  </w:style>
  <w:style w:type="character" w:customStyle="1" w:styleId="Heading9Char">
    <w:name w:val="Heading 9 Char"/>
    <w:basedOn w:val="DefaultParagraphFont"/>
    <w:link w:val="Heading9"/>
    <w:rsid w:val="002E6F0C"/>
    <w:rPr>
      <w:rFonts w:ascii="Times New Roman" w:eastAsia="Times New Roman" w:hAnsi="Times New Roman" w:cs="Arial"/>
      <w:i/>
      <w:kern w:val="16"/>
      <w:sz w:val="24"/>
      <w:lang w:eastAsia="en-AU"/>
    </w:rPr>
  </w:style>
  <w:style w:type="paragraph" w:styleId="ListParagraph">
    <w:name w:val="List Paragraph"/>
    <w:basedOn w:val="Normal"/>
    <w:uiPriority w:val="34"/>
    <w:qFormat/>
    <w:rsid w:val="002E6F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Times New Roman" w:eastAsia="Times New Roman" w:hAnsi="Times New Roman"/>
      <w:kern w:val="16"/>
      <w:sz w:val="24"/>
      <w:szCs w:val="24"/>
      <w:lang w:eastAsia="en-AU"/>
    </w:rPr>
  </w:style>
  <w:style w:type="paragraph" w:customStyle="1" w:styleId="Bullet1">
    <w:name w:val="Bullet 1"/>
    <w:basedOn w:val="Normal"/>
    <w:rsid w:val="002E6F0C"/>
    <w:pPr>
      <w:numPr>
        <w:numId w:val="34"/>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E6F0C"/>
    <w:pPr>
      <w:numPr>
        <w:numId w:val="35"/>
      </w:numPr>
    </w:pPr>
  </w:style>
  <w:style w:type="paragraph" w:customStyle="1" w:styleId="Heading0inTOC">
    <w:name w:val="Heading 0 (in TOC)"/>
    <w:basedOn w:val="Heading1"/>
    <w:next w:val="Normal"/>
    <w:rsid w:val="002E6F0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6F0C"/>
    <w:rPr>
      <w:sz w:val="20"/>
    </w:rPr>
  </w:style>
  <w:style w:type="paragraph" w:customStyle="1" w:styleId="TableBullet">
    <w:name w:val="Table Bullet"/>
    <w:basedOn w:val="Normal"/>
    <w:rsid w:val="002E6F0C"/>
    <w:pPr>
      <w:numPr>
        <w:numId w:val="3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styleId="TOC4">
    <w:name w:val="toc 4"/>
    <w:basedOn w:val="Normal"/>
    <w:next w:val="Normal"/>
    <w:semiHidden/>
    <w:rsid w:val="002E6F0C"/>
    <w:pPr>
      <w:tabs>
        <w:tab w:val="left" w:pos="1247"/>
        <w:tab w:val="right" w:leader="dot" w:pos="9356"/>
      </w:tabs>
      <w:spacing w:before="0" w:after="0" w:line="240" w:lineRule="auto"/>
      <w:ind w:left="1247" w:hanging="907"/>
    </w:pPr>
    <w:rPr>
      <w:rFonts w:ascii="Times New Roman" w:eastAsia="Times New Roman" w:hAnsi="Times New Roman"/>
      <w:kern w:val="16"/>
      <w:sz w:val="20"/>
      <w:szCs w:val="24"/>
      <w:lang w:eastAsia="en-AU"/>
    </w:rPr>
  </w:style>
  <w:style w:type="paragraph" w:styleId="TOC5">
    <w:name w:val="toc 5"/>
    <w:basedOn w:val="Normal"/>
    <w:next w:val="Normal"/>
    <w:semiHidden/>
    <w:rsid w:val="002E6F0C"/>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2E6F0C"/>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2E6F0C"/>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2E6F0C"/>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2E6F0C"/>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2E6F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2E6F0C"/>
    <w:rPr>
      <w:rFonts w:ascii="Times New Roman" w:eastAsia="Times New Roman" w:hAnsi="Times New Roman" w:cs="Times New Roman"/>
      <w:kern w:val="16"/>
      <w:sz w:val="20"/>
      <w:szCs w:val="20"/>
      <w:lang w:eastAsia="en-AU"/>
    </w:rPr>
  </w:style>
  <w:style w:type="character" w:styleId="EndnoteReference">
    <w:name w:val="endnote reference"/>
    <w:semiHidden/>
    <w:rsid w:val="002E6F0C"/>
    <w:rPr>
      <w:dstrike w:val="0"/>
      <w:vertAlign w:val="baseline"/>
    </w:rPr>
  </w:style>
  <w:style w:type="paragraph" w:styleId="FootnoteText">
    <w:name w:val="footnote text"/>
    <w:basedOn w:val="Normal"/>
    <w:link w:val="FootnoteTextChar"/>
    <w:semiHidden/>
    <w:rsid w:val="002E6F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2E6F0C"/>
    <w:rPr>
      <w:rFonts w:ascii="Times New Roman" w:eastAsia="Times New Roman" w:hAnsi="Times New Roman" w:cs="Times New Roman"/>
      <w:kern w:val="16"/>
      <w:sz w:val="20"/>
      <w:szCs w:val="20"/>
      <w:lang w:eastAsia="en-AU"/>
    </w:rPr>
  </w:style>
  <w:style w:type="character" w:styleId="FootnoteReference">
    <w:name w:val="footnote reference"/>
    <w:semiHidden/>
    <w:rsid w:val="002E6F0C"/>
    <w:rPr>
      <w:vertAlign w:val="superscript"/>
    </w:rPr>
  </w:style>
  <w:style w:type="paragraph" w:customStyle="1" w:styleId="Tablenormal0">
    <w:name w:val="Table normal"/>
    <w:basedOn w:val="Normal"/>
    <w:rsid w:val="002E6F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2E6F0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s>
</file>

<file path=word/webSettings.xml><?xml version="1.0" encoding="utf-8"?>
<w:webSettings xmlns:r="http://schemas.openxmlformats.org/officeDocument/2006/relationships" xmlns:w="http://schemas.openxmlformats.org/wordprocessingml/2006/main">
  <w:divs>
    <w:div w:id="12071386">
      <w:bodyDiv w:val="1"/>
      <w:marLeft w:val="0"/>
      <w:marRight w:val="0"/>
      <w:marTop w:val="0"/>
      <w:marBottom w:val="0"/>
      <w:divBdr>
        <w:top w:val="none" w:sz="0" w:space="0" w:color="auto"/>
        <w:left w:val="none" w:sz="0" w:space="0" w:color="auto"/>
        <w:bottom w:val="none" w:sz="0" w:space="0" w:color="auto"/>
        <w:right w:val="none" w:sz="0" w:space="0" w:color="auto"/>
      </w:divBdr>
    </w:div>
    <w:div w:id="222374031">
      <w:bodyDiv w:val="1"/>
      <w:marLeft w:val="0"/>
      <w:marRight w:val="0"/>
      <w:marTop w:val="0"/>
      <w:marBottom w:val="0"/>
      <w:divBdr>
        <w:top w:val="none" w:sz="0" w:space="0" w:color="auto"/>
        <w:left w:val="none" w:sz="0" w:space="0" w:color="auto"/>
        <w:bottom w:val="none" w:sz="0" w:space="0" w:color="auto"/>
        <w:right w:val="none" w:sz="0" w:space="0" w:color="auto"/>
      </w:divBdr>
    </w:div>
    <w:div w:id="1161656113">
      <w:bodyDiv w:val="1"/>
      <w:marLeft w:val="0"/>
      <w:marRight w:val="0"/>
      <w:marTop w:val="0"/>
      <w:marBottom w:val="0"/>
      <w:divBdr>
        <w:top w:val="none" w:sz="0" w:space="0" w:color="auto"/>
        <w:left w:val="none" w:sz="0" w:space="0" w:color="auto"/>
        <w:bottom w:val="none" w:sz="0" w:space="0" w:color="auto"/>
        <w:right w:val="none" w:sz="0" w:space="0" w:color="auto"/>
      </w:divBdr>
    </w:div>
    <w:div w:id="1397699958">
      <w:bodyDiv w:val="1"/>
      <w:marLeft w:val="0"/>
      <w:marRight w:val="0"/>
      <w:marTop w:val="0"/>
      <w:marBottom w:val="0"/>
      <w:divBdr>
        <w:top w:val="none" w:sz="0" w:space="0" w:color="auto"/>
        <w:left w:val="none" w:sz="0" w:space="0" w:color="auto"/>
        <w:bottom w:val="none" w:sz="0" w:space="0" w:color="auto"/>
        <w:right w:val="none" w:sz="0" w:space="0" w:color="auto"/>
      </w:divBdr>
    </w:div>
    <w:div w:id="1626428925">
      <w:bodyDiv w:val="1"/>
      <w:marLeft w:val="0"/>
      <w:marRight w:val="0"/>
      <w:marTop w:val="0"/>
      <w:marBottom w:val="0"/>
      <w:divBdr>
        <w:top w:val="none" w:sz="0" w:space="0" w:color="auto"/>
        <w:left w:val="none" w:sz="0" w:space="0" w:color="auto"/>
        <w:bottom w:val="none" w:sz="0" w:space="0" w:color="auto"/>
        <w:right w:val="none" w:sz="0" w:space="0" w:color="auto"/>
      </w:divBdr>
    </w:div>
    <w:div w:id="1831174010">
      <w:bodyDiv w:val="1"/>
      <w:marLeft w:val="0"/>
      <w:marRight w:val="0"/>
      <w:marTop w:val="0"/>
      <w:marBottom w:val="0"/>
      <w:divBdr>
        <w:top w:val="none" w:sz="0" w:space="0" w:color="auto"/>
        <w:left w:val="none" w:sz="0" w:space="0" w:color="auto"/>
        <w:bottom w:val="none" w:sz="0" w:space="0" w:color="auto"/>
        <w:right w:val="none" w:sz="0" w:space="0" w:color="auto"/>
      </w:divBdr>
    </w:div>
    <w:div w:id="205746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87.emf"/><Relationship Id="rId21" Type="http://schemas.openxmlformats.org/officeDocument/2006/relationships/image" Target="media/image9.emf"/><Relationship Id="rId42" Type="http://schemas.openxmlformats.org/officeDocument/2006/relationships/image" Target="media/image29.emf"/><Relationship Id="rId47" Type="http://schemas.openxmlformats.org/officeDocument/2006/relationships/footer" Target="footer5.xml"/><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7.emf"/><Relationship Id="rId112" Type="http://schemas.openxmlformats.org/officeDocument/2006/relationships/image" Target="media/image84.emf"/><Relationship Id="rId16" Type="http://schemas.openxmlformats.org/officeDocument/2006/relationships/image" Target="media/image5.emf"/><Relationship Id="rId107" Type="http://schemas.openxmlformats.org/officeDocument/2006/relationships/footer" Target="footer14.xml"/><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3.emf"/><Relationship Id="rId79" Type="http://schemas.openxmlformats.org/officeDocument/2006/relationships/image" Target="media/image58.emf"/><Relationship Id="rId102" Type="http://schemas.openxmlformats.org/officeDocument/2006/relationships/footer" Target="footer13.xml"/><Relationship Id="rId123" Type="http://schemas.openxmlformats.org/officeDocument/2006/relationships/header" Target="header6.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0.xml"/><Relationship Id="rId95"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3.xml"/><Relationship Id="rId48" Type="http://schemas.openxmlformats.org/officeDocument/2006/relationships/footer" Target="footer6.xml"/><Relationship Id="rId56" Type="http://schemas.openxmlformats.org/officeDocument/2006/relationships/image" Target="media/image37.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100" Type="http://schemas.openxmlformats.org/officeDocument/2006/relationships/image" Target="media/image75.emf"/><Relationship Id="rId105" Type="http://schemas.openxmlformats.org/officeDocument/2006/relationships/image" Target="media/image79.emf"/><Relationship Id="rId113" Type="http://schemas.openxmlformats.org/officeDocument/2006/relationships/footer" Target="footer16.xml"/><Relationship Id="rId118" Type="http://schemas.openxmlformats.org/officeDocument/2006/relationships/footer" Target="footer18.xml"/><Relationship Id="rId12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image" Target="media/image32.em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69.emf"/><Relationship Id="rId98" Type="http://schemas.openxmlformats.org/officeDocument/2006/relationships/image" Target="media/image73.emf"/><Relationship Id="rId121"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5.xml"/><Relationship Id="rId59" Type="http://schemas.openxmlformats.org/officeDocument/2006/relationships/footer" Target="footer7.xml"/><Relationship Id="rId67" Type="http://schemas.openxmlformats.org/officeDocument/2006/relationships/image" Target="media/image46.emf"/><Relationship Id="rId103" Type="http://schemas.openxmlformats.org/officeDocument/2006/relationships/image" Target="media/image77.emf"/><Relationship Id="rId108" Type="http://schemas.openxmlformats.org/officeDocument/2006/relationships/image" Target="media/image81.emf"/><Relationship Id="rId116" Type="http://schemas.openxmlformats.org/officeDocument/2006/relationships/image" Target="media/image86.emf"/><Relationship Id="rId124" Type="http://schemas.openxmlformats.org/officeDocument/2006/relationships/header" Target="header7.xml"/><Relationship Id="rId129"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35.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footer" Target="footer9.xml"/><Relationship Id="rId91" Type="http://schemas.openxmlformats.org/officeDocument/2006/relationships/image" Target="media/image68.emf"/><Relationship Id="rId96" Type="http://schemas.openxmlformats.org/officeDocument/2006/relationships/image" Target="media/image71.emf"/><Relationship Id="rId11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0.emf"/><Relationship Id="rId114" Type="http://schemas.openxmlformats.org/officeDocument/2006/relationships/image" Target="media/image85.emf"/><Relationship Id="rId119" Type="http://schemas.openxmlformats.org/officeDocument/2006/relationships/image" Target="media/image88.emf"/><Relationship Id="rId127" Type="http://schemas.openxmlformats.org/officeDocument/2006/relationships/footer" Target="footer21.xml"/><Relationship Id="rId10" Type="http://schemas.openxmlformats.org/officeDocument/2006/relationships/hyperlink" Target="mailto:tga.copyright@tga.gov.au" TargetMode="External"/><Relationship Id="rId31" Type="http://schemas.openxmlformats.org/officeDocument/2006/relationships/image" Target="media/image18.emf"/><Relationship Id="rId44" Type="http://schemas.openxmlformats.org/officeDocument/2006/relationships/header" Target="header4.xml"/><Relationship Id="rId52" Type="http://schemas.openxmlformats.org/officeDocument/2006/relationships/image" Target="media/image33.emf"/><Relationship Id="rId60" Type="http://schemas.openxmlformats.org/officeDocument/2006/relationships/image" Target="media/image40.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footer" Target="footer12.xml"/><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image" Target="media/image26.emf"/><Relationship Id="rId109" Type="http://schemas.openxmlformats.org/officeDocument/2006/relationships/image" Target="media/image82.emf"/><Relationship Id="rId34" Type="http://schemas.openxmlformats.org/officeDocument/2006/relationships/image" Target="media/image21.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5.emf"/><Relationship Id="rId97" Type="http://schemas.openxmlformats.org/officeDocument/2006/relationships/image" Target="media/image72.emf"/><Relationship Id="rId104" Type="http://schemas.openxmlformats.org/officeDocument/2006/relationships/image" Target="media/image78.emf"/><Relationship Id="rId120" Type="http://schemas.openxmlformats.org/officeDocument/2006/relationships/image" Target="media/image89.emf"/><Relationship Id="rId125"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footer" Target="footer4.xml"/><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footer" Target="footer15.xml"/><Relationship Id="rId115" Type="http://schemas.openxmlformats.org/officeDocument/2006/relationships/footer" Target="footer17.xml"/><Relationship Id="rId61" Type="http://schemas.openxmlformats.org/officeDocument/2006/relationships/footer" Target="footer8.xml"/><Relationship Id="rId82" Type="http://schemas.openxmlformats.org/officeDocument/2006/relationships/image" Target="media/image61.emf"/></Relationships>
</file>

<file path=word/_rels/footer20.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AusPAR%20Anna\Picato%20gel\Picato%20gel%20Extract%20from%20CER%20Final%205%20June%20201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27970-00EC-4B0D-BE61-D3F97D63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Picato gel Extract from CER Final 5 June 2013.dotx</Template>
  <TotalTime>128</TotalTime>
  <Pages>98</Pages>
  <Words>25604</Words>
  <Characters>139799</Characters>
  <Application>Microsoft Office Word</Application>
  <DocSecurity>0</DocSecurity>
  <Lines>2184</Lines>
  <Paragraphs>560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Ingenol Mebutate</vt:lpstr>
    </vt:vector>
  </TitlesOfParts>
  <Company>TGA</Company>
  <LinksUpToDate>false</LinksUpToDate>
  <CharactersWithSpaces>164843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Ingenol Mebutate</dc:title>
  <dc:subject>prescription medicine regulation</dc:subject>
  <dc:creator>Therapeutic Goods Administration</dc:creator>
  <cp:keywords>clinical, evaluation, report, medicine, assessment, regulation, australia, ingenol mebutate, picato gel</cp:keywords>
  <cp:lastModifiedBy>Sheppard, Fran</cp:lastModifiedBy>
  <cp:revision>45</cp:revision>
  <cp:lastPrinted>2010-12-20T22:59:00Z</cp:lastPrinted>
  <dcterms:created xsi:type="dcterms:W3CDTF">2013-06-11T01:59:00Z</dcterms:created>
  <dcterms:modified xsi:type="dcterms:W3CDTF">2013-09-16T10:46:00Z</dcterms:modified>
</cp:coreProperties>
</file>