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FE" w:rsidRPr="000F111D" w:rsidRDefault="002F4AFE" w:rsidP="000F111D">
      <w:pPr>
        <w:pStyle w:val="Heading1"/>
      </w:pPr>
      <w:r w:rsidRPr="000F111D">
        <w:t>PRODUCT INFORMATION</w:t>
      </w:r>
    </w:p>
    <w:p w:rsidR="002F4AFE" w:rsidRPr="002C47E1" w:rsidRDefault="002C47E1" w:rsidP="00E67C26">
      <w:pPr>
        <w:rPr>
          <w:lang w:val="en-AU" w:eastAsia="en-AU"/>
        </w:rPr>
      </w:pPr>
      <w:proofErr w:type="spellStart"/>
      <w:r w:rsidRPr="002C47E1">
        <w:rPr>
          <w:lang w:val="en-AU" w:eastAsia="en-AU"/>
        </w:rPr>
        <w:t>Picato</w:t>
      </w:r>
      <w:proofErr w:type="spellEnd"/>
      <w:r w:rsidR="00DA2F20" w:rsidRPr="00DA2F20">
        <w:rPr>
          <w:vertAlign w:val="superscript"/>
          <w:lang w:val="en-AU" w:eastAsia="en-AU"/>
        </w:rPr>
        <w:t>®</w:t>
      </w:r>
      <w:r w:rsidR="002F4AFE" w:rsidRPr="002C47E1">
        <w:rPr>
          <w:lang w:val="en-AU" w:eastAsia="en-AU"/>
        </w:rPr>
        <w:t xml:space="preserve"> gel</w:t>
      </w:r>
    </w:p>
    <w:p w:rsidR="002F4AFE" w:rsidRDefault="005874F5" w:rsidP="002F4AFE">
      <w:pPr>
        <w:pStyle w:val="Bodytext"/>
        <w:pBdr>
          <w:bottom w:val="single" w:sz="4" w:space="1" w:color="auto"/>
        </w:pBdr>
        <w:spacing w:before="60" w:after="60"/>
        <w:rPr>
          <w:rFonts w:ascii="Arial" w:hAnsi="Arial" w:cs="Arial"/>
          <w:i/>
          <w:iCs/>
          <w:sz w:val="22"/>
          <w:szCs w:val="22"/>
          <w:lang w:val="en-AU" w:eastAsia="en-AU"/>
        </w:rPr>
      </w:pPr>
      <w:r>
        <w:rPr>
          <w:rFonts w:ascii="Arial" w:hAnsi="Arial" w:cs="Arial"/>
          <w:i/>
          <w:iCs/>
          <w:sz w:val="22"/>
          <w:szCs w:val="22"/>
          <w:lang w:val="en-AU" w:eastAsia="en-AU"/>
        </w:rPr>
        <w:t xml:space="preserve">Ingenol mebutate 0.015% </w:t>
      </w:r>
      <w:r w:rsidR="00DA2F20">
        <w:rPr>
          <w:rFonts w:ascii="Arial" w:hAnsi="Arial" w:cs="Arial"/>
          <w:i/>
          <w:iCs/>
          <w:sz w:val="22"/>
          <w:szCs w:val="22"/>
          <w:lang w:val="en-AU" w:eastAsia="en-AU"/>
        </w:rPr>
        <w:t>(AUST R 190</w:t>
      </w:r>
      <w:r w:rsidR="0069556C">
        <w:rPr>
          <w:rFonts w:ascii="Arial" w:hAnsi="Arial" w:cs="Arial"/>
          <w:i/>
          <w:iCs/>
          <w:sz w:val="22"/>
          <w:szCs w:val="22"/>
          <w:lang w:val="en-AU" w:eastAsia="en-AU"/>
        </w:rPr>
        <w:t>122</w:t>
      </w:r>
      <w:r w:rsidR="00DA2F20">
        <w:rPr>
          <w:rFonts w:ascii="Arial" w:hAnsi="Arial" w:cs="Arial"/>
          <w:i/>
          <w:iCs/>
          <w:sz w:val="22"/>
          <w:szCs w:val="22"/>
          <w:lang w:val="en-AU" w:eastAsia="en-AU"/>
        </w:rPr>
        <w:t xml:space="preserve">) </w:t>
      </w:r>
      <w:r>
        <w:rPr>
          <w:rFonts w:ascii="Arial" w:hAnsi="Arial" w:cs="Arial"/>
          <w:i/>
          <w:iCs/>
          <w:sz w:val="22"/>
          <w:szCs w:val="22"/>
          <w:lang w:val="en-AU" w:eastAsia="en-AU"/>
        </w:rPr>
        <w:t>and ingenol mebutate 0.05%</w:t>
      </w:r>
      <w:r w:rsidR="00E769C5">
        <w:rPr>
          <w:rFonts w:ascii="Arial" w:hAnsi="Arial" w:cs="Arial"/>
          <w:i/>
          <w:iCs/>
          <w:sz w:val="22"/>
          <w:szCs w:val="22"/>
          <w:lang w:val="en-AU" w:eastAsia="en-AU"/>
        </w:rPr>
        <w:t xml:space="preserve"> </w:t>
      </w:r>
      <w:r w:rsidR="00DA2F20">
        <w:rPr>
          <w:rFonts w:ascii="Arial" w:hAnsi="Arial" w:cs="Arial"/>
          <w:i/>
          <w:iCs/>
          <w:sz w:val="22"/>
          <w:szCs w:val="22"/>
          <w:lang w:val="en-AU" w:eastAsia="en-AU"/>
        </w:rPr>
        <w:t>(AUST R 190</w:t>
      </w:r>
      <w:r w:rsidR="0069556C">
        <w:rPr>
          <w:rFonts w:ascii="Arial" w:hAnsi="Arial" w:cs="Arial"/>
          <w:i/>
          <w:iCs/>
          <w:sz w:val="22"/>
          <w:szCs w:val="22"/>
          <w:lang w:val="en-AU" w:eastAsia="en-AU"/>
        </w:rPr>
        <w:t>113</w:t>
      </w:r>
      <w:r w:rsidR="00DA2F20">
        <w:rPr>
          <w:rFonts w:ascii="Arial" w:hAnsi="Arial" w:cs="Arial"/>
          <w:i/>
          <w:iCs/>
          <w:sz w:val="22"/>
          <w:szCs w:val="22"/>
          <w:lang w:val="en-AU" w:eastAsia="en-AU"/>
        </w:rPr>
        <w:t>)</w:t>
      </w:r>
    </w:p>
    <w:p w:rsidR="000F111D" w:rsidRDefault="000F111D" w:rsidP="002F4AFE">
      <w:pPr>
        <w:pStyle w:val="Bodytext"/>
        <w:pBdr>
          <w:bottom w:val="single" w:sz="4" w:space="1" w:color="auto"/>
        </w:pBdr>
        <w:spacing w:before="60" w:after="60"/>
        <w:rPr>
          <w:rFonts w:ascii="Arial" w:hAnsi="Arial" w:cs="Arial"/>
          <w:b/>
          <w:sz w:val="22"/>
          <w:szCs w:val="22"/>
        </w:rPr>
      </w:pPr>
    </w:p>
    <w:p w:rsidR="00591EBA" w:rsidRPr="000F111D" w:rsidRDefault="00E23B16" w:rsidP="00BF5A9D">
      <w:pPr>
        <w:pStyle w:val="Heading2"/>
      </w:pPr>
      <w:r w:rsidRPr="000F111D">
        <w:t>NAME OF THE MEDICINE</w:t>
      </w:r>
    </w:p>
    <w:p w:rsidR="00591EBA" w:rsidRPr="00654624" w:rsidRDefault="002C47E1" w:rsidP="00E67C26">
      <w:pPr>
        <w:spacing w:after="0"/>
        <w:rPr>
          <w:lang w:val="en-GB"/>
        </w:rPr>
      </w:pPr>
      <w:proofErr w:type="spellStart"/>
      <w:r>
        <w:rPr>
          <w:lang w:val="en-GB"/>
        </w:rPr>
        <w:t>Picato</w:t>
      </w:r>
      <w:proofErr w:type="spellEnd"/>
      <w:r w:rsidR="00DA2F20" w:rsidRPr="00DA2F20">
        <w:rPr>
          <w:vertAlign w:val="superscript"/>
          <w:lang w:val="en-GB"/>
        </w:rPr>
        <w:t>®</w:t>
      </w:r>
      <w:r w:rsidR="00295F22" w:rsidRPr="00654624">
        <w:rPr>
          <w:lang w:val="en-GB"/>
        </w:rPr>
        <w:t xml:space="preserve"> </w:t>
      </w:r>
      <w:r w:rsidR="00B201E7">
        <w:rPr>
          <w:lang w:val="en-GB"/>
        </w:rPr>
        <w:t>g</w:t>
      </w:r>
      <w:r w:rsidR="00BE78BB">
        <w:rPr>
          <w:lang w:val="en-GB"/>
        </w:rPr>
        <w:t>el</w:t>
      </w:r>
      <w:r w:rsidR="003B38B8">
        <w:rPr>
          <w:lang w:val="en-GB"/>
        </w:rPr>
        <w:t>,</w:t>
      </w:r>
      <w:r w:rsidR="00435314">
        <w:rPr>
          <w:lang w:val="en-GB"/>
        </w:rPr>
        <w:t xml:space="preserve"> 0.015%</w:t>
      </w:r>
      <w:r w:rsidR="00606037" w:rsidRPr="00654624">
        <w:rPr>
          <w:lang w:val="en-GB"/>
        </w:rPr>
        <w:t xml:space="preserve"> / </w:t>
      </w:r>
      <w:r>
        <w:rPr>
          <w:lang w:val="en-GB"/>
        </w:rPr>
        <w:t>Picato</w:t>
      </w:r>
      <w:r w:rsidR="00DA2F20" w:rsidRPr="00DA2F20">
        <w:rPr>
          <w:vertAlign w:val="superscript"/>
          <w:lang w:val="en-GB"/>
        </w:rPr>
        <w:t>®</w:t>
      </w:r>
      <w:r w:rsidR="00B201E7" w:rsidRPr="00654624">
        <w:rPr>
          <w:lang w:val="en-GB"/>
        </w:rPr>
        <w:t xml:space="preserve"> </w:t>
      </w:r>
      <w:r w:rsidR="00B201E7">
        <w:rPr>
          <w:lang w:val="en-GB"/>
        </w:rPr>
        <w:t>gel</w:t>
      </w:r>
      <w:r w:rsidR="003B38B8">
        <w:rPr>
          <w:lang w:val="en-GB"/>
        </w:rPr>
        <w:t>,</w:t>
      </w:r>
      <w:r w:rsidR="00435314">
        <w:rPr>
          <w:lang w:val="en-GB"/>
        </w:rPr>
        <w:t xml:space="preserve"> 0.05%</w:t>
      </w:r>
    </w:p>
    <w:p w:rsidR="00591EBA" w:rsidRPr="00654624" w:rsidRDefault="002C47E1" w:rsidP="00E67C26">
      <w:proofErr w:type="spellStart"/>
      <w:r>
        <w:rPr>
          <w:lang w:val="en-GB"/>
        </w:rPr>
        <w:t>Picato</w:t>
      </w:r>
      <w:proofErr w:type="spellEnd"/>
      <w:r w:rsidR="00DA2F20" w:rsidRPr="00DA2F20">
        <w:rPr>
          <w:vertAlign w:val="superscript"/>
          <w:lang w:val="en-GB"/>
        </w:rPr>
        <w:t>®</w:t>
      </w:r>
      <w:r w:rsidR="00B201E7" w:rsidRPr="00654624">
        <w:rPr>
          <w:lang w:val="en-GB"/>
        </w:rPr>
        <w:t xml:space="preserve"> </w:t>
      </w:r>
      <w:r w:rsidR="00B201E7">
        <w:rPr>
          <w:lang w:val="en-GB"/>
        </w:rPr>
        <w:t>gel</w:t>
      </w:r>
      <w:r w:rsidR="00B201E7" w:rsidRPr="00654624">
        <w:rPr>
          <w:lang w:val="en-GB"/>
        </w:rPr>
        <w:t xml:space="preserve"> </w:t>
      </w:r>
      <w:r w:rsidR="00295F22" w:rsidRPr="00654624">
        <w:rPr>
          <w:lang w:val="en-GB"/>
        </w:rPr>
        <w:t xml:space="preserve">contains </w:t>
      </w:r>
      <w:r w:rsidR="00111367" w:rsidRPr="00654624">
        <w:rPr>
          <w:lang w:val="en-GB"/>
        </w:rPr>
        <w:t xml:space="preserve">the active </w:t>
      </w:r>
      <w:r w:rsidR="00F36E3E">
        <w:rPr>
          <w:lang w:val="en-GB"/>
        </w:rPr>
        <w:t>substance</w:t>
      </w:r>
      <w:r w:rsidR="00111367" w:rsidRPr="00654624">
        <w:rPr>
          <w:lang w:val="en-GB"/>
        </w:rPr>
        <w:t xml:space="preserve"> </w:t>
      </w:r>
      <w:proofErr w:type="spellStart"/>
      <w:r w:rsidR="00295F22" w:rsidRPr="00654624">
        <w:rPr>
          <w:lang w:val="en-GB"/>
        </w:rPr>
        <w:t>ingenol</w:t>
      </w:r>
      <w:proofErr w:type="spellEnd"/>
      <w:r w:rsidR="00295F22" w:rsidRPr="00654624">
        <w:rPr>
          <w:lang w:val="en-GB"/>
        </w:rPr>
        <w:t xml:space="preserve"> </w:t>
      </w:r>
      <w:proofErr w:type="spellStart"/>
      <w:r w:rsidR="00295F22" w:rsidRPr="00654624">
        <w:rPr>
          <w:lang w:val="en-GB"/>
        </w:rPr>
        <w:t>mebutate</w:t>
      </w:r>
      <w:proofErr w:type="spellEnd"/>
      <w:r w:rsidR="00295F22" w:rsidRPr="00654624">
        <w:rPr>
          <w:lang w:val="en-GB"/>
        </w:rPr>
        <w:t>.</w:t>
      </w:r>
    </w:p>
    <w:p w:rsidR="00CC12E6" w:rsidRPr="00654624" w:rsidRDefault="00972884" w:rsidP="00E67C26">
      <w:r>
        <w:rPr>
          <w:noProof/>
          <w:lang w:val="en-AU" w:eastAsia="en-AU"/>
        </w:rPr>
        <w:drawing>
          <wp:inline distT="0" distB="0" distL="0" distR="0">
            <wp:extent cx="4107815" cy="2395220"/>
            <wp:effectExtent l="19050" t="0" r="6985" b="0"/>
            <wp:docPr id="1" name="Picture 1" descr="Chemical structure for ingenol mebu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044" t="11644" r="11244"/>
                    <a:stretch>
                      <a:fillRect/>
                    </a:stretch>
                  </pic:blipFill>
                  <pic:spPr bwMode="auto">
                    <a:xfrm>
                      <a:off x="0" y="0"/>
                      <a:ext cx="4107815" cy="2395220"/>
                    </a:xfrm>
                    <a:prstGeom prst="rect">
                      <a:avLst/>
                    </a:prstGeom>
                    <a:noFill/>
                    <a:ln w="9525">
                      <a:noFill/>
                      <a:miter lim="800000"/>
                      <a:headEnd/>
                      <a:tailEnd/>
                    </a:ln>
                  </pic:spPr>
                </pic:pic>
              </a:graphicData>
            </a:graphic>
          </wp:inline>
        </w:drawing>
      </w:r>
    </w:p>
    <w:p w:rsidR="00F36E3E" w:rsidRDefault="00F36E3E" w:rsidP="0019720B">
      <w:pPr>
        <w:pStyle w:val="Default"/>
        <w:spacing w:before="240" w:after="240"/>
        <w:ind w:right="-2"/>
        <w:jc w:val="both"/>
        <w:rPr>
          <w:sz w:val="22"/>
          <w:szCs w:val="22"/>
          <w:lang w:val="en-GB"/>
        </w:rPr>
      </w:pPr>
      <w:r w:rsidRPr="00F36E3E">
        <w:rPr>
          <w:sz w:val="22"/>
          <w:szCs w:val="22"/>
          <w:lang w:val="en-GB"/>
        </w:rPr>
        <w:t>The chemical name for ingenol mebutate is:</w:t>
      </w:r>
    </w:p>
    <w:p w:rsidR="00A83357" w:rsidRPr="00654624" w:rsidRDefault="005307D6" w:rsidP="00BF5A9D">
      <w:pPr>
        <w:pStyle w:val="Default"/>
        <w:spacing w:before="120" w:after="120"/>
        <w:ind w:right="-2"/>
        <w:jc w:val="both"/>
        <w:rPr>
          <w:sz w:val="22"/>
          <w:szCs w:val="22"/>
        </w:rPr>
      </w:pPr>
      <w:r w:rsidRPr="00654624">
        <w:rPr>
          <w:sz w:val="22"/>
          <w:szCs w:val="22"/>
        </w:rPr>
        <w:t>2-Butenoic acid, 2-methyl-, (1a</w:t>
      </w:r>
      <w:r w:rsidRPr="00654624">
        <w:rPr>
          <w:i/>
          <w:iCs/>
          <w:sz w:val="22"/>
          <w:szCs w:val="22"/>
        </w:rPr>
        <w:t>R</w:t>
      </w:r>
      <w:r w:rsidRPr="00654624">
        <w:rPr>
          <w:sz w:val="22"/>
          <w:szCs w:val="22"/>
        </w:rPr>
        <w:t>,2</w:t>
      </w:r>
      <w:r w:rsidRPr="00654624">
        <w:rPr>
          <w:i/>
          <w:iCs/>
          <w:sz w:val="22"/>
          <w:szCs w:val="22"/>
        </w:rPr>
        <w:t>S</w:t>
      </w:r>
      <w:r w:rsidRPr="00654624">
        <w:rPr>
          <w:sz w:val="22"/>
          <w:szCs w:val="22"/>
        </w:rPr>
        <w:t>,5</w:t>
      </w:r>
      <w:r w:rsidRPr="00654624">
        <w:rPr>
          <w:i/>
          <w:iCs/>
          <w:sz w:val="22"/>
          <w:szCs w:val="22"/>
        </w:rPr>
        <w:t>R</w:t>
      </w:r>
      <w:r w:rsidRPr="00654624">
        <w:rPr>
          <w:sz w:val="22"/>
          <w:szCs w:val="22"/>
        </w:rPr>
        <w:t>,5a</w:t>
      </w:r>
      <w:r w:rsidRPr="00654624">
        <w:rPr>
          <w:i/>
          <w:iCs/>
          <w:sz w:val="22"/>
          <w:szCs w:val="22"/>
        </w:rPr>
        <w:t>S</w:t>
      </w:r>
      <w:r w:rsidRPr="00654624">
        <w:rPr>
          <w:sz w:val="22"/>
          <w:szCs w:val="22"/>
        </w:rPr>
        <w:t>,6</w:t>
      </w:r>
      <w:r w:rsidRPr="00654624">
        <w:rPr>
          <w:i/>
          <w:iCs/>
          <w:sz w:val="22"/>
          <w:szCs w:val="22"/>
        </w:rPr>
        <w:t>S</w:t>
      </w:r>
      <w:r w:rsidRPr="00654624">
        <w:rPr>
          <w:sz w:val="22"/>
          <w:szCs w:val="22"/>
        </w:rPr>
        <w:t>,8a</w:t>
      </w:r>
      <w:r w:rsidRPr="00654624">
        <w:rPr>
          <w:i/>
          <w:iCs/>
          <w:sz w:val="22"/>
          <w:szCs w:val="22"/>
        </w:rPr>
        <w:t>S</w:t>
      </w:r>
      <w:r w:rsidRPr="00654624">
        <w:rPr>
          <w:sz w:val="22"/>
          <w:szCs w:val="22"/>
        </w:rPr>
        <w:t>,9</w:t>
      </w:r>
      <w:r w:rsidRPr="00654624">
        <w:rPr>
          <w:i/>
          <w:iCs/>
          <w:sz w:val="22"/>
          <w:szCs w:val="22"/>
        </w:rPr>
        <w:t>R</w:t>
      </w:r>
      <w:r w:rsidRPr="00654624">
        <w:rPr>
          <w:sz w:val="22"/>
          <w:szCs w:val="22"/>
        </w:rPr>
        <w:t>,10a</w:t>
      </w:r>
      <w:r w:rsidRPr="00654624">
        <w:rPr>
          <w:i/>
          <w:iCs/>
          <w:sz w:val="22"/>
          <w:szCs w:val="22"/>
        </w:rPr>
        <w:t>R</w:t>
      </w:r>
      <w:r w:rsidR="007C5934">
        <w:rPr>
          <w:sz w:val="22"/>
          <w:szCs w:val="22"/>
        </w:rPr>
        <w:t>)-1a,2,5,5a,6,9,10,10a-</w:t>
      </w:r>
      <w:r w:rsidRPr="00654624">
        <w:rPr>
          <w:sz w:val="22"/>
          <w:szCs w:val="22"/>
        </w:rPr>
        <w:t>octahydro-5,5a-dihydroxy-4-(hydroxymethyl)-1,1,7,9-tetramethyl-11-oxo-1</w:t>
      </w:r>
      <w:r w:rsidRPr="00654624">
        <w:rPr>
          <w:i/>
          <w:iCs/>
          <w:sz w:val="22"/>
          <w:szCs w:val="22"/>
        </w:rPr>
        <w:t>H</w:t>
      </w:r>
      <w:r w:rsidRPr="00654624">
        <w:rPr>
          <w:sz w:val="22"/>
          <w:szCs w:val="22"/>
        </w:rPr>
        <w:t xml:space="preserve">-2,8a- </w:t>
      </w:r>
      <w:proofErr w:type="spellStart"/>
      <w:r w:rsidRPr="00654624">
        <w:rPr>
          <w:sz w:val="22"/>
          <w:szCs w:val="22"/>
        </w:rPr>
        <w:t>methanocycl</w:t>
      </w:r>
      <w:r w:rsidRPr="00654624">
        <w:rPr>
          <w:sz w:val="22"/>
          <w:szCs w:val="22"/>
        </w:rPr>
        <w:t>o</w:t>
      </w:r>
      <w:r w:rsidRPr="00654624">
        <w:rPr>
          <w:sz w:val="22"/>
          <w:szCs w:val="22"/>
        </w:rPr>
        <w:t>penta</w:t>
      </w:r>
      <w:proofErr w:type="spellEnd"/>
      <w:r w:rsidRPr="00654624">
        <w:rPr>
          <w:sz w:val="22"/>
          <w:szCs w:val="22"/>
        </w:rPr>
        <w:t>[</w:t>
      </w:r>
      <w:r w:rsidRPr="00654624">
        <w:rPr>
          <w:i/>
          <w:iCs/>
          <w:sz w:val="22"/>
          <w:szCs w:val="22"/>
        </w:rPr>
        <w:t>a</w:t>
      </w:r>
      <w:r w:rsidRPr="00654624">
        <w:rPr>
          <w:sz w:val="22"/>
          <w:szCs w:val="22"/>
        </w:rPr>
        <w:t>]</w:t>
      </w:r>
      <w:proofErr w:type="spellStart"/>
      <w:r w:rsidRPr="00654624">
        <w:rPr>
          <w:sz w:val="22"/>
          <w:szCs w:val="22"/>
        </w:rPr>
        <w:t>cyclopropa</w:t>
      </w:r>
      <w:proofErr w:type="spellEnd"/>
      <w:r w:rsidRPr="00654624">
        <w:rPr>
          <w:sz w:val="22"/>
          <w:szCs w:val="22"/>
        </w:rPr>
        <w:t>[</w:t>
      </w:r>
      <w:r w:rsidRPr="00654624">
        <w:rPr>
          <w:i/>
          <w:iCs/>
          <w:sz w:val="22"/>
          <w:szCs w:val="22"/>
        </w:rPr>
        <w:t>e</w:t>
      </w:r>
      <w:r w:rsidRPr="00654624">
        <w:rPr>
          <w:sz w:val="22"/>
          <w:szCs w:val="22"/>
        </w:rPr>
        <w:t>]cyclodecen-6-yl ester, (2</w:t>
      </w:r>
      <w:r w:rsidRPr="00654624">
        <w:rPr>
          <w:i/>
          <w:iCs/>
          <w:sz w:val="22"/>
          <w:szCs w:val="22"/>
        </w:rPr>
        <w:t>Z</w:t>
      </w:r>
      <w:r w:rsidRPr="00654624">
        <w:rPr>
          <w:sz w:val="22"/>
          <w:szCs w:val="22"/>
        </w:rPr>
        <w:t>)-</w:t>
      </w:r>
    </w:p>
    <w:p w:rsidR="00A83357" w:rsidRPr="00654624" w:rsidRDefault="00A83357" w:rsidP="00BF5A9D">
      <w:pPr>
        <w:spacing w:before="120" w:after="120"/>
      </w:pPr>
      <w:r w:rsidRPr="00654624">
        <w:t>or</w:t>
      </w:r>
    </w:p>
    <w:p w:rsidR="00A83357" w:rsidRPr="00654624" w:rsidRDefault="00A83357" w:rsidP="00BF5A9D">
      <w:pPr>
        <w:spacing w:before="120" w:after="120"/>
      </w:pPr>
      <w:r w:rsidRPr="00654624">
        <w:t>(1a</w:t>
      </w:r>
      <w:r w:rsidRPr="00654624">
        <w:rPr>
          <w:i/>
          <w:iCs/>
        </w:rPr>
        <w:t>R</w:t>
      </w:r>
      <w:r w:rsidRPr="00654624">
        <w:t>,2</w:t>
      </w:r>
      <w:r w:rsidRPr="00654624">
        <w:rPr>
          <w:i/>
          <w:iCs/>
        </w:rPr>
        <w:t>S</w:t>
      </w:r>
      <w:r w:rsidRPr="00654624">
        <w:t>,5</w:t>
      </w:r>
      <w:r w:rsidRPr="00654624">
        <w:rPr>
          <w:i/>
          <w:iCs/>
        </w:rPr>
        <w:t>R</w:t>
      </w:r>
      <w:r w:rsidRPr="00654624">
        <w:t>,5a</w:t>
      </w:r>
      <w:r w:rsidRPr="00654624">
        <w:rPr>
          <w:i/>
          <w:iCs/>
        </w:rPr>
        <w:t>S</w:t>
      </w:r>
      <w:r w:rsidRPr="00654624">
        <w:t>,6</w:t>
      </w:r>
      <w:r w:rsidRPr="00654624">
        <w:rPr>
          <w:i/>
          <w:iCs/>
        </w:rPr>
        <w:t>S</w:t>
      </w:r>
      <w:r w:rsidRPr="00654624">
        <w:t>,8a</w:t>
      </w:r>
      <w:r w:rsidRPr="00654624">
        <w:rPr>
          <w:i/>
          <w:iCs/>
        </w:rPr>
        <w:t>S</w:t>
      </w:r>
      <w:r w:rsidRPr="00654624">
        <w:t>,9</w:t>
      </w:r>
      <w:r w:rsidRPr="00654624">
        <w:rPr>
          <w:i/>
          <w:iCs/>
        </w:rPr>
        <w:t>R</w:t>
      </w:r>
      <w:r w:rsidRPr="00654624">
        <w:t>,10a</w:t>
      </w:r>
      <w:r w:rsidRPr="00654624">
        <w:rPr>
          <w:i/>
          <w:iCs/>
        </w:rPr>
        <w:t>R</w:t>
      </w:r>
      <w:r w:rsidRPr="00654624">
        <w:t>)-5,5a-dihydroxy-4-(hydroxymethyl)-1,1,7,9-tetramethyl-11-oxo-1a,2,5,5a,6,9,10,10a-octahydro-1</w:t>
      </w:r>
      <w:r w:rsidRPr="00654624">
        <w:rPr>
          <w:i/>
          <w:iCs/>
        </w:rPr>
        <w:t>H</w:t>
      </w:r>
      <w:r w:rsidRPr="00654624">
        <w:noBreakHyphen/>
        <w:t>2,8amethanocyclopenta[</w:t>
      </w:r>
      <w:r w:rsidRPr="00654624">
        <w:rPr>
          <w:i/>
          <w:iCs/>
        </w:rPr>
        <w:t>a</w:t>
      </w:r>
      <w:r w:rsidRPr="00654624">
        <w:t>]cyclopropa[</w:t>
      </w:r>
      <w:r w:rsidRPr="00654624">
        <w:rPr>
          <w:i/>
          <w:iCs/>
        </w:rPr>
        <w:t>e</w:t>
      </w:r>
      <w:r w:rsidRPr="00654624">
        <w:t>]cyclodecen-6-yl (2Z)</w:t>
      </w:r>
      <w:r w:rsidRPr="00654624">
        <w:noBreakHyphen/>
        <w:t>2</w:t>
      </w:r>
      <w:r w:rsidRPr="00654624">
        <w:noBreakHyphen/>
        <w:t>methylbut-2-enoate.</w:t>
      </w:r>
    </w:p>
    <w:p w:rsidR="0019720B" w:rsidRDefault="005307D6" w:rsidP="00BF5A9D">
      <w:pPr>
        <w:pStyle w:val="Default"/>
        <w:spacing w:before="120" w:after="120"/>
        <w:ind w:right="-2"/>
        <w:jc w:val="both"/>
        <w:rPr>
          <w:sz w:val="22"/>
          <w:szCs w:val="22"/>
        </w:rPr>
      </w:pPr>
      <w:r w:rsidRPr="00654624">
        <w:rPr>
          <w:sz w:val="22"/>
          <w:szCs w:val="22"/>
        </w:rPr>
        <w:t>The empirical formula is C</w:t>
      </w:r>
      <w:r w:rsidRPr="00654624">
        <w:rPr>
          <w:sz w:val="22"/>
          <w:szCs w:val="22"/>
          <w:vertAlign w:val="subscript"/>
        </w:rPr>
        <w:t>25</w:t>
      </w:r>
      <w:r w:rsidRPr="00654624">
        <w:rPr>
          <w:sz w:val="22"/>
          <w:szCs w:val="22"/>
        </w:rPr>
        <w:t>H</w:t>
      </w:r>
      <w:r w:rsidRPr="00654624">
        <w:rPr>
          <w:sz w:val="22"/>
          <w:szCs w:val="22"/>
          <w:vertAlign w:val="subscript"/>
        </w:rPr>
        <w:t>34</w:t>
      </w:r>
      <w:r w:rsidRPr="00654624">
        <w:rPr>
          <w:sz w:val="22"/>
          <w:szCs w:val="22"/>
        </w:rPr>
        <w:t>O</w:t>
      </w:r>
      <w:r w:rsidRPr="00654624">
        <w:rPr>
          <w:sz w:val="22"/>
          <w:szCs w:val="22"/>
          <w:vertAlign w:val="subscript"/>
        </w:rPr>
        <w:t>6</w:t>
      </w:r>
      <w:r w:rsidR="0019720B">
        <w:rPr>
          <w:sz w:val="22"/>
          <w:szCs w:val="22"/>
        </w:rPr>
        <w:t xml:space="preserve">. </w:t>
      </w:r>
      <w:r w:rsidRPr="00654624">
        <w:rPr>
          <w:sz w:val="22"/>
          <w:szCs w:val="22"/>
        </w:rPr>
        <w:t>The molecular weight is 430.53</w:t>
      </w:r>
      <w:r w:rsidR="00F36E3E">
        <w:rPr>
          <w:sz w:val="22"/>
          <w:szCs w:val="22"/>
        </w:rPr>
        <w:t xml:space="preserve"> g/mol</w:t>
      </w:r>
      <w:r w:rsidR="00255D76">
        <w:rPr>
          <w:sz w:val="22"/>
          <w:szCs w:val="22"/>
        </w:rPr>
        <w:t>.</w:t>
      </w:r>
    </w:p>
    <w:p w:rsidR="0039490C" w:rsidRPr="00654624" w:rsidRDefault="00591EBA" w:rsidP="00BF5A9D">
      <w:pPr>
        <w:pStyle w:val="Default"/>
        <w:spacing w:before="120" w:after="120"/>
        <w:ind w:right="-2"/>
        <w:jc w:val="both"/>
        <w:rPr>
          <w:sz w:val="22"/>
          <w:szCs w:val="22"/>
        </w:rPr>
      </w:pPr>
      <w:r w:rsidRPr="00654624">
        <w:rPr>
          <w:sz w:val="22"/>
          <w:szCs w:val="22"/>
        </w:rPr>
        <w:t xml:space="preserve">CAS number: </w:t>
      </w:r>
      <w:r w:rsidR="00C24FCE" w:rsidRPr="00654624">
        <w:rPr>
          <w:sz w:val="22"/>
          <w:szCs w:val="22"/>
        </w:rPr>
        <w:t>75567-37-2</w:t>
      </w:r>
      <w:r w:rsidR="00B63D06" w:rsidRPr="00654624">
        <w:rPr>
          <w:sz w:val="22"/>
          <w:szCs w:val="22"/>
        </w:rPr>
        <w:t>.</w:t>
      </w:r>
    </w:p>
    <w:p w:rsidR="00E6472B" w:rsidRPr="00BF5A9D" w:rsidRDefault="003D2E11" w:rsidP="00BF5A9D">
      <w:pPr>
        <w:pStyle w:val="Heading2"/>
      </w:pPr>
      <w:r w:rsidRPr="00BF5A9D">
        <w:t>DESCRIPTION</w:t>
      </w:r>
    </w:p>
    <w:p w:rsidR="00201570" w:rsidRDefault="002C47E1" w:rsidP="00BF5A9D">
      <w:proofErr w:type="spellStart"/>
      <w:r>
        <w:t>Picato</w:t>
      </w:r>
      <w:proofErr w:type="spellEnd"/>
      <w:r w:rsidR="00DA2F20" w:rsidRPr="00DA2F20">
        <w:rPr>
          <w:vertAlign w:val="superscript"/>
        </w:rPr>
        <w:t>®</w:t>
      </w:r>
      <w:r w:rsidR="00401DFC" w:rsidRPr="00654624">
        <w:t xml:space="preserve"> </w:t>
      </w:r>
      <w:r w:rsidR="00B201E7">
        <w:t>g</w:t>
      </w:r>
      <w:r w:rsidR="00BE78BB">
        <w:t>el</w:t>
      </w:r>
      <w:r w:rsidR="00401DFC" w:rsidRPr="00654624">
        <w:t xml:space="preserve"> is </w:t>
      </w:r>
      <w:r w:rsidR="0030461F" w:rsidRPr="00654624">
        <w:t xml:space="preserve">clear </w:t>
      </w:r>
      <w:proofErr w:type="spellStart"/>
      <w:r w:rsidR="0030461F" w:rsidRPr="00654624">
        <w:t>colourless</w:t>
      </w:r>
      <w:proofErr w:type="spellEnd"/>
      <w:r w:rsidR="00401DFC" w:rsidRPr="00654624">
        <w:t xml:space="preserve"> gel </w:t>
      </w:r>
      <w:r w:rsidR="0030461F" w:rsidRPr="00654624">
        <w:t>intended for topical administr</w:t>
      </w:r>
      <w:r w:rsidR="0030461F" w:rsidRPr="00654624">
        <w:t>a</w:t>
      </w:r>
      <w:r w:rsidR="0030461F" w:rsidRPr="00654624">
        <w:t>tion.</w:t>
      </w:r>
      <w:r w:rsidR="00FC2EC6" w:rsidRPr="00654624">
        <w:t xml:space="preserve">  It </w:t>
      </w:r>
      <w:r w:rsidR="00401DFC" w:rsidRPr="00654624">
        <w:t>is available in two strengths:</w:t>
      </w:r>
    </w:p>
    <w:p w:rsidR="00201570" w:rsidRDefault="002C47E1" w:rsidP="0019720B">
      <w:pPr>
        <w:pStyle w:val="Default"/>
        <w:numPr>
          <w:ilvl w:val="0"/>
          <w:numId w:val="28"/>
        </w:numPr>
        <w:overflowPunct w:val="0"/>
        <w:spacing w:before="240" w:after="240"/>
        <w:ind w:right="-2"/>
        <w:jc w:val="both"/>
        <w:textAlignment w:val="baseline"/>
        <w:rPr>
          <w:sz w:val="22"/>
          <w:szCs w:val="22"/>
        </w:rPr>
      </w:pPr>
      <w:proofErr w:type="spellStart"/>
      <w:r>
        <w:rPr>
          <w:sz w:val="22"/>
          <w:szCs w:val="22"/>
        </w:rPr>
        <w:lastRenderedPageBreak/>
        <w:t>Picato</w:t>
      </w:r>
      <w:proofErr w:type="spellEnd"/>
      <w:r w:rsidR="00DA2F20" w:rsidRPr="00DA2F20">
        <w:rPr>
          <w:sz w:val="22"/>
          <w:szCs w:val="22"/>
          <w:vertAlign w:val="superscript"/>
        </w:rPr>
        <w:t>®</w:t>
      </w:r>
      <w:r w:rsidR="003B38B8" w:rsidRPr="00201570">
        <w:rPr>
          <w:sz w:val="22"/>
          <w:szCs w:val="22"/>
        </w:rPr>
        <w:t xml:space="preserve"> gel, </w:t>
      </w:r>
      <w:r w:rsidR="00401DFC" w:rsidRPr="00201570">
        <w:rPr>
          <w:sz w:val="22"/>
          <w:szCs w:val="22"/>
        </w:rPr>
        <w:t xml:space="preserve">0.015% </w:t>
      </w:r>
      <w:proofErr w:type="spellStart"/>
      <w:r w:rsidR="003B38B8" w:rsidRPr="00201570">
        <w:rPr>
          <w:sz w:val="22"/>
          <w:szCs w:val="22"/>
        </w:rPr>
        <w:t>ingenol</w:t>
      </w:r>
      <w:proofErr w:type="spellEnd"/>
      <w:r w:rsidR="003B38B8" w:rsidRPr="00201570">
        <w:rPr>
          <w:sz w:val="22"/>
          <w:szCs w:val="22"/>
        </w:rPr>
        <w:t xml:space="preserve"> </w:t>
      </w:r>
      <w:proofErr w:type="spellStart"/>
      <w:r w:rsidR="003B38B8" w:rsidRPr="00201570">
        <w:rPr>
          <w:sz w:val="22"/>
          <w:szCs w:val="22"/>
        </w:rPr>
        <w:t>mebutate</w:t>
      </w:r>
      <w:proofErr w:type="spellEnd"/>
      <w:r w:rsidR="003B38B8" w:rsidRPr="00201570">
        <w:rPr>
          <w:sz w:val="22"/>
          <w:szCs w:val="22"/>
        </w:rPr>
        <w:t xml:space="preserve"> </w:t>
      </w:r>
      <w:r w:rsidR="00401DFC" w:rsidRPr="00201570">
        <w:rPr>
          <w:sz w:val="22"/>
          <w:szCs w:val="22"/>
        </w:rPr>
        <w:t xml:space="preserve">for treatment of </w:t>
      </w:r>
      <w:r w:rsidR="005A4011" w:rsidRPr="00201570">
        <w:rPr>
          <w:sz w:val="22"/>
          <w:szCs w:val="22"/>
        </w:rPr>
        <w:t xml:space="preserve">solar (actinic) </w:t>
      </w:r>
      <w:proofErr w:type="spellStart"/>
      <w:r w:rsidR="005A4011" w:rsidRPr="00201570">
        <w:rPr>
          <w:sz w:val="22"/>
          <w:szCs w:val="22"/>
        </w:rPr>
        <w:t>ker</w:t>
      </w:r>
      <w:r w:rsidR="005A4011" w:rsidRPr="00201570">
        <w:rPr>
          <w:sz w:val="22"/>
          <w:szCs w:val="22"/>
        </w:rPr>
        <w:t>a</w:t>
      </w:r>
      <w:r w:rsidR="005A4011" w:rsidRPr="00201570">
        <w:rPr>
          <w:sz w:val="22"/>
          <w:szCs w:val="22"/>
        </w:rPr>
        <w:t>toses</w:t>
      </w:r>
      <w:proofErr w:type="spellEnd"/>
      <w:r w:rsidR="005A4011" w:rsidRPr="00201570">
        <w:rPr>
          <w:sz w:val="22"/>
          <w:szCs w:val="22"/>
        </w:rPr>
        <w:t xml:space="preserve"> on the</w:t>
      </w:r>
      <w:r w:rsidR="00401DFC" w:rsidRPr="00201570">
        <w:rPr>
          <w:sz w:val="22"/>
          <w:szCs w:val="22"/>
        </w:rPr>
        <w:t xml:space="preserve"> face and scalp </w:t>
      </w:r>
      <w:r w:rsidR="008C51C1" w:rsidRPr="00201570">
        <w:rPr>
          <w:sz w:val="22"/>
          <w:szCs w:val="22"/>
        </w:rPr>
        <w:t>and</w:t>
      </w:r>
    </w:p>
    <w:p w:rsidR="00401DFC" w:rsidRPr="00201570" w:rsidRDefault="002C47E1" w:rsidP="0019720B">
      <w:pPr>
        <w:pStyle w:val="Default"/>
        <w:numPr>
          <w:ilvl w:val="0"/>
          <w:numId w:val="28"/>
        </w:numPr>
        <w:overflowPunct w:val="0"/>
        <w:spacing w:before="240" w:after="240"/>
        <w:ind w:right="-2"/>
        <w:jc w:val="both"/>
        <w:textAlignment w:val="baseline"/>
        <w:rPr>
          <w:sz w:val="22"/>
          <w:szCs w:val="22"/>
        </w:rPr>
      </w:pPr>
      <w:r>
        <w:rPr>
          <w:sz w:val="22"/>
          <w:szCs w:val="22"/>
        </w:rPr>
        <w:t>Picato</w:t>
      </w:r>
      <w:r w:rsidR="00DA2F20" w:rsidRPr="00DA2F20">
        <w:rPr>
          <w:sz w:val="22"/>
          <w:szCs w:val="22"/>
          <w:vertAlign w:val="superscript"/>
        </w:rPr>
        <w:t>®</w:t>
      </w:r>
      <w:r w:rsidR="003B38B8" w:rsidRPr="00201570">
        <w:rPr>
          <w:sz w:val="22"/>
          <w:szCs w:val="22"/>
        </w:rPr>
        <w:t xml:space="preserve"> gel, </w:t>
      </w:r>
      <w:r w:rsidR="00401DFC" w:rsidRPr="00201570">
        <w:rPr>
          <w:sz w:val="22"/>
          <w:szCs w:val="22"/>
        </w:rPr>
        <w:t>0.05%</w:t>
      </w:r>
      <w:r w:rsidR="003B38B8" w:rsidRPr="00201570">
        <w:rPr>
          <w:sz w:val="22"/>
          <w:szCs w:val="22"/>
        </w:rPr>
        <w:t xml:space="preserve"> ingenol mebutate</w:t>
      </w:r>
      <w:r w:rsidR="00401DFC" w:rsidRPr="00201570">
        <w:rPr>
          <w:sz w:val="22"/>
          <w:szCs w:val="22"/>
        </w:rPr>
        <w:t xml:space="preserve"> for the treatment of </w:t>
      </w:r>
      <w:r w:rsidR="005A4011" w:rsidRPr="00201570">
        <w:rPr>
          <w:sz w:val="22"/>
          <w:szCs w:val="22"/>
        </w:rPr>
        <w:t>solar (actinic) ker</w:t>
      </w:r>
      <w:r w:rsidR="005A4011" w:rsidRPr="00201570">
        <w:rPr>
          <w:sz w:val="22"/>
          <w:szCs w:val="22"/>
        </w:rPr>
        <w:t>a</w:t>
      </w:r>
      <w:r w:rsidR="005A4011" w:rsidRPr="00201570">
        <w:rPr>
          <w:sz w:val="22"/>
          <w:szCs w:val="22"/>
        </w:rPr>
        <w:t>toses on the</w:t>
      </w:r>
      <w:r w:rsidR="00401DFC" w:rsidRPr="00201570">
        <w:rPr>
          <w:sz w:val="22"/>
          <w:szCs w:val="22"/>
        </w:rPr>
        <w:t xml:space="preserve"> </w:t>
      </w:r>
      <w:r w:rsidR="005A4011" w:rsidRPr="00201570">
        <w:rPr>
          <w:sz w:val="22"/>
          <w:szCs w:val="22"/>
        </w:rPr>
        <w:t>body</w:t>
      </w:r>
    </w:p>
    <w:p w:rsidR="000645B8" w:rsidRDefault="000645B8" w:rsidP="00BF5A9D">
      <w:r w:rsidRPr="00654624">
        <w:t>Ingenol mebutate is a purified ingenol angelate e</w:t>
      </w:r>
      <w:r w:rsidRPr="00654624">
        <w:t>x</w:t>
      </w:r>
      <w:r w:rsidRPr="00654624">
        <w:t xml:space="preserve">tracted from the </w:t>
      </w:r>
      <w:r w:rsidRPr="00654624">
        <w:rPr>
          <w:i/>
        </w:rPr>
        <w:t>E. peplus</w:t>
      </w:r>
      <w:r w:rsidRPr="00654624">
        <w:t xml:space="preserve"> plant and is a white to pale yellow crystalline powder.</w:t>
      </w:r>
    </w:p>
    <w:p w:rsidR="005874F5" w:rsidRPr="005874F5" w:rsidRDefault="005874F5" w:rsidP="00BF5A9D">
      <w:r>
        <w:t xml:space="preserve">The distribution </w:t>
      </w:r>
      <w:r w:rsidRPr="005874F5">
        <w:t>coefficient between octanol and phosphate buf</w:t>
      </w:r>
      <w:r>
        <w:t xml:space="preserve">fer is 4.1 at a pH of 7.4. </w:t>
      </w:r>
      <w:r w:rsidRPr="005874F5">
        <w:t>Ingenol</w:t>
      </w:r>
      <w:r>
        <w:t xml:space="preserve"> </w:t>
      </w:r>
      <w:r w:rsidRPr="005874F5">
        <w:t>mebutate is practically insoluble in water.</w:t>
      </w:r>
    </w:p>
    <w:p w:rsidR="0019720B" w:rsidRDefault="002C47E1" w:rsidP="00BF5A9D">
      <w:pPr>
        <w:rPr>
          <w:lang w:val="pt-BR"/>
        </w:rPr>
      </w:pPr>
      <w:r>
        <w:t>Picato</w:t>
      </w:r>
      <w:r w:rsidR="00DA2F20" w:rsidRPr="00DA2F20">
        <w:rPr>
          <w:vertAlign w:val="superscript"/>
          <w:lang w:val="en-GB"/>
        </w:rPr>
        <w:t>®</w:t>
      </w:r>
      <w:r w:rsidR="00B201E7" w:rsidRPr="00654624">
        <w:rPr>
          <w:lang w:val="en-GB"/>
        </w:rPr>
        <w:t xml:space="preserve"> </w:t>
      </w:r>
      <w:r w:rsidR="00B201E7">
        <w:rPr>
          <w:lang w:val="en-GB"/>
        </w:rPr>
        <w:t>gel</w:t>
      </w:r>
      <w:r w:rsidR="00B201E7" w:rsidRPr="00654624">
        <w:t xml:space="preserve"> </w:t>
      </w:r>
      <w:r w:rsidR="0039490C" w:rsidRPr="00654624">
        <w:t>contains</w:t>
      </w:r>
      <w:r w:rsidR="00B63D06" w:rsidRPr="00654624">
        <w:t xml:space="preserve"> the excipients</w:t>
      </w:r>
      <w:r w:rsidR="00127957" w:rsidRPr="00654624">
        <w:rPr>
          <w:lang w:val="pt-BR"/>
        </w:rPr>
        <w:t>:  isopropyl alcohol, hydroxyethylcellulose, citric acid monohydrate, sodium citrate, benzyl alcohol and purified w</w:t>
      </w:r>
      <w:r w:rsidR="00127957" w:rsidRPr="00654624">
        <w:rPr>
          <w:lang w:val="pt-BR"/>
        </w:rPr>
        <w:t>a</w:t>
      </w:r>
      <w:r w:rsidR="00127957" w:rsidRPr="00654624">
        <w:rPr>
          <w:lang w:val="pt-BR"/>
        </w:rPr>
        <w:t>ter</w:t>
      </w:r>
      <w:r w:rsidR="0019720B">
        <w:rPr>
          <w:lang w:val="pt-BR"/>
        </w:rPr>
        <w:t>.</w:t>
      </w:r>
    </w:p>
    <w:p w:rsidR="00E23B16" w:rsidRPr="0019720B" w:rsidRDefault="003D2E11" w:rsidP="00BF5A9D">
      <w:pPr>
        <w:pStyle w:val="Heading2"/>
        <w:rPr>
          <w:lang w:val="pt-BR"/>
        </w:rPr>
      </w:pPr>
      <w:r w:rsidRPr="00654624">
        <w:t>PHARMACOLOGY</w:t>
      </w:r>
    </w:p>
    <w:p w:rsidR="003D2E11" w:rsidRPr="00255D76" w:rsidRDefault="004F3131" w:rsidP="00BF5A9D">
      <w:pPr>
        <w:pStyle w:val="Heading3"/>
      </w:pPr>
      <w:r w:rsidRPr="00255D76">
        <w:t>Mechanism of Action</w:t>
      </w:r>
    </w:p>
    <w:p w:rsidR="00934936" w:rsidRPr="00654624" w:rsidRDefault="00934936" w:rsidP="00FE7A04">
      <w:pPr>
        <w:pStyle w:val="Bodytext"/>
        <w:spacing w:before="60" w:after="240"/>
        <w:ind w:right="6"/>
        <w:jc w:val="both"/>
        <w:rPr>
          <w:rFonts w:ascii="Arial" w:hAnsi="Arial" w:cs="Arial"/>
          <w:bCs/>
          <w:sz w:val="22"/>
          <w:szCs w:val="22"/>
        </w:rPr>
      </w:pPr>
      <w:r w:rsidRPr="00654624">
        <w:rPr>
          <w:rFonts w:ascii="Arial" w:hAnsi="Arial" w:cs="Arial"/>
          <w:sz w:val="22"/>
          <w:szCs w:val="22"/>
        </w:rPr>
        <w:t xml:space="preserve">The mechanism of action of </w:t>
      </w:r>
      <w:r w:rsidR="002C47E1">
        <w:rPr>
          <w:rFonts w:ascii="Arial" w:hAnsi="Arial" w:cs="Arial"/>
          <w:sz w:val="22"/>
          <w:szCs w:val="22"/>
        </w:rPr>
        <w:t>Picato</w:t>
      </w:r>
      <w:r w:rsidR="00DA2F20" w:rsidRPr="00DA2F20">
        <w:rPr>
          <w:rFonts w:ascii="Arial" w:hAnsi="Arial" w:cs="Arial"/>
          <w:sz w:val="22"/>
          <w:szCs w:val="22"/>
          <w:vertAlign w:val="superscript"/>
          <w:lang w:val="en-GB"/>
        </w:rPr>
        <w:t>®</w:t>
      </w:r>
      <w:r w:rsidR="00B201E7" w:rsidRPr="00654624">
        <w:rPr>
          <w:rFonts w:ascii="Arial" w:hAnsi="Arial" w:cs="Arial"/>
          <w:sz w:val="22"/>
          <w:szCs w:val="22"/>
        </w:rPr>
        <w:t xml:space="preserve"> </w:t>
      </w:r>
      <w:r w:rsidRPr="00654624">
        <w:rPr>
          <w:rFonts w:ascii="Arial" w:hAnsi="Arial" w:cs="Arial"/>
          <w:sz w:val="22"/>
          <w:szCs w:val="22"/>
        </w:rPr>
        <w:t xml:space="preserve">in </w:t>
      </w:r>
      <w:r w:rsidR="000B04FF" w:rsidRPr="00654624">
        <w:rPr>
          <w:rFonts w:ascii="Arial" w:hAnsi="Arial" w:cs="Arial"/>
          <w:sz w:val="22"/>
          <w:szCs w:val="22"/>
        </w:rPr>
        <w:t>s</w:t>
      </w:r>
      <w:r w:rsidRPr="00654624">
        <w:rPr>
          <w:rFonts w:ascii="Arial" w:hAnsi="Arial" w:cs="Arial"/>
          <w:sz w:val="22"/>
          <w:szCs w:val="22"/>
        </w:rPr>
        <w:t xml:space="preserve">olar </w:t>
      </w:r>
      <w:r w:rsidR="00C04A84">
        <w:rPr>
          <w:rFonts w:ascii="Arial" w:hAnsi="Arial" w:cs="Arial"/>
          <w:sz w:val="22"/>
          <w:szCs w:val="22"/>
        </w:rPr>
        <w:t xml:space="preserve">(actinic) </w:t>
      </w:r>
      <w:r w:rsidR="000B04FF" w:rsidRPr="00654624">
        <w:rPr>
          <w:rFonts w:ascii="Arial" w:hAnsi="Arial" w:cs="Arial"/>
          <w:sz w:val="22"/>
          <w:szCs w:val="22"/>
        </w:rPr>
        <w:t>k</w:t>
      </w:r>
      <w:r w:rsidRPr="00654624">
        <w:rPr>
          <w:rFonts w:ascii="Arial" w:hAnsi="Arial" w:cs="Arial"/>
          <w:sz w:val="22"/>
          <w:szCs w:val="22"/>
        </w:rPr>
        <w:t>eratos</w:t>
      </w:r>
      <w:r w:rsidR="00C04A84">
        <w:rPr>
          <w:rFonts w:ascii="Arial" w:hAnsi="Arial" w:cs="Arial"/>
          <w:sz w:val="22"/>
          <w:szCs w:val="22"/>
        </w:rPr>
        <w:t>e</w:t>
      </w:r>
      <w:r w:rsidRPr="00654624">
        <w:rPr>
          <w:rFonts w:ascii="Arial" w:hAnsi="Arial" w:cs="Arial"/>
          <w:sz w:val="22"/>
          <w:szCs w:val="22"/>
        </w:rPr>
        <w:t>s</w:t>
      </w:r>
      <w:r w:rsidR="000B04FF" w:rsidRPr="00654624">
        <w:rPr>
          <w:rFonts w:ascii="Arial" w:hAnsi="Arial" w:cs="Arial"/>
          <w:sz w:val="22"/>
          <w:szCs w:val="22"/>
        </w:rPr>
        <w:t xml:space="preserve"> </w:t>
      </w:r>
      <w:r w:rsidRPr="00654624">
        <w:rPr>
          <w:rFonts w:ascii="Arial" w:hAnsi="Arial" w:cs="Arial"/>
          <w:sz w:val="22"/>
          <w:szCs w:val="22"/>
        </w:rPr>
        <w:t>is not fully unde</w:t>
      </w:r>
      <w:r w:rsidRPr="00654624">
        <w:rPr>
          <w:rFonts w:ascii="Arial" w:hAnsi="Arial" w:cs="Arial"/>
          <w:sz w:val="22"/>
          <w:szCs w:val="22"/>
        </w:rPr>
        <w:t>r</w:t>
      </w:r>
      <w:r w:rsidRPr="00654624">
        <w:rPr>
          <w:rFonts w:ascii="Arial" w:hAnsi="Arial" w:cs="Arial"/>
          <w:sz w:val="22"/>
          <w:szCs w:val="22"/>
        </w:rPr>
        <w:t>stood.  In vivo and in vitro models have shown a</w:t>
      </w:r>
      <w:r w:rsidR="004F3131" w:rsidRPr="00654624">
        <w:rPr>
          <w:rFonts w:ascii="Arial" w:hAnsi="Arial" w:cs="Arial"/>
          <w:bCs/>
          <w:sz w:val="22"/>
          <w:szCs w:val="22"/>
        </w:rPr>
        <w:t xml:space="preserve"> dual mechanism of action</w:t>
      </w:r>
      <w:r w:rsidRPr="00654624">
        <w:rPr>
          <w:rFonts w:ascii="Arial" w:hAnsi="Arial" w:cs="Arial"/>
          <w:bCs/>
          <w:sz w:val="22"/>
          <w:szCs w:val="22"/>
        </w:rPr>
        <w:t xml:space="preserve"> for the effects of ingenol mebutate: 1) induction of local lesion cell death and 2) promo</w:t>
      </w:r>
      <w:r w:rsidRPr="00654624">
        <w:rPr>
          <w:rFonts w:ascii="Arial" w:hAnsi="Arial" w:cs="Arial"/>
          <w:bCs/>
          <w:sz w:val="22"/>
          <w:szCs w:val="22"/>
        </w:rPr>
        <w:t>t</w:t>
      </w:r>
      <w:r w:rsidRPr="00654624">
        <w:rPr>
          <w:rFonts w:ascii="Arial" w:hAnsi="Arial" w:cs="Arial"/>
          <w:bCs/>
          <w:sz w:val="22"/>
          <w:szCs w:val="22"/>
        </w:rPr>
        <w:t xml:space="preserve">ing an inflammatory response characterised </w:t>
      </w:r>
      <w:r w:rsidR="00AA4912">
        <w:rPr>
          <w:rFonts w:ascii="Arial" w:hAnsi="Arial" w:cs="Arial"/>
          <w:bCs/>
          <w:sz w:val="22"/>
          <w:szCs w:val="22"/>
        </w:rPr>
        <w:t>by</w:t>
      </w:r>
      <w:r w:rsidRPr="00654624">
        <w:rPr>
          <w:rFonts w:ascii="Arial" w:hAnsi="Arial" w:cs="Arial"/>
          <w:bCs/>
          <w:sz w:val="22"/>
          <w:szCs w:val="22"/>
        </w:rPr>
        <w:t xml:space="preserve"> infiltration of neutrophils and other </w:t>
      </w:r>
      <w:proofErr w:type="spellStart"/>
      <w:r w:rsidRPr="00654624">
        <w:rPr>
          <w:rFonts w:ascii="Arial" w:hAnsi="Arial" w:cs="Arial"/>
          <w:bCs/>
          <w:sz w:val="22"/>
          <w:szCs w:val="22"/>
        </w:rPr>
        <w:t>immunocomp</w:t>
      </w:r>
      <w:r w:rsidRPr="00654624">
        <w:rPr>
          <w:rFonts w:ascii="Arial" w:hAnsi="Arial" w:cs="Arial"/>
          <w:bCs/>
          <w:sz w:val="22"/>
          <w:szCs w:val="22"/>
        </w:rPr>
        <w:t>e</w:t>
      </w:r>
      <w:r w:rsidRPr="00654624">
        <w:rPr>
          <w:rFonts w:ascii="Arial" w:hAnsi="Arial" w:cs="Arial"/>
          <w:bCs/>
          <w:sz w:val="22"/>
          <w:szCs w:val="22"/>
        </w:rPr>
        <w:t>tent</w:t>
      </w:r>
      <w:proofErr w:type="spellEnd"/>
      <w:r w:rsidRPr="00654624">
        <w:rPr>
          <w:rFonts w:ascii="Arial" w:hAnsi="Arial" w:cs="Arial"/>
          <w:bCs/>
          <w:sz w:val="22"/>
          <w:szCs w:val="22"/>
        </w:rPr>
        <w:t xml:space="preserve"> cells.</w:t>
      </w:r>
    </w:p>
    <w:p w:rsidR="004F3131" w:rsidRPr="00654624" w:rsidRDefault="003D2E11" w:rsidP="00255D76">
      <w:pPr>
        <w:pStyle w:val="Heading3"/>
      </w:pPr>
      <w:proofErr w:type="spellStart"/>
      <w:r w:rsidRPr="00654624">
        <w:t>Pharmacodynamics</w:t>
      </w:r>
      <w:proofErr w:type="spellEnd"/>
    </w:p>
    <w:p w:rsidR="004F3131" w:rsidRPr="00654624" w:rsidRDefault="004F3131" w:rsidP="00FE7A04">
      <w:pPr>
        <w:pStyle w:val="Bodytext"/>
        <w:spacing w:before="60" w:after="240"/>
        <w:ind w:right="482"/>
        <w:jc w:val="both"/>
        <w:rPr>
          <w:rFonts w:ascii="Arial" w:hAnsi="Arial" w:cs="Arial"/>
          <w:sz w:val="22"/>
          <w:szCs w:val="22"/>
        </w:rPr>
      </w:pPr>
      <w:proofErr w:type="spellStart"/>
      <w:r w:rsidRPr="00654624">
        <w:rPr>
          <w:rFonts w:ascii="Arial" w:hAnsi="Arial" w:cs="Arial"/>
          <w:sz w:val="22"/>
          <w:szCs w:val="22"/>
        </w:rPr>
        <w:t>Ingenol</w:t>
      </w:r>
      <w:proofErr w:type="spellEnd"/>
      <w:r w:rsidRPr="00654624">
        <w:rPr>
          <w:rFonts w:ascii="Arial" w:hAnsi="Arial" w:cs="Arial"/>
          <w:sz w:val="22"/>
          <w:szCs w:val="22"/>
        </w:rPr>
        <w:t xml:space="preserve"> </w:t>
      </w:r>
      <w:proofErr w:type="spellStart"/>
      <w:r w:rsidR="00F36E3E">
        <w:rPr>
          <w:rFonts w:ascii="Arial" w:hAnsi="Arial" w:cs="Arial"/>
          <w:sz w:val="22"/>
          <w:szCs w:val="22"/>
        </w:rPr>
        <w:t>mebutate</w:t>
      </w:r>
      <w:proofErr w:type="spellEnd"/>
      <w:r w:rsidR="001A28BC">
        <w:rPr>
          <w:rFonts w:ascii="Arial" w:hAnsi="Arial" w:cs="Arial"/>
          <w:sz w:val="22"/>
          <w:szCs w:val="22"/>
        </w:rPr>
        <w:t xml:space="preserve"> </w:t>
      </w:r>
      <w:r w:rsidR="001A28BC" w:rsidRPr="001A28BC">
        <w:rPr>
          <w:rFonts w:ascii="Arial" w:hAnsi="Arial" w:cs="Arial"/>
          <w:sz w:val="22"/>
          <w:szCs w:val="22"/>
        </w:rPr>
        <w:t xml:space="preserve">induces multiple mechanisms in </w:t>
      </w:r>
      <w:proofErr w:type="spellStart"/>
      <w:r w:rsidR="001A28BC" w:rsidRPr="001A28BC">
        <w:rPr>
          <w:rFonts w:ascii="Arial" w:hAnsi="Arial" w:cs="Arial"/>
          <w:sz w:val="22"/>
          <w:szCs w:val="22"/>
        </w:rPr>
        <w:t>tumour</w:t>
      </w:r>
      <w:proofErr w:type="spellEnd"/>
      <w:r w:rsidR="001A28BC" w:rsidRPr="001A28BC">
        <w:rPr>
          <w:rFonts w:ascii="Arial" w:hAnsi="Arial" w:cs="Arial"/>
          <w:sz w:val="22"/>
          <w:szCs w:val="22"/>
        </w:rPr>
        <w:t xml:space="preserve"> cells by exerting </w:t>
      </w:r>
      <w:r w:rsidRPr="00654624">
        <w:rPr>
          <w:rFonts w:ascii="Arial" w:hAnsi="Arial" w:cs="Arial"/>
          <w:sz w:val="22"/>
          <w:szCs w:val="22"/>
        </w:rPr>
        <w:t xml:space="preserve">a direct </w:t>
      </w:r>
      <w:proofErr w:type="spellStart"/>
      <w:r w:rsidRPr="00654624">
        <w:rPr>
          <w:rFonts w:ascii="Arial" w:hAnsi="Arial" w:cs="Arial"/>
          <w:sz w:val="22"/>
          <w:szCs w:val="22"/>
        </w:rPr>
        <w:t>cytotoxic</w:t>
      </w:r>
      <w:proofErr w:type="spellEnd"/>
      <w:r w:rsidRPr="00654624">
        <w:rPr>
          <w:rFonts w:ascii="Arial" w:hAnsi="Arial" w:cs="Arial"/>
          <w:sz w:val="22"/>
          <w:szCs w:val="22"/>
        </w:rPr>
        <w:t xml:space="preserve"> effect and </w:t>
      </w:r>
      <w:r w:rsidR="007D70AB">
        <w:rPr>
          <w:rFonts w:ascii="Arial" w:hAnsi="Arial" w:cs="Arial"/>
          <w:sz w:val="22"/>
          <w:szCs w:val="22"/>
        </w:rPr>
        <w:t xml:space="preserve">by </w:t>
      </w:r>
      <w:r w:rsidR="001A28BC">
        <w:rPr>
          <w:rFonts w:ascii="Arial" w:hAnsi="Arial" w:cs="Arial"/>
          <w:sz w:val="22"/>
          <w:szCs w:val="22"/>
        </w:rPr>
        <w:t>modulating</w:t>
      </w:r>
      <w:r w:rsidRPr="00654624">
        <w:rPr>
          <w:rFonts w:ascii="Arial" w:hAnsi="Arial" w:cs="Arial"/>
          <w:sz w:val="22"/>
          <w:szCs w:val="22"/>
        </w:rPr>
        <w:t xml:space="preserve"> </w:t>
      </w:r>
      <w:r w:rsidR="00E6472B" w:rsidRPr="00654624">
        <w:rPr>
          <w:rFonts w:ascii="Arial" w:hAnsi="Arial" w:cs="Arial"/>
          <w:sz w:val="22"/>
          <w:szCs w:val="22"/>
        </w:rPr>
        <w:t xml:space="preserve">Protein </w:t>
      </w:r>
      <w:proofErr w:type="spellStart"/>
      <w:r w:rsidR="00E6472B" w:rsidRPr="00654624">
        <w:rPr>
          <w:rFonts w:ascii="Arial" w:hAnsi="Arial" w:cs="Arial"/>
          <w:sz w:val="22"/>
          <w:szCs w:val="22"/>
        </w:rPr>
        <w:t>Kinase</w:t>
      </w:r>
      <w:proofErr w:type="spellEnd"/>
      <w:r w:rsidR="00E6472B" w:rsidRPr="00654624">
        <w:rPr>
          <w:rFonts w:ascii="Arial" w:hAnsi="Arial" w:cs="Arial"/>
          <w:sz w:val="22"/>
          <w:szCs w:val="22"/>
        </w:rPr>
        <w:t xml:space="preserve"> C (</w:t>
      </w:r>
      <w:r w:rsidRPr="00654624">
        <w:rPr>
          <w:rFonts w:ascii="Arial" w:hAnsi="Arial" w:cs="Arial"/>
          <w:sz w:val="22"/>
          <w:szCs w:val="22"/>
        </w:rPr>
        <w:t>PKC</w:t>
      </w:r>
      <w:r w:rsidR="00E6472B" w:rsidRPr="00654624">
        <w:rPr>
          <w:rFonts w:ascii="Arial" w:hAnsi="Arial" w:cs="Arial"/>
          <w:sz w:val="22"/>
          <w:szCs w:val="22"/>
        </w:rPr>
        <w:t>)</w:t>
      </w:r>
      <w:r w:rsidR="00255D76">
        <w:rPr>
          <w:rFonts w:ascii="Arial" w:hAnsi="Arial" w:cs="Arial"/>
          <w:sz w:val="22"/>
          <w:szCs w:val="22"/>
        </w:rPr>
        <w:t xml:space="preserve"> </w:t>
      </w:r>
      <w:proofErr w:type="spellStart"/>
      <w:r w:rsidR="00255D76">
        <w:rPr>
          <w:rFonts w:ascii="Arial" w:hAnsi="Arial" w:cs="Arial"/>
          <w:sz w:val="22"/>
          <w:szCs w:val="22"/>
        </w:rPr>
        <w:t>isoforms</w:t>
      </w:r>
      <w:proofErr w:type="spellEnd"/>
      <w:r w:rsidR="00255D76">
        <w:rPr>
          <w:rFonts w:ascii="Arial" w:hAnsi="Arial" w:cs="Arial"/>
          <w:sz w:val="22"/>
          <w:szCs w:val="22"/>
        </w:rPr>
        <w:t>.</w:t>
      </w:r>
    </w:p>
    <w:p w:rsidR="00E6472B" w:rsidRPr="00654624" w:rsidRDefault="004F3131" w:rsidP="00E67C26">
      <w:pPr>
        <w:rPr>
          <w:lang w:val="en-AU" w:eastAsia="en-AU"/>
        </w:rPr>
      </w:pPr>
      <w:r w:rsidRPr="00654624">
        <w:t xml:space="preserve">At </w:t>
      </w:r>
      <w:r w:rsidR="00E81DDF">
        <w:t xml:space="preserve">a </w:t>
      </w:r>
      <w:r w:rsidRPr="00654624">
        <w:t xml:space="preserve">high concentration (100 </w:t>
      </w:r>
      <w:r w:rsidR="001A28BC">
        <w:t>mc</w:t>
      </w:r>
      <w:r w:rsidRPr="00654624">
        <w:t>g/mL</w:t>
      </w:r>
      <w:r w:rsidR="00E6472B" w:rsidRPr="00654624">
        <w:rPr>
          <w:lang w:val="en-AU" w:eastAsia="en-AU"/>
        </w:rPr>
        <w:t>)</w:t>
      </w:r>
      <w:r w:rsidR="00E81DDF">
        <w:rPr>
          <w:lang w:val="en-AU" w:eastAsia="en-AU"/>
        </w:rPr>
        <w:t xml:space="preserve"> in vitro and in vivo</w:t>
      </w:r>
      <w:r w:rsidR="00E6472B" w:rsidRPr="00654624">
        <w:rPr>
          <w:lang w:val="en-AU" w:eastAsia="en-AU"/>
        </w:rPr>
        <w:t xml:space="preserve">, ingenol mebutate induces mitochondrial swelling and loss of cell membrane integrity leading to cell death; at </w:t>
      </w:r>
      <w:r w:rsidR="001A28BC">
        <w:rPr>
          <w:lang w:val="en-AU" w:eastAsia="en-AU"/>
        </w:rPr>
        <w:t>lower conce</w:t>
      </w:r>
      <w:r w:rsidR="001A28BC">
        <w:rPr>
          <w:lang w:val="en-AU" w:eastAsia="en-AU"/>
        </w:rPr>
        <w:t>n</w:t>
      </w:r>
      <w:r w:rsidR="001A28BC">
        <w:rPr>
          <w:lang w:val="en-AU" w:eastAsia="en-AU"/>
        </w:rPr>
        <w:t>trations (</w:t>
      </w:r>
      <w:r w:rsidR="00E6472B" w:rsidRPr="00654624">
        <w:rPr>
          <w:lang w:val="en-AU" w:eastAsia="en-AU"/>
        </w:rPr>
        <w:t>10 to 100 ng/mL), ingenol mebutate stimulates PKC dependent activation of human endoth</w:t>
      </w:r>
      <w:r w:rsidR="00E6472B" w:rsidRPr="00654624">
        <w:rPr>
          <w:lang w:val="en-AU" w:eastAsia="en-AU"/>
        </w:rPr>
        <w:t>e</w:t>
      </w:r>
      <w:r w:rsidR="00E6472B" w:rsidRPr="00654624">
        <w:rPr>
          <w:lang w:val="en-AU" w:eastAsia="en-AU"/>
        </w:rPr>
        <w:t>lial cells to support neutrophil adhesion in vitro.</w:t>
      </w:r>
    </w:p>
    <w:p w:rsidR="00E6472B" w:rsidRPr="00654624" w:rsidRDefault="007D70AB" w:rsidP="00E67C26">
      <w:pPr>
        <w:rPr>
          <w:lang w:val="en-AU" w:eastAsia="en-AU"/>
        </w:rPr>
      </w:pPr>
      <w:r w:rsidRPr="007D70AB">
        <w:rPr>
          <w:lang w:val="en-AU" w:eastAsia="en-AU"/>
        </w:rPr>
        <w:t>Exposure of isolated human keratinocytes to lower concentrations of ingenol mebuta</w:t>
      </w:r>
      <w:r>
        <w:rPr>
          <w:lang w:val="en-AU" w:eastAsia="en-AU"/>
        </w:rPr>
        <w:t>te (10 to 100 ng/mL</w:t>
      </w:r>
      <w:r w:rsidR="00725AD9">
        <w:rPr>
          <w:lang w:val="en-AU" w:eastAsia="en-AU"/>
        </w:rPr>
        <w:t xml:space="preserve">) </w:t>
      </w:r>
      <w:r w:rsidR="007A65E4" w:rsidRPr="007A65E4">
        <w:rPr>
          <w:lang w:val="en-AU" w:eastAsia="en-AU"/>
        </w:rPr>
        <w:t xml:space="preserve">in </w:t>
      </w:r>
      <w:proofErr w:type="gramStart"/>
      <w:r w:rsidR="007A65E4" w:rsidRPr="007A65E4">
        <w:rPr>
          <w:lang w:val="en-AU" w:eastAsia="en-AU"/>
        </w:rPr>
        <w:t>vitro</w:t>
      </w:r>
      <w:r w:rsidR="00E81DDF">
        <w:rPr>
          <w:lang w:val="en-AU" w:eastAsia="en-AU"/>
        </w:rPr>
        <w:t>,</w:t>
      </w:r>
      <w:proofErr w:type="gramEnd"/>
      <w:r w:rsidR="007A65E4" w:rsidRPr="007A65E4">
        <w:rPr>
          <w:lang w:val="en-AU" w:eastAsia="en-AU"/>
        </w:rPr>
        <w:t xml:space="preserve"> was shown to induce release of cytokines IL-8 and TNF-alpha, and </w:t>
      </w:r>
      <w:r w:rsidR="007A65E4" w:rsidRPr="00C52287">
        <w:rPr>
          <w:lang w:val="en-AU" w:eastAsia="en-AU"/>
        </w:rPr>
        <w:t>promote</w:t>
      </w:r>
      <w:r w:rsidR="007A65E4" w:rsidRPr="007A65E4">
        <w:rPr>
          <w:lang w:val="en-AU" w:eastAsia="en-AU"/>
        </w:rPr>
        <w:t xml:space="preserve"> specific PKC-mediated neutrophil activation.</w:t>
      </w:r>
      <w:r w:rsidRPr="007D70AB">
        <w:rPr>
          <w:lang w:val="en-AU" w:eastAsia="en-AU"/>
        </w:rPr>
        <w:t xml:space="preserve"> Both in vitro and in mice, ingenol mebutate induced IL-8 / murine IL-8 homologue MIP-2, TNF-alpha, and IL-1beta, all mediators of neutrophil recruitment and activation.</w:t>
      </w:r>
    </w:p>
    <w:p w:rsidR="007A65E4" w:rsidRPr="007A65E4" w:rsidRDefault="002E4635" w:rsidP="00E67C26">
      <w:pPr>
        <w:rPr>
          <w:lang w:val="en-AU" w:eastAsia="en-AU"/>
        </w:rPr>
      </w:pPr>
      <w:r w:rsidRPr="00BE7761">
        <w:rPr>
          <w:lang w:val="en-AU" w:eastAsia="en-AU"/>
        </w:rPr>
        <w:t>Topical ingenol mebutate showed growth inhibitory activity against mouse squamous cell carcinoma and ma</w:t>
      </w:r>
      <w:r w:rsidR="00E67C26">
        <w:rPr>
          <w:lang w:val="en-AU" w:eastAsia="en-AU"/>
        </w:rPr>
        <w:t>lignant melanoma tumour models.</w:t>
      </w:r>
    </w:p>
    <w:p w:rsidR="002E4635" w:rsidRPr="007A65E4" w:rsidDel="002E4635" w:rsidRDefault="007A65E4" w:rsidP="00E67C26">
      <w:pPr>
        <w:rPr>
          <w:lang w:val="en-AU" w:eastAsia="en-AU"/>
        </w:rPr>
      </w:pPr>
      <w:r w:rsidRPr="007A65E4">
        <w:rPr>
          <w:lang w:val="en-AU" w:eastAsia="en-AU"/>
        </w:rPr>
        <w:t xml:space="preserve">Topical treatment with ingenol mebutate gel in </w:t>
      </w:r>
      <w:r w:rsidR="00C52287">
        <w:rPr>
          <w:lang w:val="en-AU" w:eastAsia="en-AU"/>
        </w:rPr>
        <w:t>the</w:t>
      </w:r>
      <w:r w:rsidRPr="007A65E4">
        <w:rPr>
          <w:lang w:val="en-AU" w:eastAsia="en-AU"/>
        </w:rPr>
        <w:t xml:space="preserve"> squamous cell carcinoma </w:t>
      </w:r>
      <w:proofErr w:type="gramStart"/>
      <w:r w:rsidRPr="007A65E4">
        <w:rPr>
          <w:lang w:val="en-AU" w:eastAsia="en-AU"/>
        </w:rPr>
        <w:t>model,</w:t>
      </w:r>
      <w:proofErr w:type="gramEnd"/>
      <w:r w:rsidRPr="007A65E4">
        <w:rPr>
          <w:lang w:val="en-AU" w:eastAsia="en-AU"/>
        </w:rPr>
        <w:t xml:space="preserve"> resulted in a localised and transient application site inflammatory reaction which peaked after a few days and resolved within 2 weeks followed by scar </w:t>
      </w:r>
      <w:r w:rsidR="00E67C26">
        <w:rPr>
          <w:lang w:val="en-AU" w:eastAsia="en-AU"/>
        </w:rPr>
        <w:t>resolution after 2 to 3 months.</w:t>
      </w:r>
    </w:p>
    <w:p w:rsidR="00E23B16" w:rsidRPr="00654624" w:rsidRDefault="003D2E11" w:rsidP="00E67C26">
      <w:pPr>
        <w:pStyle w:val="Heading3"/>
      </w:pPr>
      <w:r w:rsidRPr="00654624">
        <w:lastRenderedPageBreak/>
        <w:t>Pharmacokinetics</w:t>
      </w:r>
    </w:p>
    <w:p w:rsidR="00E23B16" w:rsidRPr="00654624" w:rsidRDefault="000204F5" w:rsidP="00BF5A9D">
      <w:r w:rsidRPr="00654624">
        <w:t xml:space="preserve">The pharmacokinetic profile of </w:t>
      </w:r>
      <w:proofErr w:type="spellStart"/>
      <w:r w:rsidRPr="00654624">
        <w:t>ingenol</w:t>
      </w:r>
      <w:proofErr w:type="spellEnd"/>
      <w:r w:rsidRPr="00654624">
        <w:t xml:space="preserve"> </w:t>
      </w:r>
      <w:proofErr w:type="spellStart"/>
      <w:r w:rsidRPr="00654624">
        <w:t>mebutate</w:t>
      </w:r>
      <w:proofErr w:type="spellEnd"/>
      <w:r w:rsidRPr="00654624">
        <w:t xml:space="preserve"> and its metabolites has not been </w:t>
      </w:r>
      <w:proofErr w:type="spellStart"/>
      <w:r w:rsidRPr="00654624">
        <w:t>charact</w:t>
      </w:r>
      <w:r w:rsidRPr="00654624">
        <w:t>e</w:t>
      </w:r>
      <w:r w:rsidRPr="00654624">
        <w:t>ri</w:t>
      </w:r>
      <w:r w:rsidR="000B04FF" w:rsidRPr="00654624">
        <w:t>s</w:t>
      </w:r>
      <w:r w:rsidR="007872B3">
        <w:t>ed</w:t>
      </w:r>
      <w:proofErr w:type="spellEnd"/>
      <w:r w:rsidR="007872B3">
        <w:t xml:space="preserve"> in humans due to the</w:t>
      </w:r>
      <w:r w:rsidRPr="00654624">
        <w:t xml:space="preserve"> absence of quantifiable blood levels following topical administr</w:t>
      </w:r>
      <w:r w:rsidRPr="00654624">
        <w:t>a</w:t>
      </w:r>
      <w:r w:rsidRPr="00654624">
        <w:t>tion.</w:t>
      </w:r>
    </w:p>
    <w:p w:rsidR="000204F5" w:rsidRPr="00654624" w:rsidRDefault="000204F5" w:rsidP="00BF5A9D">
      <w:r w:rsidRPr="00654624">
        <w:t xml:space="preserve">No systemic absorption was detected at or above the lower limit of detection (0.1 </w:t>
      </w:r>
      <w:proofErr w:type="spellStart"/>
      <w:r w:rsidRPr="00654624">
        <w:t>ng</w:t>
      </w:r>
      <w:proofErr w:type="spellEnd"/>
      <w:r w:rsidRPr="00654624">
        <w:t>/</w:t>
      </w:r>
      <w:proofErr w:type="spellStart"/>
      <w:r w:rsidRPr="00654624">
        <w:t>mL</w:t>
      </w:r>
      <w:proofErr w:type="spellEnd"/>
      <w:r w:rsidRPr="00654624">
        <w:t xml:space="preserve">) when </w:t>
      </w:r>
      <w:proofErr w:type="spellStart"/>
      <w:r w:rsidR="002C47E1">
        <w:t>Picato</w:t>
      </w:r>
      <w:proofErr w:type="spellEnd"/>
      <w:r w:rsidR="00DA2F20" w:rsidRPr="00DA2F20">
        <w:rPr>
          <w:vertAlign w:val="superscript"/>
        </w:rPr>
        <w:t>®</w:t>
      </w:r>
      <w:r w:rsidR="00B201E7">
        <w:t xml:space="preserve"> gel</w:t>
      </w:r>
      <w:r w:rsidR="00BE4735">
        <w:t>,</w:t>
      </w:r>
      <w:r w:rsidR="001C6EF4">
        <w:t xml:space="preserve"> </w:t>
      </w:r>
      <w:r w:rsidRPr="00654624">
        <w:t xml:space="preserve">0.05% </w:t>
      </w:r>
      <w:r w:rsidR="00261BC5">
        <w:t xml:space="preserve">from 4 </w:t>
      </w:r>
      <w:r w:rsidR="007872B3">
        <w:t xml:space="preserve">single </w:t>
      </w:r>
      <w:r w:rsidR="00261BC5">
        <w:t>dose tubes was applied to an area of 100</w:t>
      </w:r>
      <w:r w:rsidR="004D1EFA">
        <w:t> </w:t>
      </w:r>
      <w:r w:rsidR="00261BC5">
        <w:t>cm</w:t>
      </w:r>
      <w:r w:rsidR="00261BC5" w:rsidRPr="00261BC5">
        <w:rPr>
          <w:vertAlign w:val="superscript"/>
        </w:rPr>
        <w:t>2</w:t>
      </w:r>
      <w:r w:rsidRPr="00654624">
        <w:t xml:space="preserve"> </w:t>
      </w:r>
      <w:r w:rsidR="007872B3">
        <w:t>on</w:t>
      </w:r>
      <w:r w:rsidRPr="00654624">
        <w:t xml:space="preserve"> the dorsal forearm in </w:t>
      </w:r>
      <w:r w:rsidR="00C6141F">
        <w:t xml:space="preserve">solar </w:t>
      </w:r>
      <w:proofErr w:type="spellStart"/>
      <w:r w:rsidR="00C6141F">
        <w:t>keratoses</w:t>
      </w:r>
      <w:proofErr w:type="spellEnd"/>
      <w:r w:rsidR="00C6141F" w:rsidRPr="00654624">
        <w:t xml:space="preserve"> </w:t>
      </w:r>
      <w:r w:rsidRPr="00654624">
        <w:t xml:space="preserve">patients </w:t>
      </w:r>
      <w:r w:rsidR="00261BC5">
        <w:t xml:space="preserve">once daily </w:t>
      </w:r>
      <w:r w:rsidRPr="00654624">
        <w:t>for two consec</w:t>
      </w:r>
      <w:r w:rsidRPr="00654624">
        <w:t>u</w:t>
      </w:r>
      <w:r w:rsidRPr="00654624">
        <w:t>tive days.</w:t>
      </w:r>
    </w:p>
    <w:p w:rsidR="001071C6" w:rsidRPr="00342DF3" w:rsidRDefault="000204F5" w:rsidP="00BF5A9D">
      <w:r w:rsidRPr="00654624">
        <w:t>In vitro</w:t>
      </w:r>
      <w:r w:rsidRPr="00654624">
        <w:rPr>
          <w:i/>
        </w:rPr>
        <w:t xml:space="preserve"> </w:t>
      </w:r>
      <w:r w:rsidR="00A36567">
        <w:t>study results demonstrat</w:t>
      </w:r>
      <w:r w:rsidR="00BE4735">
        <w:t>e</w:t>
      </w:r>
      <w:r w:rsidRPr="00654624">
        <w:t xml:space="preserve"> that </w:t>
      </w:r>
      <w:proofErr w:type="spellStart"/>
      <w:r w:rsidRPr="00654624">
        <w:t>ingenol</w:t>
      </w:r>
      <w:proofErr w:type="spellEnd"/>
      <w:r w:rsidRPr="00654624">
        <w:t xml:space="preserve"> </w:t>
      </w:r>
      <w:proofErr w:type="spellStart"/>
      <w:r w:rsidRPr="00654624">
        <w:t>mebutate</w:t>
      </w:r>
      <w:proofErr w:type="spellEnd"/>
      <w:r w:rsidRPr="00654624">
        <w:t xml:space="preserve"> does not inhibit or induce human </w:t>
      </w:r>
      <w:proofErr w:type="spellStart"/>
      <w:r w:rsidRPr="00654624">
        <w:t>cytochrome</w:t>
      </w:r>
      <w:proofErr w:type="spellEnd"/>
      <w:r w:rsidRPr="00654624">
        <w:t xml:space="preserve"> P450 </w:t>
      </w:r>
      <w:proofErr w:type="spellStart"/>
      <w:r w:rsidRPr="00654624">
        <w:t>isoforms</w:t>
      </w:r>
      <w:proofErr w:type="spellEnd"/>
      <w:r w:rsidR="002E3B49">
        <w:t>, at clinically relevant concentrations</w:t>
      </w:r>
      <w:r w:rsidR="00E67C26">
        <w:t>.</w:t>
      </w:r>
    </w:p>
    <w:p w:rsidR="00E23B16" w:rsidRPr="00654624" w:rsidRDefault="003D2E11" w:rsidP="00BF5A9D">
      <w:pPr>
        <w:pStyle w:val="Heading2"/>
      </w:pPr>
      <w:r w:rsidRPr="00654624">
        <w:t>CLINICAL TRIALS</w:t>
      </w:r>
    </w:p>
    <w:p w:rsidR="00E23B16" w:rsidRPr="00654624" w:rsidRDefault="006726B8" w:rsidP="00E67C26">
      <w:pPr>
        <w:pStyle w:val="Heading3"/>
      </w:pPr>
      <w:r w:rsidRPr="00654624">
        <w:t xml:space="preserve">Solar </w:t>
      </w:r>
      <w:r w:rsidR="00C04A84">
        <w:t xml:space="preserve">(Actinic) </w:t>
      </w:r>
      <w:proofErr w:type="spellStart"/>
      <w:r w:rsidR="007C5934" w:rsidRPr="00654624">
        <w:t>Keratos</w:t>
      </w:r>
      <w:r w:rsidR="00C04A84">
        <w:t>e</w:t>
      </w:r>
      <w:r w:rsidR="007C5934" w:rsidRPr="00654624">
        <w:t>s</w:t>
      </w:r>
      <w:proofErr w:type="spellEnd"/>
      <w:r w:rsidRPr="00654624">
        <w:t xml:space="preserve"> of the Face and Scalp</w:t>
      </w:r>
    </w:p>
    <w:p w:rsidR="003D741B" w:rsidRPr="003D741B" w:rsidRDefault="003D741B" w:rsidP="00BF5A9D">
      <w:r w:rsidRPr="003D741B">
        <w:t xml:space="preserve">The efficacy and safety of </w:t>
      </w:r>
      <w:proofErr w:type="spellStart"/>
      <w:r w:rsidR="002C47E1">
        <w:t>Picato</w:t>
      </w:r>
      <w:proofErr w:type="spellEnd"/>
      <w:r w:rsidR="00DA2F20" w:rsidRPr="00DA2F20">
        <w:rPr>
          <w:vertAlign w:val="superscript"/>
        </w:rPr>
        <w:t>®</w:t>
      </w:r>
      <w:r w:rsidR="00B201E7">
        <w:t xml:space="preserve"> gel</w:t>
      </w:r>
      <w:r w:rsidR="00B163EB">
        <w:t>,</w:t>
      </w:r>
      <w:r w:rsidR="00B41116">
        <w:t xml:space="preserve"> 0.015%</w:t>
      </w:r>
      <w:r w:rsidRPr="003D741B">
        <w:t xml:space="preserve">, </w:t>
      </w:r>
      <w:r w:rsidR="00B163EB">
        <w:t xml:space="preserve">applied to </w:t>
      </w:r>
      <w:r w:rsidRPr="003D741B">
        <w:t>the face or scalp for 3 conse</w:t>
      </w:r>
      <w:r w:rsidRPr="003D741B">
        <w:t>c</w:t>
      </w:r>
      <w:r w:rsidRPr="003D741B">
        <w:t>utive days</w:t>
      </w:r>
      <w:r w:rsidR="00B163EB">
        <w:t>,</w:t>
      </w:r>
      <w:r w:rsidRPr="003D741B">
        <w:t xml:space="preserve"> was studied in two double-blind, vehicle-controlled, clinical studies including 547 adult patients. Patients continued in the studies for an 8 week follow-up period during which they returned for clinical observations and safety monitor</w:t>
      </w:r>
      <w:r>
        <w:t>ing. Efficacy, mea</w:t>
      </w:r>
      <w:r>
        <w:t>s</w:t>
      </w:r>
      <w:r w:rsidRPr="003D741B">
        <w:t xml:space="preserve">ured as complete and partial clearance rate, as well as median percent reduction, was assessed at day 57 (see </w:t>
      </w:r>
      <w:r>
        <w:t>T</w:t>
      </w:r>
      <w:r w:rsidRPr="003D741B">
        <w:t xml:space="preserve">able </w:t>
      </w:r>
      <w:r>
        <w:t>1</w:t>
      </w:r>
      <w:r w:rsidR="00E67C26">
        <w:t>).</w:t>
      </w:r>
    </w:p>
    <w:p w:rsidR="003D741B" w:rsidRPr="003D741B" w:rsidRDefault="007A65E4" w:rsidP="00BF5A9D">
      <w:r w:rsidRPr="007A65E4">
        <w:t>Patients had 4 to 8 clinically typical, visible, non-</w:t>
      </w:r>
      <w:proofErr w:type="spellStart"/>
      <w:r w:rsidRPr="007A65E4">
        <w:t>hyperkeratotic</w:t>
      </w:r>
      <w:proofErr w:type="spellEnd"/>
      <w:r w:rsidRPr="007A65E4">
        <w:t xml:space="preserve">, non-hypertrophic discrete </w:t>
      </w:r>
      <w:r w:rsidR="00C6141F">
        <w:t xml:space="preserve">solar </w:t>
      </w:r>
      <w:proofErr w:type="spellStart"/>
      <w:r w:rsidR="00C6141F">
        <w:t>keratosis</w:t>
      </w:r>
      <w:proofErr w:type="spellEnd"/>
      <w:r w:rsidR="00C6141F" w:rsidRPr="007A65E4">
        <w:t xml:space="preserve"> </w:t>
      </w:r>
      <w:r w:rsidRPr="007A65E4">
        <w:t>lesions on the face or scalp within a contiguous 25 cm</w:t>
      </w:r>
      <w:r w:rsidRPr="007A65E4">
        <w:rPr>
          <w:vertAlign w:val="superscript"/>
        </w:rPr>
        <w:t>2</w:t>
      </w:r>
      <w:r w:rsidRPr="007A65E4">
        <w:t xml:space="preserve"> treatment area.</w:t>
      </w:r>
      <w:r>
        <w:t xml:space="preserve">  </w:t>
      </w:r>
      <w:r w:rsidR="003D741B" w:rsidRPr="003D741B">
        <w:t>On each scheduled dosing day, the study gel was applied to the entire treatment area. The compliance rate was high, with 98% of the patients comple</w:t>
      </w:r>
      <w:r w:rsidR="003D741B" w:rsidRPr="003D741B">
        <w:t>t</w:t>
      </w:r>
      <w:r w:rsidR="003D741B" w:rsidRPr="003D741B">
        <w:t>ing these studies. Study patients ranged from 34 to 89 years of age (mean 64 years) and 94% had Fitzpatrick sk</w:t>
      </w:r>
      <w:r w:rsidR="00E67C26">
        <w:t>in type I, II, or III.</w:t>
      </w:r>
    </w:p>
    <w:p w:rsidR="00BF5A9D" w:rsidRDefault="003D741B" w:rsidP="00BF5A9D">
      <w:r w:rsidRPr="003D741B">
        <w:t xml:space="preserve">At day 57, patients treated with </w:t>
      </w:r>
      <w:proofErr w:type="spellStart"/>
      <w:r w:rsidR="002C47E1">
        <w:t>Picato</w:t>
      </w:r>
      <w:proofErr w:type="spellEnd"/>
      <w:r w:rsidR="00DA2F20" w:rsidRPr="00DA2F20">
        <w:rPr>
          <w:vertAlign w:val="superscript"/>
        </w:rPr>
        <w:t>®</w:t>
      </w:r>
      <w:r w:rsidRPr="003D741B">
        <w:t xml:space="preserve"> had higher complete and partial clea</w:t>
      </w:r>
      <w:r w:rsidRPr="003D741B">
        <w:t>r</w:t>
      </w:r>
      <w:r w:rsidRPr="003D741B">
        <w:t xml:space="preserve">ance rates than patients treated with vehicle gel (p &lt; 0.001). The median percent reduction in </w:t>
      </w:r>
      <w:r w:rsidR="00C6141F">
        <w:t xml:space="preserve">solar </w:t>
      </w:r>
      <w:proofErr w:type="spellStart"/>
      <w:r w:rsidR="00C6141F">
        <w:t>keratosis</w:t>
      </w:r>
      <w:proofErr w:type="spellEnd"/>
      <w:r w:rsidR="00C6141F" w:rsidRPr="003D741B">
        <w:t xml:space="preserve"> </w:t>
      </w:r>
      <w:r w:rsidRPr="003D741B">
        <w:t xml:space="preserve">lesions was higher in the group treated with </w:t>
      </w:r>
      <w:proofErr w:type="spellStart"/>
      <w:r w:rsidR="002C47E1">
        <w:t>Picato</w:t>
      </w:r>
      <w:proofErr w:type="spellEnd"/>
      <w:r w:rsidR="00DA2F20" w:rsidRPr="00DA2F20">
        <w:rPr>
          <w:vertAlign w:val="superscript"/>
        </w:rPr>
        <w:t>®</w:t>
      </w:r>
      <w:r w:rsidRPr="003D741B">
        <w:t xml:space="preserve"> compared to the vehicle group (see </w:t>
      </w:r>
      <w:r>
        <w:t>T</w:t>
      </w:r>
      <w:r w:rsidRPr="003D741B">
        <w:t xml:space="preserve">able </w:t>
      </w:r>
      <w:r>
        <w:t>1</w:t>
      </w:r>
      <w:r w:rsidRPr="003D741B">
        <w:t>).</w:t>
      </w:r>
    </w:p>
    <w:p w:rsidR="00BF5A9D" w:rsidRDefault="00BF5A9D">
      <w:pPr>
        <w:overflowPunct/>
        <w:autoSpaceDE/>
        <w:autoSpaceDN/>
        <w:adjustRightInd/>
        <w:spacing w:before="0" w:after="0"/>
        <w:ind w:right="0"/>
        <w:jc w:val="left"/>
        <w:textAlignment w:val="auto"/>
      </w:pPr>
      <w:r>
        <w:br w:type="page"/>
      </w:r>
    </w:p>
    <w:p w:rsidR="009C6EC4" w:rsidRPr="00BF5A9D" w:rsidRDefault="00B704D9" w:rsidP="00E67C26">
      <w:pPr>
        <w:pStyle w:val="Caption"/>
        <w:rPr>
          <w:b/>
        </w:rPr>
      </w:pPr>
      <w:r w:rsidRPr="00BF5A9D">
        <w:rPr>
          <w:b/>
        </w:rPr>
        <w:lastRenderedPageBreak/>
        <w:t xml:space="preserve">Table </w:t>
      </w:r>
      <w:r w:rsidRPr="00BF5A9D">
        <w:rPr>
          <w:b/>
        </w:rPr>
        <w:fldChar w:fldCharType="begin"/>
      </w:r>
      <w:r w:rsidRPr="00BF5A9D">
        <w:rPr>
          <w:b/>
        </w:rPr>
        <w:instrText xml:space="preserve"> SEQ Table \* ARABIC </w:instrText>
      </w:r>
      <w:r w:rsidRPr="00BF5A9D">
        <w:rPr>
          <w:b/>
        </w:rPr>
        <w:fldChar w:fldCharType="separate"/>
      </w:r>
      <w:r w:rsidR="002A61ED" w:rsidRPr="00BF5A9D">
        <w:rPr>
          <w:b/>
          <w:noProof/>
        </w:rPr>
        <w:t>1</w:t>
      </w:r>
      <w:r w:rsidRPr="00BF5A9D">
        <w:rPr>
          <w:b/>
        </w:rPr>
        <w:fldChar w:fldCharType="end"/>
      </w:r>
      <w:r w:rsidR="009C6EC4" w:rsidRPr="00BF5A9D">
        <w:rPr>
          <w:b/>
        </w:rPr>
        <w:t>: Rates of subjects with complete and partial clearance and percent (%) redu</w:t>
      </w:r>
      <w:r w:rsidR="009C6EC4" w:rsidRPr="00BF5A9D">
        <w:rPr>
          <w:b/>
        </w:rPr>
        <w:t>c</w:t>
      </w:r>
      <w:r w:rsidR="009C6EC4" w:rsidRPr="00BF5A9D">
        <w:rPr>
          <w:b/>
        </w:rPr>
        <w:t>tion on face and scalp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5"/>
        <w:gridCol w:w="3440"/>
        <w:gridCol w:w="2375"/>
      </w:tblGrid>
      <w:tr w:rsidR="003D741B" w:rsidRPr="00CA4714">
        <w:trPr>
          <w:trHeight w:val="675"/>
          <w:jc w:val="center"/>
        </w:trPr>
        <w:tc>
          <w:tcPr>
            <w:tcW w:w="1798" w:type="pct"/>
            <w:shd w:val="clear" w:color="auto" w:fill="auto"/>
          </w:tcPr>
          <w:p w:rsidR="003D741B" w:rsidRPr="00CA4714" w:rsidRDefault="003D741B" w:rsidP="008C206F">
            <w:pPr>
              <w:pStyle w:val="Bodytext"/>
              <w:rPr>
                <w:rFonts w:ascii="Arial" w:hAnsi="Arial" w:cs="Arial"/>
                <w:sz w:val="20"/>
              </w:rPr>
            </w:pPr>
          </w:p>
        </w:tc>
        <w:tc>
          <w:tcPr>
            <w:tcW w:w="1894" w:type="pct"/>
            <w:shd w:val="clear" w:color="auto" w:fill="auto"/>
            <w:vAlign w:val="center"/>
          </w:tcPr>
          <w:p w:rsidR="003D741B" w:rsidRPr="00CA4714" w:rsidRDefault="002C47E1" w:rsidP="00413790">
            <w:pPr>
              <w:pStyle w:val="Bodytext"/>
              <w:spacing w:before="0"/>
              <w:jc w:val="center"/>
              <w:rPr>
                <w:rFonts w:ascii="Arial" w:hAnsi="Arial" w:cs="Arial"/>
                <w:b/>
                <w:sz w:val="22"/>
                <w:szCs w:val="22"/>
              </w:rPr>
            </w:pPr>
            <w:r>
              <w:rPr>
                <w:rFonts w:ascii="Arial" w:hAnsi="Arial" w:cs="Arial"/>
                <w:b/>
                <w:sz w:val="22"/>
                <w:szCs w:val="22"/>
              </w:rPr>
              <w:t>Picato</w:t>
            </w:r>
            <w:r w:rsidR="00DA2F20" w:rsidRPr="00DA2F20">
              <w:rPr>
                <w:rFonts w:ascii="Arial" w:hAnsi="Arial" w:cs="Arial"/>
                <w:b/>
                <w:sz w:val="22"/>
                <w:szCs w:val="22"/>
                <w:vertAlign w:val="superscript"/>
              </w:rPr>
              <w:t>®</w:t>
            </w:r>
            <w:r w:rsidR="00B201E7" w:rsidRPr="00CA4714">
              <w:rPr>
                <w:rFonts w:ascii="Arial" w:hAnsi="Arial" w:cs="Arial"/>
                <w:b/>
                <w:sz w:val="22"/>
                <w:szCs w:val="22"/>
              </w:rPr>
              <w:t xml:space="preserve"> gel</w:t>
            </w:r>
            <w:r w:rsidR="00325418" w:rsidRPr="00CA4714">
              <w:rPr>
                <w:rFonts w:ascii="Arial" w:hAnsi="Arial" w:cs="Arial"/>
                <w:b/>
                <w:sz w:val="22"/>
                <w:szCs w:val="22"/>
              </w:rPr>
              <w:t>,</w:t>
            </w:r>
            <w:r w:rsidR="00B41116" w:rsidRPr="00CA4714">
              <w:rPr>
                <w:rFonts w:ascii="Arial" w:hAnsi="Arial" w:cs="Arial"/>
                <w:b/>
                <w:sz w:val="22"/>
                <w:szCs w:val="22"/>
              </w:rPr>
              <w:t xml:space="preserve"> </w:t>
            </w:r>
            <w:r w:rsidR="003D741B" w:rsidRPr="00CA4714">
              <w:rPr>
                <w:rFonts w:ascii="Arial" w:hAnsi="Arial" w:cs="Arial"/>
                <w:b/>
                <w:sz w:val="22"/>
                <w:szCs w:val="22"/>
              </w:rPr>
              <w:t>0.015% (n=277)</w:t>
            </w:r>
          </w:p>
        </w:tc>
        <w:tc>
          <w:tcPr>
            <w:tcW w:w="1308" w:type="pct"/>
            <w:shd w:val="clear" w:color="auto" w:fill="auto"/>
            <w:vAlign w:val="center"/>
          </w:tcPr>
          <w:p w:rsidR="003D741B" w:rsidRPr="00CA4714" w:rsidRDefault="003D741B" w:rsidP="00727E5C">
            <w:pPr>
              <w:pStyle w:val="Bodytext"/>
              <w:tabs>
                <w:tab w:val="clear" w:pos="1152"/>
                <w:tab w:val="clear" w:pos="1872"/>
                <w:tab w:val="left" w:pos="1874"/>
              </w:tabs>
              <w:overflowPunct w:val="0"/>
              <w:autoSpaceDE w:val="0"/>
              <w:autoSpaceDN w:val="0"/>
              <w:adjustRightInd w:val="0"/>
              <w:spacing w:before="0"/>
              <w:ind w:left="57" w:right="-54"/>
              <w:jc w:val="center"/>
              <w:textAlignment w:val="baseline"/>
              <w:rPr>
                <w:rFonts w:ascii="Arial" w:hAnsi="Arial" w:cs="Arial"/>
                <w:b/>
                <w:sz w:val="22"/>
                <w:szCs w:val="22"/>
              </w:rPr>
            </w:pPr>
            <w:r w:rsidRPr="00CA4714">
              <w:rPr>
                <w:rFonts w:ascii="Arial" w:hAnsi="Arial" w:cs="Arial"/>
                <w:b/>
                <w:sz w:val="22"/>
                <w:szCs w:val="22"/>
              </w:rPr>
              <w:t xml:space="preserve">Vehicle     </w:t>
            </w:r>
          </w:p>
          <w:p w:rsidR="003D741B" w:rsidRPr="00CA4714" w:rsidRDefault="003D741B" w:rsidP="003D741B">
            <w:pPr>
              <w:pStyle w:val="Bodytext"/>
              <w:overflowPunct w:val="0"/>
              <w:autoSpaceDE w:val="0"/>
              <w:autoSpaceDN w:val="0"/>
              <w:adjustRightInd w:val="0"/>
              <w:spacing w:before="0"/>
              <w:ind w:left="57" w:right="-54"/>
              <w:jc w:val="center"/>
              <w:textAlignment w:val="baseline"/>
              <w:rPr>
                <w:rFonts w:ascii="Arial" w:hAnsi="Arial" w:cs="Arial"/>
                <w:b/>
                <w:sz w:val="22"/>
                <w:szCs w:val="22"/>
              </w:rPr>
            </w:pPr>
            <w:r w:rsidRPr="00CA4714">
              <w:rPr>
                <w:rFonts w:ascii="Arial" w:hAnsi="Arial" w:cs="Arial"/>
                <w:b/>
                <w:sz w:val="22"/>
                <w:szCs w:val="22"/>
              </w:rPr>
              <w:t xml:space="preserve"> (n=270)</w:t>
            </w:r>
          </w:p>
        </w:tc>
      </w:tr>
      <w:tr w:rsidR="003D741B" w:rsidRPr="00CA4714">
        <w:trPr>
          <w:trHeight w:hRule="exact" w:val="283"/>
          <w:jc w:val="center"/>
        </w:trPr>
        <w:tc>
          <w:tcPr>
            <w:tcW w:w="1798" w:type="pct"/>
            <w:shd w:val="clear" w:color="auto" w:fill="auto"/>
            <w:vAlign w:val="center"/>
          </w:tcPr>
          <w:p w:rsidR="003D741B" w:rsidRPr="00CA4714" w:rsidRDefault="003D741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2"/>
                <w:szCs w:val="22"/>
              </w:rPr>
            </w:pPr>
            <w:r w:rsidRPr="00CA4714">
              <w:rPr>
                <w:rFonts w:ascii="Arial" w:hAnsi="Arial" w:cs="Arial"/>
                <w:sz w:val="22"/>
                <w:szCs w:val="22"/>
              </w:rPr>
              <w:t>Complete clea</w:t>
            </w:r>
            <w:r w:rsidRPr="00CA4714">
              <w:rPr>
                <w:rFonts w:ascii="Arial" w:hAnsi="Arial" w:cs="Arial"/>
                <w:sz w:val="22"/>
                <w:szCs w:val="22"/>
              </w:rPr>
              <w:t>r</w:t>
            </w:r>
            <w:r w:rsidRPr="00CA4714">
              <w:rPr>
                <w:rFonts w:ascii="Arial" w:hAnsi="Arial" w:cs="Arial"/>
                <w:sz w:val="22"/>
                <w:szCs w:val="22"/>
              </w:rPr>
              <w:t>ance rate</w:t>
            </w:r>
            <w:r w:rsidRPr="00CA4714">
              <w:rPr>
                <w:rFonts w:ascii="Arial" w:hAnsi="Arial" w:cs="Arial"/>
                <w:sz w:val="22"/>
                <w:szCs w:val="22"/>
                <w:vertAlign w:val="superscript"/>
              </w:rPr>
              <w:t>a</w:t>
            </w:r>
          </w:p>
        </w:tc>
        <w:tc>
          <w:tcPr>
            <w:tcW w:w="1894" w:type="pct"/>
            <w:shd w:val="clear" w:color="auto" w:fill="auto"/>
            <w:vAlign w:val="center"/>
          </w:tcPr>
          <w:p w:rsidR="003D741B" w:rsidRPr="00CA4714" w:rsidRDefault="003D741B" w:rsidP="00BD3E7C">
            <w:pPr>
              <w:pStyle w:val="Bodytext"/>
              <w:tabs>
                <w:tab w:val="clear" w:pos="1152"/>
              </w:tabs>
              <w:overflowPunct w:val="0"/>
              <w:autoSpaceDE w:val="0"/>
              <w:autoSpaceDN w:val="0"/>
              <w:adjustRightInd w:val="0"/>
              <w:spacing w:before="0"/>
              <w:ind w:left="57"/>
              <w:jc w:val="center"/>
              <w:textAlignment w:val="baseline"/>
              <w:rPr>
                <w:rFonts w:ascii="Arial" w:hAnsi="Arial" w:cs="Arial"/>
                <w:sz w:val="22"/>
                <w:szCs w:val="22"/>
              </w:rPr>
            </w:pPr>
            <w:r w:rsidRPr="00CA4714">
              <w:rPr>
                <w:rFonts w:ascii="Arial" w:hAnsi="Arial" w:cs="Arial"/>
                <w:sz w:val="22"/>
                <w:szCs w:val="22"/>
              </w:rPr>
              <w:t>42.2%</w:t>
            </w:r>
            <w:r w:rsidRPr="00CA4714">
              <w:rPr>
                <w:rFonts w:ascii="Arial" w:hAnsi="Arial" w:cs="Arial"/>
                <w:sz w:val="22"/>
                <w:szCs w:val="22"/>
                <w:vertAlign w:val="superscript"/>
              </w:rPr>
              <w:t>d</w:t>
            </w:r>
          </w:p>
        </w:tc>
        <w:tc>
          <w:tcPr>
            <w:tcW w:w="1308" w:type="pct"/>
            <w:shd w:val="clear" w:color="auto" w:fill="auto"/>
            <w:vAlign w:val="center"/>
          </w:tcPr>
          <w:p w:rsidR="003D741B" w:rsidRPr="00CA4714" w:rsidRDefault="003D741B"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2"/>
                <w:szCs w:val="22"/>
              </w:rPr>
            </w:pPr>
            <w:r w:rsidRPr="00CA4714">
              <w:rPr>
                <w:rFonts w:ascii="Arial" w:hAnsi="Arial" w:cs="Arial"/>
                <w:sz w:val="22"/>
                <w:szCs w:val="22"/>
              </w:rPr>
              <w:t>3.7%</w:t>
            </w:r>
          </w:p>
        </w:tc>
      </w:tr>
      <w:tr w:rsidR="003D741B" w:rsidRPr="00CA4714">
        <w:trPr>
          <w:trHeight w:hRule="exact" w:val="273"/>
          <w:jc w:val="center"/>
        </w:trPr>
        <w:tc>
          <w:tcPr>
            <w:tcW w:w="1798" w:type="pct"/>
            <w:shd w:val="clear" w:color="auto" w:fill="auto"/>
            <w:vAlign w:val="center"/>
          </w:tcPr>
          <w:p w:rsidR="003D741B" w:rsidRPr="00CA4714" w:rsidRDefault="003D741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2"/>
                <w:szCs w:val="22"/>
              </w:rPr>
            </w:pPr>
            <w:r w:rsidRPr="00CA4714">
              <w:rPr>
                <w:rFonts w:ascii="Arial" w:hAnsi="Arial" w:cs="Arial"/>
                <w:sz w:val="22"/>
                <w:szCs w:val="22"/>
              </w:rPr>
              <w:t>Partial clea</w:t>
            </w:r>
            <w:r w:rsidRPr="00CA4714">
              <w:rPr>
                <w:rFonts w:ascii="Arial" w:hAnsi="Arial" w:cs="Arial"/>
                <w:sz w:val="22"/>
                <w:szCs w:val="22"/>
              </w:rPr>
              <w:t>r</w:t>
            </w:r>
            <w:r w:rsidRPr="00CA4714">
              <w:rPr>
                <w:rFonts w:ascii="Arial" w:hAnsi="Arial" w:cs="Arial"/>
                <w:sz w:val="22"/>
                <w:szCs w:val="22"/>
              </w:rPr>
              <w:t>ance rate (≥75%)</w:t>
            </w:r>
            <w:r w:rsidRPr="00CA4714">
              <w:rPr>
                <w:rFonts w:ascii="Arial" w:hAnsi="Arial" w:cs="Arial"/>
                <w:sz w:val="22"/>
                <w:szCs w:val="22"/>
                <w:vertAlign w:val="superscript"/>
              </w:rPr>
              <w:t>b</w:t>
            </w:r>
          </w:p>
        </w:tc>
        <w:tc>
          <w:tcPr>
            <w:tcW w:w="1894" w:type="pct"/>
            <w:shd w:val="clear" w:color="auto" w:fill="auto"/>
            <w:vAlign w:val="center"/>
          </w:tcPr>
          <w:p w:rsidR="003D741B" w:rsidRPr="00CA4714" w:rsidRDefault="003D741B" w:rsidP="00BD3E7C">
            <w:pPr>
              <w:pStyle w:val="Bodytext"/>
              <w:tabs>
                <w:tab w:val="clear" w:pos="1152"/>
              </w:tabs>
              <w:overflowPunct w:val="0"/>
              <w:autoSpaceDE w:val="0"/>
              <w:autoSpaceDN w:val="0"/>
              <w:adjustRightInd w:val="0"/>
              <w:spacing w:before="0"/>
              <w:ind w:left="57"/>
              <w:jc w:val="center"/>
              <w:textAlignment w:val="baseline"/>
              <w:rPr>
                <w:rFonts w:ascii="Arial" w:hAnsi="Arial" w:cs="Arial"/>
                <w:sz w:val="22"/>
                <w:szCs w:val="22"/>
              </w:rPr>
            </w:pPr>
            <w:r w:rsidRPr="00CA4714">
              <w:rPr>
                <w:rFonts w:ascii="Arial" w:hAnsi="Arial" w:cs="Arial"/>
                <w:sz w:val="22"/>
                <w:szCs w:val="22"/>
              </w:rPr>
              <w:t>63.9%</w:t>
            </w:r>
            <w:r w:rsidRPr="00CA4714">
              <w:rPr>
                <w:rFonts w:ascii="Arial" w:hAnsi="Arial" w:cs="Arial"/>
                <w:sz w:val="22"/>
                <w:szCs w:val="22"/>
                <w:vertAlign w:val="superscript"/>
              </w:rPr>
              <w:t>d</w:t>
            </w:r>
          </w:p>
        </w:tc>
        <w:tc>
          <w:tcPr>
            <w:tcW w:w="1308" w:type="pct"/>
            <w:shd w:val="clear" w:color="auto" w:fill="auto"/>
            <w:vAlign w:val="center"/>
          </w:tcPr>
          <w:p w:rsidR="003D741B" w:rsidRPr="00CA4714" w:rsidRDefault="003D741B"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2"/>
                <w:szCs w:val="22"/>
              </w:rPr>
            </w:pPr>
            <w:r w:rsidRPr="00CA4714">
              <w:rPr>
                <w:rFonts w:ascii="Arial" w:hAnsi="Arial" w:cs="Arial"/>
                <w:sz w:val="22"/>
                <w:szCs w:val="22"/>
              </w:rPr>
              <w:t>7.4%</w:t>
            </w:r>
          </w:p>
        </w:tc>
      </w:tr>
      <w:tr w:rsidR="003D741B" w:rsidRPr="00CA4714">
        <w:trPr>
          <w:trHeight w:hRule="exact" w:val="278"/>
          <w:jc w:val="center"/>
        </w:trPr>
        <w:tc>
          <w:tcPr>
            <w:tcW w:w="1798" w:type="pct"/>
            <w:shd w:val="clear" w:color="auto" w:fill="auto"/>
            <w:vAlign w:val="center"/>
          </w:tcPr>
          <w:p w:rsidR="003D741B" w:rsidRPr="00CA4714" w:rsidRDefault="003D741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2"/>
                <w:szCs w:val="22"/>
              </w:rPr>
            </w:pPr>
            <w:r w:rsidRPr="00CA4714">
              <w:rPr>
                <w:rFonts w:ascii="Arial" w:hAnsi="Arial" w:cs="Arial"/>
                <w:sz w:val="22"/>
                <w:szCs w:val="22"/>
              </w:rPr>
              <w:t xml:space="preserve">Median % </w:t>
            </w:r>
            <w:proofErr w:type="spellStart"/>
            <w:r w:rsidRPr="00CA4714">
              <w:rPr>
                <w:rFonts w:ascii="Arial" w:hAnsi="Arial" w:cs="Arial"/>
                <w:sz w:val="22"/>
                <w:szCs w:val="22"/>
              </w:rPr>
              <w:t>reduction</w:t>
            </w:r>
            <w:r w:rsidRPr="00CA4714">
              <w:rPr>
                <w:rFonts w:ascii="Arial" w:hAnsi="Arial" w:cs="Arial"/>
                <w:sz w:val="22"/>
                <w:szCs w:val="22"/>
                <w:vertAlign w:val="superscript"/>
              </w:rPr>
              <w:t>c</w:t>
            </w:r>
            <w:proofErr w:type="spellEnd"/>
          </w:p>
        </w:tc>
        <w:tc>
          <w:tcPr>
            <w:tcW w:w="1894" w:type="pct"/>
            <w:shd w:val="clear" w:color="auto" w:fill="auto"/>
            <w:vAlign w:val="center"/>
          </w:tcPr>
          <w:p w:rsidR="003D741B" w:rsidRPr="00CA4714" w:rsidRDefault="00CA4714"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2"/>
                <w:szCs w:val="22"/>
              </w:rPr>
            </w:pPr>
            <w:r>
              <w:rPr>
                <w:rFonts w:ascii="Arial" w:hAnsi="Arial" w:cs="Arial"/>
                <w:sz w:val="22"/>
                <w:szCs w:val="22"/>
              </w:rPr>
              <w:t>83</w:t>
            </w:r>
            <w:r w:rsidR="003D741B" w:rsidRPr="00CA4714">
              <w:rPr>
                <w:rFonts w:ascii="Arial" w:hAnsi="Arial" w:cs="Arial"/>
                <w:sz w:val="22"/>
                <w:szCs w:val="22"/>
              </w:rPr>
              <w:t>%</w:t>
            </w:r>
          </w:p>
        </w:tc>
        <w:tc>
          <w:tcPr>
            <w:tcW w:w="1308" w:type="pct"/>
            <w:shd w:val="clear" w:color="auto" w:fill="auto"/>
            <w:vAlign w:val="center"/>
          </w:tcPr>
          <w:p w:rsidR="003D741B" w:rsidRPr="00CA4714" w:rsidRDefault="007A65E4"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2"/>
                <w:szCs w:val="22"/>
              </w:rPr>
            </w:pPr>
            <w:r w:rsidRPr="00CA4714">
              <w:rPr>
                <w:rFonts w:ascii="Arial" w:hAnsi="Arial" w:cs="Arial"/>
                <w:sz w:val="22"/>
                <w:szCs w:val="22"/>
              </w:rPr>
              <w:t>0</w:t>
            </w:r>
            <w:r w:rsidR="003D741B" w:rsidRPr="00CA4714">
              <w:rPr>
                <w:rFonts w:ascii="Arial" w:hAnsi="Arial" w:cs="Arial"/>
                <w:sz w:val="22"/>
                <w:szCs w:val="22"/>
              </w:rPr>
              <w:t>%</w:t>
            </w:r>
          </w:p>
        </w:tc>
      </w:tr>
      <w:tr w:rsidR="003D741B" w:rsidRPr="00CA4714">
        <w:trPr>
          <w:trHeight w:hRule="exact" w:val="1359"/>
          <w:jc w:val="center"/>
        </w:trPr>
        <w:tc>
          <w:tcPr>
            <w:tcW w:w="5000" w:type="pct"/>
            <w:gridSpan w:val="3"/>
            <w:shd w:val="clear" w:color="auto" w:fill="auto"/>
            <w:vAlign w:val="center"/>
          </w:tcPr>
          <w:p w:rsidR="003D741B" w:rsidRPr="00CA4714" w:rsidRDefault="003D741B" w:rsidP="00E67C26">
            <w:r w:rsidRPr="00CA4714">
              <w:rPr>
                <w:vertAlign w:val="superscript"/>
              </w:rPr>
              <w:t xml:space="preserve"> a </w:t>
            </w:r>
            <w:r w:rsidRPr="00CA4714">
              <w:t xml:space="preserve">Complete clearance rate was defined as the proportion of patients with no (zero) clinically visible </w:t>
            </w:r>
            <w:r w:rsidR="00C6141F">
              <w:t>solar keratosis</w:t>
            </w:r>
            <w:r w:rsidR="00C6141F" w:rsidRPr="00CA4714">
              <w:t xml:space="preserve"> </w:t>
            </w:r>
            <w:r w:rsidRPr="00CA4714">
              <w:t xml:space="preserve">lesions in the treatment area. </w:t>
            </w:r>
          </w:p>
          <w:p w:rsidR="003D741B" w:rsidRPr="00CA4714" w:rsidRDefault="003D741B" w:rsidP="00E67C26">
            <w:r w:rsidRPr="00CA4714">
              <w:rPr>
                <w:vertAlign w:val="superscript"/>
              </w:rPr>
              <w:t xml:space="preserve"> b </w:t>
            </w:r>
            <w:r w:rsidRPr="00CA4714">
              <w:t xml:space="preserve">Partial clearance rate was defined as the percentage of patients in whom 75% or more of the number of  baseline </w:t>
            </w:r>
            <w:r w:rsidR="00C529E2">
              <w:t>solar keratosis</w:t>
            </w:r>
            <w:r w:rsidR="00C529E2" w:rsidRPr="00CA4714">
              <w:t xml:space="preserve"> </w:t>
            </w:r>
            <w:r w:rsidRPr="00CA4714">
              <w:t xml:space="preserve">lesions were cleared. </w:t>
            </w:r>
          </w:p>
          <w:p w:rsidR="003D741B" w:rsidRPr="00CA4714" w:rsidRDefault="003D741B" w:rsidP="00E67C26">
            <w:pPr>
              <w:rPr>
                <w:bCs/>
                <w:vertAlign w:val="superscript"/>
              </w:rPr>
            </w:pPr>
            <w:r w:rsidRPr="00CA4714">
              <w:rPr>
                <w:vertAlign w:val="superscript"/>
              </w:rPr>
              <w:t xml:space="preserve"> c </w:t>
            </w:r>
            <w:r w:rsidRPr="00CA4714">
              <w:t xml:space="preserve">Median percent (%) reduction in </w:t>
            </w:r>
            <w:r w:rsidR="00C6141F">
              <w:t>solar keratosis</w:t>
            </w:r>
            <w:r w:rsidR="00C6141F" w:rsidRPr="00CA4714">
              <w:t xml:space="preserve"> </w:t>
            </w:r>
            <w:r w:rsidRPr="00CA4714">
              <w:t>lesions compared to baseline.</w:t>
            </w:r>
          </w:p>
          <w:p w:rsidR="003D741B" w:rsidRPr="00CA4714" w:rsidRDefault="003D741B" w:rsidP="00413790">
            <w:pPr>
              <w:pStyle w:val="Bodytext"/>
              <w:tabs>
                <w:tab w:val="clear" w:pos="1152"/>
                <w:tab w:val="clear" w:pos="1872"/>
                <w:tab w:val="left" w:pos="1874"/>
              </w:tabs>
              <w:overflowPunct w:val="0"/>
              <w:autoSpaceDE w:val="0"/>
              <w:autoSpaceDN w:val="0"/>
              <w:adjustRightInd w:val="0"/>
              <w:spacing w:before="0"/>
              <w:textAlignment w:val="baseline"/>
              <w:rPr>
                <w:rFonts w:ascii="Arial" w:hAnsi="Arial" w:cs="Arial"/>
                <w:sz w:val="20"/>
              </w:rPr>
            </w:pPr>
            <w:r w:rsidRPr="00CA4714">
              <w:rPr>
                <w:rFonts w:ascii="Arial" w:hAnsi="Arial" w:cs="Arial"/>
                <w:bCs/>
                <w:sz w:val="18"/>
                <w:szCs w:val="18"/>
                <w:vertAlign w:val="superscript"/>
              </w:rPr>
              <w:t xml:space="preserve"> d</w:t>
            </w:r>
            <w:r w:rsidRPr="00CA4714">
              <w:rPr>
                <w:rFonts w:ascii="Arial" w:hAnsi="Arial" w:cs="Arial"/>
                <w:b/>
                <w:bCs/>
                <w:sz w:val="18"/>
                <w:szCs w:val="18"/>
                <w:vertAlign w:val="superscript"/>
              </w:rPr>
              <w:t xml:space="preserve"> </w:t>
            </w:r>
            <w:r w:rsidRPr="00CA4714">
              <w:rPr>
                <w:rFonts w:ascii="Arial" w:hAnsi="Arial" w:cs="Arial"/>
                <w:sz w:val="18"/>
                <w:szCs w:val="18"/>
              </w:rPr>
              <w:t>p&lt;0.001; compared to vehicle by logistic regression with treatment, study and anatomical location.</w:t>
            </w:r>
          </w:p>
        </w:tc>
      </w:tr>
    </w:tbl>
    <w:p w:rsidR="003F2599" w:rsidRPr="00413790" w:rsidRDefault="00AA33B6" w:rsidP="00BF5A9D">
      <w:r w:rsidRPr="00CA4714">
        <w:t xml:space="preserve">The safety of </w:t>
      </w:r>
      <w:proofErr w:type="spellStart"/>
      <w:r w:rsidR="002C47E1">
        <w:t>Picato</w:t>
      </w:r>
      <w:proofErr w:type="spellEnd"/>
      <w:r w:rsidR="00DA2F20" w:rsidRPr="00DA2F20">
        <w:rPr>
          <w:vertAlign w:val="superscript"/>
        </w:rPr>
        <w:t>®</w:t>
      </w:r>
      <w:r w:rsidR="00B201E7" w:rsidRPr="00CA4714">
        <w:t xml:space="preserve"> gel</w:t>
      </w:r>
      <w:r w:rsidR="008C4755" w:rsidRPr="00CA4714">
        <w:t>,</w:t>
      </w:r>
      <w:r w:rsidRPr="00CA4714">
        <w:t xml:space="preserve"> 0.015% treatment for 3 days was assessed up to day 57.  The results demonstrated that </w:t>
      </w:r>
      <w:proofErr w:type="spellStart"/>
      <w:r w:rsidRPr="00CA4714">
        <w:t>ingenol</w:t>
      </w:r>
      <w:proofErr w:type="spellEnd"/>
      <w:r w:rsidRPr="00CA4714">
        <w:t xml:space="preserve"> </w:t>
      </w:r>
      <w:proofErr w:type="spellStart"/>
      <w:r w:rsidRPr="00CA4714">
        <w:t>mebutate</w:t>
      </w:r>
      <w:proofErr w:type="spellEnd"/>
      <w:r w:rsidRPr="00CA4714">
        <w:t xml:space="preserve"> gel was well tolerated</w:t>
      </w:r>
      <w:r w:rsidR="003F2599" w:rsidRPr="00CA4714">
        <w:t>.</w:t>
      </w:r>
      <w:r w:rsidR="003F2599" w:rsidRPr="00413790">
        <w:t xml:space="preserve"> All adverse drug reactions and local skin responses resolved without </w:t>
      </w:r>
      <w:proofErr w:type="spellStart"/>
      <w:r w:rsidR="003F2599" w:rsidRPr="00413790">
        <w:t>sequ</w:t>
      </w:r>
      <w:r w:rsidR="003F2599" w:rsidRPr="00413790">
        <w:t>e</w:t>
      </w:r>
      <w:r w:rsidR="003F2599" w:rsidRPr="00413790">
        <w:t>lae</w:t>
      </w:r>
      <w:proofErr w:type="spellEnd"/>
      <w:r w:rsidR="003F2599" w:rsidRPr="00413790">
        <w:t>.</w:t>
      </w:r>
    </w:p>
    <w:p w:rsidR="000508BA" w:rsidRDefault="003F2599" w:rsidP="00BF5A9D">
      <w:r w:rsidRPr="00413790">
        <w:t xml:space="preserve">Statistically significant differences in patient reported outcomes were observed in </w:t>
      </w:r>
      <w:proofErr w:type="spellStart"/>
      <w:r w:rsidRPr="00413790">
        <w:t>favour</w:t>
      </w:r>
      <w:proofErr w:type="spellEnd"/>
      <w:r w:rsidRPr="00413790">
        <w:t xml:space="preserve"> of patients receiving </w:t>
      </w:r>
      <w:proofErr w:type="spellStart"/>
      <w:r w:rsidR="002C47E1">
        <w:t>Picato</w:t>
      </w:r>
      <w:proofErr w:type="spellEnd"/>
      <w:r w:rsidR="00DA2F20" w:rsidRPr="00DA2F20">
        <w:rPr>
          <w:vertAlign w:val="superscript"/>
        </w:rPr>
        <w:t>®</w:t>
      </w:r>
      <w:r w:rsidR="00AA33B6">
        <w:t xml:space="preserve"> </w:t>
      </w:r>
      <w:r w:rsidRPr="00413790">
        <w:t xml:space="preserve">compared to those receiving vehicle gel. Higher mean patient global satisfaction scores, indicating a higher level of overall satisfaction, were seen in the </w:t>
      </w:r>
      <w:proofErr w:type="spellStart"/>
      <w:r w:rsidR="002C47E1">
        <w:t>Picato</w:t>
      </w:r>
      <w:proofErr w:type="spellEnd"/>
      <w:r w:rsidR="00DA2F20" w:rsidRPr="00DA2F20">
        <w:rPr>
          <w:vertAlign w:val="superscript"/>
        </w:rPr>
        <w:t>®</w:t>
      </w:r>
      <w:r w:rsidRPr="00413790">
        <w:t xml:space="preserve"> groups compared to the vehicle groups </w:t>
      </w:r>
      <w:r w:rsidR="00AA33B6">
        <w:t>(p</w:t>
      </w:r>
      <w:r w:rsidR="008C4755">
        <w:t xml:space="preserve"> </w:t>
      </w:r>
      <w:r w:rsidR="00AA33B6">
        <w:t>&lt;</w:t>
      </w:r>
      <w:r w:rsidR="008C4755">
        <w:t xml:space="preserve"> </w:t>
      </w:r>
      <w:r w:rsidR="00AA33B6">
        <w:t>0</w:t>
      </w:r>
      <w:r w:rsidR="008C4755">
        <w:t>.</w:t>
      </w:r>
      <w:r w:rsidR="00AA33B6">
        <w:t xml:space="preserve">001) </w:t>
      </w:r>
      <w:r w:rsidRPr="00413790">
        <w:t>as measured by the Trea</w:t>
      </w:r>
      <w:r w:rsidRPr="00413790">
        <w:t>t</w:t>
      </w:r>
      <w:r w:rsidRPr="00413790">
        <w:t>ment Satisfaction Questionnaire for Medication (TSQM).</w:t>
      </w:r>
    </w:p>
    <w:p w:rsidR="00F32ADA" w:rsidRPr="00654624" w:rsidRDefault="00C85C9D" w:rsidP="00E67C26">
      <w:pPr>
        <w:pStyle w:val="Heading3"/>
      </w:pPr>
      <w:r w:rsidRPr="00654624">
        <w:t>Solar</w:t>
      </w:r>
      <w:r w:rsidR="00761CBB">
        <w:t xml:space="preserve"> </w:t>
      </w:r>
      <w:r w:rsidR="00E53987">
        <w:t xml:space="preserve">(Actinic) </w:t>
      </w:r>
      <w:proofErr w:type="spellStart"/>
      <w:r w:rsidRPr="00654624">
        <w:t>Keratos</w:t>
      </w:r>
      <w:r w:rsidR="00C04A84">
        <w:t>e</w:t>
      </w:r>
      <w:r w:rsidRPr="00654624">
        <w:t>s</w:t>
      </w:r>
      <w:proofErr w:type="spellEnd"/>
      <w:r w:rsidRPr="00654624">
        <w:t xml:space="preserve"> of the </w:t>
      </w:r>
      <w:r w:rsidR="00E53987">
        <w:t>Body</w:t>
      </w:r>
    </w:p>
    <w:p w:rsidR="003F2599" w:rsidRPr="003F2599" w:rsidRDefault="003F2599" w:rsidP="00BF5A9D">
      <w:r w:rsidRPr="003F2599">
        <w:t xml:space="preserve">The efficacy and safety of </w:t>
      </w:r>
      <w:proofErr w:type="spellStart"/>
      <w:r w:rsidR="002C47E1">
        <w:t>Picato</w:t>
      </w:r>
      <w:proofErr w:type="spellEnd"/>
      <w:r w:rsidR="00DA2F20" w:rsidRPr="00DA2F20">
        <w:rPr>
          <w:vertAlign w:val="superscript"/>
        </w:rPr>
        <w:t>®</w:t>
      </w:r>
      <w:r w:rsidR="00B201E7" w:rsidRPr="00980197">
        <w:t xml:space="preserve"> gel</w:t>
      </w:r>
      <w:r w:rsidR="008C4755">
        <w:t>,</w:t>
      </w:r>
      <w:r w:rsidR="00B41116" w:rsidRPr="00980197">
        <w:t xml:space="preserve"> </w:t>
      </w:r>
      <w:r w:rsidR="00B41116">
        <w:t>0.0</w:t>
      </w:r>
      <w:r w:rsidR="008C4755">
        <w:t>5</w:t>
      </w:r>
      <w:r w:rsidR="00B41116">
        <w:t>%</w:t>
      </w:r>
      <w:r w:rsidRPr="003F2599">
        <w:t xml:space="preserve">, </w:t>
      </w:r>
      <w:r w:rsidR="008C4755">
        <w:t>applied to</w:t>
      </w:r>
      <w:r w:rsidRPr="003F2599">
        <w:t xml:space="preserve"> the trunk or extrem</w:t>
      </w:r>
      <w:r w:rsidRPr="003F2599">
        <w:t>i</w:t>
      </w:r>
      <w:r w:rsidRPr="003F2599">
        <w:t>ties for 2 consecutive days was studied in two double-blind, vehicle-controlled, clinical studies including 458 adult patients. Patients continued in the studies for an 8 week follow-</w:t>
      </w:r>
      <w:r w:rsidR="000E3EC7">
        <w:t xml:space="preserve">up </w:t>
      </w:r>
      <w:r w:rsidRPr="003F2599">
        <w:t>period during which they returned for clinical observations and safety monitoring. Efficacy, mea</w:t>
      </w:r>
      <w:r w:rsidRPr="003F2599">
        <w:t>s</w:t>
      </w:r>
      <w:r w:rsidRPr="003F2599">
        <w:t xml:space="preserve">ured as complete and partial clearance rate, </w:t>
      </w:r>
      <w:r>
        <w:t>as well as median percent reduc</w:t>
      </w:r>
      <w:r w:rsidRPr="003F2599">
        <w:t xml:space="preserve">tion, was assessed at day 57 (see </w:t>
      </w:r>
      <w:r>
        <w:t>T</w:t>
      </w:r>
      <w:r w:rsidRPr="003F2599">
        <w:t xml:space="preserve">able </w:t>
      </w:r>
      <w:r w:rsidR="008C4755">
        <w:t>2</w:t>
      </w:r>
      <w:r w:rsidR="00E67C26">
        <w:t>).</w:t>
      </w:r>
    </w:p>
    <w:p w:rsidR="003F2599" w:rsidRPr="003F2599" w:rsidRDefault="003F2599" w:rsidP="00BF5A9D">
      <w:r w:rsidRPr="003F2599">
        <w:t>Patients had 4 to 8 clinic</w:t>
      </w:r>
      <w:r w:rsidR="00761CBB">
        <w:t xml:space="preserve">ally typical, visible, </w:t>
      </w:r>
      <w:r w:rsidR="00F93ACD">
        <w:t>non-</w:t>
      </w:r>
      <w:proofErr w:type="spellStart"/>
      <w:r w:rsidR="00F93ACD">
        <w:t>hyperkeratotic</w:t>
      </w:r>
      <w:proofErr w:type="spellEnd"/>
      <w:r w:rsidR="00F93ACD">
        <w:t>, no</w:t>
      </w:r>
      <w:r w:rsidR="00201570">
        <w:t>n</w:t>
      </w:r>
      <w:r w:rsidR="00F93ACD">
        <w:t xml:space="preserve">-hypertrophic </w:t>
      </w:r>
      <w:r w:rsidR="00761CBB">
        <w:t>discrete</w:t>
      </w:r>
      <w:r w:rsidRPr="003F2599">
        <w:t xml:space="preserve"> </w:t>
      </w:r>
      <w:r w:rsidR="00C529E2">
        <w:t xml:space="preserve">solar </w:t>
      </w:r>
      <w:proofErr w:type="spellStart"/>
      <w:r w:rsidR="00C529E2">
        <w:t>keratosis</w:t>
      </w:r>
      <w:proofErr w:type="spellEnd"/>
      <w:r w:rsidR="00C529E2" w:rsidRPr="003F2599">
        <w:t xml:space="preserve"> </w:t>
      </w:r>
      <w:r w:rsidRPr="003F2599">
        <w:t>lesions on the trunk or extrem</w:t>
      </w:r>
      <w:r w:rsidRPr="003F2599">
        <w:t>i</w:t>
      </w:r>
      <w:r w:rsidRPr="003F2599">
        <w:t>ties within a contiguous 25 cm</w:t>
      </w:r>
      <w:r w:rsidRPr="00413790">
        <w:rPr>
          <w:vertAlign w:val="superscript"/>
        </w:rPr>
        <w:t>2</w:t>
      </w:r>
      <w:r w:rsidRPr="003F2599">
        <w:t xml:space="preserve"> treatment area. On each scheduled dosing day, the study gel was applied to the entire treatment area</w:t>
      </w:r>
      <w:r>
        <w:t xml:space="preserve">. </w:t>
      </w:r>
      <w:r w:rsidRPr="003F2599">
        <w:t>The compl</w:t>
      </w:r>
      <w:r w:rsidRPr="003F2599">
        <w:t>i</w:t>
      </w:r>
      <w:r w:rsidRPr="003F2599">
        <w:t>ance rate was high, with 98% of the pat</w:t>
      </w:r>
      <w:r>
        <w:t xml:space="preserve">ients completing these studies. </w:t>
      </w:r>
      <w:r w:rsidRPr="003F2599">
        <w:t>Study patients ranged from 34 to 89 years of age (mean 66 years) and 94% had Fitzp</w:t>
      </w:r>
      <w:r w:rsidR="00E67C26">
        <w:t>atrick skin type I, II, or III.</w:t>
      </w:r>
    </w:p>
    <w:p w:rsidR="00C85C9D" w:rsidRPr="00654624" w:rsidRDefault="003F2599" w:rsidP="00BF5A9D">
      <w:r w:rsidRPr="003F2599">
        <w:t xml:space="preserve">At day 57, patients treated with </w:t>
      </w:r>
      <w:proofErr w:type="spellStart"/>
      <w:r w:rsidR="002C47E1">
        <w:t>Picato</w:t>
      </w:r>
      <w:proofErr w:type="spellEnd"/>
      <w:r w:rsidR="00DA2F20" w:rsidRPr="00DA2F20">
        <w:rPr>
          <w:vertAlign w:val="superscript"/>
        </w:rPr>
        <w:t>®</w:t>
      </w:r>
      <w:r w:rsidR="008C4755">
        <w:t xml:space="preserve"> </w:t>
      </w:r>
      <w:r w:rsidRPr="003F2599">
        <w:t>had higher complete and partial clea</w:t>
      </w:r>
      <w:r w:rsidRPr="003F2599">
        <w:t>r</w:t>
      </w:r>
      <w:r w:rsidRPr="003F2599">
        <w:t xml:space="preserve">ance rates than patients treated with vehicle gel (p &lt; 0.001). The median percent reduction in </w:t>
      </w:r>
      <w:r w:rsidR="00C529E2">
        <w:t xml:space="preserve">solar </w:t>
      </w:r>
      <w:proofErr w:type="spellStart"/>
      <w:r w:rsidR="00C529E2">
        <w:t>kerat</w:t>
      </w:r>
      <w:r w:rsidR="00C529E2">
        <w:t>o</w:t>
      </w:r>
      <w:r w:rsidR="00C529E2">
        <w:t>sis</w:t>
      </w:r>
      <w:proofErr w:type="spellEnd"/>
      <w:r w:rsidRPr="003F2599">
        <w:t xml:space="preserve"> lesions was higher in the group treated with </w:t>
      </w:r>
      <w:proofErr w:type="spellStart"/>
      <w:r w:rsidR="002C47E1">
        <w:t>Picato</w:t>
      </w:r>
      <w:proofErr w:type="spellEnd"/>
      <w:r w:rsidR="00DA2F20" w:rsidRPr="00DA2F20">
        <w:rPr>
          <w:vertAlign w:val="superscript"/>
        </w:rPr>
        <w:t>®</w:t>
      </w:r>
      <w:r w:rsidRPr="003F2599">
        <w:t xml:space="preserve"> compared to the vehicle group (see </w:t>
      </w:r>
      <w:r w:rsidR="001229AD">
        <w:t>T</w:t>
      </w:r>
      <w:r w:rsidRPr="003F2599">
        <w:t>able 3).</w:t>
      </w:r>
    </w:p>
    <w:p w:rsidR="007E6B2D" w:rsidRPr="00CA4714" w:rsidRDefault="00B704D9" w:rsidP="00BF5A9D">
      <w:pPr>
        <w:pStyle w:val="Bodytext"/>
        <w:keepNext/>
        <w:spacing w:after="60"/>
        <w:ind w:right="6"/>
        <w:rPr>
          <w:rFonts w:ascii="Arial" w:hAnsi="Arial" w:cs="Arial"/>
          <w:b/>
          <w:sz w:val="20"/>
        </w:rPr>
      </w:pPr>
      <w:r w:rsidRPr="00B704D9">
        <w:rPr>
          <w:rFonts w:ascii="Arial" w:hAnsi="Arial" w:cs="Arial"/>
          <w:b/>
          <w:sz w:val="20"/>
        </w:rPr>
        <w:lastRenderedPageBreak/>
        <w:t xml:space="preserve">Table </w:t>
      </w:r>
      <w:r w:rsidRPr="00B704D9">
        <w:rPr>
          <w:rFonts w:ascii="Arial" w:hAnsi="Arial" w:cs="Arial"/>
          <w:b/>
          <w:sz w:val="20"/>
        </w:rPr>
        <w:fldChar w:fldCharType="begin"/>
      </w:r>
      <w:r w:rsidRPr="00B704D9">
        <w:rPr>
          <w:rFonts w:ascii="Arial" w:hAnsi="Arial" w:cs="Arial"/>
          <w:b/>
          <w:sz w:val="20"/>
        </w:rPr>
        <w:instrText xml:space="preserve"> SEQ Table \* ARABIC </w:instrText>
      </w:r>
      <w:r w:rsidRPr="00B704D9">
        <w:rPr>
          <w:rFonts w:ascii="Arial" w:hAnsi="Arial" w:cs="Arial"/>
          <w:b/>
          <w:sz w:val="20"/>
        </w:rPr>
        <w:fldChar w:fldCharType="separate"/>
      </w:r>
      <w:r w:rsidR="00761CBB">
        <w:rPr>
          <w:rFonts w:ascii="Arial" w:hAnsi="Arial" w:cs="Arial"/>
          <w:b/>
          <w:noProof/>
          <w:sz w:val="20"/>
        </w:rPr>
        <w:t>2</w:t>
      </w:r>
      <w:r w:rsidRPr="00B704D9">
        <w:rPr>
          <w:rFonts w:ascii="Arial" w:hAnsi="Arial" w:cs="Arial"/>
          <w:b/>
          <w:sz w:val="20"/>
        </w:rPr>
        <w:fldChar w:fldCharType="end"/>
      </w:r>
      <w:r w:rsidRPr="00B704D9">
        <w:rPr>
          <w:rFonts w:ascii="Arial" w:hAnsi="Arial" w:cs="Arial"/>
          <w:b/>
          <w:sz w:val="20"/>
        </w:rPr>
        <w:t>:</w:t>
      </w:r>
      <w:r w:rsidRPr="00654624">
        <w:rPr>
          <w:rFonts w:ascii="Arial" w:hAnsi="Arial" w:cs="Arial"/>
          <w:b/>
          <w:sz w:val="20"/>
        </w:rPr>
        <w:t xml:space="preserve"> </w:t>
      </w:r>
      <w:r w:rsidR="007E6B2D" w:rsidRPr="00995589">
        <w:rPr>
          <w:rFonts w:ascii="Arial" w:hAnsi="Arial" w:cs="Arial"/>
          <w:b/>
          <w:sz w:val="20"/>
        </w:rPr>
        <w:t>Rates of subjects with complete and partial clearance and percent (%) redu</w:t>
      </w:r>
      <w:r w:rsidR="007E6B2D" w:rsidRPr="00995589">
        <w:rPr>
          <w:rFonts w:ascii="Arial" w:hAnsi="Arial" w:cs="Arial"/>
          <w:b/>
          <w:sz w:val="20"/>
        </w:rPr>
        <w:t>c</w:t>
      </w:r>
      <w:r w:rsidR="007E6B2D" w:rsidRPr="00995589">
        <w:rPr>
          <w:rFonts w:ascii="Arial" w:hAnsi="Arial" w:cs="Arial"/>
          <w:b/>
          <w:sz w:val="20"/>
        </w:rPr>
        <w:t xml:space="preserve">tion on </w:t>
      </w:r>
      <w:r w:rsidR="00E53987">
        <w:rPr>
          <w:rFonts w:ascii="Arial" w:hAnsi="Arial" w:cs="Arial"/>
          <w:b/>
          <w:sz w:val="20"/>
        </w:rPr>
        <w:t>the body (trunk and extr</w:t>
      </w:r>
      <w:r w:rsidR="00E53987" w:rsidRPr="00CA4714">
        <w:rPr>
          <w:rFonts w:ascii="Arial" w:hAnsi="Arial" w:cs="Arial"/>
          <w:b/>
          <w:sz w:val="20"/>
        </w:rPr>
        <w:t>emities)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9"/>
        <w:gridCol w:w="3156"/>
        <w:gridCol w:w="2375"/>
        <w:tblGridChange w:id="0">
          <w:tblGrid>
            <w:gridCol w:w="3549"/>
            <w:gridCol w:w="3156"/>
            <w:gridCol w:w="2375"/>
          </w:tblGrid>
        </w:tblGridChange>
      </w:tblGrid>
      <w:tr w:rsidR="00E6647D" w:rsidRPr="00CA4714">
        <w:trPr>
          <w:trHeight w:val="738"/>
          <w:jc w:val="center"/>
        </w:trPr>
        <w:tc>
          <w:tcPr>
            <w:tcW w:w="1954" w:type="pct"/>
            <w:shd w:val="clear" w:color="auto" w:fill="auto"/>
          </w:tcPr>
          <w:p w:rsidR="00E6647D" w:rsidRPr="00CA4714" w:rsidRDefault="00E6647D" w:rsidP="008C206F">
            <w:pPr>
              <w:pStyle w:val="Bodytext"/>
              <w:rPr>
                <w:rFonts w:ascii="Arial" w:hAnsi="Arial" w:cs="Arial"/>
                <w:sz w:val="22"/>
                <w:szCs w:val="22"/>
              </w:rPr>
            </w:pPr>
          </w:p>
        </w:tc>
        <w:tc>
          <w:tcPr>
            <w:tcW w:w="1738" w:type="pct"/>
            <w:shd w:val="clear" w:color="auto" w:fill="auto"/>
            <w:vAlign w:val="center"/>
          </w:tcPr>
          <w:p w:rsidR="00E6647D" w:rsidRPr="00CA4714" w:rsidRDefault="002C47E1" w:rsidP="00413790">
            <w:pPr>
              <w:pStyle w:val="Bodytext"/>
              <w:spacing w:before="0"/>
              <w:jc w:val="center"/>
              <w:rPr>
                <w:rFonts w:ascii="Arial" w:hAnsi="Arial" w:cs="Arial"/>
                <w:b/>
                <w:sz w:val="22"/>
                <w:szCs w:val="22"/>
              </w:rPr>
            </w:pPr>
            <w:r>
              <w:rPr>
                <w:rFonts w:ascii="Arial" w:hAnsi="Arial" w:cs="Arial"/>
                <w:b/>
                <w:sz w:val="22"/>
                <w:szCs w:val="22"/>
              </w:rPr>
              <w:t>Picato</w:t>
            </w:r>
            <w:r w:rsidR="00DA2F20" w:rsidRPr="00DA2F20">
              <w:rPr>
                <w:rFonts w:ascii="Arial" w:hAnsi="Arial" w:cs="Arial"/>
                <w:b/>
                <w:sz w:val="22"/>
                <w:szCs w:val="22"/>
                <w:vertAlign w:val="superscript"/>
              </w:rPr>
              <w:t>®</w:t>
            </w:r>
            <w:r w:rsidR="00B201E7" w:rsidRPr="00CA4714">
              <w:rPr>
                <w:rFonts w:ascii="Arial" w:hAnsi="Arial" w:cs="Arial"/>
                <w:b/>
                <w:sz w:val="22"/>
                <w:szCs w:val="22"/>
              </w:rPr>
              <w:t xml:space="preserve"> gel</w:t>
            </w:r>
            <w:r w:rsidR="00325418" w:rsidRPr="00CA4714">
              <w:rPr>
                <w:rFonts w:ascii="Arial" w:hAnsi="Arial" w:cs="Arial"/>
                <w:b/>
                <w:sz w:val="22"/>
                <w:szCs w:val="22"/>
              </w:rPr>
              <w:t>,</w:t>
            </w:r>
            <w:r w:rsidR="00E6647D" w:rsidRPr="00CA4714">
              <w:rPr>
                <w:rFonts w:ascii="Arial" w:hAnsi="Arial" w:cs="Arial"/>
                <w:b/>
                <w:sz w:val="22"/>
                <w:szCs w:val="22"/>
              </w:rPr>
              <w:t xml:space="preserve"> 0.05% (n=226)</w:t>
            </w:r>
          </w:p>
        </w:tc>
        <w:tc>
          <w:tcPr>
            <w:tcW w:w="1308" w:type="pct"/>
            <w:shd w:val="clear" w:color="auto" w:fill="auto"/>
            <w:vAlign w:val="center"/>
          </w:tcPr>
          <w:p w:rsidR="00E6647D" w:rsidRPr="00CA4714" w:rsidRDefault="00E6647D" w:rsidP="00E6647D">
            <w:pPr>
              <w:pStyle w:val="Bodytext"/>
              <w:tabs>
                <w:tab w:val="clear" w:pos="1152"/>
              </w:tabs>
              <w:overflowPunct w:val="0"/>
              <w:autoSpaceDE w:val="0"/>
              <w:autoSpaceDN w:val="0"/>
              <w:adjustRightInd w:val="0"/>
              <w:spacing w:before="0"/>
              <w:ind w:left="57" w:right="-54"/>
              <w:jc w:val="center"/>
              <w:textAlignment w:val="baseline"/>
              <w:rPr>
                <w:rFonts w:ascii="Arial" w:hAnsi="Arial" w:cs="Arial"/>
                <w:b/>
                <w:sz w:val="22"/>
                <w:szCs w:val="22"/>
              </w:rPr>
            </w:pPr>
            <w:r w:rsidRPr="00CA4714">
              <w:rPr>
                <w:rFonts w:ascii="Arial" w:hAnsi="Arial" w:cs="Arial"/>
                <w:b/>
                <w:sz w:val="22"/>
                <w:szCs w:val="22"/>
              </w:rPr>
              <w:t xml:space="preserve">Vehicle </w:t>
            </w:r>
          </w:p>
          <w:p w:rsidR="00E6647D" w:rsidRPr="00CA4714" w:rsidRDefault="00E6647D" w:rsidP="00CA4714">
            <w:pPr>
              <w:pStyle w:val="Bodytext"/>
              <w:overflowPunct w:val="0"/>
              <w:autoSpaceDE w:val="0"/>
              <w:autoSpaceDN w:val="0"/>
              <w:adjustRightInd w:val="0"/>
              <w:spacing w:before="0"/>
              <w:ind w:left="57" w:right="-54"/>
              <w:jc w:val="center"/>
              <w:textAlignment w:val="baseline"/>
              <w:rPr>
                <w:rFonts w:ascii="Arial" w:hAnsi="Arial" w:cs="Arial"/>
                <w:b/>
                <w:sz w:val="22"/>
                <w:szCs w:val="22"/>
              </w:rPr>
            </w:pPr>
            <w:r w:rsidRPr="00CA4714">
              <w:rPr>
                <w:rFonts w:ascii="Arial" w:hAnsi="Arial" w:cs="Arial"/>
                <w:b/>
                <w:sz w:val="22"/>
                <w:szCs w:val="22"/>
              </w:rPr>
              <w:t>(n=</w:t>
            </w:r>
            <w:r w:rsidR="00CA4714">
              <w:rPr>
                <w:rFonts w:ascii="Arial" w:hAnsi="Arial" w:cs="Arial"/>
                <w:b/>
                <w:sz w:val="22"/>
                <w:szCs w:val="22"/>
              </w:rPr>
              <w:t>232</w:t>
            </w:r>
            <w:r w:rsidRPr="00CA4714">
              <w:rPr>
                <w:rFonts w:ascii="Arial" w:hAnsi="Arial" w:cs="Arial"/>
                <w:b/>
                <w:sz w:val="22"/>
                <w:szCs w:val="22"/>
              </w:rPr>
              <w:t>)</w:t>
            </w:r>
          </w:p>
        </w:tc>
      </w:tr>
      <w:tr w:rsidR="00E6647D" w:rsidRPr="00CA4714">
        <w:trPr>
          <w:trHeight w:val="350"/>
          <w:jc w:val="center"/>
        </w:trPr>
        <w:tc>
          <w:tcPr>
            <w:tcW w:w="1954" w:type="pct"/>
            <w:shd w:val="clear" w:color="auto" w:fill="auto"/>
            <w:vAlign w:val="center"/>
          </w:tcPr>
          <w:p w:rsidR="00E6647D" w:rsidRPr="00CA4714" w:rsidRDefault="00E6647D"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2"/>
                <w:szCs w:val="22"/>
              </w:rPr>
            </w:pPr>
            <w:r w:rsidRPr="00CA4714">
              <w:rPr>
                <w:rFonts w:ascii="Arial" w:hAnsi="Arial" w:cs="Arial"/>
                <w:sz w:val="22"/>
                <w:szCs w:val="22"/>
              </w:rPr>
              <w:t>Complete clea</w:t>
            </w:r>
            <w:r w:rsidRPr="00CA4714">
              <w:rPr>
                <w:rFonts w:ascii="Arial" w:hAnsi="Arial" w:cs="Arial"/>
                <w:sz w:val="22"/>
                <w:szCs w:val="22"/>
              </w:rPr>
              <w:t>r</w:t>
            </w:r>
            <w:r w:rsidRPr="00CA4714">
              <w:rPr>
                <w:rFonts w:ascii="Arial" w:hAnsi="Arial" w:cs="Arial"/>
                <w:sz w:val="22"/>
                <w:szCs w:val="22"/>
              </w:rPr>
              <w:t>ance rate</w:t>
            </w:r>
            <w:r w:rsidRPr="00CA4714">
              <w:rPr>
                <w:rFonts w:ascii="Arial" w:hAnsi="Arial" w:cs="Arial"/>
                <w:sz w:val="22"/>
                <w:szCs w:val="22"/>
                <w:vertAlign w:val="superscript"/>
              </w:rPr>
              <w:t>a</w:t>
            </w:r>
          </w:p>
        </w:tc>
        <w:tc>
          <w:tcPr>
            <w:tcW w:w="1738" w:type="pct"/>
            <w:shd w:val="clear" w:color="auto" w:fill="auto"/>
            <w:vAlign w:val="center"/>
          </w:tcPr>
          <w:p w:rsidR="00E6647D" w:rsidRPr="00CA4714" w:rsidRDefault="00E6647D" w:rsidP="001D6C53">
            <w:pPr>
              <w:pStyle w:val="Bodytext"/>
              <w:tabs>
                <w:tab w:val="clear" w:pos="1152"/>
              </w:tabs>
              <w:overflowPunct w:val="0"/>
              <w:autoSpaceDE w:val="0"/>
              <w:autoSpaceDN w:val="0"/>
              <w:adjustRightInd w:val="0"/>
              <w:spacing w:before="0"/>
              <w:ind w:left="57"/>
              <w:jc w:val="center"/>
              <w:textAlignment w:val="baseline"/>
              <w:rPr>
                <w:rFonts w:ascii="Arial" w:hAnsi="Arial" w:cs="Arial"/>
                <w:sz w:val="22"/>
                <w:szCs w:val="22"/>
              </w:rPr>
            </w:pPr>
            <w:r w:rsidRPr="00CA4714">
              <w:rPr>
                <w:rFonts w:ascii="Arial" w:hAnsi="Arial" w:cs="Arial"/>
                <w:sz w:val="22"/>
                <w:szCs w:val="22"/>
              </w:rPr>
              <w:t>34.1%</w:t>
            </w:r>
            <w:r w:rsidRPr="00CA4714">
              <w:rPr>
                <w:rFonts w:ascii="Arial" w:hAnsi="Arial" w:cs="Arial"/>
                <w:sz w:val="22"/>
                <w:szCs w:val="22"/>
                <w:vertAlign w:val="superscript"/>
              </w:rPr>
              <w:t>d</w:t>
            </w:r>
          </w:p>
        </w:tc>
        <w:tc>
          <w:tcPr>
            <w:tcW w:w="1308" w:type="pct"/>
            <w:shd w:val="clear" w:color="auto" w:fill="auto"/>
            <w:vAlign w:val="center"/>
          </w:tcPr>
          <w:p w:rsidR="00E6647D" w:rsidRPr="00CA4714" w:rsidRDefault="00E6647D"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2"/>
                <w:szCs w:val="22"/>
              </w:rPr>
            </w:pPr>
            <w:r w:rsidRPr="00CA4714">
              <w:rPr>
                <w:rFonts w:ascii="Arial" w:hAnsi="Arial" w:cs="Arial"/>
                <w:sz w:val="22"/>
                <w:szCs w:val="22"/>
              </w:rPr>
              <w:t>4.7%</w:t>
            </w:r>
          </w:p>
        </w:tc>
      </w:tr>
      <w:tr w:rsidR="00E6647D" w:rsidRPr="00CA4714">
        <w:trPr>
          <w:trHeight w:val="350"/>
          <w:jc w:val="center"/>
        </w:trPr>
        <w:tc>
          <w:tcPr>
            <w:tcW w:w="1954" w:type="pct"/>
            <w:shd w:val="clear" w:color="auto" w:fill="auto"/>
            <w:vAlign w:val="center"/>
          </w:tcPr>
          <w:p w:rsidR="00E6647D" w:rsidRPr="00CA4714" w:rsidRDefault="00E6647D"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2"/>
                <w:szCs w:val="22"/>
              </w:rPr>
            </w:pPr>
            <w:r w:rsidRPr="00CA4714">
              <w:rPr>
                <w:rFonts w:ascii="Arial" w:hAnsi="Arial" w:cs="Arial"/>
                <w:sz w:val="22"/>
                <w:szCs w:val="22"/>
              </w:rPr>
              <w:t>Partial clea</w:t>
            </w:r>
            <w:r w:rsidRPr="00CA4714">
              <w:rPr>
                <w:rFonts w:ascii="Arial" w:hAnsi="Arial" w:cs="Arial"/>
                <w:sz w:val="22"/>
                <w:szCs w:val="22"/>
              </w:rPr>
              <w:t>r</w:t>
            </w:r>
            <w:r w:rsidRPr="00CA4714">
              <w:rPr>
                <w:rFonts w:ascii="Arial" w:hAnsi="Arial" w:cs="Arial"/>
                <w:sz w:val="22"/>
                <w:szCs w:val="22"/>
              </w:rPr>
              <w:t>ance rate (≥75%)</w:t>
            </w:r>
            <w:r w:rsidRPr="00CA4714">
              <w:rPr>
                <w:rFonts w:ascii="Arial" w:hAnsi="Arial" w:cs="Arial"/>
                <w:sz w:val="22"/>
                <w:szCs w:val="22"/>
                <w:vertAlign w:val="superscript"/>
              </w:rPr>
              <w:t>b</w:t>
            </w:r>
          </w:p>
        </w:tc>
        <w:tc>
          <w:tcPr>
            <w:tcW w:w="1738" w:type="pct"/>
            <w:shd w:val="clear" w:color="auto" w:fill="auto"/>
            <w:vAlign w:val="center"/>
          </w:tcPr>
          <w:p w:rsidR="00E6647D" w:rsidRPr="00CA4714" w:rsidRDefault="00E6647D" w:rsidP="00413790">
            <w:pPr>
              <w:pStyle w:val="Bodytext"/>
              <w:tabs>
                <w:tab w:val="clear" w:pos="1152"/>
              </w:tabs>
              <w:overflowPunct w:val="0"/>
              <w:autoSpaceDE w:val="0"/>
              <w:autoSpaceDN w:val="0"/>
              <w:adjustRightInd w:val="0"/>
              <w:spacing w:before="0"/>
              <w:ind w:left="57"/>
              <w:jc w:val="center"/>
              <w:textAlignment w:val="baseline"/>
              <w:rPr>
                <w:rFonts w:ascii="Arial" w:hAnsi="Arial" w:cs="Arial"/>
                <w:sz w:val="22"/>
                <w:szCs w:val="22"/>
              </w:rPr>
            </w:pPr>
            <w:r w:rsidRPr="00CA4714">
              <w:rPr>
                <w:rFonts w:ascii="Arial" w:hAnsi="Arial" w:cs="Arial"/>
                <w:sz w:val="22"/>
                <w:szCs w:val="22"/>
              </w:rPr>
              <w:t>49.1%</w:t>
            </w:r>
            <w:r w:rsidRPr="00CA4714">
              <w:rPr>
                <w:rFonts w:ascii="Arial" w:hAnsi="Arial" w:cs="Arial"/>
                <w:sz w:val="22"/>
                <w:szCs w:val="22"/>
                <w:vertAlign w:val="superscript"/>
              </w:rPr>
              <w:t>d</w:t>
            </w:r>
          </w:p>
        </w:tc>
        <w:tc>
          <w:tcPr>
            <w:tcW w:w="1308" w:type="pct"/>
            <w:shd w:val="clear" w:color="auto" w:fill="auto"/>
            <w:vAlign w:val="center"/>
          </w:tcPr>
          <w:p w:rsidR="00E6647D" w:rsidRPr="00CA4714" w:rsidRDefault="00E6647D"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2"/>
                <w:szCs w:val="22"/>
              </w:rPr>
            </w:pPr>
            <w:r w:rsidRPr="00CA4714">
              <w:rPr>
                <w:rFonts w:ascii="Arial" w:hAnsi="Arial" w:cs="Arial"/>
                <w:sz w:val="22"/>
                <w:szCs w:val="22"/>
              </w:rPr>
              <w:t>6.9%</w:t>
            </w:r>
          </w:p>
        </w:tc>
      </w:tr>
      <w:tr w:rsidR="00E6647D" w:rsidRPr="00727E5C">
        <w:trPr>
          <w:trHeight w:val="350"/>
          <w:jc w:val="center"/>
        </w:trPr>
        <w:tc>
          <w:tcPr>
            <w:tcW w:w="1954" w:type="pct"/>
            <w:shd w:val="clear" w:color="auto" w:fill="auto"/>
            <w:vAlign w:val="center"/>
          </w:tcPr>
          <w:p w:rsidR="00E6647D" w:rsidRPr="00CA4714" w:rsidRDefault="00E6647D"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2"/>
                <w:szCs w:val="22"/>
              </w:rPr>
            </w:pPr>
            <w:r w:rsidRPr="00CA4714">
              <w:rPr>
                <w:rFonts w:ascii="Arial" w:hAnsi="Arial" w:cs="Arial"/>
                <w:sz w:val="22"/>
                <w:szCs w:val="22"/>
              </w:rPr>
              <w:t xml:space="preserve">Median % </w:t>
            </w:r>
            <w:proofErr w:type="spellStart"/>
            <w:r w:rsidRPr="00CA4714">
              <w:rPr>
                <w:rFonts w:ascii="Arial" w:hAnsi="Arial" w:cs="Arial"/>
                <w:sz w:val="22"/>
                <w:szCs w:val="22"/>
              </w:rPr>
              <w:t>reduction</w:t>
            </w:r>
            <w:r w:rsidRPr="00CA4714">
              <w:rPr>
                <w:rFonts w:ascii="Arial" w:hAnsi="Arial" w:cs="Arial"/>
                <w:sz w:val="22"/>
                <w:szCs w:val="22"/>
                <w:vertAlign w:val="superscript"/>
              </w:rPr>
              <w:t>c</w:t>
            </w:r>
            <w:proofErr w:type="spellEnd"/>
          </w:p>
        </w:tc>
        <w:tc>
          <w:tcPr>
            <w:tcW w:w="1738" w:type="pct"/>
            <w:shd w:val="clear" w:color="auto" w:fill="auto"/>
            <w:vAlign w:val="center"/>
          </w:tcPr>
          <w:p w:rsidR="00E6647D" w:rsidRPr="00CA4714" w:rsidRDefault="00E6647D"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2"/>
                <w:szCs w:val="22"/>
              </w:rPr>
            </w:pPr>
            <w:r w:rsidRPr="00CA4714">
              <w:rPr>
                <w:rFonts w:ascii="Arial" w:hAnsi="Arial" w:cs="Arial"/>
                <w:sz w:val="22"/>
                <w:szCs w:val="22"/>
              </w:rPr>
              <w:t>75%</w:t>
            </w:r>
          </w:p>
        </w:tc>
        <w:tc>
          <w:tcPr>
            <w:tcW w:w="1308" w:type="pct"/>
            <w:shd w:val="clear" w:color="auto" w:fill="auto"/>
            <w:vAlign w:val="center"/>
          </w:tcPr>
          <w:p w:rsidR="00E6647D" w:rsidRPr="00CA4714" w:rsidRDefault="007A65E4"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2"/>
                <w:szCs w:val="22"/>
              </w:rPr>
            </w:pPr>
            <w:r w:rsidRPr="00CA4714">
              <w:rPr>
                <w:rFonts w:ascii="Arial" w:hAnsi="Arial" w:cs="Arial"/>
                <w:sz w:val="22"/>
                <w:szCs w:val="22"/>
              </w:rPr>
              <w:t>0</w:t>
            </w:r>
            <w:r w:rsidR="00E6647D" w:rsidRPr="00CA4714">
              <w:rPr>
                <w:rFonts w:ascii="Arial" w:hAnsi="Arial" w:cs="Arial"/>
                <w:sz w:val="22"/>
                <w:szCs w:val="22"/>
              </w:rPr>
              <w:t>%</w:t>
            </w:r>
          </w:p>
        </w:tc>
      </w:tr>
      <w:tr w:rsidR="00E6647D" w:rsidRPr="00727E5C">
        <w:trPr>
          <w:trHeight w:val="350"/>
          <w:jc w:val="center"/>
        </w:trPr>
        <w:tc>
          <w:tcPr>
            <w:tcW w:w="5000" w:type="pct"/>
            <w:gridSpan w:val="3"/>
            <w:shd w:val="clear" w:color="auto" w:fill="auto"/>
            <w:vAlign w:val="center"/>
          </w:tcPr>
          <w:p w:rsidR="00E6647D" w:rsidRDefault="00E6647D" w:rsidP="00413790">
            <w:pPr>
              <w:pStyle w:val="Bodytext"/>
              <w:tabs>
                <w:tab w:val="clear" w:pos="1872"/>
                <w:tab w:val="left" w:pos="1874"/>
              </w:tabs>
              <w:overflowPunct w:val="0"/>
              <w:autoSpaceDE w:val="0"/>
              <w:autoSpaceDN w:val="0"/>
              <w:adjustRightInd w:val="0"/>
              <w:spacing w:before="0"/>
              <w:ind w:left="57"/>
              <w:textAlignment w:val="baseline"/>
              <w:rPr>
                <w:rFonts w:ascii="Arial" w:hAnsi="Arial" w:cs="Arial"/>
                <w:sz w:val="18"/>
                <w:szCs w:val="18"/>
              </w:rPr>
            </w:pPr>
            <w:r w:rsidRPr="00E64D62">
              <w:rPr>
                <w:rFonts w:ascii="Arial" w:hAnsi="Arial" w:cs="Arial"/>
                <w:sz w:val="18"/>
                <w:szCs w:val="18"/>
                <w:vertAlign w:val="superscript"/>
              </w:rPr>
              <w:t>a</w:t>
            </w:r>
            <w:r w:rsidRPr="00413790">
              <w:rPr>
                <w:rFonts w:ascii="Arial" w:hAnsi="Arial" w:cs="Arial"/>
                <w:sz w:val="18"/>
                <w:szCs w:val="18"/>
              </w:rPr>
              <w:t xml:space="preserve"> Complete clearance rate was defined as the proportion of patients with no (zero) clinically visible </w:t>
            </w:r>
            <w:r w:rsidR="00C529E2">
              <w:rPr>
                <w:rFonts w:ascii="Arial" w:hAnsi="Arial" w:cs="Arial"/>
                <w:sz w:val="18"/>
                <w:szCs w:val="18"/>
              </w:rPr>
              <w:t>solar keratosis</w:t>
            </w:r>
            <w:r w:rsidRPr="00413790">
              <w:rPr>
                <w:rFonts w:ascii="Arial" w:hAnsi="Arial" w:cs="Arial"/>
                <w:sz w:val="18"/>
                <w:szCs w:val="18"/>
              </w:rPr>
              <w:t xml:space="preserve"> lesions in the treatment area. </w:t>
            </w:r>
          </w:p>
          <w:p w:rsidR="00E6647D" w:rsidRPr="00413790" w:rsidRDefault="00E6647D" w:rsidP="00413790">
            <w:pPr>
              <w:pStyle w:val="Bodytext"/>
              <w:tabs>
                <w:tab w:val="clear" w:pos="1872"/>
                <w:tab w:val="left" w:pos="1874"/>
              </w:tabs>
              <w:overflowPunct w:val="0"/>
              <w:autoSpaceDE w:val="0"/>
              <w:autoSpaceDN w:val="0"/>
              <w:adjustRightInd w:val="0"/>
              <w:spacing w:before="0"/>
              <w:ind w:left="57"/>
              <w:textAlignment w:val="baseline"/>
              <w:rPr>
                <w:rFonts w:ascii="Arial" w:hAnsi="Arial" w:cs="Arial"/>
                <w:sz w:val="18"/>
                <w:szCs w:val="18"/>
              </w:rPr>
            </w:pPr>
            <w:r w:rsidRPr="00E64D62">
              <w:rPr>
                <w:rFonts w:ascii="Arial" w:hAnsi="Arial" w:cs="Arial"/>
                <w:sz w:val="18"/>
                <w:szCs w:val="18"/>
                <w:vertAlign w:val="superscript"/>
              </w:rPr>
              <w:t>b</w:t>
            </w:r>
            <w:r w:rsidRPr="00413790">
              <w:rPr>
                <w:rFonts w:ascii="Arial" w:hAnsi="Arial" w:cs="Arial"/>
                <w:sz w:val="18"/>
                <w:szCs w:val="18"/>
              </w:rPr>
              <w:t xml:space="preserve"> The partial clearance rate was defined as the percentage of patients in whom 75% or more of the number of baseline </w:t>
            </w:r>
            <w:r w:rsidR="00C529E2">
              <w:rPr>
                <w:rFonts w:ascii="Arial" w:hAnsi="Arial" w:cs="Arial"/>
                <w:sz w:val="18"/>
                <w:szCs w:val="18"/>
              </w:rPr>
              <w:t>solar keratosis</w:t>
            </w:r>
            <w:r w:rsidRPr="00413790">
              <w:rPr>
                <w:rFonts w:ascii="Arial" w:hAnsi="Arial" w:cs="Arial"/>
                <w:sz w:val="18"/>
                <w:szCs w:val="18"/>
              </w:rPr>
              <w:t xml:space="preserve"> lesions were cleared. </w:t>
            </w:r>
          </w:p>
          <w:p w:rsidR="00E6647D" w:rsidRPr="00413790" w:rsidRDefault="00E6647D" w:rsidP="00413790">
            <w:pPr>
              <w:pStyle w:val="Bodytext"/>
              <w:tabs>
                <w:tab w:val="clear" w:pos="1872"/>
                <w:tab w:val="left" w:pos="1874"/>
              </w:tabs>
              <w:overflowPunct w:val="0"/>
              <w:autoSpaceDE w:val="0"/>
              <w:autoSpaceDN w:val="0"/>
              <w:adjustRightInd w:val="0"/>
              <w:spacing w:before="0"/>
              <w:ind w:left="57"/>
              <w:textAlignment w:val="baseline"/>
              <w:rPr>
                <w:rFonts w:ascii="Arial" w:hAnsi="Arial" w:cs="Arial"/>
                <w:sz w:val="18"/>
                <w:szCs w:val="18"/>
              </w:rPr>
            </w:pPr>
            <w:r w:rsidRPr="00E64D62">
              <w:rPr>
                <w:rFonts w:ascii="Arial" w:hAnsi="Arial" w:cs="Arial"/>
                <w:sz w:val="18"/>
                <w:szCs w:val="18"/>
                <w:vertAlign w:val="superscript"/>
              </w:rPr>
              <w:t>c</w:t>
            </w:r>
            <w:r>
              <w:rPr>
                <w:rFonts w:ascii="Arial" w:hAnsi="Arial" w:cs="Arial"/>
                <w:sz w:val="18"/>
                <w:szCs w:val="18"/>
              </w:rPr>
              <w:t xml:space="preserve"> </w:t>
            </w:r>
            <w:r w:rsidRPr="00413790">
              <w:rPr>
                <w:rFonts w:ascii="Arial" w:hAnsi="Arial" w:cs="Arial"/>
                <w:sz w:val="18"/>
                <w:szCs w:val="18"/>
              </w:rPr>
              <w:t xml:space="preserve">Median percent (%) reduction in number of </w:t>
            </w:r>
            <w:r w:rsidR="00C529E2">
              <w:rPr>
                <w:rFonts w:ascii="Arial" w:hAnsi="Arial" w:cs="Arial"/>
                <w:sz w:val="18"/>
                <w:szCs w:val="18"/>
              </w:rPr>
              <w:t>solar keratosis</w:t>
            </w:r>
            <w:r w:rsidRPr="00413790">
              <w:rPr>
                <w:rFonts w:ascii="Arial" w:hAnsi="Arial" w:cs="Arial"/>
                <w:sz w:val="18"/>
                <w:szCs w:val="18"/>
              </w:rPr>
              <w:t xml:space="preserve"> lesions compared to baseline.</w:t>
            </w:r>
          </w:p>
          <w:p w:rsidR="00E6647D" w:rsidRPr="00E6647D" w:rsidRDefault="00E6647D" w:rsidP="00413790">
            <w:pPr>
              <w:pStyle w:val="Bodytext"/>
              <w:tabs>
                <w:tab w:val="clear" w:pos="1152"/>
                <w:tab w:val="clear" w:pos="1872"/>
                <w:tab w:val="left" w:pos="1874"/>
              </w:tabs>
              <w:overflowPunct w:val="0"/>
              <w:autoSpaceDE w:val="0"/>
              <w:autoSpaceDN w:val="0"/>
              <w:adjustRightInd w:val="0"/>
              <w:spacing w:before="0"/>
              <w:ind w:left="57"/>
              <w:textAlignment w:val="baseline"/>
              <w:rPr>
                <w:rFonts w:ascii="Arial" w:hAnsi="Arial" w:cs="Arial"/>
                <w:sz w:val="22"/>
                <w:szCs w:val="22"/>
              </w:rPr>
            </w:pPr>
            <w:r w:rsidRPr="00E64D62">
              <w:rPr>
                <w:rFonts w:ascii="Arial" w:hAnsi="Arial" w:cs="Arial"/>
                <w:sz w:val="18"/>
                <w:szCs w:val="18"/>
                <w:vertAlign w:val="superscript"/>
              </w:rPr>
              <w:t>d</w:t>
            </w:r>
            <w:r w:rsidRPr="00413790">
              <w:rPr>
                <w:rFonts w:ascii="Arial" w:hAnsi="Arial" w:cs="Arial"/>
                <w:sz w:val="18"/>
                <w:szCs w:val="18"/>
              </w:rPr>
              <w:t xml:space="preserve"> p&lt;0.001; compared to vehicle by logistic regression with treatment, study and anatomical location.</w:t>
            </w:r>
          </w:p>
        </w:tc>
      </w:tr>
    </w:tbl>
    <w:p w:rsidR="008E148E" w:rsidRPr="008E148E" w:rsidRDefault="00980197" w:rsidP="00980197">
      <w:pPr>
        <w:pStyle w:val="Bodytext"/>
        <w:spacing w:after="240"/>
        <w:ind w:right="4"/>
        <w:jc w:val="both"/>
        <w:rPr>
          <w:rFonts w:ascii="Arial" w:hAnsi="Arial" w:cs="Arial"/>
          <w:sz w:val="22"/>
          <w:szCs w:val="22"/>
        </w:rPr>
      </w:pPr>
      <w:r>
        <w:rPr>
          <w:rFonts w:ascii="Arial" w:hAnsi="Arial" w:cs="Arial"/>
          <w:sz w:val="22"/>
          <w:szCs w:val="22"/>
        </w:rPr>
        <w:t xml:space="preserve">The safety of </w:t>
      </w:r>
      <w:r w:rsidR="002C47E1">
        <w:rPr>
          <w:rFonts w:ascii="Arial" w:hAnsi="Arial" w:cs="Arial"/>
          <w:sz w:val="22"/>
          <w:szCs w:val="22"/>
        </w:rPr>
        <w:t>Picato</w:t>
      </w:r>
      <w:r w:rsidR="00DA2F20" w:rsidRPr="00DA2F20">
        <w:rPr>
          <w:rFonts w:ascii="Arial" w:hAnsi="Arial" w:cs="Arial"/>
          <w:sz w:val="22"/>
          <w:szCs w:val="22"/>
          <w:vertAlign w:val="superscript"/>
        </w:rPr>
        <w:t>®</w:t>
      </w:r>
      <w:r>
        <w:rPr>
          <w:rFonts w:ascii="Arial" w:hAnsi="Arial" w:cs="Arial"/>
          <w:sz w:val="22"/>
          <w:szCs w:val="22"/>
        </w:rPr>
        <w:t xml:space="preserve"> gel</w:t>
      </w:r>
      <w:r w:rsidR="008C4755">
        <w:rPr>
          <w:rFonts w:ascii="Arial" w:hAnsi="Arial" w:cs="Arial"/>
          <w:sz w:val="22"/>
          <w:szCs w:val="22"/>
        </w:rPr>
        <w:t>,</w:t>
      </w:r>
      <w:r>
        <w:rPr>
          <w:rFonts w:ascii="Arial" w:hAnsi="Arial" w:cs="Arial"/>
          <w:sz w:val="22"/>
          <w:szCs w:val="22"/>
        </w:rPr>
        <w:t xml:space="preserve"> 0.05% treatment for </w:t>
      </w:r>
      <w:r w:rsidR="00D92DEE">
        <w:rPr>
          <w:rFonts w:ascii="Arial" w:hAnsi="Arial" w:cs="Arial"/>
          <w:sz w:val="22"/>
          <w:szCs w:val="22"/>
        </w:rPr>
        <w:t>2</w:t>
      </w:r>
      <w:r>
        <w:rPr>
          <w:rFonts w:ascii="Arial" w:hAnsi="Arial" w:cs="Arial"/>
          <w:sz w:val="22"/>
          <w:szCs w:val="22"/>
        </w:rPr>
        <w:t xml:space="preserve"> days was assessed up to day 57.  The results demonstrated that </w:t>
      </w:r>
      <w:r w:rsidR="002C47E1">
        <w:rPr>
          <w:rFonts w:ascii="Arial" w:hAnsi="Arial" w:cs="Arial"/>
          <w:sz w:val="22"/>
          <w:szCs w:val="22"/>
        </w:rPr>
        <w:t>Picato</w:t>
      </w:r>
      <w:r w:rsidR="00DA2F20" w:rsidRPr="00DA2F20">
        <w:rPr>
          <w:rFonts w:ascii="Arial" w:hAnsi="Arial" w:cs="Arial"/>
          <w:sz w:val="22"/>
          <w:szCs w:val="22"/>
          <w:vertAlign w:val="superscript"/>
        </w:rPr>
        <w:t>®</w:t>
      </w:r>
      <w:r>
        <w:rPr>
          <w:rFonts w:ascii="Arial" w:hAnsi="Arial" w:cs="Arial"/>
          <w:sz w:val="22"/>
          <w:szCs w:val="22"/>
        </w:rPr>
        <w:t xml:space="preserve"> was well tolerated</w:t>
      </w:r>
      <w:r w:rsidRPr="00413790">
        <w:rPr>
          <w:rFonts w:ascii="Arial" w:hAnsi="Arial" w:cs="Arial"/>
          <w:sz w:val="22"/>
          <w:szCs w:val="22"/>
        </w:rPr>
        <w:t>. All adverse drug reactions and local skin responses resolved without sequ</w:t>
      </w:r>
      <w:r w:rsidRPr="00413790">
        <w:rPr>
          <w:rFonts w:ascii="Arial" w:hAnsi="Arial" w:cs="Arial"/>
          <w:sz w:val="22"/>
          <w:szCs w:val="22"/>
        </w:rPr>
        <w:t>e</w:t>
      </w:r>
      <w:r w:rsidRPr="00413790">
        <w:rPr>
          <w:rFonts w:ascii="Arial" w:hAnsi="Arial" w:cs="Arial"/>
          <w:sz w:val="22"/>
          <w:szCs w:val="22"/>
        </w:rPr>
        <w:t>lae.</w:t>
      </w:r>
    </w:p>
    <w:p w:rsidR="008E148E" w:rsidRDefault="008E148E" w:rsidP="00BF5A9D">
      <w:r w:rsidRPr="008E148E">
        <w:t xml:space="preserve">Statistically significant differences in patient reported outcomes were observed in </w:t>
      </w:r>
      <w:proofErr w:type="spellStart"/>
      <w:r w:rsidRPr="008E148E">
        <w:t>favour</w:t>
      </w:r>
      <w:proofErr w:type="spellEnd"/>
      <w:r w:rsidRPr="008E148E">
        <w:t xml:space="preserve"> of patients receiving </w:t>
      </w:r>
      <w:proofErr w:type="spellStart"/>
      <w:r w:rsidR="002C47E1">
        <w:t>Picato</w:t>
      </w:r>
      <w:proofErr w:type="spellEnd"/>
      <w:r w:rsidR="00DA2F20" w:rsidRPr="00DA2F20">
        <w:rPr>
          <w:vertAlign w:val="superscript"/>
        </w:rPr>
        <w:t>®</w:t>
      </w:r>
      <w:r w:rsidRPr="008E148E">
        <w:t xml:space="preserve"> </w:t>
      </w:r>
      <w:r w:rsidR="00283361">
        <w:t>g</w:t>
      </w:r>
      <w:r w:rsidRPr="008E148E">
        <w:t>el compared to those receiving vehicle gel. Higher mean patient global satisfaction scores, indicating a higher level of overall satisfaction, w</w:t>
      </w:r>
      <w:r w:rsidR="00325418">
        <w:t>ere seen i</w:t>
      </w:r>
      <w:r w:rsidR="00D92DEE">
        <w:t xml:space="preserve">n the </w:t>
      </w:r>
      <w:proofErr w:type="spellStart"/>
      <w:r w:rsidR="002C47E1">
        <w:t>Picato</w:t>
      </w:r>
      <w:proofErr w:type="spellEnd"/>
      <w:r w:rsidR="00DA2F20" w:rsidRPr="00DA2F20">
        <w:rPr>
          <w:vertAlign w:val="superscript"/>
        </w:rPr>
        <w:t>®</w:t>
      </w:r>
      <w:r w:rsidR="00325418">
        <w:t xml:space="preserve"> </w:t>
      </w:r>
      <w:r w:rsidRPr="008E148E">
        <w:t xml:space="preserve">groups compared to the vehicle groups </w:t>
      </w:r>
      <w:r w:rsidR="00D92DEE" w:rsidRPr="00D92DEE">
        <w:t xml:space="preserve">(p &lt; 0.001) </w:t>
      </w:r>
      <w:r w:rsidRPr="008E148E">
        <w:t>as measured by the TSQM.</w:t>
      </w:r>
    </w:p>
    <w:p w:rsidR="008E148E" w:rsidRPr="00413790" w:rsidRDefault="008E148E" w:rsidP="00E67C26">
      <w:pPr>
        <w:pStyle w:val="Heading3"/>
      </w:pPr>
      <w:r w:rsidRPr="00413790">
        <w:t>Long Term Efficacy</w:t>
      </w:r>
    </w:p>
    <w:p w:rsidR="00BF5A9D" w:rsidRDefault="008E148E" w:rsidP="00BF5A9D">
      <w:r w:rsidRPr="00413790">
        <w:t xml:space="preserve">Three prospective, observational long-term 1 year follow-up studies were conducted to evaluate sustained efficacy by recurrence of </w:t>
      </w:r>
      <w:r w:rsidR="00C529E2">
        <w:t xml:space="preserve">solar </w:t>
      </w:r>
      <w:proofErr w:type="spellStart"/>
      <w:r w:rsidR="00C529E2">
        <w:t>kerat</w:t>
      </w:r>
      <w:r w:rsidR="00C529E2">
        <w:t>o</w:t>
      </w:r>
      <w:r w:rsidR="00C529E2">
        <w:t>sis</w:t>
      </w:r>
      <w:proofErr w:type="spellEnd"/>
      <w:r w:rsidRPr="00413790">
        <w:t xml:space="preserve"> lesions in the treatment field, and safety in patients who had received treatment with </w:t>
      </w:r>
      <w:proofErr w:type="spellStart"/>
      <w:r w:rsidR="002C47E1">
        <w:t>Picato</w:t>
      </w:r>
      <w:proofErr w:type="spellEnd"/>
      <w:r w:rsidR="00DA2F20" w:rsidRPr="00DA2F20">
        <w:rPr>
          <w:vertAlign w:val="superscript"/>
        </w:rPr>
        <w:t>®</w:t>
      </w:r>
      <w:r w:rsidR="00B201E7">
        <w:t xml:space="preserve"> gel</w:t>
      </w:r>
      <w:r w:rsidRPr="001D6C53">
        <w:t>.</w:t>
      </w:r>
      <w:r w:rsidRPr="00413790">
        <w:t xml:space="preserve"> One study included patients treated with </w:t>
      </w:r>
      <w:proofErr w:type="spellStart"/>
      <w:r w:rsidR="002C47E1">
        <w:t>Picato</w:t>
      </w:r>
      <w:proofErr w:type="spellEnd"/>
      <w:r w:rsidR="00DA2F20" w:rsidRPr="00DA2F20">
        <w:rPr>
          <w:vertAlign w:val="superscript"/>
        </w:rPr>
        <w:t>®</w:t>
      </w:r>
      <w:r w:rsidR="00B201E7">
        <w:t xml:space="preserve"> gel</w:t>
      </w:r>
      <w:r w:rsidR="00325418">
        <w:t>,</w:t>
      </w:r>
      <w:r w:rsidR="001D6C53">
        <w:t xml:space="preserve"> 0.015% </w:t>
      </w:r>
      <w:r w:rsidRPr="00413790">
        <w:t xml:space="preserve">on the face or scalp </w:t>
      </w:r>
      <w:r w:rsidR="00B4640B">
        <w:t xml:space="preserve">for 3 days </w:t>
      </w:r>
      <w:r w:rsidRPr="00413790">
        <w:t xml:space="preserve">and two studies included patients treated with </w:t>
      </w:r>
      <w:proofErr w:type="spellStart"/>
      <w:r w:rsidR="002C47E1">
        <w:t>Picato</w:t>
      </w:r>
      <w:proofErr w:type="spellEnd"/>
      <w:r w:rsidR="00DA2F20" w:rsidRPr="00DA2F20">
        <w:rPr>
          <w:vertAlign w:val="superscript"/>
        </w:rPr>
        <w:t>®</w:t>
      </w:r>
      <w:r w:rsidR="00B201E7">
        <w:t xml:space="preserve"> gel</w:t>
      </w:r>
      <w:r w:rsidR="00325418">
        <w:t>,</w:t>
      </w:r>
      <w:r w:rsidR="001D6C53">
        <w:t xml:space="preserve"> 0.05% </w:t>
      </w:r>
      <w:r w:rsidRPr="00413790">
        <w:t>on the trunk or extremities</w:t>
      </w:r>
      <w:r w:rsidR="00B4640B">
        <w:t xml:space="preserve"> for 2 days</w:t>
      </w:r>
      <w:r w:rsidRPr="00413790">
        <w:t xml:space="preserve">. Only those patients who achieved complete clearance in the treated area at the end of the phase 3 studies (day 57) were eligible for long term follow-up. Patients were followed every 3 months for 12 months (see </w:t>
      </w:r>
      <w:r w:rsidR="00CA5573">
        <w:t>T</w:t>
      </w:r>
      <w:r w:rsidRPr="00413790">
        <w:t>able</w:t>
      </w:r>
      <w:r w:rsidR="00325418">
        <w:t>s</w:t>
      </w:r>
      <w:r w:rsidRPr="00413790">
        <w:t xml:space="preserve"> </w:t>
      </w:r>
      <w:r w:rsidR="00761CBB">
        <w:t>3</w:t>
      </w:r>
      <w:r w:rsidRPr="00413790">
        <w:t xml:space="preserve"> and </w:t>
      </w:r>
      <w:r w:rsidR="00761CBB">
        <w:t>4</w:t>
      </w:r>
      <w:r w:rsidRPr="00413790">
        <w:t>).</w:t>
      </w:r>
    </w:p>
    <w:p w:rsidR="00BF5A9D" w:rsidRDefault="00BF5A9D">
      <w:pPr>
        <w:overflowPunct/>
        <w:autoSpaceDE/>
        <w:autoSpaceDN/>
        <w:adjustRightInd/>
        <w:spacing w:before="0" w:after="0"/>
        <w:ind w:right="0"/>
        <w:jc w:val="left"/>
        <w:textAlignment w:val="auto"/>
      </w:pPr>
      <w:r>
        <w:br w:type="page"/>
      </w:r>
    </w:p>
    <w:p w:rsidR="008E148E" w:rsidRPr="00413790" w:rsidRDefault="008E148E" w:rsidP="00413790">
      <w:pPr>
        <w:pStyle w:val="Bodytext"/>
        <w:spacing w:after="120"/>
        <w:ind w:right="482"/>
        <w:rPr>
          <w:rFonts w:ascii="Arial" w:hAnsi="Arial" w:cs="Arial"/>
          <w:sz w:val="22"/>
          <w:szCs w:val="22"/>
        </w:rPr>
      </w:pPr>
      <w:r w:rsidRPr="00B704D9">
        <w:rPr>
          <w:rFonts w:ascii="Arial" w:hAnsi="Arial" w:cs="Arial"/>
          <w:b/>
          <w:sz w:val="20"/>
        </w:rPr>
        <w:lastRenderedPageBreak/>
        <w:t xml:space="preserve">Table </w:t>
      </w:r>
      <w:r w:rsidRPr="00B704D9">
        <w:rPr>
          <w:rFonts w:ascii="Arial" w:hAnsi="Arial" w:cs="Arial"/>
          <w:b/>
          <w:sz w:val="20"/>
        </w:rPr>
        <w:fldChar w:fldCharType="begin"/>
      </w:r>
      <w:r w:rsidRPr="00B704D9">
        <w:rPr>
          <w:rFonts w:ascii="Arial" w:hAnsi="Arial" w:cs="Arial"/>
          <w:b/>
          <w:sz w:val="20"/>
        </w:rPr>
        <w:instrText xml:space="preserve"> SEQ Table \* ARABIC </w:instrText>
      </w:r>
      <w:r w:rsidRPr="00B704D9">
        <w:rPr>
          <w:rFonts w:ascii="Arial" w:hAnsi="Arial" w:cs="Arial"/>
          <w:b/>
          <w:sz w:val="20"/>
        </w:rPr>
        <w:fldChar w:fldCharType="separate"/>
      </w:r>
      <w:r w:rsidR="00761CBB">
        <w:rPr>
          <w:rFonts w:ascii="Arial" w:hAnsi="Arial" w:cs="Arial"/>
          <w:b/>
          <w:noProof/>
          <w:sz w:val="20"/>
        </w:rPr>
        <w:t>3</w:t>
      </w:r>
      <w:r w:rsidRPr="00B704D9">
        <w:rPr>
          <w:rFonts w:ascii="Arial" w:hAnsi="Arial" w:cs="Arial"/>
          <w:b/>
          <w:sz w:val="20"/>
        </w:rPr>
        <w:fldChar w:fldCharType="end"/>
      </w:r>
      <w:r w:rsidRPr="00B704D9">
        <w:rPr>
          <w:rFonts w:ascii="Arial" w:hAnsi="Arial" w:cs="Arial"/>
          <w:b/>
          <w:sz w:val="20"/>
        </w:rPr>
        <w:t>:</w:t>
      </w:r>
      <w:r w:rsidRPr="00654624">
        <w:rPr>
          <w:rFonts w:ascii="Arial" w:hAnsi="Arial" w:cs="Arial"/>
          <w:b/>
          <w:sz w:val="20"/>
        </w:rPr>
        <w:t xml:space="preserve"> </w:t>
      </w:r>
      <w:r w:rsidRPr="00413790">
        <w:rPr>
          <w:rFonts w:ascii="Arial" w:hAnsi="Arial" w:cs="Arial"/>
          <w:b/>
          <w:sz w:val="20"/>
        </w:rPr>
        <w:t xml:space="preserve">Rate of recurrence of </w:t>
      </w:r>
      <w:r w:rsidR="00C529E2">
        <w:rPr>
          <w:rFonts w:ascii="Arial" w:hAnsi="Arial" w:cs="Arial"/>
          <w:b/>
          <w:sz w:val="20"/>
        </w:rPr>
        <w:t>solar keratosis</w:t>
      </w:r>
      <w:r w:rsidR="00C529E2" w:rsidRPr="00413790">
        <w:rPr>
          <w:rFonts w:ascii="Arial" w:hAnsi="Arial" w:cs="Arial"/>
          <w:b/>
          <w:sz w:val="20"/>
        </w:rPr>
        <w:t xml:space="preserve"> </w:t>
      </w:r>
      <w:r w:rsidRPr="00413790">
        <w:rPr>
          <w:rFonts w:ascii="Arial" w:hAnsi="Arial" w:cs="Arial"/>
          <w:b/>
          <w:sz w:val="20"/>
        </w:rPr>
        <w:t>lesions on face and scalp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66"/>
        <w:gridCol w:w="5814"/>
        <w:tblGridChange w:id="1">
          <w:tblGrid>
            <w:gridCol w:w="3266"/>
            <w:gridCol w:w="5814"/>
          </w:tblGrid>
        </w:tblGridChange>
      </w:tblGrid>
      <w:tr w:rsidR="008E148E" w:rsidRPr="008A5507">
        <w:trPr>
          <w:trHeight w:hRule="exact" w:val="567"/>
        </w:trPr>
        <w:tc>
          <w:tcPr>
            <w:tcW w:w="3266" w:type="dxa"/>
            <w:shd w:val="clear" w:color="auto" w:fill="auto"/>
          </w:tcPr>
          <w:p w:rsidR="008E148E" w:rsidRPr="008A5507" w:rsidRDefault="008E148E" w:rsidP="008A5507">
            <w:pPr>
              <w:pStyle w:val="Bodytext"/>
              <w:overflowPunct w:val="0"/>
              <w:autoSpaceDE w:val="0"/>
              <w:autoSpaceDN w:val="0"/>
              <w:adjustRightInd w:val="0"/>
              <w:spacing w:after="240" w:line="300" w:lineRule="auto"/>
              <w:ind w:left="57" w:right="480"/>
              <w:textAlignment w:val="baseline"/>
              <w:rPr>
                <w:rFonts w:ascii="Arial" w:hAnsi="Arial" w:cs="Arial"/>
                <w:sz w:val="20"/>
              </w:rPr>
            </w:pPr>
          </w:p>
        </w:tc>
        <w:tc>
          <w:tcPr>
            <w:tcW w:w="5814" w:type="dxa"/>
            <w:shd w:val="clear" w:color="auto" w:fill="auto"/>
            <w:vAlign w:val="center"/>
          </w:tcPr>
          <w:p w:rsidR="008E148E" w:rsidRPr="008A5507" w:rsidRDefault="002C47E1" w:rsidP="001D6C53">
            <w:pPr>
              <w:pStyle w:val="Bodytext"/>
              <w:overflowPunct w:val="0"/>
              <w:autoSpaceDE w:val="0"/>
              <w:autoSpaceDN w:val="0"/>
              <w:adjustRightInd w:val="0"/>
              <w:spacing w:before="0" w:line="300" w:lineRule="auto"/>
              <w:ind w:left="57" w:right="482"/>
              <w:contextualSpacing/>
              <w:jc w:val="center"/>
              <w:textAlignment w:val="baseline"/>
              <w:rPr>
                <w:rFonts w:ascii="Arial" w:hAnsi="Arial" w:cs="Arial"/>
                <w:sz w:val="20"/>
              </w:rPr>
            </w:pPr>
            <w:r>
              <w:rPr>
                <w:rFonts w:ascii="Arial" w:hAnsi="Arial" w:cs="Arial"/>
                <w:b/>
                <w:sz w:val="22"/>
                <w:szCs w:val="22"/>
              </w:rPr>
              <w:t>Picato</w:t>
            </w:r>
            <w:r w:rsidR="00DA2F20" w:rsidRPr="00DA2F20">
              <w:rPr>
                <w:rFonts w:ascii="Arial" w:hAnsi="Arial" w:cs="Arial"/>
                <w:b/>
                <w:sz w:val="22"/>
                <w:szCs w:val="22"/>
                <w:vertAlign w:val="superscript"/>
              </w:rPr>
              <w:t>®</w:t>
            </w:r>
            <w:r w:rsidR="00B201E7">
              <w:rPr>
                <w:rFonts w:ascii="Arial" w:hAnsi="Arial" w:cs="Arial"/>
                <w:b/>
                <w:sz w:val="22"/>
                <w:szCs w:val="22"/>
              </w:rPr>
              <w:t xml:space="preserve"> gel</w:t>
            </w:r>
            <w:r w:rsidR="00A63320">
              <w:rPr>
                <w:rFonts w:ascii="Arial" w:hAnsi="Arial" w:cs="Arial"/>
                <w:b/>
                <w:sz w:val="22"/>
                <w:szCs w:val="22"/>
              </w:rPr>
              <w:t>,</w:t>
            </w:r>
            <w:r w:rsidR="001D6C53">
              <w:rPr>
                <w:rFonts w:ascii="Arial" w:hAnsi="Arial" w:cs="Arial"/>
                <w:b/>
                <w:sz w:val="22"/>
                <w:szCs w:val="22"/>
              </w:rPr>
              <w:t xml:space="preserve"> 0.015%</w:t>
            </w:r>
            <w:r w:rsidR="00CA5573" w:rsidRPr="008A5507">
              <w:rPr>
                <w:rFonts w:ascii="Arial" w:hAnsi="Arial" w:cs="Arial"/>
                <w:b/>
                <w:sz w:val="22"/>
                <w:szCs w:val="22"/>
              </w:rPr>
              <w:t xml:space="preserve"> (n=108)</w:t>
            </w:r>
          </w:p>
        </w:tc>
      </w:tr>
      <w:tr w:rsidR="00CA5573" w:rsidRPr="008A5507">
        <w:trPr>
          <w:trHeight w:val="704"/>
        </w:trPr>
        <w:tc>
          <w:tcPr>
            <w:tcW w:w="3266" w:type="dxa"/>
            <w:shd w:val="clear" w:color="auto" w:fill="auto"/>
            <w:vAlign w:val="center"/>
          </w:tcPr>
          <w:p w:rsidR="00CA5573" w:rsidRPr="00792BC2" w:rsidRDefault="00CA5573" w:rsidP="00E67C26">
            <w:r w:rsidRPr="00792BC2">
              <w:t>Recurrence Rate 12 months</w:t>
            </w:r>
          </w:p>
          <w:p w:rsidR="00CA5573" w:rsidRPr="00BD3E7C" w:rsidRDefault="00CA5573" w:rsidP="008A5507">
            <w:pPr>
              <w:pStyle w:val="Bodytext"/>
              <w:overflowPunct w:val="0"/>
              <w:autoSpaceDE w:val="0"/>
              <w:autoSpaceDN w:val="0"/>
              <w:adjustRightInd w:val="0"/>
              <w:spacing w:before="0" w:line="300" w:lineRule="auto"/>
              <w:ind w:left="57" w:right="480"/>
              <w:jc w:val="center"/>
              <w:textAlignment w:val="baseline"/>
              <w:rPr>
                <w:rFonts w:ascii="Arial" w:hAnsi="Arial" w:cs="Arial"/>
                <w:sz w:val="22"/>
                <w:szCs w:val="22"/>
              </w:rPr>
            </w:pPr>
            <w:r w:rsidRPr="001D2E87">
              <w:rPr>
                <w:rFonts w:ascii="Arial" w:hAnsi="Arial" w:cs="Arial"/>
                <w:sz w:val="22"/>
                <w:szCs w:val="22"/>
              </w:rPr>
              <w:t>KM e</w:t>
            </w:r>
            <w:r w:rsidRPr="00BD3E7C">
              <w:rPr>
                <w:rFonts w:ascii="Arial" w:hAnsi="Arial" w:cs="Arial"/>
                <w:sz w:val="22"/>
                <w:szCs w:val="22"/>
              </w:rPr>
              <w:t>stimate (95% CI)</w:t>
            </w:r>
            <w:r w:rsidRPr="00BD3E7C">
              <w:rPr>
                <w:rFonts w:ascii="Arial" w:hAnsi="Arial" w:cs="Arial"/>
                <w:sz w:val="22"/>
                <w:szCs w:val="22"/>
                <w:vertAlign w:val="superscript"/>
              </w:rPr>
              <w:t>a</w:t>
            </w:r>
          </w:p>
        </w:tc>
        <w:tc>
          <w:tcPr>
            <w:tcW w:w="5814" w:type="dxa"/>
            <w:shd w:val="clear" w:color="auto" w:fill="auto"/>
            <w:vAlign w:val="center"/>
          </w:tcPr>
          <w:p w:rsidR="00CA5573" w:rsidRPr="00BD3E7C" w:rsidRDefault="00CA5573" w:rsidP="008A5507">
            <w:pPr>
              <w:pStyle w:val="Bodytext"/>
              <w:overflowPunct w:val="0"/>
              <w:autoSpaceDE w:val="0"/>
              <w:autoSpaceDN w:val="0"/>
              <w:adjustRightInd w:val="0"/>
              <w:spacing w:before="0" w:line="300" w:lineRule="auto"/>
              <w:ind w:left="57" w:right="480"/>
              <w:jc w:val="center"/>
              <w:textAlignment w:val="baseline"/>
              <w:rPr>
                <w:rFonts w:ascii="Arial" w:hAnsi="Arial" w:cs="Arial"/>
                <w:sz w:val="22"/>
                <w:szCs w:val="22"/>
              </w:rPr>
            </w:pPr>
            <w:r w:rsidRPr="00BD3E7C">
              <w:rPr>
                <w:rFonts w:ascii="Arial" w:hAnsi="Arial" w:cs="Arial"/>
                <w:sz w:val="22"/>
                <w:szCs w:val="22"/>
              </w:rPr>
              <w:t>53.9% (44.6-63.7)</w:t>
            </w:r>
          </w:p>
        </w:tc>
      </w:tr>
      <w:tr w:rsidR="00CA5573" w:rsidRPr="008A5507">
        <w:tc>
          <w:tcPr>
            <w:tcW w:w="3266" w:type="dxa"/>
            <w:shd w:val="clear" w:color="auto" w:fill="auto"/>
            <w:vAlign w:val="center"/>
          </w:tcPr>
          <w:p w:rsidR="00CA5573" w:rsidRPr="008A5507" w:rsidRDefault="00CA5573" w:rsidP="00E67C26">
            <w:r w:rsidRPr="00792BC2">
              <w:t xml:space="preserve">Lesion Based Recurrence </w:t>
            </w:r>
            <w:proofErr w:type="spellStart"/>
            <w:r w:rsidRPr="00792BC2">
              <w:t>Rate</w:t>
            </w:r>
            <w:r w:rsidRPr="00792BC2">
              <w:rPr>
                <w:vertAlign w:val="superscript"/>
              </w:rPr>
              <w:t>b</w:t>
            </w:r>
            <w:proofErr w:type="spellEnd"/>
            <w:r w:rsidRPr="001D2E87">
              <w:t xml:space="preserve"> 12 months</w:t>
            </w:r>
          </w:p>
          <w:p w:rsidR="00CA5573" w:rsidRPr="00792BC2" w:rsidRDefault="00CA5573" w:rsidP="00E67C26">
            <w:r w:rsidRPr="00792BC2">
              <w:t>Mean (SD)</w:t>
            </w:r>
          </w:p>
        </w:tc>
        <w:tc>
          <w:tcPr>
            <w:tcW w:w="5814" w:type="dxa"/>
            <w:shd w:val="clear" w:color="auto" w:fill="auto"/>
            <w:vAlign w:val="center"/>
          </w:tcPr>
          <w:p w:rsidR="00CA5573" w:rsidRPr="00BD3E7C" w:rsidRDefault="00CA5573" w:rsidP="008A5507">
            <w:pPr>
              <w:pStyle w:val="Bodytext"/>
              <w:overflowPunct w:val="0"/>
              <w:autoSpaceDE w:val="0"/>
              <w:autoSpaceDN w:val="0"/>
              <w:adjustRightInd w:val="0"/>
              <w:spacing w:before="0" w:line="300" w:lineRule="auto"/>
              <w:ind w:left="57" w:right="480"/>
              <w:jc w:val="center"/>
              <w:textAlignment w:val="baseline"/>
              <w:rPr>
                <w:rFonts w:ascii="Arial" w:hAnsi="Arial" w:cs="Arial"/>
                <w:sz w:val="22"/>
                <w:szCs w:val="22"/>
              </w:rPr>
            </w:pPr>
            <w:r w:rsidRPr="001D2E87">
              <w:rPr>
                <w:rFonts w:ascii="Arial" w:hAnsi="Arial" w:cs="Arial"/>
                <w:sz w:val="22"/>
                <w:szCs w:val="22"/>
              </w:rPr>
              <w:t>12.8% (19.1)</w:t>
            </w:r>
          </w:p>
        </w:tc>
      </w:tr>
      <w:tr w:rsidR="00CA5573" w:rsidRPr="008A5507">
        <w:tc>
          <w:tcPr>
            <w:tcW w:w="9080" w:type="dxa"/>
            <w:gridSpan w:val="2"/>
            <w:shd w:val="clear" w:color="auto" w:fill="auto"/>
          </w:tcPr>
          <w:p w:rsidR="00CA5573" w:rsidRPr="00792BC2" w:rsidRDefault="00CA5573" w:rsidP="00E67C26">
            <w:r w:rsidRPr="00792BC2">
              <w:rPr>
                <w:vertAlign w:val="superscript"/>
              </w:rPr>
              <w:t xml:space="preserve">a </w:t>
            </w:r>
            <w:r w:rsidRPr="00792BC2">
              <w:t>The recurrence rate is the Kaplan-Meier (KM) estimate at the target study date of the visit e</w:t>
            </w:r>
            <w:r w:rsidRPr="001D2E87">
              <w:t>x</w:t>
            </w:r>
            <w:r w:rsidRPr="00BD3E7C">
              <w:t xml:space="preserve">pressed as a percentage (95% CI). Recurrence was defined as any identified </w:t>
            </w:r>
            <w:r w:rsidR="00C529E2">
              <w:t>solar keratosis</w:t>
            </w:r>
            <w:r w:rsidRPr="00792BC2">
              <w:t xml:space="preserve"> lesion in the previously treated area for patients who achieved complete clearance at day 57 in the previous phase 3 studies.</w:t>
            </w:r>
          </w:p>
          <w:p w:rsidR="00CA5573" w:rsidRPr="008A5507" w:rsidRDefault="00CA5573" w:rsidP="008A5507">
            <w:pPr>
              <w:pStyle w:val="Bodytext"/>
              <w:overflowPunct w:val="0"/>
              <w:autoSpaceDE w:val="0"/>
              <w:autoSpaceDN w:val="0"/>
              <w:adjustRightInd w:val="0"/>
              <w:spacing w:before="0" w:line="300" w:lineRule="auto"/>
              <w:ind w:left="57" w:right="480"/>
              <w:textAlignment w:val="baseline"/>
              <w:rPr>
                <w:rFonts w:ascii="Arial" w:hAnsi="Arial" w:cs="Arial"/>
                <w:sz w:val="20"/>
              </w:rPr>
            </w:pPr>
            <w:r w:rsidRPr="00792BC2">
              <w:rPr>
                <w:rFonts w:ascii="Arial" w:hAnsi="Arial" w:cs="Arial"/>
                <w:sz w:val="18"/>
                <w:szCs w:val="18"/>
                <w:vertAlign w:val="superscript"/>
              </w:rPr>
              <w:t xml:space="preserve">b </w:t>
            </w:r>
            <w:r w:rsidRPr="001D2E87">
              <w:rPr>
                <w:rFonts w:ascii="Arial" w:hAnsi="Arial" w:cs="Arial"/>
                <w:sz w:val="18"/>
                <w:szCs w:val="18"/>
              </w:rPr>
              <w:t xml:space="preserve">The lesion-based recurrence rate for each patient defined as the ratio of the number of </w:t>
            </w:r>
            <w:r w:rsidR="001E05B1" w:rsidRPr="008A5507">
              <w:rPr>
                <w:rFonts w:ascii="Arial" w:hAnsi="Arial" w:cs="Arial"/>
                <w:sz w:val="18"/>
                <w:szCs w:val="18"/>
              </w:rPr>
              <w:t>SK</w:t>
            </w:r>
            <w:r w:rsidRPr="00792BC2">
              <w:rPr>
                <w:rFonts w:ascii="Arial" w:hAnsi="Arial" w:cs="Arial"/>
                <w:sz w:val="18"/>
                <w:szCs w:val="18"/>
              </w:rPr>
              <w:t xml:space="preserve"> lesions at 12 mont</w:t>
            </w:r>
            <w:r w:rsidRPr="001D2E87">
              <w:rPr>
                <w:rFonts w:ascii="Arial" w:hAnsi="Arial" w:cs="Arial"/>
                <w:sz w:val="18"/>
                <w:szCs w:val="18"/>
              </w:rPr>
              <w:t>hs to the number of lesions at baseline in the previous phase 3 studies.</w:t>
            </w:r>
          </w:p>
        </w:tc>
      </w:tr>
    </w:tbl>
    <w:p w:rsidR="008E148E" w:rsidRDefault="00704094" w:rsidP="00413790">
      <w:pPr>
        <w:pStyle w:val="Bodytext"/>
        <w:spacing w:after="120"/>
        <w:ind w:right="482"/>
        <w:rPr>
          <w:rFonts w:ascii="Arial" w:hAnsi="Arial" w:cs="Arial"/>
          <w:sz w:val="20"/>
        </w:rPr>
      </w:pPr>
      <w:r w:rsidRPr="00B704D9">
        <w:rPr>
          <w:rFonts w:ascii="Arial" w:hAnsi="Arial" w:cs="Arial"/>
          <w:b/>
          <w:sz w:val="20"/>
        </w:rPr>
        <w:t xml:space="preserve">Table </w:t>
      </w:r>
      <w:r w:rsidRPr="00B704D9">
        <w:rPr>
          <w:rFonts w:ascii="Arial" w:hAnsi="Arial" w:cs="Arial"/>
          <w:b/>
          <w:sz w:val="20"/>
        </w:rPr>
        <w:fldChar w:fldCharType="begin"/>
      </w:r>
      <w:r w:rsidRPr="00B704D9">
        <w:rPr>
          <w:rFonts w:ascii="Arial" w:hAnsi="Arial" w:cs="Arial"/>
          <w:b/>
          <w:sz w:val="20"/>
        </w:rPr>
        <w:instrText xml:space="preserve"> SEQ Table \* ARABIC </w:instrText>
      </w:r>
      <w:r w:rsidRPr="00B704D9">
        <w:rPr>
          <w:rFonts w:ascii="Arial" w:hAnsi="Arial" w:cs="Arial"/>
          <w:b/>
          <w:sz w:val="20"/>
        </w:rPr>
        <w:fldChar w:fldCharType="separate"/>
      </w:r>
      <w:r w:rsidR="00761CBB">
        <w:rPr>
          <w:rFonts w:ascii="Arial" w:hAnsi="Arial" w:cs="Arial"/>
          <w:b/>
          <w:noProof/>
          <w:sz w:val="20"/>
        </w:rPr>
        <w:t>4</w:t>
      </w:r>
      <w:r w:rsidRPr="00B704D9">
        <w:rPr>
          <w:rFonts w:ascii="Arial" w:hAnsi="Arial" w:cs="Arial"/>
          <w:b/>
          <w:sz w:val="20"/>
        </w:rPr>
        <w:fldChar w:fldCharType="end"/>
      </w:r>
      <w:r w:rsidRPr="00704094">
        <w:rPr>
          <w:rFonts w:ascii="Arial" w:hAnsi="Arial" w:cs="Arial"/>
          <w:b/>
          <w:sz w:val="20"/>
        </w:rPr>
        <w:t xml:space="preserve">: </w:t>
      </w:r>
      <w:r w:rsidRPr="00413790">
        <w:rPr>
          <w:rFonts w:ascii="Arial" w:hAnsi="Arial" w:cs="Arial"/>
          <w:b/>
          <w:bCs/>
          <w:sz w:val="20"/>
        </w:rPr>
        <w:t xml:space="preserve">Rate of recurrence of </w:t>
      </w:r>
      <w:r w:rsidR="000654F9">
        <w:rPr>
          <w:rFonts w:ascii="Arial" w:hAnsi="Arial" w:cs="Arial"/>
          <w:b/>
          <w:bCs/>
          <w:sz w:val="20"/>
        </w:rPr>
        <w:t>solar keratosis</w:t>
      </w:r>
      <w:r w:rsidR="000654F9" w:rsidRPr="00413790">
        <w:rPr>
          <w:rFonts w:ascii="Arial" w:hAnsi="Arial" w:cs="Arial"/>
          <w:b/>
          <w:bCs/>
          <w:sz w:val="20"/>
        </w:rPr>
        <w:t xml:space="preserve"> </w:t>
      </w:r>
      <w:r w:rsidRPr="00413790">
        <w:rPr>
          <w:rFonts w:ascii="Arial" w:hAnsi="Arial" w:cs="Arial"/>
          <w:b/>
          <w:bCs/>
          <w:sz w:val="20"/>
        </w:rPr>
        <w:t>lesions on trunk and extremities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284"/>
        <w:gridCol w:w="4842"/>
      </w:tblGrid>
      <w:tr w:rsidR="00704094" w:rsidRPr="00772179">
        <w:trPr>
          <w:trHeight w:hRule="exact" w:val="567"/>
        </w:trPr>
        <w:tc>
          <w:tcPr>
            <w:tcW w:w="2347" w:type="pct"/>
            <w:tcMar>
              <w:top w:w="28" w:type="dxa"/>
              <w:left w:w="28" w:type="dxa"/>
              <w:bottom w:w="28" w:type="dxa"/>
              <w:right w:w="28" w:type="dxa"/>
            </w:tcMar>
          </w:tcPr>
          <w:p w:rsidR="00704094" w:rsidRPr="00772179" w:rsidRDefault="00704094" w:rsidP="00E67C26"/>
        </w:tc>
        <w:tc>
          <w:tcPr>
            <w:tcW w:w="2653" w:type="pct"/>
            <w:tcMar>
              <w:top w:w="28" w:type="dxa"/>
              <w:left w:w="28" w:type="dxa"/>
              <w:bottom w:w="28" w:type="dxa"/>
              <w:right w:w="28" w:type="dxa"/>
            </w:tcMar>
            <w:vAlign w:val="center"/>
          </w:tcPr>
          <w:p w:rsidR="00704094" w:rsidRPr="00772179" w:rsidRDefault="002C47E1" w:rsidP="00E67C26">
            <w:r>
              <w:t>Picato</w:t>
            </w:r>
            <w:r w:rsidR="00DA2F20" w:rsidRPr="00DA2F20">
              <w:rPr>
                <w:vertAlign w:val="superscript"/>
              </w:rPr>
              <w:t>®</w:t>
            </w:r>
            <w:r w:rsidR="00B201E7">
              <w:t xml:space="preserve"> gel</w:t>
            </w:r>
            <w:r w:rsidR="00A63320">
              <w:t>,</w:t>
            </w:r>
            <w:r w:rsidR="001D6C53">
              <w:t xml:space="preserve"> 0.05%</w:t>
            </w:r>
            <w:r w:rsidR="001D6C53" w:rsidRPr="008A5507">
              <w:t xml:space="preserve"> </w:t>
            </w:r>
            <w:r w:rsidR="00704094" w:rsidRPr="00413790">
              <w:t>(n=76</w:t>
            </w:r>
            <w:r w:rsidR="00704094" w:rsidRPr="00413790">
              <w:rPr>
                <w:vertAlign w:val="superscript"/>
              </w:rPr>
              <w:t>c</w:t>
            </w:r>
            <w:r w:rsidR="00704094" w:rsidRPr="00413790">
              <w:t>)</w:t>
            </w:r>
          </w:p>
        </w:tc>
      </w:tr>
      <w:tr w:rsidR="00704094" w:rsidRPr="00772179">
        <w:trPr>
          <w:trHeight w:val="391"/>
        </w:trPr>
        <w:tc>
          <w:tcPr>
            <w:tcW w:w="2347" w:type="pct"/>
            <w:tcMar>
              <w:top w:w="28" w:type="dxa"/>
              <w:left w:w="28" w:type="dxa"/>
              <w:bottom w:w="28" w:type="dxa"/>
              <w:right w:w="28" w:type="dxa"/>
            </w:tcMar>
            <w:vAlign w:val="center"/>
          </w:tcPr>
          <w:p w:rsidR="00704094" w:rsidRPr="00413790" w:rsidRDefault="00704094" w:rsidP="00E67C26">
            <w:r w:rsidRPr="00413790">
              <w:t>Recurrence Rate 12 months</w:t>
            </w:r>
          </w:p>
          <w:p w:rsidR="00704094" w:rsidRPr="00413790" w:rsidRDefault="00704094" w:rsidP="00E67C26">
            <w:r w:rsidRPr="00413790">
              <w:t>KM estimate (95% CI)</w:t>
            </w:r>
            <w:r w:rsidRPr="00413790">
              <w:rPr>
                <w:vertAlign w:val="superscript"/>
              </w:rPr>
              <w:t>a</w:t>
            </w:r>
          </w:p>
        </w:tc>
        <w:tc>
          <w:tcPr>
            <w:tcW w:w="2653" w:type="pct"/>
            <w:tcMar>
              <w:top w:w="28" w:type="dxa"/>
              <w:left w:w="28" w:type="dxa"/>
              <w:bottom w:w="28" w:type="dxa"/>
              <w:right w:w="28" w:type="dxa"/>
            </w:tcMar>
            <w:vAlign w:val="center"/>
          </w:tcPr>
          <w:p w:rsidR="00704094" w:rsidRPr="00413790" w:rsidRDefault="00704094" w:rsidP="00E67C26">
            <w:r w:rsidRPr="00413790">
              <w:t>56.0% (45.1-67.6)</w:t>
            </w:r>
          </w:p>
        </w:tc>
      </w:tr>
      <w:tr w:rsidR="00704094" w:rsidRPr="00772179">
        <w:trPr>
          <w:trHeight w:val="391"/>
        </w:trPr>
        <w:tc>
          <w:tcPr>
            <w:tcW w:w="2347" w:type="pct"/>
            <w:tcMar>
              <w:top w:w="28" w:type="dxa"/>
              <w:left w:w="28" w:type="dxa"/>
              <w:bottom w:w="28" w:type="dxa"/>
              <w:right w:w="28" w:type="dxa"/>
            </w:tcMar>
            <w:vAlign w:val="center"/>
          </w:tcPr>
          <w:p w:rsidR="00704094" w:rsidRPr="00413790" w:rsidRDefault="00704094" w:rsidP="00E67C26">
            <w:r w:rsidRPr="00413790">
              <w:t xml:space="preserve">Lesion Based Recurrence </w:t>
            </w:r>
            <w:proofErr w:type="spellStart"/>
            <w:r w:rsidRPr="00413790">
              <w:t>Rate</w:t>
            </w:r>
            <w:r w:rsidRPr="00413790">
              <w:rPr>
                <w:vertAlign w:val="superscript"/>
              </w:rPr>
              <w:t>b</w:t>
            </w:r>
            <w:proofErr w:type="spellEnd"/>
            <w:r w:rsidRPr="00413790">
              <w:t xml:space="preserve"> 12 months</w:t>
            </w:r>
          </w:p>
          <w:p w:rsidR="00704094" w:rsidRPr="00413790" w:rsidRDefault="00704094" w:rsidP="00E67C26">
            <w:r w:rsidRPr="00413790">
              <w:t>Mean (SD)</w:t>
            </w:r>
          </w:p>
        </w:tc>
        <w:tc>
          <w:tcPr>
            <w:tcW w:w="2653" w:type="pct"/>
            <w:tcMar>
              <w:top w:w="28" w:type="dxa"/>
              <w:left w:w="28" w:type="dxa"/>
              <w:bottom w:w="28" w:type="dxa"/>
              <w:right w:w="28" w:type="dxa"/>
            </w:tcMar>
            <w:vAlign w:val="center"/>
          </w:tcPr>
          <w:p w:rsidR="00704094" w:rsidRPr="00413790" w:rsidRDefault="00704094" w:rsidP="00E67C26">
            <w:r w:rsidRPr="00413790">
              <w:t>13.2% (23.0)</w:t>
            </w:r>
          </w:p>
        </w:tc>
      </w:tr>
      <w:tr w:rsidR="00704094" w:rsidRPr="00772179">
        <w:trPr>
          <w:trHeight w:val="150"/>
        </w:trPr>
        <w:tc>
          <w:tcPr>
            <w:tcW w:w="5000" w:type="pct"/>
            <w:gridSpan w:val="2"/>
            <w:tcMar>
              <w:top w:w="28" w:type="dxa"/>
              <w:left w:w="28" w:type="dxa"/>
              <w:bottom w:w="28" w:type="dxa"/>
              <w:right w:w="28" w:type="dxa"/>
            </w:tcMar>
          </w:tcPr>
          <w:p w:rsidR="00704094" w:rsidRPr="00413790" w:rsidRDefault="00704094" w:rsidP="00E67C26">
            <w:r w:rsidRPr="00413790">
              <w:rPr>
                <w:vertAlign w:val="superscript"/>
              </w:rPr>
              <w:t xml:space="preserve">a </w:t>
            </w:r>
            <w:r w:rsidRPr="00413790">
              <w:t xml:space="preserve">The recurrence rate is the Kaplan-Meier (KM) estimate at the target study date of the visit expressed as a percentage (95% CI). Recurrence was defined as any identified </w:t>
            </w:r>
            <w:r w:rsidR="001E05B1">
              <w:t>SK</w:t>
            </w:r>
            <w:r w:rsidRPr="00413790">
              <w:t xml:space="preserve"> lesion in the previously treated area for patients who achieved complete clearance at day 57 in a previous phase 3 studies.</w:t>
            </w:r>
          </w:p>
          <w:p w:rsidR="00704094" w:rsidRPr="00413790" w:rsidRDefault="00704094" w:rsidP="00E67C26">
            <w:pPr>
              <w:pStyle w:val="BodyText0"/>
            </w:pPr>
            <w:r w:rsidRPr="00413790">
              <w:rPr>
                <w:vertAlign w:val="superscript"/>
              </w:rPr>
              <w:t xml:space="preserve">b </w:t>
            </w:r>
            <w:r w:rsidRPr="00413790">
              <w:t xml:space="preserve">The lesion-based recurrence rate for each patient defined as the ratio of the number of </w:t>
            </w:r>
            <w:r w:rsidR="001E05B1">
              <w:t>SK</w:t>
            </w:r>
            <w:r w:rsidRPr="00413790">
              <w:t xml:space="preserve"> lesions at 12 months to the number of lesions at baseline in the previous phase 3 studies.</w:t>
            </w:r>
          </w:p>
          <w:p w:rsidR="00704094" w:rsidRPr="00772179" w:rsidRDefault="00704094" w:rsidP="00E67C26">
            <w:r w:rsidRPr="00413790">
              <w:rPr>
                <w:vertAlign w:val="superscript"/>
              </w:rPr>
              <w:t xml:space="preserve">c </w:t>
            </w:r>
            <w:r w:rsidRPr="00413790">
              <w:t xml:space="preserve">Of these, 38 subjects were previously treated in a vehicle controlled phase 3 study and 38 subjects were previously treated in an uncontrolled phase 3 study. </w:t>
            </w:r>
          </w:p>
        </w:tc>
      </w:tr>
    </w:tbl>
    <w:p w:rsidR="0038499E" w:rsidRPr="0038499E" w:rsidRDefault="007615AF" w:rsidP="00E67C26">
      <w:pPr>
        <w:pStyle w:val="Heading3"/>
      </w:pPr>
      <w:r>
        <w:lastRenderedPageBreak/>
        <w:t>P</w:t>
      </w:r>
      <w:r w:rsidR="0038499E" w:rsidRPr="0038499E">
        <w:t xml:space="preserve">rogression to </w:t>
      </w:r>
      <w:proofErr w:type="spellStart"/>
      <w:r w:rsidR="0038499E" w:rsidRPr="0038499E">
        <w:t>squamous</w:t>
      </w:r>
      <w:proofErr w:type="spellEnd"/>
      <w:r w:rsidR="0038499E" w:rsidRPr="0038499E">
        <w:t xml:space="preserve"> cell carcinoma</w:t>
      </w:r>
    </w:p>
    <w:p w:rsidR="00A12E51" w:rsidRPr="00A12E51" w:rsidRDefault="00A12E51" w:rsidP="00BF5A9D">
      <w:r w:rsidRPr="00A12E51">
        <w:t xml:space="preserve">At end of study (day 57), the rate of </w:t>
      </w:r>
      <w:proofErr w:type="spellStart"/>
      <w:r w:rsidRPr="00A12E51">
        <w:t>squamous</w:t>
      </w:r>
      <w:proofErr w:type="spellEnd"/>
      <w:r w:rsidRPr="00A12E51">
        <w:t xml:space="preserve"> cell carcinoma (SCC) reported in the trea</w:t>
      </w:r>
      <w:r w:rsidRPr="00A12E51">
        <w:t>t</w:t>
      </w:r>
      <w:r w:rsidRPr="00A12E51">
        <w:t xml:space="preserve">ment area was comparable in patients treated with </w:t>
      </w:r>
      <w:proofErr w:type="spellStart"/>
      <w:r w:rsidR="002C47E1">
        <w:t>Picato</w:t>
      </w:r>
      <w:proofErr w:type="spellEnd"/>
      <w:r w:rsidR="00DA2F20" w:rsidRPr="00DA2F20">
        <w:rPr>
          <w:vertAlign w:val="superscript"/>
        </w:rPr>
        <w:t>®</w:t>
      </w:r>
      <w:r w:rsidRPr="00A12E51">
        <w:t xml:space="preserve"> (0.3%, 3 of 1165 patients) and in vehicle treated patients (0.3%, 2 of 632 patients), in the </w:t>
      </w:r>
      <w:r w:rsidR="00C529E2">
        <w:t xml:space="preserve">solar </w:t>
      </w:r>
      <w:proofErr w:type="spellStart"/>
      <w:r w:rsidR="00C529E2">
        <w:t>ker</w:t>
      </w:r>
      <w:r w:rsidR="00C529E2">
        <w:t>a</w:t>
      </w:r>
      <w:r w:rsidR="00C529E2">
        <w:t>toses</w:t>
      </w:r>
      <w:proofErr w:type="spellEnd"/>
      <w:r w:rsidR="00E67C26">
        <w:t xml:space="preserve"> clinical studies.</w:t>
      </w:r>
    </w:p>
    <w:p w:rsidR="00A12E51" w:rsidRDefault="00A12E51" w:rsidP="00A12E51">
      <w:pPr>
        <w:pStyle w:val="Bodytext"/>
        <w:spacing w:after="240"/>
        <w:ind w:right="480"/>
        <w:rPr>
          <w:rFonts w:ascii="Arial" w:hAnsi="Arial" w:cs="Arial"/>
          <w:sz w:val="22"/>
          <w:szCs w:val="22"/>
        </w:rPr>
      </w:pPr>
      <w:r w:rsidRPr="00A12E51">
        <w:rPr>
          <w:rFonts w:ascii="Arial" w:hAnsi="Arial" w:cs="Arial"/>
          <w:sz w:val="22"/>
          <w:szCs w:val="22"/>
        </w:rPr>
        <w:t xml:space="preserve">SCC in the treatment area was reported in none of the 184 patients previously treated with </w:t>
      </w:r>
      <w:r w:rsidR="002C47E1">
        <w:rPr>
          <w:rFonts w:ascii="Arial" w:hAnsi="Arial" w:cs="Arial"/>
          <w:sz w:val="22"/>
          <w:szCs w:val="22"/>
        </w:rPr>
        <w:t>Picato</w:t>
      </w:r>
      <w:r w:rsidR="00DA2F20" w:rsidRPr="00DA2F20">
        <w:rPr>
          <w:rFonts w:ascii="Arial" w:hAnsi="Arial" w:cs="Arial"/>
          <w:sz w:val="22"/>
          <w:szCs w:val="22"/>
          <w:vertAlign w:val="superscript"/>
        </w:rPr>
        <w:t>®</w:t>
      </w:r>
      <w:r w:rsidRPr="00A12E51">
        <w:rPr>
          <w:rFonts w:ascii="Arial" w:hAnsi="Arial" w:cs="Arial"/>
          <w:sz w:val="22"/>
          <w:szCs w:val="22"/>
        </w:rPr>
        <w:t>, in three prospective, observational long-term 1 year follow-up studies.</w:t>
      </w:r>
    </w:p>
    <w:p w:rsidR="00342339" w:rsidRPr="00413790" w:rsidRDefault="00342339" w:rsidP="00E67C26">
      <w:pPr>
        <w:pStyle w:val="Heading3"/>
      </w:pPr>
      <w:r>
        <w:t>Experience with treatment of a larger area</w:t>
      </w:r>
    </w:p>
    <w:p w:rsidR="00342339" w:rsidRPr="00413790" w:rsidRDefault="00342339" w:rsidP="00BF5A9D">
      <w:r w:rsidRPr="00413790">
        <w:t xml:space="preserve">In a double-blind, vehicle-controlled study to evaluate systemic exposure, </w:t>
      </w:r>
      <w:proofErr w:type="spellStart"/>
      <w:r w:rsidRPr="00413790">
        <w:t>ingenol</w:t>
      </w:r>
      <w:proofErr w:type="spellEnd"/>
      <w:r w:rsidRPr="00413790">
        <w:t xml:space="preserve"> </w:t>
      </w:r>
      <w:proofErr w:type="spellStart"/>
      <w:r w:rsidRPr="00413790">
        <w:t>mebutate</w:t>
      </w:r>
      <w:proofErr w:type="spellEnd"/>
      <w:r w:rsidRPr="00413790">
        <w:t xml:space="preserve"> </w:t>
      </w:r>
      <w:r w:rsidR="001D6C53">
        <w:t>0.05%</w:t>
      </w:r>
      <w:r w:rsidR="0038499E">
        <w:t xml:space="preserve"> gel</w:t>
      </w:r>
      <w:r w:rsidRPr="00413790">
        <w:t>, from 4 single dose tubes, was applied to a 100 cm</w:t>
      </w:r>
      <w:r w:rsidRPr="00413790">
        <w:rPr>
          <w:vertAlign w:val="superscript"/>
        </w:rPr>
        <w:t>2</w:t>
      </w:r>
      <w:r w:rsidRPr="00413790">
        <w:t xml:space="preserve"> contiguous treatment area daily for 2 consec</w:t>
      </w:r>
      <w:r w:rsidRPr="00413790">
        <w:t>u</w:t>
      </w:r>
      <w:r w:rsidRPr="00413790">
        <w:t>tive days. Results demons</w:t>
      </w:r>
      <w:r w:rsidR="00E67C26">
        <w:t>trated no systemic absorption.</w:t>
      </w:r>
    </w:p>
    <w:p w:rsidR="00342339" w:rsidRDefault="002C47E1" w:rsidP="00413790">
      <w:pPr>
        <w:pStyle w:val="Bodytext"/>
        <w:spacing w:after="240"/>
        <w:ind w:right="-2"/>
        <w:jc w:val="both"/>
        <w:rPr>
          <w:rFonts w:ascii="Arial" w:hAnsi="Arial" w:cs="Arial"/>
          <w:sz w:val="22"/>
          <w:szCs w:val="22"/>
        </w:rPr>
      </w:pPr>
      <w:r>
        <w:rPr>
          <w:rFonts w:ascii="Arial" w:hAnsi="Arial" w:cs="Arial"/>
          <w:sz w:val="22"/>
          <w:szCs w:val="22"/>
        </w:rPr>
        <w:t>Picato</w:t>
      </w:r>
      <w:r w:rsidR="00DA2F20" w:rsidRPr="00DA2F20">
        <w:rPr>
          <w:rFonts w:ascii="Arial" w:hAnsi="Arial" w:cs="Arial"/>
          <w:sz w:val="22"/>
          <w:szCs w:val="22"/>
          <w:vertAlign w:val="superscript"/>
        </w:rPr>
        <w:t>®</w:t>
      </w:r>
      <w:r w:rsidR="00F9291A">
        <w:rPr>
          <w:rFonts w:ascii="Arial" w:hAnsi="Arial" w:cs="Arial"/>
          <w:sz w:val="22"/>
          <w:szCs w:val="22"/>
        </w:rPr>
        <w:t xml:space="preserve"> gel,</w:t>
      </w:r>
      <w:r w:rsidR="00342339" w:rsidRPr="00413790">
        <w:rPr>
          <w:rFonts w:ascii="Arial" w:hAnsi="Arial" w:cs="Arial"/>
          <w:sz w:val="22"/>
          <w:szCs w:val="22"/>
        </w:rPr>
        <w:t xml:space="preserve"> </w:t>
      </w:r>
      <w:r w:rsidR="001D6C53">
        <w:rPr>
          <w:rFonts w:ascii="Arial" w:hAnsi="Arial" w:cs="Arial"/>
          <w:sz w:val="22"/>
          <w:szCs w:val="22"/>
        </w:rPr>
        <w:t>0.05%</w:t>
      </w:r>
      <w:r w:rsidR="00342339" w:rsidRPr="00413790">
        <w:rPr>
          <w:rFonts w:ascii="Arial" w:hAnsi="Arial" w:cs="Arial"/>
          <w:sz w:val="22"/>
          <w:szCs w:val="22"/>
        </w:rPr>
        <w:t xml:space="preserve"> was well tolerated when applied to a contiguous treatment area of 100 cm</w:t>
      </w:r>
      <w:r w:rsidR="00342339" w:rsidRPr="00413790">
        <w:rPr>
          <w:rFonts w:ascii="Arial" w:hAnsi="Arial" w:cs="Arial"/>
          <w:sz w:val="22"/>
          <w:szCs w:val="22"/>
          <w:vertAlign w:val="superscript"/>
        </w:rPr>
        <w:t>2</w:t>
      </w:r>
      <w:r w:rsidR="00342339" w:rsidRPr="00413790">
        <w:rPr>
          <w:rFonts w:ascii="Arial" w:hAnsi="Arial" w:cs="Arial"/>
          <w:sz w:val="22"/>
          <w:szCs w:val="22"/>
        </w:rPr>
        <w:t xml:space="preserve"> on trunk and extremities.</w:t>
      </w:r>
    </w:p>
    <w:p w:rsidR="00342339" w:rsidRPr="00995589" w:rsidRDefault="00342339" w:rsidP="00BF5A9D">
      <w:pPr>
        <w:pStyle w:val="Heading3"/>
      </w:pPr>
      <w:r w:rsidRPr="00995589">
        <w:t>Use in the Elderly</w:t>
      </w:r>
    </w:p>
    <w:p w:rsidR="00342339" w:rsidRPr="00413790" w:rsidRDefault="00342339" w:rsidP="00BF5A9D">
      <w:r w:rsidRPr="00995589">
        <w:t>Of the 1165 sub</w:t>
      </w:r>
      <w:r w:rsidRPr="00BF5A9D">
        <w:t>j</w:t>
      </w:r>
      <w:r w:rsidRPr="00995589">
        <w:t xml:space="preserve">ects treated with </w:t>
      </w:r>
      <w:proofErr w:type="spellStart"/>
      <w:r w:rsidR="002C47E1">
        <w:t>Picato</w:t>
      </w:r>
      <w:proofErr w:type="spellEnd"/>
      <w:r w:rsidR="00DA2F20" w:rsidRPr="00DA2F20">
        <w:rPr>
          <w:vertAlign w:val="superscript"/>
        </w:rPr>
        <w:t>®</w:t>
      </w:r>
      <w:r w:rsidRPr="00995589">
        <w:t xml:space="preserve"> in the </w:t>
      </w:r>
      <w:r w:rsidR="00C529E2">
        <w:t xml:space="preserve">solar </w:t>
      </w:r>
      <w:proofErr w:type="spellStart"/>
      <w:r w:rsidR="00C529E2">
        <w:t>kerat</w:t>
      </w:r>
      <w:r w:rsidR="00C529E2">
        <w:t>o</w:t>
      </w:r>
      <w:r w:rsidR="00C529E2">
        <w:t>ses</w:t>
      </w:r>
      <w:proofErr w:type="spellEnd"/>
      <w:r w:rsidR="00DB734F">
        <w:t xml:space="preserve"> </w:t>
      </w:r>
      <w:r w:rsidRPr="00995589">
        <w:t>clinical studies, 656 subjects (56%) were 65 years and older and, 241 subjects (</w:t>
      </w:r>
      <w:r w:rsidR="00CE2CC7" w:rsidRPr="00995589">
        <w:t>2</w:t>
      </w:r>
      <w:r w:rsidR="00CE2CC7">
        <w:t>1</w:t>
      </w:r>
      <w:r w:rsidRPr="00995589">
        <w:t>%) were 75 years</w:t>
      </w:r>
      <w:r w:rsidRPr="00654624">
        <w:t xml:space="preserve"> </w:t>
      </w:r>
      <w:r w:rsidRPr="00995589">
        <w:t>and older.  No overall differences in safety or eff</w:t>
      </w:r>
      <w:r w:rsidR="00FA7A4F">
        <w:t>icacy</w:t>
      </w:r>
      <w:r w:rsidRPr="00995589">
        <w:t xml:space="preserve"> were observed between these subjects and younger subjects.</w:t>
      </w:r>
    </w:p>
    <w:p w:rsidR="00E23B16" w:rsidRPr="00BF5A9D" w:rsidRDefault="003D2E11" w:rsidP="00BF5A9D">
      <w:pPr>
        <w:pStyle w:val="Heading2"/>
      </w:pPr>
      <w:r w:rsidRPr="00BF5A9D">
        <w:t>INDICATIONS</w:t>
      </w:r>
    </w:p>
    <w:p w:rsidR="00F567E9" w:rsidRPr="00995589" w:rsidRDefault="002C47E1" w:rsidP="00413790">
      <w:pPr>
        <w:pStyle w:val="Bodytext"/>
        <w:tabs>
          <w:tab w:val="left" w:pos="9070"/>
        </w:tabs>
        <w:spacing w:after="240"/>
        <w:ind w:right="-2"/>
        <w:jc w:val="both"/>
        <w:rPr>
          <w:rFonts w:ascii="Arial" w:hAnsi="Arial" w:cs="Arial"/>
          <w:sz w:val="22"/>
        </w:rPr>
      </w:pPr>
      <w:proofErr w:type="spellStart"/>
      <w:r>
        <w:rPr>
          <w:rFonts w:ascii="Arial" w:hAnsi="Arial" w:cs="Arial"/>
          <w:sz w:val="22"/>
        </w:rPr>
        <w:t>Picato</w:t>
      </w:r>
      <w:proofErr w:type="spellEnd"/>
      <w:r w:rsidR="00DA2F20" w:rsidRPr="00DA2F20">
        <w:rPr>
          <w:rFonts w:ascii="Arial" w:hAnsi="Arial" w:cs="Arial"/>
          <w:sz w:val="22"/>
          <w:vertAlign w:val="superscript"/>
        </w:rPr>
        <w:t>®</w:t>
      </w:r>
      <w:r w:rsidR="00B201E7">
        <w:rPr>
          <w:rFonts w:ascii="Arial" w:hAnsi="Arial" w:cs="Arial"/>
          <w:sz w:val="22"/>
        </w:rPr>
        <w:t xml:space="preserve"> gel</w:t>
      </w:r>
      <w:r w:rsidR="001D6C53">
        <w:rPr>
          <w:rFonts w:ascii="Arial" w:hAnsi="Arial" w:cs="Arial"/>
          <w:sz w:val="22"/>
        </w:rPr>
        <w:t xml:space="preserve"> </w:t>
      </w:r>
      <w:r w:rsidR="00F567E9" w:rsidRPr="00995589">
        <w:rPr>
          <w:rFonts w:ascii="Arial" w:hAnsi="Arial" w:cs="Arial"/>
          <w:sz w:val="22"/>
        </w:rPr>
        <w:t xml:space="preserve">is indicated </w:t>
      </w:r>
      <w:r w:rsidR="00261BC5">
        <w:rPr>
          <w:rFonts w:ascii="Arial" w:hAnsi="Arial" w:cs="Arial"/>
          <w:sz w:val="22"/>
        </w:rPr>
        <w:t>for the</w:t>
      </w:r>
      <w:r w:rsidR="00FE05F8" w:rsidRPr="00995589">
        <w:rPr>
          <w:rFonts w:ascii="Arial" w:hAnsi="Arial" w:cs="Arial"/>
          <w:sz w:val="22"/>
        </w:rPr>
        <w:t xml:space="preserve"> topical treatment </w:t>
      </w:r>
      <w:r w:rsidR="00261BC5">
        <w:rPr>
          <w:rFonts w:ascii="Arial" w:hAnsi="Arial" w:cs="Arial"/>
          <w:sz w:val="22"/>
        </w:rPr>
        <w:t xml:space="preserve">of </w:t>
      </w:r>
      <w:r w:rsidR="00FE05F8" w:rsidRPr="00995589">
        <w:rPr>
          <w:rFonts w:ascii="Arial" w:hAnsi="Arial" w:cs="Arial"/>
          <w:sz w:val="22"/>
        </w:rPr>
        <w:t>solar</w:t>
      </w:r>
      <w:r w:rsidR="00F567E9" w:rsidRPr="00995589">
        <w:rPr>
          <w:rFonts w:ascii="Arial" w:hAnsi="Arial" w:cs="Arial"/>
          <w:sz w:val="22"/>
        </w:rPr>
        <w:t xml:space="preserve"> </w:t>
      </w:r>
      <w:r w:rsidR="00261BC5">
        <w:rPr>
          <w:rFonts w:ascii="Arial" w:hAnsi="Arial" w:cs="Arial"/>
          <w:sz w:val="22"/>
        </w:rPr>
        <w:t xml:space="preserve">(actinic) </w:t>
      </w:r>
      <w:r w:rsidR="00F567E9" w:rsidRPr="00995589">
        <w:rPr>
          <w:rFonts w:ascii="Arial" w:hAnsi="Arial" w:cs="Arial"/>
          <w:sz w:val="22"/>
        </w:rPr>
        <w:t>keratos</w:t>
      </w:r>
      <w:r w:rsidR="00261BC5">
        <w:rPr>
          <w:rFonts w:ascii="Arial" w:hAnsi="Arial" w:cs="Arial"/>
          <w:sz w:val="22"/>
        </w:rPr>
        <w:t>es</w:t>
      </w:r>
      <w:r w:rsidR="00F567E9" w:rsidRPr="00995589">
        <w:rPr>
          <w:rFonts w:ascii="Arial" w:hAnsi="Arial" w:cs="Arial"/>
          <w:sz w:val="22"/>
        </w:rPr>
        <w:t xml:space="preserve"> </w:t>
      </w:r>
      <w:r w:rsidR="00EE550F">
        <w:rPr>
          <w:rFonts w:ascii="Arial" w:hAnsi="Arial" w:cs="Arial"/>
          <w:sz w:val="22"/>
        </w:rPr>
        <w:t>in adults.</w:t>
      </w:r>
    </w:p>
    <w:p w:rsidR="00E23B16" w:rsidRPr="00BF5A9D" w:rsidRDefault="003D2E11" w:rsidP="00BF5A9D">
      <w:pPr>
        <w:pStyle w:val="Heading2"/>
      </w:pPr>
      <w:r w:rsidRPr="00BF5A9D">
        <w:t>CONTRAINDICATIONS</w:t>
      </w:r>
    </w:p>
    <w:p w:rsidR="00E23B16" w:rsidRPr="00995589" w:rsidRDefault="00261BC5" w:rsidP="00E6472B">
      <w:pPr>
        <w:pStyle w:val="Bodytext"/>
        <w:spacing w:after="240"/>
        <w:ind w:right="480"/>
        <w:rPr>
          <w:rFonts w:ascii="Arial" w:hAnsi="Arial" w:cs="Arial"/>
          <w:sz w:val="22"/>
          <w:szCs w:val="22"/>
        </w:rPr>
      </w:pPr>
      <w:r>
        <w:rPr>
          <w:rFonts w:ascii="Arial" w:hAnsi="Arial" w:cs="Arial"/>
          <w:sz w:val="22"/>
          <w:szCs w:val="22"/>
        </w:rPr>
        <w:t>A</w:t>
      </w:r>
      <w:r w:rsidR="004356E2">
        <w:rPr>
          <w:rFonts w:ascii="Arial" w:hAnsi="Arial" w:cs="Arial"/>
          <w:sz w:val="22"/>
          <w:szCs w:val="22"/>
        </w:rPr>
        <w:t>ny</w:t>
      </w:r>
      <w:r>
        <w:rPr>
          <w:rFonts w:ascii="Arial" w:hAnsi="Arial" w:cs="Arial"/>
          <w:sz w:val="22"/>
          <w:szCs w:val="22"/>
        </w:rPr>
        <w:t xml:space="preserve"> known hypersensitivity</w:t>
      </w:r>
      <w:r w:rsidR="00086E24" w:rsidRPr="00995589">
        <w:rPr>
          <w:rFonts w:ascii="Arial" w:hAnsi="Arial" w:cs="Arial"/>
          <w:sz w:val="22"/>
          <w:szCs w:val="22"/>
        </w:rPr>
        <w:t xml:space="preserve"> to ingenol mebutate or any constituent of </w:t>
      </w:r>
      <w:r w:rsidR="002C47E1">
        <w:rPr>
          <w:rFonts w:ascii="Arial" w:hAnsi="Arial" w:cs="Arial"/>
          <w:sz w:val="22"/>
          <w:szCs w:val="22"/>
        </w:rPr>
        <w:t>Picato</w:t>
      </w:r>
      <w:r w:rsidR="00DA2F20" w:rsidRPr="00DA2F20">
        <w:rPr>
          <w:rFonts w:ascii="Arial" w:hAnsi="Arial" w:cs="Arial"/>
          <w:sz w:val="22"/>
          <w:szCs w:val="22"/>
          <w:vertAlign w:val="superscript"/>
        </w:rPr>
        <w:t>®</w:t>
      </w:r>
      <w:r w:rsidR="00B201E7">
        <w:rPr>
          <w:rFonts w:ascii="Arial" w:hAnsi="Arial" w:cs="Arial"/>
          <w:sz w:val="22"/>
          <w:szCs w:val="22"/>
        </w:rPr>
        <w:t xml:space="preserve"> gel</w:t>
      </w:r>
      <w:r w:rsidR="00086E24" w:rsidRPr="00995589">
        <w:rPr>
          <w:rFonts w:ascii="Arial" w:hAnsi="Arial" w:cs="Arial"/>
          <w:sz w:val="22"/>
          <w:szCs w:val="22"/>
        </w:rPr>
        <w:t>.</w:t>
      </w:r>
    </w:p>
    <w:p w:rsidR="00E23B16" w:rsidRPr="00BF5A9D" w:rsidRDefault="003D2E11" w:rsidP="00BF5A9D">
      <w:pPr>
        <w:pStyle w:val="Heading2"/>
      </w:pPr>
      <w:r w:rsidRPr="00BF5A9D">
        <w:t>PRECAUTIONS</w:t>
      </w:r>
    </w:p>
    <w:p w:rsidR="00E40480" w:rsidRPr="00995589" w:rsidRDefault="00E23B16" w:rsidP="008C206F">
      <w:pPr>
        <w:pStyle w:val="Bodytext"/>
        <w:spacing w:after="240"/>
        <w:ind w:right="480"/>
        <w:rPr>
          <w:rFonts w:ascii="Arial" w:hAnsi="Arial" w:cs="Arial"/>
          <w:sz w:val="22"/>
          <w:szCs w:val="22"/>
        </w:rPr>
      </w:pPr>
      <w:r w:rsidRPr="00995589">
        <w:rPr>
          <w:rFonts w:ascii="Arial" w:hAnsi="Arial" w:cs="Arial"/>
          <w:sz w:val="22"/>
          <w:szCs w:val="22"/>
        </w:rPr>
        <w:t>FOR EXTERNAL USE ONLY</w:t>
      </w:r>
      <w:r w:rsidR="00261BC5">
        <w:rPr>
          <w:rFonts w:ascii="Arial" w:hAnsi="Arial" w:cs="Arial"/>
          <w:sz w:val="22"/>
          <w:szCs w:val="22"/>
        </w:rPr>
        <w:t xml:space="preserve">; </w:t>
      </w:r>
      <w:r w:rsidR="00261BC5" w:rsidRPr="00261BC5">
        <w:rPr>
          <w:rFonts w:ascii="Arial" w:hAnsi="Arial" w:cs="Arial"/>
          <w:caps/>
          <w:sz w:val="22"/>
          <w:szCs w:val="22"/>
        </w:rPr>
        <w:t>Not for Oral, Ophthalmic, Vaginal or Anal Use</w:t>
      </w:r>
      <w:r w:rsidR="00261BC5">
        <w:rPr>
          <w:rFonts w:ascii="Arial" w:hAnsi="Arial" w:cs="Arial"/>
          <w:caps/>
          <w:sz w:val="22"/>
          <w:szCs w:val="22"/>
        </w:rPr>
        <w:t>.</w:t>
      </w:r>
      <w:r w:rsidR="00261BC5">
        <w:rPr>
          <w:rFonts w:ascii="Arial" w:hAnsi="Arial" w:cs="Arial"/>
          <w:sz w:val="22"/>
          <w:szCs w:val="22"/>
        </w:rPr>
        <w:t xml:space="preserve"> </w:t>
      </w:r>
      <w:r w:rsidR="00B27E5D">
        <w:rPr>
          <w:rFonts w:ascii="Arial" w:hAnsi="Arial" w:cs="Arial"/>
          <w:sz w:val="22"/>
          <w:szCs w:val="22"/>
        </w:rPr>
        <w:t xml:space="preserve"> AVOID EYE AREA.</w:t>
      </w:r>
    </w:p>
    <w:p w:rsidR="006E6F99" w:rsidRPr="00995589" w:rsidRDefault="006E6F99" w:rsidP="0019720B">
      <w:pPr>
        <w:pStyle w:val="Bodytext"/>
        <w:tabs>
          <w:tab w:val="left" w:pos="9070"/>
        </w:tabs>
        <w:spacing w:after="240"/>
        <w:ind w:right="-2"/>
        <w:rPr>
          <w:rFonts w:ascii="Arial" w:hAnsi="Arial" w:cs="Arial"/>
          <w:sz w:val="22"/>
          <w:szCs w:val="22"/>
        </w:rPr>
      </w:pPr>
      <w:r w:rsidRPr="00995589">
        <w:rPr>
          <w:rFonts w:ascii="Arial" w:hAnsi="Arial" w:cs="Arial"/>
          <w:b/>
          <w:sz w:val="22"/>
          <w:szCs w:val="22"/>
        </w:rPr>
        <w:t>Eye exposure:</w:t>
      </w:r>
      <w:r w:rsidRPr="00995589">
        <w:rPr>
          <w:rFonts w:ascii="Arial" w:hAnsi="Arial" w:cs="Arial"/>
          <w:sz w:val="22"/>
          <w:szCs w:val="22"/>
        </w:rPr>
        <w:t xml:space="preserve"> </w:t>
      </w:r>
      <w:r w:rsidR="004356E2">
        <w:rPr>
          <w:rFonts w:ascii="Arial" w:hAnsi="Arial" w:cs="Arial"/>
          <w:sz w:val="22"/>
          <w:szCs w:val="22"/>
        </w:rPr>
        <w:t xml:space="preserve">Avoid contact with eyes. </w:t>
      </w:r>
      <w:r w:rsidR="004356E2" w:rsidRPr="004356E2">
        <w:rPr>
          <w:rFonts w:ascii="Arial" w:hAnsi="Arial" w:cs="Arial"/>
          <w:sz w:val="22"/>
          <w:szCs w:val="22"/>
        </w:rPr>
        <w:t xml:space="preserve">If accidental exposure occurs, the eyes should be flushed immediately with large amounts of water, and the patient should seek medical </w:t>
      </w:r>
      <w:r w:rsidR="00382DCE">
        <w:rPr>
          <w:rFonts w:ascii="Arial" w:hAnsi="Arial" w:cs="Arial"/>
          <w:sz w:val="22"/>
          <w:szCs w:val="22"/>
        </w:rPr>
        <w:t>assistance</w:t>
      </w:r>
      <w:r w:rsidR="004356E2" w:rsidRPr="004356E2">
        <w:rPr>
          <w:rFonts w:ascii="Arial" w:hAnsi="Arial" w:cs="Arial"/>
          <w:sz w:val="22"/>
          <w:szCs w:val="22"/>
        </w:rPr>
        <w:t xml:space="preserve"> as soon as possible.</w:t>
      </w:r>
    </w:p>
    <w:p w:rsidR="00E40480" w:rsidRPr="00995589" w:rsidRDefault="006E6F99" w:rsidP="0019720B">
      <w:pPr>
        <w:pStyle w:val="Bodytext"/>
        <w:tabs>
          <w:tab w:val="left" w:pos="9070"/>
        </w:tabs>
        <w:spacing w:after="240"/>
        <w:ind w:right="-2"/>
        <w:rPr>
          <w:rFonts w:ascii="Arial" w:hAnsi="Arial" w:cs="Arial"/>
          <w:sz w:val="22"/>
          <w:szCs w:val="22"/>
        </w:rPr>
      </w:pPr>
      <w:r w:rsidRPr="00995589">
        <w:rPr>
          <w:rFonts w:ascii="Arial" w:hAnsi="Arial" w:cs="Arial"/>
          <w:b/>
          <w:sz w:val="22"/>
          <w:szCs w:val="22"/>
        </w:rPr>
        <w:t>Ingestion:</w:t>
      </w:r>
      <w:r w:rsidRPr="00995589">
        <w:rPr>
          <w:rFonts w:ascii="Arial" w:hAnsi="Arial" w:cs="Arial"/>
          <w:sz w:val="22"/>
          <w:szCs w:val="22"/>
        </w:rPr>
        <w:t xml:space="preserve"> </w:t>
      </w:r>
      <w:r w:rsidR="00E40480" w:rsidRPr="00995589">
        <w:rPr>
          <w:rFonts w:ascii="Arial" w:hAnsi="Arial" w:cs="Arial"/>
          <w:sz w:val="22"/>
          <w:szCs w:val="22"/>
        </w:rPr>
        <w:t xml:space="preserve">If you get </w:t>
      </w:r>
      <w:r w:rsidR="002C47E1">
        <w:rPr>
          <w:rFonts w:ascii="Arial" w:hAnsi="Arial" w:cs="Arial"/>
          <w:sz w:val="22"/>
          <w:szCs w:val="22"/>
        </w:rPr>
        <w:t>Picato</w:t>
      </w:r>
      <w:r w:rsidR="00DA2F20" w:rsidRPr="00DA2F20">
        <w:rPr>
          <w:rFonts w:ascii="Arial" w:hAnsi="Arial" w:cs="Arial"/>
          <w:sz w:val="22"/>
          <w:szCs w:val="22"/>
          <w:vertAlign w:val="superscript"/>
        </w:rPr>
        <w:t>®</w:t>
      </w:r>
      <w:r w:rsidR="00E40480" w:rsidRPr="00995589">
        <w:rPr>
          <w:rFonts w:ascii="Arial" w:hAnsi="Arial" w:cs="Arial"/>
          <w:sz w:val="22"/>
          <w:szCs w:val="22"/>
        </w:rPr>
        <w:t xml:space="preserve"> in your mouth, rinse well with water </w:t>
      </w:r>
      <w:r w:rsidR="00E40480" w:rsidRPr="00995589">
        <w:rPr>
          <w:rFonts w:ascii="Arial" w:hAnsi="Arial" w:cs="Arial"/>
          <w:sz w:val="22"/>
          <w:szCs w:val="22"/>
          <w:u w:val="single"/>
        </w:rPr>
        <w:t>right away</w:t>
      </w:r>
      <w:r w:rsidR="00E40480" w:rsidRPr="00995589">
        <w:rPr>
          <w:rFonts w:ascii="Arial" w:hAnsi="Arial" w:cs="Arial"/>
          <w:sz w:val="22"/>
          <w:szCs w:val="22"/>
        </w:rPr>
        <w:t xml:space="preserve">.  Contact your healthcare provider or poison </w:t>
      </w:r>
      <w:r w:rsidR="00261BC5">
        <w:rPr>
          <w:rFonts w:ascii="Arial" w:hAnsi="Arial" w:cs="Arial"/>
          <w:sz w:val="22"/>
          <w:szCs w:val="22"/>
        </w:rPr>
        <w:t>information</w:t>
      </w:r>
      <w:r w:rsidR="005767AF">
        <w:rPr>
          <w:rFonts w:ascii="Arial" w:hAnsi="Arial" w:cs="Arial"/>
          <w:sz w:val="22"/>
          <w:szCs w:val="22"/>
        </w:rPr>
        <w:t xml:space="preserve"> center</w:t>
      </w:r>
      <w:r w:rsidR="002D5CE0">
        <w:rPr>
          <w:rFonts w:ascii="Arial" w:hAnsi="Arial" w:cs="Arial"/>
          <w:sz w:val="22"/>
          <w:szCs w:val="22"/>
        </w:rPr>
        <w:t>, phone 13 11 26</w:t>
      </w:r>
      <w:r w:rsidR="00E67C26">
        <w:rPr>
          <w:rFonts w:ascii="Arial" w:hAnsi="Arial" w:cs="Arial"/>
          <w:sz w:val="22"/>
          <w:szCs w:val="22"/>
        </w:rPr>
        <w:t>.</w:t>
      </w:r>
    </w:p>
    <w:p w:rsidR="006E6F99" w:rsidRPr="00995589" w:rsidRDefault="006E6F99" w:rsidP="00413790">
      <w:pPr>
        <w:pStyle w:val="Bodytext"/>
        <w:tabs>
          <w:tab w:val="left" w:pos="9070"/>
        </w:tabs>
        <w:spacing w:after="240"/>
        <w:ind w:right="-2"/>
        <w:jc w:val="both"/>
        <w:rPr>
          <w:rFonts w:ascii="Arial" w:hAnsi="Arial" w:cs="Arial"/>
          <w:sz w:val="22"/>
          <w:szCs w:val="22"/>
        </w:rPr>
      </w:pPr>
      <w:r w:rsidRPr="00995589">
        <w:rPr>
          <w:rFonts w:ascii="Arial" w:hAnsi="Arial" w:cs="Arial"/>
          <w:b/>
          <w:sz w:val="22"/>
          <w:szCs w:val="22"/>
        </w:rPr>
        <w:t>Local skin responses:</w:t>
      </w:r>
      <w:r w:rsidRPr="00995589">
        <w:rPr>
          <w:rFonts w:ascii="Arial" w:hAnsi="Arial" w:cs="Arial"/>
          <w:sz w:val="22"/>
          <w:szCs w:val="22"/>
        </w:rPr>
        <w:t xml:space="preserve"> </w:t>
      </w:r>
      <w:r w:rsidR="00F41790" w:rsidRPr="00F41790">
        <w:rPr>
          <w:rFonts w:ascii="Arial" w:hAnsi="Arial" w:cs="Arial"/>
          <w:sz w:val="22"/>
          <w:szCs w:val="22"/>
        </w:rPr>
        <w:t>Local skin responses such as erythema, flaking/scaling, crusting</w:t>
      </w:r>
      <w:r w:rsidR="000670C4">
        <w:rPr>
          <w:rFonts w:ascii="Arial" w:hAnsi="Arial" w:cs="Arial"/>
          <w:sz w:val="22"/>
          <w:szCs w:val="22"/>
        </w:rPr>
        <w:t xml:space="preserve">, swelling, </w:t>
      </w:r>
      <w:proofErr w:type="spellStart"/>
      <w:r w:rsidR="000670C4">
        <w:rPr>
          <w:rFonts w:ascii="Arial" w:hAnsi="Arial" w:cs="Arial"/>
          <w:sz w:val="22"/>
          <w:szCs w:val="22"/>
        </w:rPr>
        <w:t>vesiculation</w:t>
      </w:r>
      <w:proofErr w:type="spellEnd"/>
      <w:r w:rsidR="000670C4">
        <w:rPr>
          <w:rFonts w:ascii="Arial" w:hAnsi="Arial" w:cs="Arial"/>
          <w:sz w:val="22"/>
          <w:szCs w:val="22"/>
        </w:rPr>
        <w:t>/</w:t>
      </w:r>
      <w:proofErr w:type="spellStart"/>
      <w:r w:rsidR="00D570BE">
        <w:rPr>
          <w:rFonts w:ascii="Arial" w:hAnsi="Arial" w:cs="Arial"/>
          <w:sz w:val="22"/>
          <w:szCs w:val="22"/>
        </w:rPr>
        <w:t>pustulation</w:t>
      </w:r>
      <w:proofErr w:type="spellEnd"/>
      <w:r w:rsidR="00D570BE">
        <w:rPr>
          <w:rFonts w:ascii="Arial" w:hAnsi="Arial" w:cs="Arial"/>
          <w:sz w:val="22"/>
          <w:szCs w:val="22"/>
        </w:rPr>
        <w:t xml:space="preserve"> </w:t>
      </w:r>
      <w:r w:rsidR="000670C4">
        <w:rPr>
          <w:rFonts w:ascii="Arial" w:hAnsi="Arial" w:cs="Arial"/>
          <w:sz w:val="22"/>
          <w:szCs w:val="22"/>
        </w:rPr>
        <w:t>and erosion/ulceration</w:t>
      </w:r>
      <w:r w:rsidR="00F41790" w:rsidRPr="00F41790">
        <w:rPr>
          <w:rFonts w:ascii="Arial" w:hAnsi="Arial" w:cs="Arial"/>
          <w:sz w:val="22"/>
          <w:szCs w:val="22"/>
        </w:rPr>
        <w:t xml:space="preserve"> can occur after topical application of </w:t>
      </w:r>
      <w:r w:rsidR="002C47E1">
        <w:rPr>
          <w:rFonts w:ascii="Arial" w:hAnsi="Arial" w:cs="Arial"/>
          <w:sz w:val="22"/>
          <w:szCs w:val="22"/>
        </w:rPr>
        <w:t>Picato</w:t>
      </w:r>
      <w:r w:rsidR="00DA2F20" w:rsidRPr="00DA2F20">
        <w:rPr>
          <w:rFonts w:ascii="Arial" w:hAnsi="Arial" w:cs="Arial"/>
          <w:sz w:val="22"/>
          <w:szCs w:val="22"/>
          <w:vertAlign w:val="superscript"/>
        </w:rPr>
        <w:t>®</w:t>
      </w:r>
      <w:r w:rsidR="00F41790" w:rsidRPr="00F41790">
        <w:rPr>
          <w:rFonts w:ascii="Arial" w:hAnsi="Arial" w:cs="Arial"/>
          <w:sz w:val="22"/>
          <w:szCs w:val="22"/>
        </w:rPr>
        <w:t xml:space="preserve">. These local skin responses have </w:t>
      </w:r>
      <w:r w:rsidR="005767AF">
        <w:rPr>
          <w:rFonts w:ascii="Arial" w:hAnsi="Arial" w:cs="Arial"/>
          <w:sz w:val="22"/>
          <w:szCs w:val="22"/>
        </w:rPr>
        <w:t xml:space="preserve">been </w:t>
      </w:r>
      <w:r w:rsidR="00F41790" w:rsidRPr="00F41790">
        <w:rPr>
          <w:rFonts w:ascii="Arial" w:hAnsi="Arial" w:cs="Arial"/>
          <w:sz w:val="22"/>
          <w:szCs w:val="22"/>
        </w:rPr>
        <w:t xml:space="preserve">shown to be associated with the clinical efficacy. </w:t>
      </w:r>
      <w:proofErr w:type="spellStart"/>
      <w:r w:rsidR="00F41790" w:rsidRPr="00F41790">
        <w:rPr>
          <w:rFonts w:ascii="Arial" w:hAnsi="Arial" w:cs="Arial"/>
          <w:sz w:val="22"/>
          <w:szCs w:val="22"/>
        </w:rPr>
        <w:t>Localised</w:t>
      </w:r>
      <w:proofErr w:type="spellEnd"/>
      <w:r w:rsidR="00F41790" w:rsidRPr="00F41790">
        <w:rPr>
          <w:rFonts w:ascii="Arial" w:hAnsi="Arial" w:cs="Arial"/>
          <w:sz w:val="22"/>
          <w:szCs w:val="22"/>
        </w:rPr>
        <w:t xml:space="preserve"> skin r</w:t>
      </w:r>
      <w:r w:rsidR="00F41790" w:rsidRPr="00F41790">
        <w:rPr>
          <w:rFonts w:ascii="Arial" w:hAnsi="Arial" w:cs="Arial"/>
          <w:sz w:val="22"/>
          <w:szCs w:val="22"/>
        </w:rPr>
        <w:t>e</w:t>
      </w:r>
      <w:r w:rsidR="00F41790" w:rsidRPr="00F41790">
        <w:rPr>
          <w:rFonts w:ascii="Arial" w:hAnsi="Arial" w:cs="Arial"/>
          <w:sz w:val="22"/>
          <w:szCs w:val="22"/>
        </w:rPr>
        <w:t xml:space="preserve">sponses are transient and typically occur within 1 day of treatment </w:t>
      </w:r>
      <w:r w:rsidR="00F41790" w:rsidRPr="00F41790">
        <w:rPr>
          <w:rFonts w:ascii="Arial" w:hAnsi="Arial" w:cs="Arial"/>
          <w:sz w:val="22"/>
          <w:szCs w:val="22"/>
        </w:rPr>
        <w:lastRenderedPageBreak/>
        <w:t xml:space="preserve">initiation and peak in intensity up to 1 week following completion of treatment. </w:t>
      </w:r>
      <w:proofErr w:type="spellStart"/>
      <w:r w:rsidR="00F41790" w:rsidRPr="00F41790">
        <w:rPr>
          <w:rFonts w:ascii="Arial" w:hAnsi="Arial" w:cs="Arial"/>
          <w:sz w:val="22"/>
          <w:szCs w:val="22"/>
        </w:rPr>
        <w:t>Localised</w:t>
      </w:r>
      <w:proofErr w:type="spellEnd"/>
      <w:r w:rsidR="00F41790" w:rsidRPr="00F41790">
        <w:rPr>
          <w:rFonts w:ascii="Arial" w:hAnsi="Arial" w:cs="Arial"/>
          <w:sz w:val="22"/>
          <w:szCs w:val="22"/>
        </w:rPr>
        <w:t xml:space="preserve"> skin respon</w:t>
      </w:r>
      <w:r w:rsidR="00F41790" w:rsidRPr="00F41790">
        <w:rPr>
          <w:rFonts w:ascii="Arial" w:hAnsi="Arial" w:cs="Arial"/>
          <w:sz w:val="22"/>
          <w:szCs w:val="22"/>
        </w:rPr>
        <w:t>s</w:t>
      </w:r>
      <w:r w:rsidR="00F41790" w:rsidRPr="00F41790">
        <w:rPr>
          <w:rFonts w:ascii="Arial" w:hAnsi="Arial" w:cs="Arial"/>
          <w:sz w:val="22"/>
          <w:szCs w:val="22"/>
        </w:rPr>
        <w:t xml:space="preserve">es typically resolve within 2 weeks </w:t>
      </w:r>
      <w:r w:rsidR="005767AF">
        <w:rPr>
          <w:rFonts w:ascii="Arial" w:hAnsi="Arial" w:cs="Arial"/>
          <w:sz w:val="22"/>
          <w:szCs w:val="22"/>
        </w:rPr>
        <w:t xml:space="preserve">of treatment initiation </w:t>
      </w:r>
      <w:r w:rsidR="00F41790" w:rsidRPr="00F41790">
        <w:rPr>
          <w:rFonts w:ascii="Arial" w:hAnsi="Arial" w:cs="Arial"/>
          <w:sz w:val="22"/>
          <w:szCs w:val="22"/>
        </w:rPr>
        <w:t xml:space="preserve">when treating areas on the face and scalp and within 4 weeks </w:t>
      </w:r>
      <w:r w:rsidR="005767AF">
        <w:rPr>
          <w:rFonts w:ascii="Arial" w:hAnsi="Arial" w:cs="Arial"/>
          <w:sz w:val="22"/>
          <w:szCs w:val="22"/>
        </w:rPr>
        <w:t>of trea</w:t>
      </w:r>
      <w:r w:rsidR="005767AF">
        <w:rPr>
          <w:rFonts w:ascii="Arial" w:hAnsi="Arial" w:cs="Arial"/>
          <w:sz w:val="22"/>
          <w:szCs w:val="22"/>
        </w:rPr>
        <w:t>t</w:t>
      </w:r>
      <w:r w:rsidR="005767AF">
        <w:rPr>
          <w:rFonts w:ascii="Arial" w:hAnsi="Arial" w:cs="Arial"/>
          <w:sz w:val="22"/>
          <w:szCs w:val="22"/>
        </w:rPr>
        <w:t xml:space="preserve">ment initiation </w:t>
      </w:r>
      <w:r w:rsidR="00F41790" w:rsidRPr="00F41790">
        <w:rPr>
          <w:rFonts w:ascii="Arial" w:hAnsi="Arial" w:cs="Arial"/>
          <w:sz w:val="22"/>
          <w:szCs w:val="22"/>
        </w:rPr>
        <w:t xml:space="preserve">when treating areas on the trunk and extremities. </w:t>
      </w:r>
      <w:r w:rsidRPr="00995589">
        <w:rPr>
          <w:rFonts w:ascii="Arial" w:hAnsi="Arial" w:cs="Arial"/>
          <w:sz w:val="22"/>
          <w:szCs w:val="22"/>
        </w:rPr>
        <w:t>A treatment effect may not be adequately assessed until resolution of local skin respon</w:t>
      </w:r>
      <w:r w:rsidRPr="00995589">
        <w:rPr>
          <w:rFonts w:ascii="Arial" w:hAnsi="Arial" w:cs="Arial"/>
          <w:sz w:val="22"/>
          <w:szCs w:val="22"/>
        </w:rPr>
        <w:t>s</w:t>
      </w:r>
      <w:r w:rsidR="00E67C26">
        <w:rPr>
          <w:rFonts w:ascii="Arial" w:hAnsi="Arial" w:cs="Arial"/>
          <w:sz w:val="22"/>
          <w:szCs w:val="22"/>
        </w:rPr>
        <w:t>es.</w:t>
      </w:r>
    </w:p>
    <w:p w:rsidR="006E6F99" w:rsidRPr="0016431A" w:rsidRDefault="006E6F99" w:rsidP="00193E82">
      <w:pPr>
        <w:pStyle w:val="Bodytext"/>
        <w:spacing w:after="240"/>
        <w:ind w:right="-2"/>
        <w:jc w:val="both"/>
        <w:rPr>
          <w:rFonts w:ascii="Arial" w:hAnsi="Arial" w:cs="Arial"/>
          <w:sz w:val="22"/>
          <w:szCs w:val="22"/>
        </w:rPr>
      </w:pPr>
      <w:r w:rsidRPr="00995589">
        <w:rPr>
          <w:rFonts w:ascii="Arial" w:hAnsi="Arial" w:cs="Arial"/>
          <w:sz w:val="22"/>
          <w:szCs w:val="22"/>
        </w:rPr>
        <w:t xml:space="preserve">Administration of </w:t>
      </w:r>
      <w:r w:rsidR="002C47E1">
        <w:rPr>
          <w:rFonts w:ascii="Arial" w:hAnsi="Arial" w:cs="Arial"/>
          <w:sz w:val="22"/>
          <w:szCs w:val="22"/>
        </w:rPr>
        <w:t>Picato</w:t>
      </w:r>
      <w:r w:rsidR="00DA2F20" w:rsidRPr="00DA2F20">
        <w:rPr>
          <w:rFonts w:ascii="Arial" w:hAnsi="Arial" w:cs="Arial"/>
          <w:sz w:val="22"/>
          <w:szCs w:val="22"/>
          <w:vertAlign w:val="superscript"/>
        </w:rPr>
        <w:t>®</w:t>
      </w:r>
      <w:r w:rsidR="00B201E7">
        <w:rPr>
          <w:rFonts w:ascii="Arial" w:hAnsi="Arial" w:cs="Arial"/>
          <w:sz w:val="22"/>
          <w:szCs w:val="22"/>
        </w:rPr>
        <w:t xml:space="preserve"> gel</w:t>
      </w:r>
      <w:r w:rsidR="001D6C53">
        <w:rPr>
          <w:rFonts w:ascii="Arial" w:hAnsi="Arial" w:cs="Arial"/>
          <w:sz w:val="22"/>
          <w:szCs w:val="22"/>
        </w:rPr>
        <w:t xml:space="preserve"> </w:t>
      </w:r>
      <w:r w:rsidRPr="00995589">
        <w:rPr>
          <w:rFonts w:ascii="Arial" w:hAnsi="Arial" w:cs="Arial"/>
          <w:sz w:val="22"/>
          <w:szCs w:val="22"/>
        </w:rPr>
        <w:t xml:space="preserve">is not recommended until the skin is healed from any </w:t>
      </w:r>
      <w:r w:rsidR="005767AF" w:rsidRPr="0016431A">
        <w:rPr>
          <w:rFonts w:ascii="Arial" w:hAnsi="Arial" w:cs="Arial"/>
          <w:sz w:val="22"/>
          <w:szCs w:val="22"/>
        </w:rPr>
        <w:t xml:space="preserve">treatment with a </w:t>
      </w:r>
      <w:r w:rsidRPr="0016431A">
        <w:rPr>
          <w:rFonts w:ascii="Arial" w:hAnsi="Arial" w:cs="Arial"/>
          <w:sz w:val="22"/>
          <w:szCs w:val="22"/>
        </w:rPr>
        <w:t>previous drug or surgical treatment.</w:t>
      </w:r>
    </w:p>
    <w:p w:rsidR="00E40480" w:rsidRPr="00995589" w:rsidRDefault="00193E82" w:rsidP="00193E82">
      <w:pPr>
        <w:pStyle w:val="Bodytext"/>
        <w:spacing w:after="240"/>
        <w:ind w:right="-2"/>
        <w:jc w:val="both"/>
        <w:rPr>
          <w:rFonts w:ascii="Arial" w:hAnsi="Arial" w:cs="Arial"/>
          <w:sz w:val="22"/>
          <w:szCs w:val="22"/>
        </w:rPr>
      </w:pPr>
      <w:r w:rsidRPr="0016431A">
        <w:rPr>
          <w:rFonts w:ascii="Arial" w:hAnsi="Arial" w:cs="Arial"/>
          <w:b/>
          <w:sz w:val="22"/>
          <w:szCs w:val="22"/>
        </w:rPr>
        <w:t>Ultraviolet light exposure:</w:t>
      </w:r>
      <w:r w:rsidRPr="0016431A">
        <w:rPr>
          <w:rFonts w:ascii="Arial" w:hAnsi="Arial" w:cs="Arial"/>
          <w:sz w:val="22"/>
          <w:szCs w:val="22"/>
        </w:rPr>
        <w:t xml:space="preserve"> </w:t>
      </w:r>
      <w:r w:rsidR="00EF54B6" w:rsidRPr="0016431A">
        <w:rPr>
          <w:rFonts w:ascii="Arial" w:hAnsi="Arial" w:cs="Arial"/>
          <w:sz w:val="22"/>
          <w:szCs w:val="22"/>
        </w:rPr>
        <w:t>Studies have been conducted to assess the effects of UV irradiation on the skin following single and multiple applications of ingenol mebutate</w:t>
      </w:r>
      <w:r w:rsidR="00906474" w:rsidRPr="0016431A">
        <w:rPr>
          <w:rFonts w:ascii="Arial" w:hAnsi="Arial" w:cs="Arial"/>
          <w:sz w:val="22"/>
          <w:szCs w:val="22"/>
        </w:rPr>
        <w:t xml:space="preserve"> gel</w:t>
      </w:r>
      <w:r w:rsidR="00EF54B6" w:rsidRPr="0016431A">
        <w:rPr>
          <w:rFonts w:ascii="Arial" w:hAnsi="Arial" w:cs="Arial"/>
          <w:sz w:val="22"/>
          <w:szCs w:val="22"/>
        </w:rPr>
        <w:t xml:space="preserve">, </w:t>
      </w:r>
      <w:r w:rsidR="001D6C53" w:rsidRPr="0016431A">
        <w:rPr>
          <w:rFonts w:ascii="Arial" w:hAnsi="Arial" w:cs="Arial"/>
          <w:sz w:val="22"/>
          <w:szCs w:val="22"/>
        </w:rPr>
        <w:t>0.01%</w:t>
      </w:r>
      <w:r w:rsidR="00EF54B6" w:rsidRPr="0016431A">
        <w:rPr>
          <w:rFonts w:ascii="Arial" w:hAnsi="Arial" w:cs="Arial"/>
          <w:sz w:val="22"/>
          <w:szCs w:val="22"/>
        </w:rPr>
        <w:t xml:space="preserve">. Ingenol mebutate </w:t>
      </w:r>
      <w:r w:rsidR="00906474" w:rsidRPr="0016431A">
        <w:rPr>
          <w:rFonts w:ascii="Arial" w:hAnsi="Arial" w:cs="Arial"/>
          <w:sz w:val="22"/>
          <w:szCs w:val="22"/>
        </w:rPr>
        <w:t xml:space="preserve">gel </w:t>
      </w:r>
      <w:r w:rsidR="00EF54B6" w:rsidRPr="0016431A">
        <w:rPr>
          <w:rFonts w:ascii="Arial" w:hAnsi="Arial" w:cs="Arial"/>
          <w:sz w:val="22"/>
          <w:szCs w:val="22"/>
        </w:rPr>
        <w:t>did not demonstrate any potential for photo</w:t>
      </w:r>
      <w:r w:rsidR="00906474" w:rsidRPr="0016431A">
        <w:rPr>
          <w:rFonts w:ascii="Arial" w:hAnsi="Arial" w:cs="Arial"/>
          <w:sz w:val="22"/>
          <w:szCs w:val="22"/>
        </w:rPr>
        <w:t xml:space="preserve"> </w:t>
      </w:r>
      <w:r w:rsidR="00EF54B6" w:rsidRPr="0016431A">
        <w:rPr>
          <w:rFonts w:ascii="Arial" w:hAnsi="Arial" w:cs="Arial"/>
          <w:sz w:val="22"/>
          <w:szCs w:val="22"/>
        </w:rPr>
        <w:t>irritation or photo</w:t>
      </w:r>
      <w:r w:rsidR="00906474" w:rsidRPr="0016431A">
        <w:rPr>
          <w:rFonts w:ascii="Arial" w:hAnsi="Arial" w:cs="Arial"/>
          <w:sz w:val="22"/>
          <w:szCs w:val="22"/>
        </w:rPr>
        <w:t xml:space="preserve"> </w:t>
      </w:r>
      <w:r w:rsidR="00EF54B6" w:rsidRPr="0016431A">
        <w:rPr>
          <w:rFonts w:ascii="Arial" w:hAnsi="Arial" w:cs="Arial"/>
          <w:sz w:val="22"/>
          <w:szCs w:val="22"/>
        </w:rPr>
        <w:t>aller</w:t>
      </w:r>
      <w:r w:rsidR="00906474" w:rsidRPr="0016431A">
        <w:rPr>
          <w:rFonts w:ascii="Arial" w:hAnsi="Arial" w:cs="Arial"/>
          <w:sz w:val="22"/>
          <w:szCs w:val="22"/>
        </w:rPr>
        <w:t>gic</w:t>
      </w:r>
      <w:r w:rsidR="00EF54B6" w:rsidRPr="0016431A">
        <w:rPr>
          <w:rFonts w:ascii="Arial" w:hAnsi="Arial" w:cs="Arial"/>
          <w:sz w:val="22"/>
          <w:szCs w:val="22"/>
        </w:rPr>
        <w:t xml:space="preserve"> effects. However, due to </w:t>
      </w:r>
      <w:r w:rsidR="00EB64EB">
        <w:rPr>
          <w:rFonts w:ascii="Arial" w:hAnsi="Arial" w:cs="Arial"/>
          <w:sz w:val="22"/>
          <w:szCs w:val="22"/>
        </w:rPr>
        <w:t xml:space="preserve">the </w:t>
      </w:r>
      <w:r w:rsidR="00EF54B6" w:rsidRPr="0016431A">
        <w:rPr>
          <w:rFonts w:ascii="Arial" w:hAnsi="Arial" w:cs="Arial"/>
          <w:sz w:val="22"/>
          <w:szCs w:val="22"/>
        </w:rPr>
        <w:t>nature of the disease, excessive exposure to sunlight (inclu</w:t>
      </w:r>
      <w:r w:rsidR="00EF54B6" w:rsidRPr="0016431A">
        <w:rPr>
          <w:rFonts w:ascii="Arial" w:hAnsi="Arial" w:cs="Arial"/>
          <w:sz w:val="22"/>
          <w:szCs w:val="22"/>
        </w:rPr>
        <w:t>d</w:t>
      </w:r>
      <w:r w:rsidR="00EF54B6" w:rsidRPr="0016431A">
        <w:rPr>
          <w:rFonts w:ascii="Arial" w:hAnsi="Arial" w:cs="Arial"/>
          <w:sz w:val="22"/>
          <w:szCs w:val="22"/>
        </w:rPr>
        <w:t>ing sunlamps and tanning beds) should</w:t>
      </w:r>
      <w:r w:rsidR="00EF54B6" w:rsidRPr="00EF54B6">
        <w:rPr>
          <w:rFonts w:ascii="Arial" w:hAnsi="Arial" w:cs="Arial"/>
          <w:sz w:val="22"/>
          <w:szCs w:val="22"/>
        </w:rPr>
        <w:t xml:space="preserve"> be avoided or </w:t>
      </w:r>
      <w:proofErr w:type="spellStart"/>
      <w:r w:rsidR="00EF54B6" w:rsidRPr="00EF54B6">
        <w:rPr>
          <w:rFonts w:ascii="Arial" w:hAnsi="Arial" w:cs="Arial"/>
          <w:sz w:val="22"/>
          <w:szCs w:val="22"/>
        </w:rPr>
        <w:t>minimi</w:t>
      </w:r>
      <w:r w:rsidR="00EF54B6">
        <w:rPr>
          <w:rFonts w:ascii="Arial" w:hAnsi="Arial" w:cs="Arial"/>
          <w:sz w:val="22"/>
          <w:szCs w:val="22"/>
        </w:rPr>
        <w:t>s</w:t>
      </w:r>
      <w:r w:rsidR="00E67C26">
        <w:rPr>
          <w:rFonts w:ascii="Arial" w:hAnsi="Arial" w:cs="Arial"/>
          <w:sz w:val="22"/>
          <w:szCs w:val="22"/>
        </w:rPr>
        <w:t>ed</w:t>
      </w:r>
      <w:proofErr w:type="spellEnd"/>
      <w:r w:rsidR="00E67C26">
        <w:rPr>
          <w:rFonts w:ascii="Arial" w:hAnsi="Arial" w:cs="Arial"/>
          <w:sz w:val="22"/>
          <w:szCs w:val="22"/>
        </w:rPr>
        <w:t>.</w:t>
      </w:r>
    </w:p>
    <w:p w:rsidR="00FE6857" w:rsidRPr="00853FD9" w:rsidRDefault="00FE6857" w:rsidP="00FE6857">
      <w:pPr>
        <w:pStyle w:val="Bodytext"/>
        <w:spacing w:after="240"/>
        <w:ind w:right="-2"/>
        <w:jc w:val="both"/>
        <w:rPr>
          <w:rFonts w:ascii="Arial" w:hAnsi="Arial" w:cs="Arial"/>
          <w:sz w:val="22"/>
          <w:szCs w:val="22"/>
        </w:rPr>
      </w:pPr>
      <w:r w:rsidRPr="00995589">
        <w:rPr>
          <w:rFonts w:ascii="Arial" w:hAnsi="Arial" w:cs="Arial"/>
          <w:b/>
          <w:sz w:val="22"/>
          <w:szCs w:val="22"/>
        </w:rPr>
        <w:t>Systemic reactions:</w:t>
      </w:r>
      <w:r w:rsidRPr="00995589">
        <w:rPr>
          <w:rFonts w:ascii="Arial" w:hAnsi="Arial" w:cs="Arial"/>
          <w:sz w:val="22"/>
          <w:szCs w:val="22"/>
        </w:rPr>
        <w:t xml:space="preserve"> No systemic absorption of </w:t>
      </w:r>
      <w:r w:rsidR="0016431A">
        <w:rPr>
          <w:rFonts w:ascii="Arial" w:hAnsi="Arial" w:cs="Arial"/>
          <w:sz w:val="22"/>
          <w:szCs w:val="22"/>
        </w:rPr>
        <w:t>ingenol mebutate</w:t>
      </w:r>
      <w:r w:rsidR="00B201E7">
        <w:rPr>
          <w:rFonts w:ascii="Arial" w:hAnsi="Arial" w:cs="Arial"/>
          <w:sz w:val="22"/>
          <w:szCs w:val="22"/>
        </w:rPr>
        <w:t xml:space="preserve"> </w:t>
      </w:r>
      <w:r w:rsidRPr="00995589">
        <w:rPr>
          <w:rFonts w:ascii="Arial" w:hAnsi="Arial" w:cs="Arial"/>
          <w:sz w:val="22"/>
          <w:szCs w:val="22"/>
        </w:rPr>
        <w:t>has been detec</w:t>
      </w:r>
      <w:r w:rsidRPr="00995589">
        <w:rPr>
          <w:rFonts w:ascii="Arial" w:hAnsi="Arial" w:cs="Arial"/>
          <w:sz w:val="22"/>
          <w:szCs w:val="22"/>
        </w:rPr>
        <w:t>t</w:t>
      </w:r>
      <w:r w:rsidRPr="00995589">
        <w:rPr>
          <w:rFonts w:ascii="Arial" w:hAnsi="Arial" w:cs="Arial"/>
          <w:sz w:val="22"/>
          <w:szCs w:val="22"/>
        </w:rPr>
        <w:t>ed under maximal use conditions (100 cm</w:t>
      </w:r>
      <w:r w:rsidRPr="00995589">
        <w:rPr>
          <w:rFonts w:ascii="Arial" w:hAnsi="Arial" w:cs="Arial"/>
          <w:sz w:val="22"/>
          <w:szCs w:val="22"/>
          <w:vertAlign w:val="superscript"/>
        </w:rPr>
        <w:t>2</w:t>
      </w:r>
      <w:r w:rsidRPr="00995589">
        <w:rPr>
          <w:rFonts w:ascii="Arial" w:hAnsi="Arial" w:cs="Arial"/>
          <w:sz w:val="22"/>
          <w:szCs w:val="22"/>
        </w:rPr>
        <w:t xml:space="preserve"> contiguous treatment area treated with 4 unit dose tubes of </w:t>
      </w:r>
      <w:r w:rsidR="002C47E1">
        <w:rPr>
          <w:rFonts w:ascii="Arial" w:hAnsi="Arial" w:cs="Arial"/>
          <w:sz w:val="22"/>
          <w:szCs w:val="22"/>
        </w:rPr>
        <w:t>Picato</w:t>
      </w:r>
      <w:r w:rsidR="00DA2F20" w:rsidRPr="00DA2F20">
        <w:rPr>
          <w:rFonts w:ascii="Arial" w:hAnsi="Arial" w:cs="Arial"/>
          <w:sz w:val="22"/>
          <w:szCs w:val="22"/>
          <w:vertAlign w:val="superscript"/>
        </w:rPr>
        <w:t>®</w:t>
      </w:r>
      <w:r w:rsidR="00B201E7" w:rsidRPr="00853FD9">
        <w:rPr>
          <w:rFonts w:ascii="Arial" w:hAnsi="Arial" w:cs="Arial"/>
          <w:sz w:val="22"/>
          <w:szCs w:val="22"/>
        </w:rPr>
        <w:t xml:space="preserve"> gel</w:t>
      </w:r>
      <w:r w:rsidR="0016431A" w:rsidRPr="00853FD9">
        <w:rPr>
          <w:rFonts w:ascii="Arial" w:hAnsi="Arial" w:cs="Arial"/>
          <w:sz w:val="22"/>
          <w:szCs w:val="22"/>
        </w:rPr>
        <w:t>,</w:t>
      </w:r>
      <w:r w:rsidR="00BD3E7C" w:rsidRPr="00853FD9">
        <w:rPr>
          <w:rFonts w:ascii="Arial" w:hAnsi="Arial" w:cs="Arial"/>
          <w:sz w:val="22"/>
          <w:szCs w:val="22"/>
        </w:rPr>
        <w:t xml:space="preserve"> 0.05% </w:t>
      </w:r>
      <w:r w:rsidRPr="00853FD9">
        <w:rPr>
          <w:rFonts w:ascii="Arial" w:hAnsi="Arial" w:cs="Arial"/>
          <w:sz w:val="22"/>
          <w:szCs w:val="22"/>
        </w:rPr>
        <w:t>once daily for 2 consecutive days) [see Clinical Pharm</w:t>
      </w:r>
      <w:r w:rsidRPr="00853FD9">
        <w:rPr>
          <w:rFonts w:ascii="Arial" w:hAnsi="Arial" w:cs="Arial"/>
          <w:sz w:val="22"/>
          <w:szCs w:val="22"/>
        </w:rPr>
        <w:t>a</w:t>
      </w:r>
      <w:r w:rsidRPr="00853FD9">
        <w:rPr>
          <w:rFonts w:ascii="Arial" w:hAnsi="Arial" w:cs="Arial"/>
          <w:sz w:val="22"/>
          <w:szCs w:val="22"/>
        </w:rPr>
        <w:t>cology].</w:t>
      </w:r>
    </w:p>
    <w:p w:rsidR="0029322D" w:rsidRPr="00995589" w:rsidRDefault="0029322D" w:rsidP="00BF5A9D">
      <w:pPr>
        <w:pStyle w:val="Heading3"/>
      </w:pPr>
      <w:r w:rsidRPr="00995589">
        <w:t>Effects on</w:t>
      </w:r>
      <w:r w:rsidR="003D2E11" w:rsidRPr="00995589">
        <w:t xml:space="preserve"> Fertility</w:t>
      </w:r>
    </w:p>
    <w:p w:rsidR="00761CBB" w:rsidRDefault="0029322D" w:rsidP="00BF5A9D">
      <w:pPr>
        <w:pStyle w:val="Bodytext"/>
        <w:spacing w:before="120" w:after="120"/>
        <w:ind w:right="482"/>
        <w:rPr>
          <w:rFonts w:ascii="Arial" w:eastAsia="SimSun" w:hAnsi="Arial" w:cs="Arial"/>
          <w:sz w:val="22"/>
          <w:szCs w:val="22"/>
          <w:lang w:val="en-GB" w:eastAsia="zh-CN"/>
        </w:rPr>
      </w:pPr>
      <w:r w:rsidRPr="00995589">
        <w:rPr>
          <w:rFonts w:ascii="Arial" w:eastAsia="SimSun" w:hAnsi="Arial" w:cs="Arial"/>
          <w:sz w:val="22"/>
          <w:szCs w:val="22"/>
          <w:lang w:val="en-GB" w:eastAsia="zh-CN"/>
        </w:rPr>
        <w:t xml:space="preserve">No fertility studies have been </w:t>
      </w:r>
      <w:r w:rsidRPr="00BF5A9D">
        <w:rPr>
          <w:rFonts w:eastAsia="SimSun"/>
        </w:rPr>
        <w:t>p</w:t>
      </w:r>
      <w:proofErr w:type="spellStart"/>
      <w:r w:rsidRPr="00995589">
        <w:rPr>
          <w:rFonts w:ascii="Arial" w:eastAsia="SimSun" w:hAnsi="Arial" w:cs="Arial"/>
          <w:sz w:val="22"/>
          <w:szCs w:val="22"/>
          <w:lang w:val="en-GB" w:eastAsia="zh-CN"/>
        </w:rPr>
        <w:t>erformed</w:t>
      </w:r>
      <w:proofErr w:type="spellEnd"/>
      <w:r w:rsidRPr="00995589">
        <w:rPr>
          <w:rFonts w:ascii="Arial" w:eastAsia="SimSun" w:hAnsi="Arial" w:cs="Arial"/>
          <w:sz w:val="22"/>
          <w:szCs w:val="22"/>
          <w:lang w:val="en-GB" w:eastAsia="zh-CN"/>
        </w:rPr>
        <w:t xml:space="preserve"> with </w:t>
      </w:r>
      <w:proofErr w:type="spellStart"/>
      <w:r w:rsidRPr="00995589">
        <w:rPr>
          <w:rFonts w:ascii="Arial" w:eastAsia="SimSun" w:hAnsi="Arial" w:cs="Arial"/>
          <w:sz w:val="22"/>
          <w:szCs w:val="22"/>
          <w:lang w:val="en-GB" w:eastAsia="zh-CN"/>
        </w:rPr>
        <w:t>ingenol</w:t>
      </w:r>
      <w:proofErr w:type="spellEnd"/>
      <w:r w:rsidRPr="00995589">
        <w:rPr>
          <w:rFonts w:ascii="Arial" w:eastAsia="SimSun" w:hAnsi="Arial" w:cs="Arial"/>
          <w:sz w:val="22"/>
          <w:szCs w:val="22"/>
          <w:lang w:val="en-GB" w:eastAsia="zh-CN"/>
        </w:rPr>
        <w:t xml:space="preserve"> </w:t>
      </w:r>
      <w:proofErr w:type="spellStart"/>
      <w:r w:rsidRPr="00995589">
        <w:rPr>
          <w:rFonts w:ascii="Arial" w:eastAsia="SimSun" w:hAnsi="Arial" w:cs="Arial"/>
          <w:sz w:val="22"/>
          <w:szCs w:val="22"/>
          <w:lang w:val="en-GB" w:eastAsia="zh-CN"/>
        </w:rPr>
        <w:t>mebutate</w:t>
      </w:r>
      <w:proofErr w:type="spellEnd"/>
      <w:r w:rsidRPr="00995589">
        <w:rPr>
          <w:rFonts w:ascii="Arial" w:eastAsia="SimSun" w:hAnsi="Arial" w:cs="Arial"/>
          <w:sz w:val="22"/>
          <w:szCs w:val="22"/>
          <w:lang w:val="en-GB" w:eastAsia="zh-CN"/>
        </w:rPr>
        <w:t>.</w:t>
      </w:r>
    </w:p>
    <w:p w:rsidR="003B089A" w:rsidRPr="00995589" w:rsidRDefault="00E23B16" w:rsidP="00BF5A9D">
      <w:pPr>
        <w:pStyle w:val="Heading3"/>
        <w:keepNext w:val="0"/>
      </w:pPr>
      <w:r w:rsidRPr="00995589">
        <w:t>Use in Pregnancy (Category</w:t>
      </w:r>
      <w:r w:rsidR="007F4D8F" w:rsidRPr="00995589">
        <w:t xml:space="preserve"> B</w:t>
      </w:r>
      <w:r w:rsidR="00E37545">
        <w:t>3</w:t>
      </w:r>
      <w:r w:rsidRPr="00995589">
        <w:t>)</w:t>
      </w:r>
    </w:p>
    <w:p w:rsidR="007F4D8F" w:rsidRDefault="00CF5D98" w:rsidP="00BF5A9D">
      <w:pPr>
        <w:rPr>
          <w:rFonts w:eastAsia="SimSun"/>
          <w:lang w:val="en-GB" w:eastAsia="zh-CN"/>
        </w:rPr>
      </w:pPr>
      <w:r w:rsidRPr="00CF5D98">
        <w:rPr>
          <w:rFonts w:eastAsia="SimSun"/>
          <w:lang w:val="en-GB" w:eastAsia="zh-CN"/>
        </w:rPr>
        <w:t xml:space="preserve">There are no data from the use of </w:t>
      </w:r>
      <w:proofErr w:type="spellStart"/>
      <w:r w:rsidRPr="00CF5D98">
        <w:rPr>
          <w:rFonts w:eastAsia="SimSun"/>
          <w:lang w:val="en-GB" w:eastAsia="zh-CN"/>
        </w:rPr>
        <w:t>ingenol</w:t>
      </w:r>
      <w:proofErr w:type="spellEnd"/>
      <w:r w:rsidRPr="00CF5D98">
        <w:rPr>
          <w:rFonts w:eastAsia="SimSun"/>
          <w:lang w:val="en-GB" w:eastAsia="zh-CN"/>
        </w:rPr>
        <w:t xml:space="preserve"> </w:t>
      </w:r>
      <w:proofErr w:type="spellStart"/>
      <w:r w:rsidRPr="00CF5D98">
        <w:rPr>
          <w:rFonts w:eastAsia="SimSun"/>
          <w:lang w:val="en-GB" w:eastAsia="zh-CN"/>
        </w:rPr>
        <w:t>mebutate</w:t>
      </w:r>
      <w:proofErr w:type="spellEnd"/>
      <w:r w:rsidRPr="00CF5D98">
        <w:rPr>
          <w:rFonts w:eastAsia="SimSun"/>
          <w:lang w:val="en-GB" w:eastAsia="zh-CN"/>
        </w:rPr>
        <w:t xml:space="preserve"> in pregnant women. Animal studies </w:t>
      </w:r>
      <w:r w:rsidR="004147D7">
        <w:rPr>
          <w:rFonts w:eastAsia="SimSun"/>
          <w:lang w:val="en-GB" w:eastAsia="zh-CN"/>
        </w:rPr>
        <w:t xml:space="preserve">are equivocal </w:t>
      </w:r>
      <w:r w:rsidRPr="00CF5D98">
        <w:rPr>
          <w:rFonts w:eastAsia="SimSun"/>
          <w:lang w:val="en-GB" w:eastAsia="zh-CN"/>
        </w:rPr>
        <w:t xml:space="preserve">with respect to reproductive toxicity (see </w:t>
      </w:r>
      <w:r>
        <w:rPr>
          <w:rFonts w:eastAsia="SimSun"/>
          <w:lang w:val="en-GB" w:eastAsia="zh-CN"/>
        </w:rPr>
        <w:t>below</w:t>
      </w:r>
      <w:r w:rsidRPr="00CF5D98">
        <w:rPr>
          <w:rFonts w:eastAsia="SimSun"/>
          <w:lang w:val="en-GB" w:eastAsia="zh-CN"/>
        </w:rPr>
        <w:t xml:space="preserve">). Risks to humans receiving topical treatment with </w:t>
      </w:r>
      <w:proofErr w:type="spellStart"/>
      <w:r w:rsidR="002C47E1">
        <w:rPr>
          <w:rFonts w:eastAsia="SimSun"/>
          <w:lang w:val="en-GB" w:eastAsia="zh-CN"/>
        </w:rPr>
        <w:t>Picato</w:t>
      </w:r>
      <w:proofErr w:type="spellEnd"/>
      <w:r w:rsidR="00DA2F20" w:rsidRPr="00DA2F20">
        <w:rPr>
          <w:rFonts w:eastAsia="SimSun"/>
          <w:vertAlign w:val="superscript"/>
          <w:lang w:val="en-GB" w:eastAsia="zh-CN"/>
        </w:rPr>
        <w:t>®</w:t>
      </w:r>
      <w:r w:rsidRPr="00CF5D98">
        <w:rPr>
          <w:rFonts w:eastAsia="SimSun"/>
          <w:lang w:val="en-GB" w:eastAsia="zh-CN"/>
        </w:rPr>
        <w:t xml:space="preserve"> are considered unlikely as </w:t>
      </w:r>
      <w:proofErr w:type="spellStart"/>
      <w:r w:rsidR="00066B8F">
        <w:t>ingenol</w:t>
      </w:r>
      <w:proofErr w:type="spellEnd"/>
      <w:r w:rsidR="00066B8F">
        <w:t xml:space="preserve"> </w:t>
      </w:r>
      <w:proofErr w:type="spellStart"/>
      <w:r w:rsidR="00066B8F">
        <w:t>mebutate</w:t>
      </w:r>
      <w:proofErr w:type="spellEnd"/>
      <w:r w:rsidR="00066B8F">
        <w:t xml:space="preserve"> </w:t>
      </w:r>
      <w:r w:rsidRPr="00CF5D98">
        <w:rPr>
          <w:rFonts w:eastAsia="SimSun"/>
          <w:lang w:val="en-GB" w:eastAsia="zh-CN"/>
        </w:rPr>
        <w:t>i</w:t>
      </w:r>
      <w:r>
        <w:rPr>
          <w:rFonts w:eastAsia="SimSun"/>
          <w:lang w:val="en-GB" w:eastAsia="zh-CN"/>
        </w:rPr>
        <w:t>s not absorbed systemically</w:t>
      </w:r>
      <w:r w:rsidRPr="00CF5D98">
        <w:rPr>
          <w:rFonts w:eastAsia="SimSun"/>
          <w:lang w:val="en-GB" w:eastAsia="zh-CN"/>
        </w:rPr>
        <w:t xml:space="preserve">. As a precautionary measure, it is preferable to avoid the use of </w:t>
      </w:r>
      <w:proofErr w:type="spellStart"/>
      <w:r w:rsidR="002C47E1">
        <w:t>Picato</w:t>
      </w:r>
      <w:proofErr w:type="spellEnd"/>
      <w:r w:rsidR="00DA2F20" w:rsidRPr="00DA2F20">
        <w:rPr>
          <w:vertAlign w:val="superscript"/>
        </w:rPr>
        <w:t>®</w:t>
      </w:r>
      <w:r w:rsidR="00B201E7">
        <w:t xml:space="preserve"> </w:t>
      </w:r>
      <w:r w:rsidRPr="00CF5D98">
        <w:rPr>
          <w:rFonts w:eastAsia="SimSun"/>
          <w:lang w:val="en-GB" w:eastAsia="zh-CN"/>
        </w:rPr>
        <w:t>during pre</w:t>
      </w:r>
      <w:r w:rsidRPr="00CF5D98">
        <w:rPr>
          <w:rFonts w:eastAsia="SimSun"/>
          <w:lang w:val="en-GB" w:eastAsia="zh-CN"/>
        </w:rPr>
        <w:t>g</w:t>
      </w:r>
      <w:r w:rsidRPr="00CF5D98">
        <w:rPr>
          <w:rFonts w:eastAsia="SimSun"/>
          <w:lang w:val="en-GB" w:eastAsia="zh-CN"/>
        </w:rPr>
        <w:t>nancy.</w:t>
      </w:r>
    </w:p>
    <w:p w:rsidR="00A27DEB" w:rsidRPr="00995589" w:rsidRDefault="00A27DEB" w:rsidP="00BF5A9D">
      <w:pPr>
        <w:rPr>
          <w:rFonts w:eastAsia="SimSun"/>
          <w:lang w:val="en-GB" w:eastAsia="zh-CN"/>
        </w:rPr>
      </w:pPr>
      <w:r w:rsidRPr="00A27DEB">
        <w:rPr>
          <w:rFonts w:eastAsia="SimSun"/>
          <w:lang w:val="en-GB" w:eastAsia="zh-CN"/>
        </w:rPr>
        <w:t>In rats, ingenol mebutate was not associated with f</w:t>
      </w:r>
      <w:r w:rsidR="00E769C5">
        <w:rPr>
          <w:rFonts w:eastAsia="SimSun"/>
          <w:lang w:val="en-GB" w:eastAsia="zh-CN"/>
        </w:rPr>
        <w:t>o</w:t>
      </w:r>
      <w:r w:rsidRPr="00A27DEB">
        <w:rPr>
          <w:rFonts w:eastAsia="SimSun"/>
          <w:lang w:val="en-GB" w:eastAsia="zh-CN"/>
        </w:rPr>
        <w:t>etal developmental effects at IV d</w:t>
      </w:r>
      <w:r>
        <w:rPr>
          <w:rFonts w:eastAsia="SimSun"/>
          <w:lang w:val="en-GB" w:eastAsia="zh-CN"/>
        </w:rPr>
        <w:t xml:space="preserve">oses up to 5 mcg/kg/day (30 </w:t>
      </w:r>
      <w:r w:rsidRPr="00A27DEB">
        <w:rPr>
          <w:rFonts w:eastAsia="SimSun"/>
          <w:lang w:val="en-GB" w:eastAsia="zh-CN"/>
        </w:rPr>
        <w:t>mcg/m</w:t>
      </w:r>
      <w:r w:rsidRPr="00A27DEB">
        <w:rPr>
          <w:rFonts w:eastAsia="SimSun"/>
          <w:vertAlign w:val="superscript"/>
          <w:lang w:val="en-GB" w:eastAsia="zh-CN"/>
        </w:rPr>
        <w:t>2</w:t>
      </w:r>
      <w:r w:rsidRPr="00A27DEB">
        <w:rPr>
          <w:rFonts w:eastAsia="SimSun"/>
          <w:lang w:val="en-GB" w:eastAsia="zh-CN"/>
        </w:rPr>
        <w:t>/</w:t>
      </w:r>
      <w:r>
        <w:rPr>
          <w:rFonts w:eastAsia="SimSun"/>
          <w:lang w:val="en-GB" w:eastAsia="zh-CN"/>
        </w:rPr>
        <w:t>day)</w:t>
      </w:r>
      <w:r w:rsidR="004147D7">
        <w:rPr>
          <w:rFonts w:eastAsia="SimSun"/>
          <w:lang w:val="en-GB" w:eastAsia="zh-CN"/>
        </w:rPr>
        <w:t>, however, there was a possible increase in early embryonic deaths</w:t>
      </w:r>
      <w:r>
        <w:rPr>
          <w:rFonts w:eastAsia="SimSun"/>
          <w:lang w:val="en-GB" w:eastAsia="zh-CN"/>
        </w:rPr>
        <w:t xml:space="preserve">.  </w:t>
      </w:r>
      <w:r w:rsidR="002F4AFE" w:rsidRPr="002F4AFE">
        <w:rPr>
          <w:rFonts w:eastAsia="SimSun"/>
          <w:lang w:val="en-GB" w:eastAsia="zh-CN"/>
        </w:rPr>
        <w:t xml:space="preserve">In rabbits there were no major abnormalities </w:t>
      </w:r>
      <w:r w:rsidR="002F4AFE" w:rsidRPr="000E7C98">
        <w:rPr>
          <w:rFonts w:eastAsia="SimSun"/>
          <w:lang w:val="en-GB" w:eastAsia="zh-CN"/>
        </w:rPr>
        <w:t>at IV doses up to 4 mcg/kg/day (48 mcg/m</w:t>
      </w:r>
      <w:r w:rsidR="002F4AFE" w:rsidRPr="00E64D62">
        <w:rPr>
          <w:rFonts w:eastAsia="SimSun"/>
          <w:vertAlign w:val="superscript"/>
          <w:lang w:val="en-GB" w:eastAsia="zh-CN"/>
        </w:rPr>
        <w:t>2</w:t>
      </w:r>
      <w:r w:rsidR="002F4AFE" w:rsidRPr="000E7C98">
        <w:rPr>
          <w:rFonts w:eastAsia="SimSun"/>
          <w:lang w:val="en-GB" w:eastAsia="zh-CN"/>
        </w:rPr>
        <w:t>/day).</w:t>
      </w:r>
      <w:r w:rsidR="002F4AFE" w:rsidRPr="002F4AFE">
        <w:rPr>
          <w:rFonts w:eastAsia="SimSun"/>
          <w:lang w:val="en-GB" w:eastAsia="zh-CN"/>
        </w:rPr>
        <w:t xml:space="preserve"> Minor f</w:t>
      </w:r>
      <w:r w:rsidR="00E769C5">
        <w:rPr>
          <w:rFonts w:eastAsia="SimSun"/>
          <w:lang w:val="en-GB" w:eastAsia="zh-CN"/>
        </w:rPr>
        <w:t>o</w:t>
      </w:r>
      <w:r w:rsidR="002F4AFE" w:rsidRPr="002F4AFE">
        <w:rPr>
          <w:rFonts w:eastAsia="SimSun"/>
          <w:lang w:val="en-GB" w:eastAsia="zh-CN"/>
        </w:rPr>
        <w:t>etal abnormalities or variants were</w:t>
      </w:r>
      <w:r w:rsidR="002F4AFE">
        <w:rPr>
          <w:rFonts w:eastAsia="SimSun"/>
          <w:lang w:val="en-GB" w:eastAsia="zh-CN"/>
        </w:rPr>
        <w:t xml:space="preserve"> </w:t>
      </w:r>
      <w:r w:rsidR="002F4AFE" w:rsidRPr="002F4AFE">
        <w:rPr>
          <w:rFonts w:eastAsia="SimSun"/>
          <w:lang w:val="en-GB" w:eastAsia="zh-CN"/>
        </w:rPr>
        <w:t xml:space="preserve">observed in the foetuses of treated dams </w:t>
      </w:r>
      <w:r w:rsidR="002F4AFE" w:rsidRPr="000E7C98">
        <w:rPr>
          <w:rFonts w:eastAsia="SimSun"/>
          <w:lang w:val="en-GB" w:eastAsia="zh-CN"/>
        </w:rPr>
        <w:t>at doses ≥ 2 mcg/kg/day (24 μg/m</w:t>
      </w:r>
      <w:r w:rsidR="002F4AFE" w:rsidRPr="000E7C98">
        <w:rPr>
          <w:rFonts w:eastAsia="SimSun"/>
          <w:vertAlign w:val="superscript"/>
          <w:lang w:val="en-GB" w:eastAsia="zh-CN"/>
        </w:rPr>
        <w:t>2</w:t>
      </w:r>
      <w:r w:rsidR="002F4AFE" w:rsidRPr="000E7C98">
        <w:rPr>
          <w:rFonts w:eastAsia="SimSun"/>
          <w:lang w:val="en-GB" w:eastAsia="zh-CN"/>
        </w:rPr>
        <w:t>/day)</w:t>
      </w:r>
      <w:r w:rsidR="002F4AFE" w:rsidRPr="002F4AFE">
        <w:rPr>
          <w:rFonts w:eastAsia="SimSun"/>
          <w:lang w:val="en-GB" w:eastAsia="zh-CN"/>
        </w:rPr>
        <w:t>. The</w:t>
      </w:r>
      <w:r w:rsidR="002F4AFE">
        <w:rPr>
          <w:rFonts w:eastAsia="SimSun"/>
          <w:lang w:val="en-GB" w:eastAsia="zh-CN"/>
        </w:rPr>
        <w:t xml:space="preserve"> </w:t>
      </w:r>
      <w:r w:rsidR="002F4AFE" w:rsidRPr="002F4AFE">
        <w:rPr>
          <w:rFonts w:eastAsia="SimSun"/>
          <w:lang w:val="en-GB" w:eastAsia="zh-CN"/>
        </w:rPr>
        <w:t>f</w:t>
      </w:r>
      <w:r w:rsidR="00E769C5">
        <w:rPr>
          <w:rFonts w:eastAsia="SimSun"/>
          <w:lang w:val="en-GB" w:eastAsia="zh-CN"/>
        </w:rPr>
        <w:t>o</w:t>
      </w:r>
      <w:r w:rsidR="002F4AFE" w:rsidRPr="002F4AFE">
        <w:rPr>
          <w:rFonts w:eastAsia="SimSun"/>
          <w:lang w:val="en-GB" w:eastAsia="zh-CN"/>
        </w:rPr>
        <w:t>etal NOAEL was 1 mcg/kg/day (12 mcg/m</w:t>
      </w:r>
      <w:r w:rsidR="002F4AFE" w:rsidRPr="002F4AFE">
        <w:rPr>
          <w:rFonts w:eastAsia="SimSun"/>
          <w:vertAlign w:val="superscript"/>
          <w:lang w:val="en-GB" w:eastAsia="zh-CN"/>
        </w:rPr>
        <w:t>2</w:t>
      </w:r>
      <w:r w:rsidR="002F4AFE" w:rsidRPr="002F4AFE">
        <w:rPr>
          <w:rFonts w:eastAsia="SimSun"/>
          <w:lang w:val="en-GB" w:eastAsia="zh-CN"/>
        </w:rPr>
        <w:t>/day).</w:t>
      </w:r>
    </w:p>
    <w:p w:rsidR="00E23B16" w:rsidRPr="00995589" w:rsidRDefault="003D2E11" w:rsidP="00BF5A9D">
      <w:pPr>
        <w:pStyle w:val="Heading3"/>
      </w:pPr>
      <w:r w:rsidRPr="00995589">
        <w:t>Use in Lactation</w:t>
      </w:r>
    </w:p>
    <w:p w:rsidR="002F7964" w:rsidRPr="00995589" w:rsidRDefault="00876B68" w:rsidP="0081540D">
      <w:pPr>
        <w:pStyle w:val="Bodytext"/>
        <w:spacing w:before="60" w:after="240"/>
        <w:ind w:right="6"/>
        <w:jc w:val="both"/>
        <w:rPr>
          <w:rFonts w:ascii="Arial" w:hAnsi="Arial" w:cs="Arial"/>
          <w:b/>
          <w:sz w:val="22"/>
          <w:szCs w:val="22"/>
        </w:rPr>
      </w:pPr>
      <w:r w:rsidRPr="00876B68">
        <w:rPr>
          <w:rFonts w:ascii="Arial" w:hAnsi="Arial" w:cs="Arial"/>
          <w:sz w:val="22"/>
          <w:szCs w:val="22"/>
        </w:rPr>
        <w:t xml:space="preserve">No effects on the breastfed newborn/infants are anticipated as </w:t>
      </w:r>
      <w:proofErr w:type="spellStart"/>
      <w:r w:rsidR="00066B8F">
        <w:rPr>
          <w:rFonts w:ascii="Arial" w:hAnsi="Arial" w:cs="Arial"/>
          <w:sz w:val="22"/>
          <w:szCs w:val="22"/>
        </w:rPr>
        <w:t>ingenol</w:t>
      </w:r>
      <w:proofErr w:type="spellEnd"/>
      <w:r w:rsidR="00066B8F">
        <w:rPr>
          <w:rFonts w:ascii="Arial" w:hAnsi="Arial" w:cs="Arial"/>
          <w:sz w:val="22"/>
          <w:szCs w:val="22"/>
        </w:rPr>
        <w:t xml:space="preserve"> </w:t>
      </w:r>
      <w:proofErr w:type="spellStart"/>
      <w:r w:rsidR="00066B8F">
        <w:rPr>
          <w:rFonts w:ascii="Arial" w:hAnsi="Arial" w:cs="Arial"/>
          <w:sz w:val="22"/>
          <w:szCs w:val="22"/>
        </w:rPr>
        <w:t>mebutate</w:t>
      </w:r>
      <w:proofErr w:type="spellEnd"/>
      <w:r w:rsidR="00066B8F">
        <w:rPr>
          <w:rFonts w:ascii="Arial" w:hAnsi="Arial" w:cs="Arial"/>
          <w:sz w:val="22"/>
          <w:szCs w:val="22"/>
        </w:rPr>
        <w:t xml:space="preserve"> </w:t>
      </w:r>
      <w:r w:rsidRPr="00876B68">
        <w:rPr>
          <w:rFonts w:ascii="Arial" w:hAnsi="Arial" w:cs="Arial"/>
          <w:sz w:val="22"/>
          <w:szCs w:val="22"/>
        </w:rPr>
        <w:t>is not absorbed system</w:t>
      </w:r>
      <w:r w:rsidRPr="00876B68">
        <w:rPr>
          <w:rFonts w:ascii="Arial" w:hAnsi="Arial" w:cs="Arial"/>
          <w:sz w:val="22"/>
          <w:szCs w:val="22"/>
        </w:rPr>
        <w:t>i</w:t>
      </w:r>
      <w:r w:rsidRPr="00876B68">
        <w:rPr>
          <w:rFonts w:ascii="Arial" w:hAnsi="Arial" w:cs="Arial"/>
          <w:sz w:val="22"/>
          <w:szCs w:val="22"/>
        </w:rPr>
        <w:t>cally.</w:t>
      </w:r>
      <w:r w:rsidR="00066B8F">
        <w:rPr>
          <w:rFonts w:ascii="Arial" w:hAnsi="Arial" w:cs="Arial"/>
          <w:sz w:val="22"/>
          <w:szCs w:val="22"/>
        </w:rPr>
        <w:t xml:space="preserve"> </w:t>
      </w:r>
      <w:r w:rsidR="00066B8F" w:rsidRPr="00066B8F">
        <w:rPr>
          <w:rFonts w:ascii="Arial" w:hAnsi="Arial" w:cs="Arial"/>
          <w:sz w:val="22"/>
          <w:szCs w:val="22"/>
        </w:rPr>
        <w:t>The nursing mother should be instructed that the newborn/infant avoid physical contact with the treated area for a period of 6 hours after application of</w:t>
      </w:r>
      <w:r w:rsidR="00066B8F">
        <w:rPr>
          <w:rFonts w:ascii="Arial" w:hAnsi="Arial" w:cs="Arial"/>
          <w:sz w:val="22"/>
          <w:szCs w:val="22"/>
        </w:rPr>
        <w:t xml:space="preserve"> </w:t>
      </w:r>
      <w:proofErr w:type="spellStart"/>
      <w:r w:rsidR="002C47E1">
        <w:rPr>
          <w:rFonts w:ascii="Arial" w:hAnsi="Arial" w:cs="Arial"/>
          <w:sz w:val="22"/>
          <w:szCs w:val="22"/>
        </w:rPr>
        <w:t>Picato</w:t>
      </w:r>
      <w:proofErr w:type="spellEnd"/>
      <w:r w:rsidR="00DA2F20" w:rsidRPr="00DA2F20">
        <w:rPr>
          <w:rFonts w:ascii="Arial" w:hAnsi="Arial" w:cs="Arial"/>
          <w:sz w:val="22"/>
          <w:szCs w:val="22"/>
          <w:vertAlign w:val="superscript"/>
        </w:rPr>
        <w:t>®</w:t>
      </w:r>
      <w:r w:rsidR="00066B8F">
        <w:rPr>
          <w:rFonts w:ascii="Arial" w:hAnsi="Arial" w:cs="Arial"/>
          <w:sz w:val="22"/>
          <w:szCs w:val="22"/>
        </w:rPr>
        <w:t>.</w:t>
      </w:r>
    </w:p>
    <w:p w:rsidR="00995589" w:rsidRDefault="00342DF3" w:rsidP="00BF5A9D">
      <w:pPr>
        <w:pStyle w:val="Heading3"/>
      </w:pPr>
      <w:proofErr w:type="spellStart"/>
      <w:r>
        <w:t>Paediatric</w:t>
      </w:r>
      <w:proofErr w:type="spellEnd"/>
      <w:r>
        <w:t xml:space="preserve"> Use</w:t>
      </w:r>
    </w:p>
    <w:p w:rsidR="007F4D8F" w:rsidRPr="00995589" w:rsidRDefault="002C47E1" w:rsidP="00BD3E7C">
      <w:pPr>
        <w:pStyle w:val="Bodytext"/>
        <w:spacing w:before="60" w:after="60"/>
        <w:ind w:right="-2"/>
        <w:rPr>
          <w:rFonts w:ascii="Arial" w:hAnsi="Arial" w:cs="Arial"/>
          <w:sz w:val="22"/>
          <w:szCs w:val="22"/>
        </w:rPr>
      </w:pPr>
      <w:proofErr w:type="spellStart"/>
      <w:r>
        <w:rPr>
          <w:rFonts w:ascii="Arial" w:hAnsi="Arial" w:cs="Arial"/>
          <w:sz w:val="22"/>
          <w:szCs w:val="22"/>
        </w:rPr>
        <w:t>Picato</w:t>
      </w:r>
      <w:proofErr w:type="spellEnd"/>
      <w:r w:rsidR="00DA2F20" w:rsidRPr="00DA2F20">
        <w:rPr>
          <w:rFonts w:ascii="Arial" w:hAnsi="Arial" w:cs="Arial"/>
          <w:sz w:val="22"/>
          <w:szCs w:val="22"/>
          <w:vertAlign w:val="superscript"/>
        </w:rPr>
        <w:t>®</w:t>
      </w:r>
      <w:r w:rsidR="00897606">
        <w:rPr>
          <w:rFonts w:ascii="Arial" w:hAnsi="Arial" w:cs="Arial"/>
          <w:sz w:val="22"/>
          <w:szCs w:val="22"/>
        </w:rPr>
        <w:t xml:space="preserve"> </w:t>
      </w:r>
      <w:r w:rsidR="007F4D8F" w:rsidRPr="00995589">
        <w:rPr>
          <w:rFonts w:ascii="Arial" w:hAnsi="Arial" w:cs="Arial"/>
          <w:sz w:val="22"/>
          <w:szCs w:val="22"/>
        </w:rPr>
        <w:t xml:space="preserve">is not indicated for use in </w:t>
      </w:r>
      <w:r w:rsidR="0065209A">
        <w:rPr>
          <w:rFonts w:ascii="Arial" w:hAnsi="Arial" w:cs="Arial"/>
          <w:sz w:val="22"/>
          <w:szCs w:val="22"/>
        </w:rPr>
        <w:t xml:space="preserve">the </w:t>
      </w:r>
      <w:proofErr w:type="spellStart"/>
      <w:r w:rsidR="0065209A">
        <w:rPr>
          <w:rFonts w:ascii="Arial" w:hAnsi="Arial" w:cs="Arial"/>
          <w:sz w:val="22"/>
          <w:szCs w:val="22"/>
        </w:rPr>
        <w:t>paediatric</w:t>
      </w:r>
      <w:proofErr w:type="spellEnd"/>
      <w:r w:rsidR="0065209A">
        <w:rPr>
          <w:rFonts w:ascii="Arial" w:hAnsi="Arial" w:cs="Arial"/>
          <w:sz w:val="22"/>
          <w:szCs w:val="22"/>
        </w:rPr>
        <w:t xml:space="preserve"> population</w:t>
      </w:r>
      <w:r w:rsidR="00E67C26">
        <w:rPr>
          <w:rFonts w:ascii="Arial" w:hAnsi="Arial" w:cs="Arial"/>
          <w:sz w:val="22"/>
          <w:szCs w:val="22"/>
        </w:rPr>
        <w:t>.</w:t>
      </w:r>
    </w:p>
    <w:p w:rsidR="00FB03BE" w:rsidRPr="00BF5A9D" w:rsidRDefault="00FB03BE" w:rsidP="00E67C26">
      <w:pPr>
        <w:pStyle w:val="Heading3"/>
      </w:pPr>
      <w:r w:rsidRPr="00995589">
        <w:lastRenderedPageBreak/>
        <w:t>Use in the El</w:t>
      </w:r>
      <w:r w:rsidRPr="00BF5A9D">
        <w:t>derly</w:t>
      </w:r>
    </w:p>
    <w:p w:rsidR="00FB03BE" w:rsidRPr="00E67C26" w:rsidRDefault="00A50771" w:rsidP="00E67C26">
      <w:r w:rsidRPr="00E67C26">
        <w:t>No</w:t>
      </w:r>
      <w:r w:rsidR="00BC7723" w:rsidRPr="00E67C26">
        <w:t xml:space="preserve"> dosage adjustment is required [s</w:t>
      </w:r>
      <w:r w:rsidR="00342339" w:rsidRPr="00E67C26">
        <w:t>ee Clinical Trials</w:t>
      </w:r>
      <w:r w:rsidR="00BC7723" w:rsidRPr="00E67C26">
        <w:t>]</w:t>
      </w:r>
      <w:r w:rsidR="00342339" w:rsidRPr="00E67C26">
        <w:t>.</w:t>
      </w:r>
    </w:p>
    <w:p w:rsidR="00342DF3" w:rsidRPr="00995589" w:rsidRDefault="00342DF3" w:rsidP="00BF5A9D">
      <w:pPr>
        <w:pStyle w:val="Heading3"/>
      </w:pPr>
      <w:proofErr w:type="spellStart"/>
      <w:r w:rsidRPr="00995589">
        <w:t>Genotoxicity</w:t>
      </w:r>
      <w:proofErr w:type="spellEnd"/>
    </w:p>
    <w:p w:rsidR="00342DF3" w:rsidRPr="00137275" w:rsidRDefault="004147D7" w:rsidP="00BF5A9D">
      <w:pPr>
        <w:rPr>
          <w:color w:val="000000"/>
        </w:rPr>
      </w:pPr>
      <w:proofErr w:type="spellStart"/>
      <w:r w:rsidRPr="003E0AF8">
        <w:t>Ingenol</w:t>
      </w:r>
      <w:proofErr w:type="spellEnd"/>
      <w:r w:rsidRPr="003E0AF8">
        <w:t xml:space="preserve"> </w:t>
      </w:r>
      <w:proofErr w:type="spellStart"/>
      <w:r w:rsidRPr="003E0AF8">
        <w:t>mebutate</w:t>
      </w:r>
      <w:proofErr w:type="spellEnd"/>
      <w:r w:rsidRPr="003E0AF8">
        <w:t xml:space="preserve"> was not mutagenic in an </w:t>
      </w:r>
      <w:r w:rsidRPr="00A90598">
        <w:rPr>
          <w:i/>
        </w:rPr>
        <w:t>in vitro</w:t>
      </w:r>
      <w:r w:rsidRPr="003E0AF8">
        <w:t xml:space="preserve"> Ames test, mouse lymphoma assay, and </w:t>
      </w:r>
      <w:r w:rsidRPr="00A90598">
        <w:rPr>
          <w:i/>
        </w:rPr>
        <w:t>in vivo</w:t>
      </w:r>
      <w:r w:rsidRPr="003E0AF8">
        <w:t xml:space="preserve"> rat micronucleus test, and gave a positive response in the Syrian hamster embryo cell </w:t>
      </w:r>
      <w:r w:rsidRPr="00A90598">
        <w:rPr>
          <w:i/>
        </w:rPr>
        <w:t>in vitro</w:t>
      </w:r>
      <w:r w:rsidRPr="003E0AF8">
        <w:t xml:space="preserve"> transformation assay.</w:t>
      </w:r>
    </w:p>
    <w:p w:rsidR="0029322D" w:rsidRPr="00995589" w:rsidRDefault="0029322D" w:rsidP="00BF5A9D">
      <w:pPr>
        <w:pStyle w:val="Heading3"/>
      </w:pPr>
      <w:r w:rsidRPr="00995589">
        <w:t>Carcinogenicity</w:t>
      </w:r>
    </w:p>
    <w:p w:rsidR="00EB2E65" w:rsidRPr="00C04A84" w:rsidRDefault="0029322D" w:rsidP="00BF5A9D">
      <w:r w:rsidRPr="00995589">
        <w:t xml:space="preserve">Carcinogenic evaluations of </w:t>
      </w:r>
      <w:proofErr w:type="spellStart"/>
      <w:r w:rsidRPr="00995589">
        <w:t>ingenol</w:t>
      </w:r>
      <w:proofErr w:type="spellEnd"/>
      <w:r w:rsidRPr="00995589">
        <w:t xml:space="preserve"> </w:t>
      </w:r>
      <w:proofErr w:type="spellStart"/>
      <w:r w:rsidRPr="00995589">
        <w:t>meb</w:t>
      </w:r>
      <w:r w:rsidR="00BF5A9D">
        <w:t>utate</w:t>
      </w:r>
      <w:proofErr w:type="spellEnd"/>
      <w:r w:rsidR="00BF5A9D">
        <w:t xml:space="preserve"> have not been conducted.</w:t>
      </w:r>
    </w:p>
    <w:p w:rsidR="00251627" w:rsidRPr="00995589" w:rsidRDefault="00251627" w:rsidP="00BF5A9D">
      <w:pPr>
        <w:pStyle w:val="Heading3"/>
      </w:pPr>
      <w:r w:rsidRPr="00995589">
        <w:t>Effects on Laboratory Tests</w:t>
      </w:r>
    </w:p>
    <w:p w:rsidR="00251627" w:rsidRDefault="00251627" w:rsidP="00BF5A9D">
      <w:r w:rsidRPr="00995589">
        <w:t xml:space="preserve">There are no data available on the effects of </w:t>
      </w:r>
      <w:proofErr w:type="spellStart"/>
      <w:r w:rsidR="002C47E1">
        <w:t>Picato</w:t>
      </w:r>
      <w:proofErr w:type="spellEnd"/>
      <w:r w:rsidR="00DA2F20" w:rsidRPr="00DA2F20">
        <w:rPr>
          <w:vertAlign w:val="superscript"/>
        </w:rPr>
        <w:t>®</w:t>
      </w:r>
      <w:r w:rsidRPr="00995589">
        <w:t xml:space="preserve"> on laboratory tests</w:t>
      </w:r>
    </w:p>
    <w:p w:rsidR="00E23B16" w:rsidRPr="00BF5A9D" w:rsidRDefault="00E23B16" w:rsidP="00BF5A9D">
      <w:pPr>
        <w:pStyle w:val="Heading2"/>
      </w:pPr>
      <w:r w:rsidRPr="00BF5A9D">
        <w:t xml:space="preserve">Interactions with other </w:t>
      </w:r>
      <w:r w:rsidR="00342DF3" w:rsidRPr="00BF5A9D">
        <w:t>Medicines</w:t>
      </w:r>
    </w:p>
    <w:p w:rsidR="002149A4" w:rsidRPr="002149A4" w:rsidRDefault="00876B68" w:rsidP="00E67C26">
      <w:pPr>
        <w:pStyle w:val="In-texttable"/>
      </w:pPr>
      <w:r w:rsidRPr="00876B68">
        <w:t>No interaction studies have been performed. Interactions wi</w:t>
      </w:r>
      <w:r>
        <w:t>th systemically absorbed medici</w:t>
      </w:r>
      <w:r w:rsidRPr="00876B68">
        <w:t xml:space="preserve">nal products are considered minimal as </w:t>
      </w:r>
      <w:r w:rsidR="00104534">
        <w:t>ingenol mebutate</w:t>
      </w:r>
      <w:r>
        <w:t xml:space="preserve"> is not absorbed systemica</w:t>
      </w:r>
      <w:r w:rsidR="001D6C53">
        <w:t>l</w:t>
      </w:r>
      <w:r>
        <w:t>ly</w:t>
      </w:r>
      <w:r w:rsidR="004F3131" w:rsidRPr="00995589">
        <w:t>.</w:t>
      </w:r>
    </w:p>
    <w:p w:rsidR="00E23B16" w:rsidRPr="00995589" w:rsidRDefault="002149A4" w:rsidP="00BF5A9D">
      <w:pPr>
        <w:pStyle w:val="Heading2"/>
      </w:pPr>
      <w:r>
        <w:t>AD</w:t>
      </w:r>
      <w:r w:rsidR="002E4F1D" w:rsidRPr="00995589">
        <w:t>VERSE EFFECTS</w:t>
      </w:r>
    </w:p>
    <w:p w:rsidR="00E23B16" w:rsidRPr="00995589" w:rsidRDefault="002E4F1D" w:rsidP="00BF5A9D">
      <w:pPr>
        <w:pStyle w:val="Heading3"/>
      </w:pPr>
      <w:r w:rsidRPr="00995589">
        <w:t>Clinical Trials</w:t>
      </w:r>
    </w:p>
    <w:p w:rsidR="00E85AFA" w:rsidRDefault="00D53737" w:rsidP="00995589">
      <w:pPr>
        <w:pStyle w:val="Bodytext"/>
        <w:spacing w:before="60" w:after="240"/>
        <w:jc w:val="both"/>
        <w:rPr>
          <w:rFonts w:ascii="Arial" w:hAnsi="Arial" w:cs="Arial"/>
          <w:sz w:val="22"/>
          <w:szCs w:val="22"/>
        </w:rPr>
      </w:pPr>
      <w:r w:rsidRPr="00995589">
        <w:rPr>
          <w:rFonts w:ascii="Arial" w:hAnsi="Arial" w:cs="Arial"/>
          <w:sz w:val="22"/>
          <w:szCs w:val="22"/>
        </w:rPr>
        <w:t xml:space="preserve">The data described below reflect exposure to </w:t>
      </w:r>
      <w:r w:rsidR="00311661">
        <w:rPr>
          <w:rFonts w:ascii="Arial" w:hAnsi="Arial" w:cs="Arial"/>
          <w:sz w:val="22"/>
          <w:szCs w:val="22"/>
        </w:rPr>
        <w:t>ingenol mebutate</w:t>
      </w:r>
      <w:r w:rsidRPr="00995589">
        <w:rPr>
          <w:rFonts w:ascii="Arial" w:hAnsi="Arial" w:cs="Arial"/>
          <w:sz w:val="22"/>
          <w:szCs w:val="22"/>
        </w:rPr>
        <w:t xml:space="preserve"> or vehicle in 1002 subjects with </w:t>
      </w:r>
      <w:r w:rsidR="00C529E2">
        <w:rPr>
          <w:rFonts w:ascii="Arial" w:hAnsi="Arial" w:cs="Arial"/>
          <w:sz w:val="22"/>
          <w:szCs w:val="22"/>
        </w:rPr>
        <w:t>solar kerat</w:t>
      </w:r>
      <w:r w:rsidR="00C529E2">
        <w:rPr>
          <w:rFonts w:ascii="Arial" w:hAnsi="Arial" w:cs="Arial"/>
          <w:sz w:val="22"/>
          <w:szCs w:val="22"/>
        </w:rPr>
        <w:t>o</w:t>
      </w:r>
      <w:r w:rsidR="00C529E2">
        <w:rPr>
          <w:rFonts w:ascii="Arial" w:hAnsi="Arial" w:cs="Arial"/>
          <w:sz w:val="22"/>
          <w:szCs w:val="22"/>
        </w:rPr>
        <w:t>ses</w:t>
      </w:r>
      <w:r w:rsidRPr="00995589">
        <w:rPr>
          <w:rFonts w:ascii="Arial" w:hAnsi="Arial" w:cs="Arial"/>
          <w:sz w:val="22"/>
          <w:szCs w:val="22"/>
        </w:rPr>
        <w:t xml:space="preserve"> treated in four vehicle controlled phase 3 studies. </w:t>
      </w:r>
      <w:r w:rsidR="00276F17" w:rsidRPr="00995589">
        <w:rPr>
          <w:rFonts w:ascii="Arial" w:hAnsi="Arial" w:cs="Arial"/>
          <w:sz w:val="22"/>
          <w:szCs w:val="22"/>
        </w:rPr>
        <w:t xml:space="preserve"> </w:t>
      </w:r>
      <w:r w:rsidRPr="00995589">
        <w:rPr>
          <w:rFonts w:ascii="Arial" w:hAnsi="Arial" w:cs="Arial"/>
          <w:sz w:val="22"/>
          <w:szCs w:val="22"/>
        </w:rPr>
        <w:t>Subjects received field treatment (area of 25 cm</w:t>
      </w:r>
      <w:r w:rsidRPr="00995589">
        <w:rPr>
          <w:rFonts w:ascii="Arial" w:hAnsi="Arial" w:cs="Arial"/>
          <w:sz w:val="22"/>
          <w:szCs w:val="22"/>
          <w:vertAlign w:val="superscript"/>
        </w:rPr>
        <w:t>2</w:t>
      </w:r>
      <w:r w:rsidRPr="00995589">
        <w:rPr>
          <w:rFonts w:ascii="Arial" w:hAnsi="Arial" w:cs="Arial"/>
          <w:sz w:val="22"/>
          <w:szCs w:val="22"/>
        </w:rPr>
        <w:t xml:space="preserve">) with </w:t>
      </w:r>
      <w:r w:rsidR="002C47E1">
        <w:rPr>
          <w:rFonts w:ascii="Arial" w:hAnsi="Arial" w:cs="Arial"/>
          <w:sz w:val="22"/>
          <w:szCs w:val="22"/>
        </w:rPr>
        <w:t>Picato</w:t>
      </w:r>
      <w:r w:rsidR="00DA2F20" w:rsidRPr="00DA2F20">
        <w:rPr>
          <w:rFonts w:ascii="Arial" w:hAnsi="Arial" w:cs="Arial"/>
          <w:sz w:val="22"/>
          <w:szCs w:val="22"/>
          <w:vertAlign w:val="superscript"/>
        </w:rPr>
        <w:t>®</w:t>
      </w:r>
      <w:r w:rsidR="00B201E7">
        <w:rPr>
          <w:rFonts w:ascii="Arial" w:hAnsi="Arial" w:cs="Arial"/>
          <w:sz w:val="22"/>
          <w:szCs w:val="22"/>
        </w:rPr>
        <w:t xml:space="preserve"> </w:t>
      </w:r>
      <w:r w:rsidRPr="00995589">
        <w:rPr>
          <w:rFonts w:ascii="Arial" w:hAnsi="Arial" w:cs="Arial"/>
          <w:sz w:val="22"/>
          <w:szCs w:val="22"/>
        </w:rPr>
        <w:t xml:space="preserve">at concentrations of </w:t>
      </w:r>
      <w:r w:rsidR="00F56F93">
        <w:rPr>
          <w:rFonts w:ascii="Arial" w:hAnsi="Arial" w:cs="Arial"/>
          <w:sz w:val="22"/>
          <w:szCs w:val="22"/>
        </w:rPr>
        <w:t>0.015%</w:t>
      </w:r>
      <w:r w:rsidRPr="00995589">
        <w:rPr>
          <w:rFonts w:ascii="Arial" w:hAnsi="Arial" w:cs="Arial"/>
          <w:sz w:val="22"/>
          <w:szCs w:val="22"/>
        </w:rPr>
        <w:t xml:space="preserve"> or </w:t>
      </w:r>
      <w:r w:rsidR="00F56F93">
        <w:rPr>
          <w:rFonts w:ascii="Arial" w:hAnsi="Arial" w:cs="Arial"/>
          <w:sz w:val="22"/>
          <w:szCs w:val="22"/>
        </w:rPr>
        <w:t>0.05%</w:t>
      </w:r>
      <w:r w:rsidR="00FA62E8">
        <w:rPr>
          <w:rFonts w:ascii="Arial" w:hAnsi="Arial" w:cs="Arial"/>
          <w:sz w:val="22"/>
          <w:szCs w:val="22"/>
        </w:rPr>
        <w:t xml:space="preserve"> </w:t>
      </w:r>
      <w:r w:rsidRPr="00995589">
        <w:rPr>
          <w:rFonts w:ascii="Arial" w:hAnsi="Arial" w:cs="Arial"/>
          <w:sz w:val="22"/>
          <w:szCs w:val="22"/>
        </w:rPr>
        <w:t xml:space="preserve">or vehicle once daily for 3 or 2 consecutive days, respectively. </w:t>
      </w:r>
      <w:r w:rsidR="00276F17" w:rsidRPr="00995589">
        <w:rPr>
          <w:rFonts w:ascii="Arial" w:hAnsi="Arial" w:cs="Arial"/>
          <w:sz w:val="22"/>
          <w:szCs w:val="22"/>
        </w:rPr>
        <w:t xml:space="preserve"> </w:t>
      </w:r>
      <w:r w:rsidRPr="00995589">
        <w:rPr>
          <w:rFonts w:ascii="Arial" w:hAnsi="Arial" w:cs="Arial"/>
          <w:sz w:val="22"/>
          <w:szCs w:val="22"/>
        </w:rPr>
        <w:t>Adverse reactions were generally mild to moderate in intensity</w:t>
      </w:r>
      <w:r w:rsidR="00761CBB">
        <w:rPr>
          <w:rFonts w:ascii="Arial" w:hAnsi="Arial" w:cs="Arial"/>
          <w:sz w:val="22"/>
          <w:szCs w:val="22"/>
        </w:rPr>
        <w:t xml:space="preserve"> (Table 5)</w:t>
      </w:r>
      <w:r w:rsidRPr="00995589">
        <w:rPr>
          <w:rFonts w:ascii="Arial" w:hAnsi="Arial" w:cs="Arial"/>
          <w:sz w:val="22"/>
          <w:szCs w:val="22"/>
        </w:rPr>
        <w:t>.</w:t>
      </w:r>
    </w:p>
    <w:p w:rsidR="00E26F3F" w:rsidRPr="00995589" w:rsidRDefault="00761CBB" w:rsidP="00995589">
      <w:pPr>
        <w:pStyle w:val="Bodytext"/>
        <w:spacing w:after="60"/>
        <w:jc w:val="both"/>
        <w:rPr>
          <w:rFonts w:ascii="Arial" w:hAnsi="Arial" w:cs="Arial"/>
          <w:b/>
          <w:sz w:val="20"/>
        </w:rPr>
      </w:pPr>
      <w:r w:rsidRPr="00B704D9">
        <w:rPr>
          <w:rFonts w:ascii="Arial" w:hAnsi="Arial" w:cs="Arial"/>
          <w:b/>
          <w:sz w:val="20"/>
        </w:rPr>
        <w:t xml:space="preserve">Table </w:t>
      </w:r>
      <w:r>
        <w:rPr>
          <w:rFonts w:ascii="Arial" w:hAnsi="Arial" w:cs="Arial"/>
          <w:b/>
          <w:sz w:val="20"/>
        </w:rPr>
        <w:t>5</w:t>
      </w:r>
      <w:r w:rsidRPr="00704094">
        <w:rPr>
          <w:rFonts w:ascii="Arial" w:hAnsi="Arial" w:cs="Arial"/>
          <w:b/>
          <w:sz w:val="20"/>
        </w:rPr>
        <w:t xml:space="preserve">: </w:t>
      </w:r>
      <w:r w:rsidR="00E26F3F" w:rsidRPr="00995589">
        <w:rPr>
          <w:rFonts w:ascii="Arial" w:hAnsi="Arial" w:cs="Arial"/>
          <w:b/>
          <w:sz w:val="20"/>
        </w:rPr>
        <w:t xml:space="preserve">Adverse reactions occurring in ≥ 1% of subjects treated with </w:t>
      </w:r>
      <w:r w:rsidR="002C47E1">
        <w:rPr>
          <w:rFonts w:ascii="Arial" w:hAnsi="Arial" w:cs="Arial"/>
          <w:b/>
          <w:sz w:val="20"/>
        </w:rPr>
        <w:t>Picato</w:t>
      </w:r>
      <w:r w:rsidR="00DA2F20" w:rsidRPr="00DA2F20">
        <w:rPr>
          <w:rFonts w:ascii="Arial" w:hAnsi="Arial" w:cs="Arial"/>
          <w:b/>
          <w:sz w:val="20"/>
          <w:vertAlign w:val="superscript"/>
        </w:rPr>
        <w:t>®</w:t>
      </w:r>
      <w:r w:rsidR="00B201E7">
        <w:rPr>
          <w:rFonts w:ascii="Arial" w:hAnsi="Arial" w:cs="Arial"/>
          <w:b/>
          <w:sz w:val="20"/>
        </w:rPr>
        <w:t xml:space="preserve"> </w:t>
      </w:r>
      <w:r w:rsidR="00E26F3F" w:rsidRPr="00995589">
        <w:rPr>
          <w:rFonts w:ascii="Arial" w:hAnsi="Arial" w:cs="Arial"/>
          <w:b/>
          <w:sz w:val="20"/>
        </w:rPr>
        <w:t>and at higher frequency than vehicle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18"/>
        <w:gridCol w:w="3031"/>
        <w:gridCol w:w="3031"/>
      </w:tblGrid>
      <w:tr w:rsidR="00CA276C" w:rsidRPr="00727E5C">
        <w:trPr>
          <w:trHeight w:hRule="exact" w:val="340"/>
          <w:jc w:val="center"/>
        </w:trPr>
        <w:tc>
          <w:tcPr>
            <w:tcW w:w="1662" w:type="pct"/>
            <w:shd w:val="clear" w:color="auto" w:fill="auto"/>
            <w:vAlign w:val="center"/>
          </w:tcPr>
          <w:p w:rsidR="00CA276C" w:rsidRPr="00727E5C" w:rsidRDefault="00CA276C" w:rsidP="00727E5C">
            <w:pPr>
              <w:pStyle w:val="Bodytext"/>
              <w:overflowPunct w:val="0"/>
              <w:autoSpaceDE w:val="0"/>
              <w:autoSpaceDN w:val="0"/>
              <w:adjustRightInd w:val="0"/>
              <w:spacing w:before="0"/>
              <w:ind w:left="57" w:right="57"/>
              <w:jc w:val="center"/>
              <w:textAlignment w:val="baseline"/>
              <w:rPr>
                <w:rFonts w:ascii="Arial" w:hAnsi="Arial" w:cs="Arial"/>
                <w:b/>
                <w:sz w:val="20"/>
              </w:rPr>
            </w:pPr>
            <w:r w:rsidRPr="00727E5C">
              <w:rPr>
                <w:rFonts w:ascii="Arial" w:hAnsi="Arial" w:cs="Arial"/>
                <w:b/>
                <w:sz w:val="20"/>
              </w:rPr>
              <w:t>Preferred term</w:t>
            </w:r>
          </w:p>
        </w:tc>
        <w:tc>
          <w:tcPr>
            <w:tcW w:w="1669" w:type="pct"/>
            <w:shd w:val="clear" w:color="auto" w:fill="auto"/>
            <w:vAlign w:val="center"/>
          </w:tcPr>
          <w:p w:rsidR="00CA276C" w:rsidRPr="00727E5C" w:rsidRDefault="002C47E1" w:rsidP="00F56F93">
            <w:pPr>
              <w:pStyle w:val="Bodytext"/>
              <w:spacing w:before="0"/>
              <w:jc w:val="center"/>
              <w:rPr>
                <w:rFonts w:ascii="Arial" w:hAnsi="Arial" w:cs="Arial"/>
                <w:b/>
                <w:sz w:val="20"/>
              </w:rPr>
            </w:pPr>
            <w:r>
              <w:rPr>
                <w:rFonts w:ascii="Arial" w:hAnsi="Arial" w:cs="Arial"/>
                <w:b/>
                <w:sz w:val="20"/>
              </w:rPr>
              <w:t>Picato</w:t>
            </w:r>
            <w:r w:rsidR="00DA2F20" w:rsidRPr="00DA2F20">
              <w:rPr>
                <w:rFonts w:ascii="Arial" w:hAnsi="Arial" w:cs="Arial"/>
                <w:b/>
                <w:sz w:val="20"/>
                <w:vertAlign w:val="superscript"/>
              </w:rPr>
              <w:t>®</w:t>
            </w:r>
            <w:r w:rsidR="00B201E7">
              <w:rPr>
                <w:rFonts w:ascii="Arial" w:hAnsi="Arial" w:cs="Arial"/>
                <w:b/>
                <w:sz w:val="20"/>
              </w:rPr>
              <w:t xml:space="preserve"> gel</w:t>
            </w:r>
            <w:r w:rsidR="00CA276C" w:rsidRPr="00727E5C">
              <w:rPr>
                <w:rFonts w:ascii="Arial" w:hAnsi="Arial" w:cs="Arial"/>
                <w:b/>
                <w:sz w:val="20"/>
              </w:rPr>
              <w:t xml:space="preserve"> (n=499)</w:t>
            </w:r>
          </w:p>
        </w:tc>
        <w:tc>
          <w:tcPr>
            <w:tcW w:w="1669" w:type="pct"/>
            <w:shd w:val="clear" w:color="auto" w:fill="auto"/>
            <w:vAlign w:val="center"/>
          </w:tcPr>
          <w:p w:rsidR="00CA276C" w:rsidRPr="00727E5C" w:rsidRDefault="00CA276C" w:rsidP="00727E5C">
            <w:pPr>
              <w:pStyle w:val="Bodytext"/>
              <w:spacing w:before="0"/>
              <w:jc w:val="center"/>
              <w:rPr>
                <w:rFonts w:ascii="Arial" w:hAnsi="Arial" w:cs="Arial"/>
                <w:b/>
                <w:sz w:val="20"/>
              </w:rPr>
            </w:pPr>
            <w:r w:rsidRPr="00727E5C">
              <w:rPr>
                <w:rFonts w:ascii="Arial" w:hAnsi="Arial" w:cs="Arial"/>
                <w:b/>
                <w:sz w:val="20"/>
              </w:rPr>
              <w:t>Vehicle (n=503)</w:t>
            </w:r>
          </w:p>
        </w:tc>
      </w:tr>
      <w:tr w:rsidR="00CA276C" w:rsidRPr="00727E5C">
        <w:trPr>
          <w:trHeight w:hRule="exact" w:val="340"/>
          <w:jc w:val="center"/>
        </w:trPr>
        <w:tc>
          <w:tcPr>
            <w:tcW w:w="1662" w:type="pct"/>
            <w:shd w:val="clear" w:color="auto" w:fill="auto"/>
            <w:vAlign w:val="center"/>
          </w:tcPr>
          <w:p w:rsidR="00CA276C" w:rsidRPr="00727E5C" w:rsidRDefault="00512839" w:rsidP="003E6E4F">
            <w:pPr>
              <w:pStyle w:val="Bodytext"/>
              <w:tabs>
                <w:tab w:val="clear" w:pos="1152"/>
                <w:tab w:val="clear" w:pos="1872"/>
                <w:tab w:val="left" w:pos="1874"/>
              </w:tabs>
              <w:overflowPunct w:val="0"/>
              <w:autoSpaceDE w:val="0"/>
              <w:autoSpaceDN w:val="0"/>
              <w:adjustRightInd w:val="0"/>
              <w:spacing w:before="0"/>
              <w:ind w:left="57"/>
              <w:textAlignment w:val="baseline"/>
              <w:rPr>
                <w:rFonts w:ascii="Arial" w:hAnsi="Arial" w:cs="Arial"/>
                <w:sz w:val="20"/>
              </w:rPr>
            </w:pPr>
            <w:r w:rsidRPr="00727E5C">
              <w:rPr>
                <w:rFonts w:ascii="Arial" w:hAnsi="Arial" w:cs="Arial"/>
                <w:sz w:val="20"/>
              </w:rPr>
              <w:t>Application site pain</w:t>
            </w:r>
          </w:p>
        </w:tc>
        <w:tc>
          <w:tcPr>
            <w:tcW w:w="1669" w:type="pct"/>
            <w:shd w:val="clear" w:color="auto" w:fill="auto"/>
            <w:vAlign w:val="center"/>
          </w:tcPr>
          <w:p w:rsidR="00CA276C" w:rsidRPr="00727E5C" w:rsidRDefault="00512839"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8.6%</w:t>
            </w:r>
          </w:p>
        </w:tc>
        <w:tc>
          <w:tcPr>
            <w:tcW w:w="1669" w:type="pct"/>
            <w:shd w:val="clear" w:color="auto" w:fill="auto"/>
            <w:vAlign w:val="bottom"/>
          </w:tcPr>
          <w:p w:rsidR="00CA276C" w:rsidRPr="00727E5C" w:rsidRDefault="00512839" w:rsidP="00727E5C">
            <w:pPr>
              <w:pStyle w:val="Bodytext"/>
              <w:tabs>
                <w:tab w:val="clear" w:pos="1152"/>
                <w:tab w:val="clear" w:pos="1872"/>
                <w:tab w:val="left" w:pos="3031"/>
              </w:tabs>
              <w:overflowPunct w:val="0"/>
              <w:autoSpaceDE w:val="0"/>
              <w:autoSpaceDN w:val="0"/>
              <w:adjustRightInd w:val="0"/>
              <w:spacing w:before="0"/>
              <w:ind w:left="52"/>
              <w:jc w:val="center"/>
              <w:textAlignment w:val="baseline"/>
              <w:rPr>
                <w:rFonts w:ascii="Arial" w:hAnsi="Arial" w:cs="Arial"/>
                <w:sz w:val="20"/>
              </w:rPr>
            </w:pPr>
            <w:r w:rsidRPr="00727E5C">
              <w:rPr>
                <w:rFonts w:ascii="Arial" w:hAnsi="Arial" w:cs="Arial"/>
                <w:sz w:val="20"/>
              </w:rPr>
              <w:t>0.2%</w:t>
            </w:r>
          </w:p>
          <w:p w:rsidR="00512839" w:rsidRPr="00727E5C" w:rsidRDefault="00512839" w:rsidP="00727E5C">
            <w:pPr>
              <w:pStyle w:val="Bodytext"/>
              <w:tabs>
                <w:tab w:val="clear" w:pos="1152"/>
                <w:tab w:val="clear" w:pos="1872"/>
                <w:tab w:val="left" w:pos="1875"/>
              </w:tabs>
              <w:overflowPunct w:val="0"/>
              <w:autoSpaceDE w:val="0"/>
              <w:autoSpaceDN w:val="0"/>
              <w:adjustRightInd w:val="0"/>
              <w:spacing w:before="0"/>
              <w:jc w:val="center"/>
              <w:textAlignment w:val="baseline"/>
              <w:rPr>
                <w:rFonts w:ascii="Arial" w:hAnsi="Arial" w:cs="Arial"/>
                <w:sz w:val="20"/>
              </w:rPr>
            </w:pPr>
          </w:p>
        </w:tc>
      </w:tr>
      <w:tr w:rsidR="00CA276C" w:rsidRPr="00727E5C">
        <w:trPr>
          <w:trHeight w:hRule="exact" w:val="340"/>
          <w:jc w:val="center"/>
        </w:trPr>
        <w:tc>
          <w:tcPr>
            <w:tcW w:w="1662" w:type="pct"/>
            <w:shd w:val="clear" w:color="auto" w:fill="auto"/>
            <w:vAlign w:val="center"/>
          </w:tcPr>
          <w:p w:rsidR="00CA276C" w:rsidRPr="00727E5C" w:rsidRDefault="00512839" w:rsidP="009D46CF">
            <w:pPr>
              <w:pStyle w:val="Bodytext"/>
              <w:tabs>
                <w:tab w:val="clear" w:pos="1152"/>
              </w:tabs>
              <w:overflowPunct w:val="0"/>
              <w:autoSpaceDE w:val="0"/>
              <w:autoSpaceDN w:val="0"/>
              <w:adjustRightInd w:val="0"/>
              <w:spacing w:before="0"/>
              <w:ind w:left="57" w:right="3"/>
              <w:textAlignment w:val="baseline"/>
              <w:rPr>
                <w:rFonts w:ascii="Arial" w:hAnsi="Arial" w:cs="Arial"/>
                <w:sz w:val="20"/>
              </w:rPr>
            </w:pPr>
            <w:r w:rsidRPr="00727E5C">
              <w:rPr>
                <w:rFonts w:ascii="Arial" w:hAnsi="Arial" w:cs="Arial"/>
                <w:sz w:val="20"/>
              </w:rPr>
              <w:t>Application site pru</w:t>
            </w:r>
            <w:r w:rsidR="009D46CF">
              <w:rPr>
                <w:rFonts w:ascii="Arial" w:hAnsi="Arial" w:cs="Arial"/>
                <w:sz w:val="20"/>
              </w:rPr>
              <w:t>r</w:t>
            </w:r>
            <w:r w:rsidRPr="00727E5C">
              <w:rPr>
                <w:rFonts w:ascii="Arial" w:hAnsi="Arial" w:cs="Arial"/>
                <w:sz w:val="20"/>
              </w:rPr>
              <w:t>itus</w:t>
            </w:r>
          </w:p>
        </w:tc>
        <w:tc>
          <w:tcPr>
            <w:tcW w:w="1669" w:type="pct"/>
            <w:shd w:val="clear" w:color="auto" w:fill="auto"/>
            <w:vAlign w:val="center"/>
          </w:tcPr>
          <w:p w:rsidR="00CA276C" w:rsidRPr="00727E5C" w:rsidRDefault="00512839"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8.2%</w:t>
            </w:r>
          </w:p>
        </w:tc>
        <w:tc>
          <w:tcPr>
            <w:tcW w:w="1669" w:type="pct"/>
            <w:shd w:val="clear" w:color="auto" w:fill="auto"/>
            <w:vAlign w:val="center"/>
          </w:tcPr>
          <w:p w:rsidR="00CA276C" w:rsidRPr="00727E5C" w:rsidRDefault="00512839"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0.6%</w:t>
            </w:r>
          </w:p>
        </w:tc>
      </w:tr>
      <w:tr w:rsidR="00CA276C" w:rsidRPr="00727E5C">
        <w:trPr>
          <w:trHeight w:hRule="exact" w:val="340"/>
          <w:jc w:val="center"/>
        </w:trPr>
        <w:tc>
          <w:tcPr>
            <w:tcW w:w="1662" w:type="pct"/>
            <w:shd w:val="clear" w:color="auto" w:fill="auto"/>
            <w:vAlign w:val="center"/>
          </w:tcPr>
          <w:p w:rsidR="00CA276C" w:rsidRPr="00727E5C" w:rsidRDefault="00512839" w:rsidP="003E6E4F">
            <w:pPr>
              <w:pStyle w:val="Bodytext"/>
              <w:tabs>
                <w:tab w:val="clear" w:pos="1152"/>
                <w:tab w:val="clear" w:pos="1872"/>
                <w:tab w:val="left" w:pos="1874"/>
              </w:tabs>
              <w:overflowPunct w:val="0"/>
              <w:autoSpaceDE w:val="0"/>
              <w:autoSpaceDN w:val="0"/>
              <w:adjustRightInd w:val="0"/>
              <w:spacing w:before="0" w:line="300" w:lineRule="auto"/>
              <w:ind w:left="57" w:right="3"/>
              <w:textAlignment w:val="baseline"/>
              <w:rPr>
                <w:rFonts w:ascii="Arial" w:hAnsi="Arial" w:cs="Arial"/>
                <w:sz w:val="20"/>
              </w:rPr>
            </w:pPr>
            <w:r w:rsidRPr="00727E5C">
              <w:rPr>
                <w:rFonts w:ascii="Arial" w:hAnsi="Arial" w:cs="Arial"/>
                <w:sz w:val="20"/>
              </w:rPr>
              <w:t>Application site irritation</w:t>
            </w:r>
          </w:p>
        </w:tc>
        <w:tc>
          <w:tcPr>
            <w:tcW w:w="1669" w:type="pct"/>
            <w:shd w:val="clear" w:color="auto" w:fill="auto"/>
            <w:vAlign w:val="center"/>
          </w:tcPr>
          <w:p w:rsidR="00CA276C" w:rsidRPr="00727E5C" w:rsidRDefault="00512839" w:rsidP="00727E5C">
            <w:pPr>
              <w:pStyle w:val="Bodytext"/>
              <w:tabs>
                <w:tab w:val="clear" w:pos="1152"/>
                <w:tab w:val="clear" w:pos="1872"/>
                <w:tab w:val="left" w:pos="1874"/>
              </w:tabs>
              <w:overflowPunct w:val="0"/>
              <w:autoSpaceDE w:val="0"/>
              <w:autoSpaceDN w:val="0"/>
              <w:adjustRightInd w:val="0"/>
              <w:spacing w:before="0" w:line="300" w:lineRule="auto"/>
              <w:ind w:left="57" w:right="57"/>
              <w:jc w:val="center"/>
              <w:textAlignment w:val="baseline"/>
              <w:rPr>
                <w:rFonts w:ascii="Arial" w:hAnsi="Arial" w:cs="Arial"/>
                <w:sz w:val="20"/>
              </w:rPr>
            </w:pPr>
            <w:r w:rsidRPr="00727E5C">
              <w:rPr>
                <w:rFonts w:ascii="Arial" w:hAnsi="Arial" w:cs="Arial"/>
                <w:sz w:val="20"/>
              </w:rPr>
              <w:t>2.6%</w:t>
            </w:r>
          </w:p>
        </w:tc>
        <w:tc>
          <w:tcPr>
            <w:tcW w:w="1669" w:type="pct"/>
            <w:shd w:val="clear" w:color="auto" w:fill="auto"/>
            <w:vAlign w:val="center"/>
          </w:tcPr>
          <w:p w:rsidR="00CA276C" w:rsidRPr="00727E5C" w:rsidRDefault="00512839"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0.2%</w:t>
            </w:r>
          </w:p>
        </w:tc>
      </w:tr>
      <w:tr w:rsidR="00CA276C" w:rsidRPr="00727E5C">
        <w:trPr>
          <w:trHeight w:hRule="exact" w:val="340"/>
          <w:jc w:val="center"/>
        </w:trPr>
        <w:tc>
          <w:tcPr>
            <w:tcW w:w="1662" w:type="pct"/>
            <w:shd w:val="clear" w:color="auto" w:fill="auto"/>
            <w:vAlign w:val="center"/>
          </w:tcPr>
          <w:p w:rsidR="00CA276C" w:rsidRPr="00727E5C" w:rsidRDefault="00512839" w:rsidP="003E6E4F">
            <w:pPr>
              <w:pStyle w:val="Bodytext"/>
              <w:tabs>
                <w:tab w:val="clear" w:pos="1152"/>
                <w:tab w:val="clear" w:pos="1872"/>
                <w:tab w:val="left" w:pos="1874"/>
              </w:tabs>
              <w:overflowPunct w:val="0"/>
              <w:autoSpaceDE w:val="0"/>
              <w:autoSpaceDN w:val="0"/>
              <w:adjustRightInd w:val="0"/>
              <w:spacing w:before="0" w:line="300" w:lineRule="auto"/>
              <w:ind w:left="57" w:right="3"/>
              <w:textAlignment w:val="baseline"/>
              <w:rPr>
                <w:rFonts w:ascii="Arial" w:hAnsi="Arial" w:cs="Arial"/>
                <w:sz w:val="20"/>
              </w:rPr>
            </w:pPr>
            <w:r w:rsidRPr="00727E5C">
              <w:rPr>
                <w:rFonts w:ascii="Arial" w:hAnsi="Arial" w:cs="Arial"/>
                <w:sz w:val="20"/>
              </w:rPr>
              <w:t>Application site infection</w:t>
            </w:r>
          </w:p>
        </w:tc>
        <w:tc>
          <w:tcPr>
            <w:tcW w:w="1669" w:type="pct"/>
            <w:shd w:val="clear" w:color="auto" w:fill="auto"/>
            <w:vAlign w:val="center"/>
          </w:tcPr>
          <w:p w:rsidR="00CA276C" w:rsidRPr="00727E5C" w:rsidRDefault="00512839" w:rsidP="00727E5C">
            <w:pPr>
              <w:pStyle w:val="Bodytext"/>
              <w:tabs>
                <w:tab w:val="clear" w:pos="1152"/>
                <w:tab w:val="clear" w:pos="1872"/>
                <w:tab w:val="left" w:pos="1874"/>
              </w:tabs>
              <w:overflowPunct w:val="0"/>
              <w:autoSpaceDE w:val="0"/>
              <w:autoSpaceDN w:val="0"/>
              <w:adjustRightInd w:val="0"/>
              <w:spacing w:before="0" w:line="300" w:lineRule="auto"/>
              <w:ind w:left="57" w:right="57"/>
              <w:jc w:val="center"/>
              <w:textAlignment w:val="baseline"/>
              <w:rPr>
                <w:rFonts w:ascii="Arial" w:hAnsi="Arial" w:cs="Arial"/>
                <w:sz w:val="20"/>
              </w:rPr>
            </w:pPr>
            <w:r w:rsidRPr="00727E5C">
              <w:rPr>
                <w:rFonts w:ascii="Arial" w:hAnsi="Arial" w:cs="Arial"/>
                <w:sz w:val="20"/>
              </w:rPr>
              <w:t>1.4%</w:t>
            </w:r>
          </w:p>
        </w:tc>
        <w:tc>
          <w:tcPr>
            <w:tcW w:w="1669" w:type="pct"/>
            <w:shd w:val="clear" w:color="auto" w:fill="auto"/>
            <w:vAlign w:val="center"/>
          </w:tcPr>
          <w:p w:rsidR="00CA276C" w:rsidRPr="00727E5C" w:rsidRDefault="00512839"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0.2%</w:t>
            </w:r>
          </w:p>
        </w:tc>
      </w:tr>
      <w:tr w:rsidR="00CA276C" w:rsidRPr="00727E5C">
        <w:trPr>
          <w:trHeight w:hRule="exact" w:val="340"/>
          <w:jc w:val="center"/>
        </w:trPr>
        <w:tc>
          <w:tcPr>
            <w:tcW w:w="1662" w:type="pct"/>
            <w:shd w:val="clear" w:color="auto" w:fill="auto"/>
            <w:vAlign w:val="center"/>
          </w:tcPr>
          <w:p w:rsidR="00CA276C" w:rsidRPr="00727E5C" w:rsidRDefault="00512839" w:rsidP="003E6E4F">
            <w:pPr>
              <w:pStyle w:val="Bodytext"/>
              <w:tabs>
                <w:tab w:val="clear" w:pos="1152"/>
                <w:tab w:val="clear" w:pos="1872"/>
                <w:tab w:val="left" w:pos="1874"/>
              </w:tabs>
              <w:overflowPunct w:val="0"/>
              <w:autoSpaceDE w:val="0"/>
              <w:autoSpaceDN w:val="0"/>
              <w:adjustRightInd w:val="0"/>
              <w:spacing w:before="0" w:line="300" w:lineRule="auto"/>
              <w:ind w:left="57" w:right="3"/>
              <w:textAlignment w:val="baseline"/>
              <w:rPr>
                <w:rFonts w:ascii="Arial" w:hAnsi="Arial" w:cs="Arial"/>
                <w:sz w:val="20"/>
              </w:rPr>
            </w:pPr>
            <w:r w:rsidRPr="00727E5C">
              <w:rPr>
                <w:rFonts w:ascii="Arial" w:hAnsi="Arial" w:cs="Arial"/>
                <w:sz w:val="20"/>
              </w:rPr>
              <w:t xml:space="preserve">Periorbital </w:t>
            </w:r>
            <w:r w:rsidR="001D7FFD">
              <w:rPr>
                <w:rFonts w:ascii="Arial" w:hAnsi="Arial" w:cs="Arial"/>
                <w:sz w:val="20"/>
              </w:rPr>
              <w:t>o</w:t>
            </w:r>
            <w:r w:rsidRPr="00727E5C">
              <w:rPr>
                <w:rFonts w:ascii="Arial" w:hAnsi="Arial" w:cs="Arial"/>
                <w:sz w:val="20"/>
              </w:rPr>
              <w:t>edema</w:t>
            </w:r>
          </w:p>
        </w:tc>
        <w:tc>
          <w:tcPr>
            <w:tcW w:w="1669" w:type="pct"/>
            <w:shd w:val="clear" w:color="auto" w:fill="auto"/>
            <w:vAlign w:val="center"/>
          </w:tcPr>
          <w:p w:rsidR="00CA276C" w:rsidRPr="00727E5C" w:rsidRDefault="00512839" w:rsidP="00727E5C">
            <w:pPr>
              <w:pStyle w:val="Bodytext"/>
              <w:tabs>
                <w:tab w:val="clear" w:pos="1152"/>
                <w:tab w:val="clear" w:pos="1872"/>
                <w:tab w:val="left" w:pos="1874"/>
              </w:tabs>
              <w:overflowPunct w:val="0"/>
              <w:autoSpaceDE w:val="0"/>
              <w:autoSpaceDN w:val="0"/>
              <w:adjustRightInd w:val="0"/>
              <w:spacing w:before="0" w:line="300" w:lineRule="auto"/>
              <w:ind w:left="57" w:right="57"/>
              <w:jc w:val="center"/>
              <w:textAlignment w:val="baseline"/>
              <w:rPr>
                <w:rFonts w:ascii="Arial" w:hAnsi="Arial" w:cs="Arial"/>
                <w:sz w:val="20"/>
              </w:rPr>
            </w:pPr>
            <w:r w:rsidRPr="00727E5C">
              <w:rPr>
                <w:rFonts w:ascii="Arial" w:hAnsi="Arial" w:cs="Arial"/>
                <w:sz w:val="20"/>
              </w:rPr>
              <w:t>1.4%</w:t>
            </w:r>
          </w:p>
        </w:tc>
        <w:tc>
          <w:tcPr>
            <w:tcW w:w="1669" w:type="pct"/>
            <w:shd w:val="clear" w:color="auto" w:fill="auto"/>
            <w:vAlign w:val="center"/>
          </w:tcPr>
          <w:p w:rsidR="00CA276C" w:rsidRPr="00727E5C" w:rsidRDefault="00512839"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0.0%</w:t>
            </w:r>
          </w:p>
        </w:tc>
      </w:tr>
      <w:tr w:rsidR="00CA276C" w:rsidRPr="00727E5C">
        <w:trPr>
          <w:trHeight w:hRule="exact" w:val="340"/>
          <w:jc w:val="center"/>
        </w:trPr>
        <w:tc>
          <w:tcPr>
            <w:tcW w:w="1662" w:type="pct"/>
            <w:shd w:val="clear" w:color="auto" w:fill="auto"/>
            <w:vAlign w:val="center"/>
          </w:tcPr>
          <w:p w:rsidR="00CA276C" w:rsidRPr="00727E5C" w:rsidRDefault="00512839" w:rsidP="003E6E4F">
            <w:pPr>
              <w:pStyle w:val="Bodytext"/>
              <w:tabs>
                <w:tab w:val="clear" w:pos="1152"/>
                <w:tab w:val="clear" w:pos="1872"/>
                <w:tab w:val="left" w:pos="1874"/>
              </w:tabs>
              <w:overflowPunct w:val="0"/>
              <w:autoSpaceDE w:val="0"/>
              <w:autoSpaceDN w:val="0"/>
              <w:adjustRightInd w:val="0"/>
              <w:spacing w:before="0" w:line="300" w:lineRule="auto"/>
              <w:ind w:left="57" w:right="3"/>
              <w:textAlignment w:val="baseline"/>
              <w:rPr>
                <w:rFonts w:ascii="Arial" w:hAnsi="Arial" w:cs="Arial"/>
                <w:sz w:val="20"/>
              </w:rPr>
            </w:pPr>
            <w:r w:rsidRPr="00727E5C">
              <w:rPr>
                <w:rFonts w:ascii="Arial" w:hAnsi="Arial" w:cs="Arial"/>
                <w:sz w:val="20"/>
              </w:rPr>
              <w:t>Headache</w:t>
            </w:r>
          </w:p>
        </w:tc>
        <w:tc>
          <w:tcPr>
            <w:tcW w:w="1669" w:type="pct"/>
            <w:shd w:val="clear" w:color="auto" w:fill="auto"/>
            <w:vAlign w:val="center"/>
          </w:tcPr>
          <w:p w:rsidR="00CA276C" w:rsidRPr="00727E5C" w:rsidRDefault="00512839" w:rsidP="00727E5C">
            <w:pPr>
              <w:pStyle w:val="Bodytext"/>
              <w:tabs>
                <w:tab w:val="clear" w:pos="1152"/>
                <w:tab w:val="clear" w:pos="1872"/>
                <w:tab w:val="left" w:pos="1874"/>
              </w:tabs>
              <w:overflowPunct w:val="0"/>
              <w:autoSpaceDE w:val="0"/>
              <w:autoSpaceDN w:val="0"/>
              <w:adjustRightInd w:val="0"/>
              <w:spacing w:before="0" w:line="300" w:lineRule="auto"/>
              <w:ind w:left="57" w:right="57"/>
              <w:jc w:val="center"/>
              <w:textAlignment w:val="baseline"/>
              <w:rPr>
                <w:rFonts w:ascii="Arial" w:hAnsi="Arial" w:cs="Arial"/>
                <w:sz w:val="20"/>
              </w:rPr>
            </w:pPr>
            <w:r w:rsidRPr="00727E5C">
              <w:rPr>
                <w:rFonts w:ascii="Arial" w:hAnsi="Arial" w:cs="Arial"/>
                <w:sz w:val="20"/>
              </w:rPr>
              <w:t>1.4%</w:t>
            </w:r>
          </w:p>
        </w:tc>
        <w:tc>
          <w:tcPr>
            <w:tcW w:w="1669" w:type="pct"/>
            <w:shd w:val="clear" w:color="auto" w:fill="auto"/>
            <w:vAlign w:val="center"/>
          </w:tcPr>
          <w:p w:rsidR="00CA276C" w:rsidRPr="00727E5C" w:rsidRDefault="00512839"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1.0%</w:t>
            </w:r>
          </w:p>
        </w:tc>
      </w:tr>
    </w:tbl>
    <w:p w:rsidR="002E4F1D" w:rsidRDefault="00AE13A5" w:rsidP="00AE13A5">
      <w:pPr>
        <w:pStyle w:val="Bodytext"/>
        <w:spacing w:after="240"/>
        <w:ind w:right="-2"/>
        <w:jc w:val="both"/>
        <w:rPr>
          <w:rFonts w:ascii="Arial" w:hAnsi="Arial" w:cs="Arial"/>
          <w:sz w:val="22"/>
          <w:szCs w:val="22"/>
        </w:rPr>
      </w:pPr>
      <w:r w:rsidRPr="002A61ED">
        <w:rPr>
          <w:rFonts w:ascii="Arial" w:hAnsi="Arial" w:cs="Arial"/>
          <w:sz w:val="22"/>
          <w:szCs w:val="22"/>
        </w:rPr>
        <w:t>In the four vehicle controlled phase 3 studies, local skin responses (erythema, fla</w:t>
      </w:r>
      <w:r w:rsidRPr="002A61ED">
        <w:rPr>
          <w:rFonts w:ascii="Arial" w:hAnsi="Arial" w:cs="Arial"/>
          <w:sz w:val="22"/>
          <w:szCs w:val="22"/>
        </w:rPr>
        <w:t>k</w:t>
      </w:r>
      <w:r w:rsidRPr="002A61ED">
        <w:rPr>
          <w:rFonts w:ascii="Arial" w:hAnsi="Arial" w:cs="Arial"/>
          <w:sz w:val="22"/>
          <w:szCs w:val="22"/>
        </w:rPr>
        <w:t>ing/scaling, cru</w:t>
      </w:r>
      <w:r w:rsidR="00CB584A">
        <w:rPr>
          <w:rFonts w:ascii="Arial" w:hAnsi="Arial" w:cs="Arial"/>
          <w:sz w:val="22"/>
          <w:szCs w:val="22"/>
        </w:rPr>
        <w:t xml:space="preserve">sting, swelling, </w:t>
      </w:r>
      <w:proofErr w:type="spellStart"/>
      <w:r w:rsidR="00CB584A">
        <w:rPr>
          <w:rFonts w:ascii="Arial" w:hAnsi="Arial" w:cs="Arial"/>
          <w:sz w:val="22"/>
          <w:szCs w:val="22"/>
        </w:rPr>
        <w:t>vesiculation</w:t>
      </w:r>
      <w:proofErr w:type="spellEnd"/>
      <w:r w:rsidR="00CB584A">
        <w:rPr>
          <w:rFonts w:ascii="Arial" w:hAnsi="Arial" w:cs="Arial"/>
          <w:sz w:val="22"/>
          <w:szCs w:val="22"/>
        </w:rPr>
        <w:t>/</w:t>
      </w:r>
      <w:proofErr w:type="spellStart"/>
      <w:r w:rsidR="00D570BE">
        <w:rPr>
          <w:rFonts w:ascii="Arial" w:hAnsi="Arial" w:cs="Arial"/>
          <w:sz w:val="22"/>
          <w:szCs w:val="22"/>
        </w:rPr>
        <w:t>pu</w:t>
      </w:r>
      <w:r w:rsidR="00D570BE" w:rsidRPr="002A61ED">
        <w:rPr>
          <w:rFonts w:ascii="Arial" w:hAnsi="Arial" w:cs="Arial"/>
          <w:sz w:val="22"/>
          <w:szCs w:val="22"/>
        </w:rPr>
        <w:t>stulation</w:t>
      </w:r>
      <w:proofErr w:type="spellEnd"/>
      <w:r w:rsidRPr="002A61ED">
        <w:rPr>
          <w:rFonts w:ascii="Arial" w:hAnsi="Arial" w:cs="Arial"/>
          <w:sz w:val="22"/>
          <w:szCs w:val="22"/>
        </w:rPr>
        <w:t>, erosion/ulceration) were assessed within the selected treatment area and graded by the investigator on a scale of 0 to 4.  A grade of 0 represented no reaction present in the treated area, and a grade of 4 indicated a marked and discernable skin reaction that extended beyond the area treated</w:t>
      </w:r>
      <w:r w:rsidR="00761CBB">
        <w:rPr>
          <w:rFonts w:ascii="Arial" w:hAnsi="Arial" w:cs="Arial"/>
          <w:sz w:val="22"/>
          <w:szCs w:val="22"/>
        </w:rPr>
        <w:t xml:space="preserve"> (Table 6).</w:t>
      </w:r>
    </w:p>
    <w:p w:rsidR="00557AC9" w:rsidRPr="00FE7A04" w:rsidRDefault="00557AC9" w:rsidP="00557AC9">
      <w:pPr>
        <w:pStyle w:val="Bodytext"/>
        <w:spacing w:after="240"/>
        <w:ind w:right="-2"/>
        <w:jc w:val="both"/>
        <w:rPr>
          <w:rFonts w:ascii="Arial" w:hAnsi="Arial" w:cs="Arial"/>
          <w:sz w:val="22"/>
          <w:szCs w:val="22"/>
        </w:rPr>
      </w:pPr>
      <w:r w:rsidRPr="00FE7A04">
        <w:rPr>
          <w:rFonts w:ascii="Arial" w:hAnsi="Arial" w:cs="Arial"/>
          <w:sz w:val="22"/>
          <w:szCs w:val="22"/>
        </w:rPr>
        <w:lastRenderedPageBreak/>
        <w:t xml:space="preserve">For both treatment locations (face/scalp and trunk/extremities), erythema and flaking/scaling were the most common LSRs, followed by crusting and swelling in patients treated with </w:t>
      </w:r>
      <w:r w:rsidR="002C47E1">
        <w:rPr>
          <w:rFonts w:ascii="Arial" w:hAnsi="Arial" w:cs="Arial"/>
          <w:sz w:val="22"/>
          <w:szCs w:val="22"/>
        </w:rPr>
        <w:t>Picato</w:t>
      </w:r>
      <w:r w:rsidR="00DA2F20" w:rsidRPr="00DA2F20">
        <w:rPr>
          <w:rFonts w:ascii="Arial" w:hAnsi="Arial" w:cs="Arial"/>
          <w:sz w:val="22"/>
          <w:szCs w:val="22"/>
          <w:vertAlign w:val="superscript"/>
        </w:rPr>
        <w:t>®</w:t>
      </w:r>
      <w:r w:rsidRPr="00FE7A04">
        <w:rPr>
          <w:rFonts w:ascii="Arial" w:hAnsi="Arial" w:cs="Arial"/>
          <w:sz w:val="22"/>
          <w:szCs w:val="22"/>
        </w:rPr>
        <w:t>. The local skin responses are transient and typically occur within one day of trea</w:t>
      </w:r>
      <w:r w:rsidRPr="00FE7A04">
        <w:rPr>
          <w:rFonts w:ascii="Arial" w:hAnsi="Arial" w:cs="Arial"/>
          <w:sz w:val="22"/>
          <w:szCs w:val="22"/>
        </w:rPr>
        <w:t>t</w:t>
      </w:r>
      <w:r w:rsidRPr="00FE7A04">
        <w:rPr>
          <w:rFonts w:ascii="Arial" w:hAnsi="Arial" w:cs="Arial"/>
          <w:sz w:val="22"/>
          <w:szCs w:val="22"/>
        </w:rPr>
        <w:t>ment initiation and peak in intensity up to one week following completion of trea</w:t>
      </w:r>
      <w:r w:rsidRPr="00FE7A04">
        <w:rPr>
          <w:rFonts w:ascii="Arial" w:hAnsi="Arial" w:cs="Arial"/>
          <w:sz w:val="22"/>
          <w:szCs w:val="22"/>
        </w:rPr>
        <w:t>t</w:t>
      </w:r>
      <w:r w:rsidRPr="00FE7A04">
        <w:rPr>
          <w:rFonts w:ascii="Arial" w:hAnsi="Arial" w:cs="Arial"/>
          <w:sz w:val="22"/>
          <w:szCs w:val="22"/>
        </w:rPr>
        <w:t xml:space="preserve">ment. Local skin responses typically resolve within 2 weeks for areas treated on the face and scalp and within 4 weeks for areas treated on the </w:t>
      </w:r>
      <w:r>
        <w:rPr>
          <w:rFonts w:ascii="Arial" w:hAnsi="Arial" w:cs="Arial"/>
          <w:sz w:val="22"/>
          <w:szCs w:val="22"/>
        </w:rPr>
        <w:t>body (</w:t>
      </w:r>
      <w:r w:rsidRPr="00FE7A04">
        <w:rPr>
          <w:rFonts w:ascii="Arial" w:hAnsi="Arial" w:cs="Arial"/>
          <w:sz w:val="22"/>
          <w:szCs w:val="22"/>
        </w:rPr>
        <w:t>trunk and extremities</w:t>
      </w:r>
      <w:r>
        <w:rPr>
          <w:rFonts w:ascii="Arial" w:hAnsi="Arial" w:cs="Arial"/>
          <w:sz w:val="22"/>
          <w:szCs w:val="22"/>
        </w:rPr>
        <w:t>)</w:t>
      </w:r>
      <w:r w:rsidRPr="00FE7A04">
        <w:rPr>
          <w:rFonts w:ascii="Arial" w:hAnsi="Arial" w:cs="Arial"/>
          <w:sz w:val="22"/>
          <w:szCs w:val="22"/>
        </w:rPr>
        <w:t>.</w:t>
      </w:r>
    </w:p>
    <w:p w:rsidR="001071C6" w:rsidRDefault="00557AC9" w:rsidP="00AE13A5">
      <w:pPr>
        <w:pStyle w:val="Bodytext"/>
        <w:spacing w:after="240"/>
        <w:ind w:right="-2"/>
        <w:jc w:val="both"/>
        <w:rPr>
          <w:rFonts w:ascii="Arial" w:hAnsi="Arial" w:cs="Arial"/>
          <w:sz w:val="22"/>
          <w:szCs w:val="22"/>
        </w:rPr>
      </w:pPr>
      <w:r w:rsidRPr="00FE7A04">
        <w:rPr>
          <w:rFonts w:ascii="Arial" w:hAnsi="Arial" w:cs="Arial"/>
          <w:sz w:val="22"/>
          <w:szCs w:val="22"/>
        </w:rPr>
        <w:t>Other less common adverse reactions (less than 1% but more than 0.5%) were, in decrea</w:t>
      </w:r>
      <w:r w:rsidRPr="00FE7A04">
        <w:rPr>
          <w:rFonts w:ascii="Arial" w:hAnsi="Arial" w:cs="Arial"/>
          <w:sz w:val="22"/>
          <w:szCs w:val="22"/>
        </w:rPr>
        <w:t>s</w:t>
      </w:r>
      <w:r w:rsidRPr="00FE7A04">
        <w:rPr>
          <w:rFonts w:ascii="Arial" w:hAnsi="Arial" w:cs="Arial"/>
          <w:sz w:val="22"/>
          <w:szCs w:val="22"/>
        </w:rPr>
        <w:t>ing order</w:t>
      </w:r>
      <w:r w:rsidR="00626B02">
        <w:rPr>
          <w:rFonts w:ascii="Arial" w:hAnsi="Arial" w:cs="Arial"/>
          <w:sz w:val="22"/>
          <w:szCs w:val="22"/>
        </w:rPr>
        <w:t xml:space="preserve">: application site </w:t>
      </w:r>
      <w:proofErr w:type="spellStart"/>
      <w:r w:rsidR="00626B02">
        <w:rPr>
          <w:rFonts w:ascii="Arial" w:hAnsi="Arial" w:cs="Arial"/>
          <w:sz w:val="22"/>
          <w:szCs w:val="22"/>
        </w:rPr>
        <w:t>parasthesia</w:t>
      </w:r>
      <w:proofErr w:type="spellEnd"/>
      <w:r w:rsidR="00626B02">
        <w:rPr>
          <w:rFonts w:ascii="Arial" w:hAnsi="Arial" w:cs="Arial"/>
          <w:sz w:val="22"/>
          <w:szCs w:val="22"/>
        </w:rPr>
        <w:t xml:space="preserve"> </w:t>
      </w:r>
      <w:r w:rsidRPr="00FE7A04">
        <w:rPr>
          <w:rFonts w:ascii="Arial" w:hAnsi="Arial" w:cs="Arial"/>
          <w:sz w:val="22"/>
          <w:szCs w:val="22"/>
        </w:rPr>
        <w:t xml:space="preserve">and eyelid </w:t>
      </w:r>
      <w:r w:rsidR="001D7FFD">
        <w:rPr>
          <w:rFonts w:ascii="Arial" w:hAnsi="Arial" w:cs="Arial"/>
          <w:sz w:val="22"/>
          <w:szCs w:val="22"/>
        </w:rPr>
        <w:t>o</w:t>
      </w:r>
      <w:r w:rsidRPr="00FE7A04">
        <w:rPr>
          <w:rFonts w:ascii="Arial" w:hAnsi="Arial" w:cs="Arial"/>
          <w:sz w:val="22"/>
          <w:szCs w:val="22"/>
        </w:rPr>
        <w:t>edema.</w:t>
      </w:r>
    </w:p>
    <w:p w:rsidR="00A5404D" w:rsidRPr="00FE7A04" w:rsidRDefault="00B704D9" w:rsidP="00FE7A04">
      <w:pPr>
        <w:pStyle w:val="Bodytext"/>
        <w:spacing w:after="60"/>
        <w:jc w:val="both"/>
        <w:rPr>
          <w:rFonts w:ascii="Arial" w:hAnsi="Arial" w:cs="Arial"/>
          <w:b/>
          <w:sz w:val="20"/>
        </w:rPr>
      </w:pPr>
      <w:r w:rsidRPr="00B704D9">
        <w:rPr>
          <w:rFonts w:ascii="Arial" w:hAnsi="Arial" w:cs="Arial"/>
          <w:b/>
          <w:sz w:val="20"/>
        </w:rPr>
        <w:t xml:space="preserve">Table </w:t>
      </w:r>
      <w:r w:rsidR="00761CBB">
        <w:rPr>
          <w:rFonts w:ascii="Arial" w:hAnsi="Arial" w:cs="Arial"/>
          <w:b/>
          <w:sz w:val="20"/>
        </w:rPr>
        <w:t>6</w:t>
      </w:r>
      <w:r w:rsidRPr="00B704D9">
        <w:rPr>
          <w:rFonts w:ascii="Arial" w:hAnsi="Arial" w:cs="Arial"/>
          <w:b/>
          <w:sz w:val="20"/>
        </w:rPr>
        <w:t>:</w:t>
      </w:r>
      <w:r w:rsidRPr="00654624">
        <w:rPr>
          <w:rFonts w:ascii="Arial" w:hAnsi="Arial" w:cs="Arial"/>
          <w:b/>
          <w:sz w:val="20"/>
        </w:rPr>
        <w:t xml:space="preserve"> </w:t>
      </w:r>
      <w:r w:rsidR="00A5404D" w:rsidRPr="00FE7A04">
        <w:rPr>
          <w:rFonts w:ascii="Arial" w:hAnsi="Arial" w:cs="Arial"/>
          <w:b/>
          <w:sz w:val="20"/>
        </w:rPr>
        <w:t xml:space="preserve">Local skin responses in the treatment area in </w:t>
      </w:r>
      <w:r w:rsidR="002C47E1">
        <w:rPr>
          <w:rFonts w:ascii="Arial" w:hAnsi="Arial" w:cs="Arial"/>
          <w:b/>
          <w:sz w:val="20"/>
        </w:rPr>
        <w:t>Picato</w:t>
      </w:r>
      <w:r w:rsidR="00DA2F20" w:rsidRPr="00DA2F20">
        <w:rPr>
          <w:rFonts w:ascii="Arial" w:hAnsi="Arial" w:cs="Arial"/>
          <w:b/>
          <w:sz w:val="20"/>
          <w:vertAlign w:val="superscript"/>
        </w:rPr>
        <w:t>®</w:t>
      </w:r>
      <w:r w:rsidR="00831B5A">
        <w:rPr>
          <w:rFonts w:ascii="Arial" w:hAnsi="Arial" w:cs="Arial"/>
          <w:b/>
          <w:sz w:val="20"/>
        </w:rPr>
        <w:t xml:space="preserve"> </w:t>
      </w:r>
      <w:r w:rsidR="00A5404D" w:rsidRPr="00FE7A04">
        <w:rPr>
          <w:rFonts w:ascii="Arial" w:hAnsi="Arial" w:cs="Arial"/>
          <w:b/>
          <w:sz w:val="20"/>
        </w:rPr>
        <w:t>or vehicle - treated subjects as assessed by the investigator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6"/>
        <w:gridCol w:w="851"/>
        <w:gridCol w:w="1630"/>
        <w:gridCol w:w="1631"/>
        <w:gridCol w:w="1631"/>
        <w:gridCol w:w="1631"/>
      </w:tblGrid>
      <w:tr w:rsidR="002129DA" w:rsidRPr="00727E5C">
        <w:trPr>
          <w:trHeight w:hRule="exact" w:val="340"/>
          <w:jc w:val="center"/>
        </w:trPr>
        <w:tc>
          <w:tcPr>
            <w:tcW w:w="1706" w:type="dxa"/>
            <w:vMerge w:val="restart"/>
            <w:shd w:val="clear" w:color="auto" w:fill="auto"/>
            <w:vAlign w:val="center"/>
          </w:tcPr>
          <w:p w:rsidR="002129DA" w:rsidRPr="00727E5C" w:rsidRDefault="002129DA" w:rsidP="00727E5C">
            <w:pPr>
              <w:pStyle w:val="Bodytext"/>
              <w:overflowPunct w:val="0"/>
              <w:autoSpaceDE w:val="0"/>
              <w:autoSpaceDN w:val="0"/>
              <w:adjustRightInd w:val="0"/>
              <w:spacing w:before="0"/>
              <w:ind w:left="57" w:right="57"/>
              <w:jc w:val="center"/>
              <w:textAlignment w:val="baseline"/>
              <w:rPr>
                <w:rFonts w:ascii="Arial" w:hAnsi="Arial" w:cs="Arial"/>
                <w:b/>
                <w:sz w:val="20"/>
              </w:rPr>
            </w:pPr>
            <w:r w:rsidRPr="00727E5C">
              <w:rPr>
                <w:rFonts w:ascii="Arial" w:hAnsi="Arial" w:cs="Arial"/>
                <w:b/>
                <w:sz w:val="20"/>
              </w:rPr>
              <w:t>Local skin responses max</w:t>
            </w:r>
            <w:r w:rsidRPr="00727E5C">
              <w:rPr>
                <w:rFonts w:ascii="Arial" w:hAnsi="Arial" w:cs="Arial"/>
                <w:b/>
                <w:sz w:val="20"/>
              </w:rPr>
              <w:t>i</w:t>
            </w:r>
            <w:r w:rsidRPr="00727E5C">
              <w:rPr>
                <w:rFonts w:ascii="Arial" w:hAnsi="Arial" w:cs="Arial"/>
                <w:b/>
                <w:sz w:val="20"/>
              </w:rPr>
              <w:t>mum score past baseline</w:t>
            </w:r>
          </w:p>
        </w:tc>
        <w:tc>
          <w:tcPr>
            <w:tcW w:w="851" w:type="dxa"/>
            <w:vMerge w:val="restart"/>
            <w:shd w:val="clear" w:color="auto" w:fill="auto"/>
            <w:vAlign w:val="center"/>
          </w:tcPr>
          <w:p w:rsidR="002129DA" w:rsidRPr="00727E5C" w:rsidRDefault="002129DA" w:rsidP="00727E5C">
            <w:pPr>
              <w:pStyle w:val="Bodytext"/>
              <w:spacing w:before="0"/>
              <w:jc w:val="center"/>
              <w:rPr>
                <w:rFonts w:ascii="Arial" w:hAnsi="Arial" w:cs="Arial"/>
                <w:b/>
                <w:sz w:val="20"/>
              </w:rPr>
            </w:pPr>
            <w:r w:rsidRPr="00727E5C">
              <w:rPr>
                <w:rFonts w:ascii="Arial" w:hAnsi="Arial" w:cs="Arial"/>
                <w:b/>
                <w:sz w:val="20"/>
              </w:rPr>
              <w:t>Grade</w:t>
            </w:r>
          </w:p>
        </w:tc>
        <w:tc>
          <w:tcPr>
            <w:tcW w:w="3261" w:type="dxa"/>
            <w:gridSpan w:val="2"/>
            <w:shd w:val="clear" w:color="auto" w:fill="auto"/>
            <w:vAlign w:val="center"/>
          </w:tcPr>
          <w:p w:rsidR="002129DA" w:rsidRPr="00727E5C" w:rsidRDefault="002129DA" w:rsidP="00727E5C">
            <w:pPr>
              <w:pStyle w:val="Bodytext"/>
              <w:spacing w:before="0"/>
              <w:jc w:val="center"/>
              <w:rPr>
                <w:rFonts w:ascii="Arial" w:hAnsi="Arial" w:cs="Arial"/>
                <w:b/>
                <w:sz w:val="20"/>
              </w:rPr>
            </w:pPr>
            <w:r w:rsidRPr="00727E5C">
              <w:rPr>
                <w:rFonts w:ascii="Arial" w:hAnsi="Arial" w:cs="Arial"/>
                <w:b/>
                <w:sz w:val="20"/>
              </w:rPr>
              <w:t>Face/Scalp</w:t>
            </w:r>
          </w:p>
        </w:tc>
        <w:tc>
          <w:tcPr>
            <w:tcW w:w="3262" w:type="dxa"/>
            <w:gridSpan w:val="2"/>
            <w:shd w:val="clear" w:color="auto" w:fill="auto"/>
            <w:vAlign w:val="center"/>
          </w:tcPr>
          <w:p w:rsidR="002129DA" w:rsidRPr="00727E5C" w:rsidRDefault="002129DA" w:rsidP="00727E5C">
            <w:pPr>
              <w:pStyle w:val="Bodytext"/>
              <w:spacing w:before="0"/>
              <w:jc w:val="center"/>
              <w:rPr>
                <w:rFonts w:ascii="Arial" w:hAnsi="Arial" w:cs="Arial"/>
                <w:b/>
                <w:sz w:val="20"/>
              </w:rPr>
            </w:pPr>
            <w:r w:rsidRPr="00727E5C">
              <w:rPr>
                <w:rFonts w:ascii="Arial" w:hAnsi="Arial" w:cs="Arial"/>
                <w:b/>
                <w:sz w:val="20"/>
              </w:rPr>
              <w:t>Trunk/Extremities</w:t>
            </w:r>
          </w:p>
        </w:tc>
      </w:tr>
      <w:tr w:rsidR="00315BAB" w:rsidRPr="00727E5C">
        <w:trPr>
          <w:trHeight w:hRule="exact" w:val="841"/>
          <w:jc w:val="center"/>
        </w:trPr>
        <w:tc>
          <w:tcPr>
            <w:tcW w:w="1706" w:type="dxa"/>
            <w:vMerge/>
            <w:shd w:val="clear" w:color="auto" w:fill="auto"/>
            <w:vAlign w:val="center"/>
          </w:tcPr>
          <w:p w:rsidR="002129DA" w:rsidRPr="00727E5C" w:rsidRDefault="002129DA" w:rsidP="00727E5C">
            <w:pPr>
              <w:pStyle w:val="Bodytext"/>
              <w:overflowPunct w:val="0"/>
              <w:autoSpaceDE w:val="0"/>
              <w:autoSpaceDN w:val="0"/>
              <w:adjustRightInd w:val="0"/>
              <w:spacing w:before="0"/>
              <w:ind w:left="57" w:right="480"/>
              <w:jc w:val="center"/>
              <w:textAlignment w:val="baseline"/>
              <w:rPr>
                <w:rFonts w:ascii="Arial" w:hAnsi="Arial" w:cs="Arial"/>
                <w:sz w:val="20"/>
              </w:rPr>
            </w:pPr>
          </w:p>
        </w:tc>
        <w:tc>
          <w:tcPr>
            <w:tcW w:w="851" w:type="dxa"/>
            <w:vMerge/>
            <w:shd w:val="clear" w:color="auto" w:fill="auto"/>
            <w:vAlign w:val="center"/>
          </w:tcPr>
          <w:p w:rsidR="002129DA" w:rsidRPr="00727E5C" w:rsidRDefault="002129DA" w:rsidP="00727E5C">
            <w:pPr>
              <w:pStyle w:val="Bodytext"/>
              <w:overflowPunct w:val="0"/>
              <w:autoSpaceDE w:val="0"/>
              <w:autoSpaceDN w:val="0"/>
              <w:adjustRightInd w:val="0"/>
              <w:spacing w:before="0"/>
              <w:ind w:left="57" w:right="480"/>
              <w:jc w:val="center"/>
              <w:textAlignment w:val="baseline"/>
              <w:rPr>
                <w:rFonts w:ascii="Arial" w:hAnsi="Arial" w:cs="Arial"/>
                <w:sz w:val="20"/>
              </w:rPr>
            </w:pPr>
          </w:p>
        </w:tc>
        <w:tc>
          <w:tcPr>
            <w:tcW w:w="1630" w:type="dxa"/>
            <w:shd w:val="clear" w:color="auto" w:fill="auto"/>
            <w:vAlign w:val="center"/>
          </w:tcPr>
          <w:p w:rsidR="002129DA" w:rsidRPr="00727E5C" w:rsidRDefault="002C47E1" w:rsidP="003F2599">
            <w:pPr>
              <w:pStyle w:val="Bodytext"/>
              <w:tabs>
                <w:tab w:val="clear" w:pos="1152"/>
                <w:tab w:val="left" w:pos="2063"/>
              </w:tabs>
              <w:overflowPunct w:val="0"/>
              <w:autoSpaceDE w:val="0"/>
              <w:autoSpaceDN w:val="0"/>
              <w:adjustRightInd w:val="0"/>
              <w:spacing w:before="0"/>
              <w:ind w:left="57" w:right="-7"/>
              <w:jc w:val="center"/>
              <w:textAlignment w:val="baseline"/>
              <w:rPr>
                <w:rFonts w:ascii="Arial" w:hAnsi="Arial" w:cs="Arial"/>
                <w:b/>
                <w:sz w:val="20"/>
              </w:rPr>
            </w:pPr>
            <w:r>
              <w:rPr>
                <w:rFonts w:ascii="Arial" w:hAnsi="Arial" w:cs="Arial"/>
                <w:b/>
                <w:sz w:val="20"/>
              </w:rPr>
              <w:t>Picato</w:t>
            </w:r>
            <w:r w:rsidR="00DA2F20" w:rsidRPr="00DA2F20">
              <w:rPr>
                <w:rFonts w:ascii="Arial" w:hAnsi="Arial" w:cs="Arial"/>
                <w:b/>
                <w:sz w:val="20"/>
                <w:vertAlign w:val="superscript"/>
              </w:rPr>
              <w:t>®</w:t>
            </w:r>
            <w:r w:rsidR="00B201E7">
              <w:rPr>
                <w:rFonts w:ascii="Arial" w:hAnsi="Arial" w:cs="Arial"/>
                <w:b/>
                <w:sz w:val="20"/>
              </w:rPr>
              <w:t xml:space="preserve"> gel</w:t>
            </w:r>
            <w:r w:rsidR="002129DA" w:rsidRPr="00727E5C">
              <w:rPr>
                <w:rFonts w:ascii="Arial" w:hAnsi="Arial" w:cs="Arial"/>
                <w:b/>
                <w:sz w:val="20"/>
              </w:rPr>
              <w:t xml:space="preserve"> 0.015% (n=274)</w:t>
            </w:r>
          </w:p>
        </w:tc>
        <w:tc>
          <w:tcPr>
            <w:tcW w:w="1631" w:type="dxa"/>
            <w:shd w:val="clear" w:color="auto" w:fill="auto"/>
            <w:vAlign w:val="center"/>
          </w:tcPr>
          <w:p w:rsidR="002129DA" w:rsidRPr="00727E5C" w:rsidRDefault="002129DA" w:rsidP="00727E5C">
            <w:pPr>
              <w:pStyle w:val="Bodytext"/>
              <w:tabs>
                <w:tab w:val="clear" w:pos="1152"/>
              </w:tabs>
              <w:overflowPunct w:val="0"/>
              <w:autoSpaceDE w:val="0"/>
              <w:autoSpaceDN w:val="0"/>
              <w:adjustRightInd w:val="0"/>
              <w:spacing w:before="0"/>
              <w:ind w:left="-71" w:right="-54"/>
              <w:jc w:val="center"/>
              <w:textAlignment w:val="baseline"/>
              <w:rPr>
                <w:rFonts w:ascii="Arial" w:hAnsi="Arial" w:cs="Arial"/>
                <w:b/>
                <w:sz w:val="20"/>
              </w:rPr>
            </w:pPr>
            <w:r w:rsidRPr="00727E5C">
              <w:rPr>
                <w:rFonts w:ascii="Arial" w:hAnsi="Arial" w:cs="Arial"/>
                <w:b/>
                <w:sz w:val="20"/>
              </w:rPr>
              <w:t>Vehicle (n=271)</w:t>
            </w:r>
          </w:p>
        </w:tc>
        <w:tc>
          <w:tcPr>
            <w:tcW w:w="1631" w:type="dxa"/>
            <w:shd w:val="clear" w:color="auto" w:fill="auto"/>
            <w:vAlign w:val="center"/>
          </w:tcPr>
          <w:p w:rsidR="002129DA" w:rsidRPr="00727E5C" w:rsidRDefault="002C47E1" w:rsidP="003F2599">
            <w:pPr>
              <w:pStyle w:val="Bodytext"/>
              <w:tabs>
                <w:tab w:val="clear" w:pos="1152"/>
                <w:tab w:val="left" w:pos="2011"/>
              </w:tabs>
              <w:overflowPunct w:val="0"/>
              <w:autoSpaceDE w:val="0"/>
              <w:autoSpaceDN w:val="0"/>
              <w:adjustRightInd w:val="0"/>
              <w:spacing w:before="0"/>
              <w:ind w:left="57"/>
              <w:jc w:val="center"/>
              <w:textAlignment w:val="baseline"/>
              <w:rPr>
                <w:rFonts w:ascii="Arial" w:hAnsi="Arial" w:cs="Arial"/>
                <w:b/>
                <w:sz w:val="20"/>
              </w:rPr>
            </w:pPr>
            <w:r>
              <w:rPr>
                <w:rFonts w:ascii="Arial" w:hAnsi="Arial" w:cs="Arial"/>
                <w:b/>
                <w:sz w:val="20"/>
              </w:rPr>
              <w:t>Picato</w:t>
            </w:r>
            <w:r w:rsidR="00DA2F20" w:rsidRPr="00DA2F20">
              <w:rPr>
                <w:rFonts w:ascii="Arial" w:hAnsi="Arial" w:cs="Arial"/>
                <w:b/>
                <w:sz w:val="20"/>
                <w:vertAlign w:val="superscript"/>
              </w:rPr>
              <w:t>®</w:t>
            </w:r>
            <w:r w:rsidR="00B201E7">
              <w:rPr>
                <w:rFonts w:ascii="Arial" w:hAnsi="Arial" w:cs="Arial"/>
                <w:b/>
                <w:sz w:val="20"/>
              </w:rPr>
              <w:t xml:space="preserve"> gel</w:t>
            </w:r>
            <w:r w:rsidR="002129DA" w:rsidRPr="00727E5C">
              <w:rPr>
                <w:rFonts w:ascii="Arial" w:hAnsi="Arial" w:cs="Arial"/>
                <w:b/>
                <w:sz w:val="20"/>
              </w:rPr>
              <w:t xml:space="preserve"> 0.05% (n=225)</w:t>
            </w:r>
          </w:p>
        </w:tc>
        <w:tc>
          <w:tcPr>
            <w:tcW w:w="1631" w:type="dxa"/>
            <w:shd w:val="clear" w:color="auto" w:fill="auto"/>
            <w:vAlign w:val="center"/>
          </w:tcPr>
          <w:p w:rsidR="002129DA" w:rsidRPr="00727E5C" w:rsidRDefault="002129DA" w:rsidP="00727E5C">
            <w:pPr>
              <w:pStyle w:val="Bodytext"/>
              <w:tabs>
                <w:tab w:val="clear" w:pos="1152"/>
              </w:tabs>
              <w:overflowPunct w:val="0"/>
              <w:autoSpaceDE w:val="0"/>
              <w:autoSpaceDN w:val="0"/>
              <w:adjustRightInd w:val="0"/>
              <w:spacing w:before="0"/>
              <w:ind w:left="57"/>
              <w:jc w:val="center"/>
              <w:textAlignment w:val="baseline"/>
              <w:rPr>
                <w:rFonts w:ascii="Arial" w:hAnsi="Arial" w:cs="Arial"/>
                <w:b/>
                <w:sz w:val="20"/>
              </w:rPr>
            </w:pPr>
            <w:r w:rsidRPr="00727E5C">
              <w:rPr>
                <w:rFonts w:ascii="Arial" w:hAnsi="Arial" w:cs="Arial"/>
                <w:b/>
                <w:sz w:val="20"/>
              </w:rPr>
              <w:t>Vehicle (n=232)</w:t>
            </w:r>
          </w:p>
        </w:tc>
      </w:tr>
      <w:tr w:rsidR="00315BAB" w:rsidRPr="00727E5C">
        <w:trPr>
          <w:trHeight w:hRule="exact" w:val="964"/>
          <w:jc w:val="center"/>
        </w:trPr>
        <w:tc>
          <w:tcPr>
            <w:tcW w:w="1706" w:type="dxa"/>
            <w:shd w:val="clear" w:color="auto" w:fill="auto"/>
            <w:vAlign w:val="center"/>
          </w:tcPr>
          <w:p w:rsidR="002129DA" w:rsidRPr="00727E5C" w:rsidRDefault="00315BAB" w:rsidP="00727E5C">
            <w:pPr>
              <w:pStyle w:val="Bodytext"/>
              <w:tabs>
                <w:tab w:val="clear" w:pos="1152"/>
                <w:tab w:val="clear" w:pos="1872"/>
                <w:tab w:val="left" w:pos="1848"/>
              </w:tabs>
              <w:overflowPunct w:val="0"/>
              <w:autoSpaceDE w:val="0"/>
              <w:autoSpaceDN w:val="0"/>
              <w:adjustRightInd w:val="0"/>
              <w:spacing w:before="0" w:line="300" w:lineRule="auto"/>
              <w:ind w:left="57" w:right="23"/>
              <w:jc w:val="center"/>
              <w:textAlignment w:val="baseline"/>
              <w:rPr>
                <w:rFonts w:ascii="Arial" w:hAnsi="Arial" w:cs="Arial"/>
                <w:sz w:val="20"/>
              </w:rPr>
            </w:pPr>
            <w:r w:rsidRPr="00727E5C">
              <w:rPr>
                <w:rFonts w:ascii="Arial" w:hAnsi="Arial" w:cs="Arial"/>
                <w:sz w:val="20"/>
              </w:rPr>
              <w:t>Erythema</w:t>
            </w:r>
          </w:p>
        </w:tc>
        <w:tc>
          <w:tcPr>
            <w:tcW w:w="851" w:type="dxa"/>
            <w:shd w:val="clear" w:color="auto" w:fill="auto"/>
            <w:vAlign w:val="center"/>
          </w:tcPr>
          <w:p w:rsidR="002129DA"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1</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2</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3</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4</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p>
        </w:tc>
        <w:tc>
          <w:tcPr>
            <w:tcW w:w="1630" w:type="dxa"/>
            <w:shd w:val="clear" w:color="auto" w:fill="auto"/>
            <w:vAlign w:val="center"/>
          </w:tcPr>
          <w:p w:rsidR="002129DA"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25 (9%)</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56 (</w:t>
            </w:r>
            <w:r w:rsidR="00D71FDB" w:rsidRPr="00727E5C">
              <w:rPr>
                <w:rFonts w:ascii="Arial" w:hAnsi="Arial" w:cs="Arial"/>
                <w:sz w:val="20"/>
              </w:rPr>
              <w:t>20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125 (</w:t>
            </w:r>
            <w:r w:rsidR="00D71FDB" w:rsidRPr="00727E5C">
              <w:rPr>
                <w:rFonts w:ascii="Arial" w:hAnsi="Arial" w:cs="Arial"/>
                <w:sz w:val="20"/>
              </w:rPr>
              <w:t>46</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66 (</w:t>
            </w:r>
            <w:r w:rsidR="00D71FDB" w:rsidRPr="00727E5C">
              <w:rPr>
                <w:rFonts w:ascii="Arial" w:hAnsi="Arial" w:cs="Arial"/>
                <w:sz w:val="20"/>
              </w:rPr>
              <w:t>24</w:t>
            </w:r>
            <w:r w:rsidRPr="00727E5C">
              <w:rPr>
                <w:rFonts w:ascii="Arial" w:hAnsi="Arial" w:cs="Arial"/>
                <w:sz w:val="20"/>
              </w:rPr>
              <w:t>%)</w:t>
            </w:r>
          </w:p>
        </w:tc>
        <w:tc>
          <w:tcPr>
            <w:tcW w:w="1631" w:type="dxa"/>
            <w:shd w:val="clear" w:color="auto" w:fill="auto"/>
            <w:vAlign w:val="center"/>
          </w:tcPr>
          <w:p w:rsidR="002129DA"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127 (</w:t>
            </w:r>
            <w:r w:rsidR="00D71FDB" w:rsidRPr="00727E5C">
              <w:rPr>
                <w:rFonts w:ascii="Arial" w:hAnsi="Arial" w:cs="Arial"/>
                <w:sz w:val="20"/>
              </w:rPr>
              <w:t>47</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33 (</w:t>
            </w:r>
            <w:r w:rsidR="00D71FDB" w:rsidRPr="00727E5C">
              <w:rPr>
                <w:rFonts w:ascii="Arial" w:hAnsi="Arial" w:cs="Arial"/>
                <w:sz w:val="20"/>
              </w:rPr>
              <w:t>12</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6 (</w:t>
            </w:r>
            <w:r w:rsidR="00D71FDB" w:rsidRPr="00727E5C">
              <w:rPr>
                <w:rFonts w:ascii="Arial" w:hAnsi="Arial" w:cs="Arial"/>
                <w:sz w:val="20"/>
              </w:rPr>
              <w:t>2</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p>
        </w:tc>
        <w:tc>
          <w:tcPr>
            <w:tcW w:w="1631" w:type="dxa"/>
            <w:shd w:val="clear" w:color="auto" w:fill="auto"/>
            <w:vAlign w:val="center"/>
          </w:tcPr>
          <w:p w:rsidR="002129DA"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31 (</w:t>
            </w:r>
            <w:r w:rsidR="00F80AA9" w:rsidRPr="00727E5C">
              <w:rPr>
                <w:rFonts w:ascii="Arial" w:hAnsi="Arial" w:cs="Arial"/>
                <w:sz w:val="20"/>
              </w:rPr>
              <w:t>14</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94 (</w:t>
            </w:r>
            <w:r w:rsidR="00F80AA9" w:rsidRPr="00727E5C">
              <w:rPr>
                <w:rFonts w:ascii="Arial" w:hAnsi="Arial" w:cs="Arial"/>
                <w:sz w:val="20"/>
              </w:rPr>
              <w:t>42</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61 (</w:t>
            </w:r>
            <w:r w:rsidR="00F80AA9" w:rsidRPr="00727E5C">
              <w:rPr>
                <w:rFonts w:ascii="Arial" w:hAnsi="Arial" w:cs="Arial"/>
                <w:sz w:val="20"/>
              </w:rPr>
              <w:t>27</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34 (</w:t>
            </w:r>
            <w:r w:rsidR="00F80AA9" w:rsidRPr="00727E5C">
              <w:rPr>
                <w:rFonts w:ascii="Arial" w:hAnsi="Arial" w:cs="Arial"/>
                <w:sz w:val="20"/>
              </w:rPr>
              <w:t>15</w:t>
            </w:r>
            <w:r w:rsidRPr="00727E5C">
              <w:rPr>
                <w:rFonts w:ascii="Arial" w:hAnsi="Arial" w:cs="Arial"/>
                <w:sz w:val="20"/>
              </w:rPr>
              <w:t>%)</w:t>
            </w:r>
          </w:p>
        </w:tc>
        <w:tc>
          <w:tcPr>
            <w:tcW w:w="1631" w:type="dxa"/>
            <w:shd w:val="clear" w:color="auto" w:fill="auto"/>
            <w:vAlign w:val="center"/>
          </w:tcPr>
          <w:p w:rsidR="002129DA"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102 (</w:t>
            </w:r>
            <w:r w:rsidR="00F80AA9" w:rsidRPr="00727E5C">
              <w:rPr>
                <w:rFonts w:ascii="Arial" w:hAnsi="Arial" w:cs="Arial"/>
                <w:sz w:val="20"/>
              </w:rPr>
              <w:t>44</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16 (</w:t>
            </w:r>
            <w:r w:rsidR="00F80AA9" w:rsidRPr="00727E5C">
              <w:rPr>
                <w:rFonts w:ascii="Arial" w:hAnsi="Arial" w:cs="Arial"/>
                <w:sz w:val="20"/>
              </w:rPr>
              <w:t>7</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2 (</w:t>
            </w:r>
            <w:r w:rsidR="00F80AA9" w:rsidRPr="00727E5C">
              <w:rPr>
                <w:rFonts w:ascii="Arial" w:hAnsi="Arial" w:cs="Arial"/>
                <w:sz w:val="20"/>
              </w:rPr>
              <w:t>1</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 (</w:t>
            </w:r>
            <w:r w:rsidR="00F80AA9" w:rsidRPr="00727E5C">
              <w:rPr>
                <w:rFonts w:ascii="Arial" w:hAnsi="Arial" w:cs="Arial"/>
                <w:sz w:val="20"/>
              </w:rPr>
              <w:t>0</w:t>
            </w:r>
            <w:r w:rsidRPr="00727E5C">
              <w:rPr>
                <w:rFonts w:ascii="Arial" w:hAnsi="Arial" w:cs="Arial"/>
                <w:sz w:val="20"/>
              </w:rPr>
              <w:t>%)</w:t>
            </w:r>
          </w:p>
        </w:tc>
      </w:tr>
      <w:tr w:rsidR="00315BAB" w:rsidRPr="00727E5C">
        <w:trPr>
          <w:trHeight w:hRule="exact" w:val="964"/>
          <w:jc w:val="center"/>
        </w:trPr>
        <w:tc>
          <w:tcPr>
            <w:tcW w:w="1706" w:type="dxa"/>
            <w:shd w:val="clear" w:color="auto" w:fill="auto"/>
            <w:vAlign w:val="center"/>
          </w:tcPr>
          <w:p w:rsidR="002129DA" w:rsidRPr="00727E5C" w:rsidRDefault="00315BAB" w:rsidP="00727E5C">
            <w:pPr>
              <w:pStyle w:val="Bodytext"/>
              <w:tabs>
                <w:tab w:val="clear" w:pos="1152"/>
                <w:tab w:val="clear" w:pos="1872"/>
                <w:tab w:val="left" w:pos="1848"/>
              </w:tabs>
              <w:overflowPunct w:val="0"/>
              <w:autoSpaceDE w:val="0"/>
              <w:autoSpaceDN w:val="0"/>
              <w:adjustRightInd w:val="0"/>
              <w:spacing w:before="0" w:line="300" w:lineRule="auto"/>
              <w:ind w:left="57" w:right="23"/>
              <w:jc w:val="center"/>
              <w:textAlignment w:val="baseline"/>
              <w:rPr>
                <w:rFonts w:ascii="Arial" w:hAnsi="Arial" w:cs="Arial"/>
                <w:sz w:val="20"/>
              </w:rPr>
            </w:pPr>
            <w:r w:rsidRPr="00727E5C">
              <w:rPr>
                <w:rFonts w:ascii="Arial" w:hAnsi="Arial" w:cs="Arial"/>
                <w:sz w:val="20"/>
              </w:rPr>
              <w:t>Flaking/scaling</w:t>
            </w:r>
          </w:p>
        </w:tc>
        <w:tc>
          <w:tcPr>
            <w:tcW w:w="851" w:type="dxa"/>
            <w:shd w:val="clear" w:color="auto" w:fill="auto"/>
            <w:vAlign w:val="center"/>
          </w:tcPr>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1</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2</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3</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4</w:t>
            </w:r>
          </w:p>
          <w:p w:rsidR="002129DA" w:rsidRPr="00727E5C" w:rsidRDefault="002129DA"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p>
        </w:tc>
        <w:tc>
          <w:tcPr>
            <w:tcW w:w="1630" w:type="dxa"/>
            <w:shd w:val="clear" w:color="auto" w:fill="auto"/>
            <w:vAlign w:val="center"/>
          </w:tcPr>
          <w:p w:rsidR="002129DA"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52 (</w:t>
            </w:r>
            <w:r w:rsidR="00D71FDB" w:rsidRPr="00727E5C">
              <w:rPr>
                <w:rFonts w:ascii="Arial" w:hAnsi="Arial" w:cs="Arial"/>
                <w:sz w:val="20"/>
              </w:rPr>
              <w:t>19</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91 (</w:t>
            </w:r>
            <w:r w:rsidR="00D71FDB" w:rsidRPr="00727E5C">
              <w:rPr>
                <w:rFonts w:ascii="Arial" w:hAnsi="Arial" w:cs="Arial"/>
                <w:sz w:val="20"/>
              </w:rPr>
              <w:t>33</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98 (</w:t>
            </w:r>
            <w:r w:rsidR="00D71FDB" w:rsidRPr="00727E5C">
              <w:rPr>
                <w:rFonts w:ascii="Arial" w:hAnsi="Arial" w:cs="Arial"/>
                <w:sz w:val="20"/>
              </w:rPr>
              <w:t>36</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25 (</w:t>
            </w:r>
            <w:r w:rsidR="00D71FDB" w:rsidRPr="00727E5C">
              <w:rPr>
                <w:rFonts w:ascii="Arial" w:hAnsi="Arial" w:cs="Arial"/>
                <w:sz w:val="20"/>
              </w:rPr>
              <w:t>9</w:t>
            </w:r>
            <w:r w:rsidRPr="00727E5C">
              <w:rPr>
                <w:rFonts w:ascii="Arial" w:hAnsi="Arial" w:cs="Arial"/>
                <w:sz w:val="20"/>
              </w:rPr>
              <w:t>%)</w:t>
            </w:r>
          </w:p>
        </w:tc>
        <w:tc>
          <w:tcPr>
            <w:tcW w:w="1631" w:type="dxa"/>
            <w:shd w:val="clear" w:color="auto" w:fill="auto"/>
            <w:vAlign w:val="center"/>
          </w:tcPr>
          <w:p w:rsidR="002129DA"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142 (</w:t>
            </w:r>
            <w:r w:rsidR="00D71FDB" w:rsidRPr="00727E5C">
              <w:rPr>
                <w:rFonts w:ascii="Arial" w:hAnsi="Arial" w:cs="Arial"/>
                <w:sz w:val="20"/>
              </w:rPr>
              <w:t>52</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36 (</w:t>
            </w:r>
            <w:r w:rsidR="00D71FDB" w:rsidRPr="00727E5C">
              <w:rPr>
                <w:rFonts w:ascii="Arial" w:hAnsi="Arial" w:cs="Arial"/>
                <w:sz w:val="20"/>
              </w:rPr>
              <w:t>13</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4 (</w:t>
            </w:r>
            <w:r w:rsidR="00D71FDB" w:rsidRPr="00727E5C">
              <w:rPr>
                <w:rFonts w:ascii="Arial" w:hAnsi="Arial" w:cs="Arial"/>
                <w:sz w:val="20"/>
              </w:rPr>
              <w:t>1</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tc>
        <w:tc>
          <w:tcPr>
            <w:tcW w:w="1631" w:type="dxa"/>
            <w:shd w:val="clear" w:color="auto" w:fill="auto"/>
            <w:vAlign w:val="center"/>
          </w:tcPr>
          <w:p w:rsidR="002129DA"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52 (</w:t>
            </w:r>
            <w:r w:rsidR="00F80AA9" w:rsidRPr="00727E5C">
              <w:rPr>
                <w:rFonts w:ascii="Arial" w:hAnsi="Arial" w:cs="Arial"/>
                <w:sz w:val="20"/>
              </w:rPr>
              <w:t>23</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86 (</w:t>
            </w:r>
            <w:r w:rsidR="00F80AA9" w:rsidRPr="00727E5C">
              <w:rPr>
                <w:rFonts w:ascii="Arial" w:hAnsi="Arial" w:cs="Arial"/>
                <w:sz w:val="20"/>
              </w:rPr>
              <w:t>38</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66 (</w:t>
            </w:r>
            <w:r w:rsidR="00F80AA9" w:rsidRPr="00727E5C">
              <w:rPr>
                <w:rFonts w:ascii="Arial" w:hAnsi="Arial" w:cs="Arial"/>
                <w:sz w:val="20"/>
              </w:rPr>
              <w:t>29</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18 (</w:t>
            </w:r>
            <w:r w:rsidR="00F80AA9" w:rsidRPr="00727E5C">
              <w:rPr>
                <w:rFonts w:ascii="Arial" w:hAnsi="Arial" w:cs="Arial"/>
                <w:sz w:val="20"/>
              </w:rPr>
              <w:t>8</w:t>
            </w:r>
            <w:r w:rsidRPr="00727E5C">
              <w:rPr>
                <w:rFonts w:ascii="Arial" w:hAnsi="Arial" w:cs="Arial"/>
                <w:sz w:val="20"/>
              </w:rPr>
              <w:t>%)</w:t>
            </w:r>
          </w:p>
        </w:tc>
        <w:tc>
          <w:tcPr>
            <w:tcW w:w="1631" w:type="dxa"/>
            <w:shd w:val="clear" w:color="auto" w:fill="auto"/>
            <w:vAlign w:val="center"/>
          </w:tcPr>
          <w:p w:rsidR="002129DA"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131 (</w:t>
            </w:r>
            <w:r w:rsidR="00F80AA9" w:rsidRPr="00727E5C">
              <w:rPr>
                <w:rFonts w:ascii="Arial" w:hAnsi="Arial" w:cs="Arial"/>
                <w:sz w:val="20"/>
              </w:rPr>
              <w:t>56</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15 (</w:t>
            </w:r>
            <w:r w:rsidR="00F80AA9" w:rsidRPr="00727E5C">
              <w:rPr>
                <w:rFonts w:ascii="Arial" w:hAnsi="Arial" w:cs="Arial"/>
                <w:sz w:val="20"/>
              </w:rPr>
              <w:t>6</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3 (</w:t>
            </w:r>
            <w:r w:rsidR="00F80AA9" w:rsidRPr="00727E5C">
              <w:rPr>
                <w:rFonts w:ascii="Arial" w:hAnsi="Arial" w:cs="Arial"/>
                <w:sz w:val="20"/>
              </w:rPr>
              <w:t>1</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 (</w:t>
            </w:r>
            <w:r w:rsidR="00F80AA9" w:rsidRPr="00727E5C">
              <w:rPr>
                <w:rFonts w:ascii="Arial" w:hAnsi="Arial" w:cs="Arial"/>
                <w:sz w:val="20"/>
              </w:rPr>
              <w:t>0</w:t>
            </w:r>
            <w:r w:rsidRPr="00727E5C">
              <w:rPr>
                <w:rFonts w:ascii="Arial" w:hAnsi="Arial" w:cs="Arial"/>
                <w:sz w:val="20"/>
              </w:rPr>
              <w:t>%)</w:t>
            </w:r>
          </w:p>
        </w:tc>
      </w:tr>
      <w:tr w:rsidR="00315BAB" w:rsidRPr="00727E5C">
        <w:trPr>
          <w:trHeight w:hRule="exact" w:val="964"/>
          <w:jc w:val="center"/>
        </w:trPr>
        <w:tc>
          <w:tcPr>
            <w:tcW w:w="1706" w:type="dxa"/>
            <w:shd w:val="clear" w:color="auto" w:fill="auto"/>
            <w:vAlign w:val="center"/>
          </w:tcPr>
          <w:p w:rsidR="002129DA" w:rsidRPr="00727E5C" w:rsidRDefault="00315BAB" w:rsidP="00727E5C">
            <w:pPr>
              <w:pStyle w:val="Bodytext"/>
              <w:tabs>
                <w:tab w:val="clear" w:pos="1152"/>
                <w:tab w:val="clear" w:pos="1872"/>
                <w:tab w:val="left" w:pos="1848"/>
              </w:tabs>
              <w:overflowPunct w:val="0"/>
              <w:autoSpaceDE w:val="0"/>
              <w:autoSpaceDN w:val="0"/>
              <w:adjustRightInd w:val="0"/>
              <w:spacing w:before="0" w:line="300" w:lineRule="auto"/>
              <w:ind w:left="57" w:right="23"/>
              <w:jc w:val="center"/>
              <w:textAlignment w:val="baseline"/>
              <w:rPr>
                <w:rFonts w:ascii="Arial" w:hAnsi="Arial" w:cs="Arial"/>
                <w:sz w:val="20"/>
              </w:rPr>
            </w:pPr>
            <w:r w:rsidRPr="00727E5C">
              <w:rPr>
                <w:rFonts w:ascii="Arial" w:hAnsi="Arial" w:cs="Arial"/>
                <w:sz w:val="20"/>
              </w:rPr>
              <w:t>Crusting</w:t>
            </w:r>
          </w:p>
        </w:tc>
        <w:tc>
          <w:tcPr>
            <w:tcW w:w="851" w:type="dxa"/>
            <w:shd w:val="clear" w:color="auto" w:fill="auto"/>
            <w:vAlign w:val="center"/>
          </w:tcPr>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1</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2</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3</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4</w:t>
            </w:r>
          </w:p>
          <w:p w:rsidR="002129DA" w:rsidRPr="00727E5C" w:rsidRDefault="002129DA"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p>
        </w:tc>
        <w:tc>
          <w:tcPr>
            <w:tcW w:w="1630" w:type="dxa"/>
            <w:shd w:val="clear" w:color="auto" w:fill="auto"/>
            <w:vAlign w:val="center"/>
          </w:tcPr>
          <w:p w:rsidR="002129DA"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85 (</w:t>
            </w:r>
            <w:r w:rsidR="00D71FDB" w:rsidRPr="00727E5C">
              <w:rPr>
                <w:rFonts w:ascii="Arial" w:hAnsi="Arial" w:cs="Arial"/>
                <w:sz w:val="20"/>
              </w:rPr>
              <w:t>31</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64 (</w:t>
            </w:r>
            <w:r w:rsidR="00D71FDB" w:rsidRPr="00727E5C">
              <w:rPr>
                <w:rFonts w:ascii="Arial" w:hAnsi="Arial" w:cs="Arial"/>
                <w:sz w:val="20"/>
              </w:rPr>
              <w:t>23</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64 (</w:t>
            </w:r>
            <w:r w:rsidR="00D71FDB" w:rsidRPr="00727E5C">
              <w:rPr>
                <w:rFonts w:ascii="Arial" w:hAnsi="Arial" w:cs="Arial"/>
                <w:sz w:val="20"/>
              </w:rPr>
              <w:t>24</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16 (</w:t>
            </w:r>
            <w:r w:rsidR="00D71FDB" w:rsidRPr="00727E5C">
              <w:rPr>
                <w:rFonts w:ascii="Arial" w:hAnsi="Arial" w:cs="Arial"/>
                <w:sz w:val="20"/>
              </w:rPr>
              <w:t>6</w:t>
            </w:r>
            <w:r w:rsidRPr="00727E5C">
              <w:rPr>
                <w:rFonts w:ascii="Arial" w:hAnsi="Arial" w:cs="Arial"/>
                <w:sz w:val="20"/>
              </w:rPr>
              <w:t>%)</w:t>
            </w:r>
          </w:p>
        </w:tc>
        <w:tc>
          <w:tcPr>
            <w:tcW w:w="1631" w:type="dxa"/>
            <w:shd w:val="clear" w:color="auto" w:fill="auto"/>
            <w:vAlign w:val="center"/>
          </w:tcPr>
          <w:p w:rsidR="002129DA"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47 (</w:t>
            </w:r>
            <w:r w:rsidR="00D71FDB" w:rsidRPr="00727E5C">
              <w:rPr>
                <w:rFonts w:ascii="Arial" w:hAnsi="Arial" w:cs="Arial"/>
                <w:sz w:val="20"/>
              </w:rPr>
              <w:t>17</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5 (</w:t>
            </w:r>
            <w:r w:rsidR="00D71FDB" w:rsidRPr="00727E5C">
              <w:rPr>
                <w:rFonts w:ascii="Arial" w:hAnsi="Arial" w:cs="Arial"/>
                <w:sz w:val="20"/>
              </w:rPr>
              <w:t>2</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jc w:val="center"/>
              <w:textAlignment w:val="baseline"/>
              <w:rPr>
                <w:rFonts w:ascii="Arial" w:hAnsi="Arial" w:cs="Arial"/>
                <w:sz w:val="20"/>
              </w:rPr>
            </w:pPr>
          </w:p>
        </w:tc>
        <w:tc>
          <w:tcPr>
            <w:tcW w:w="1631" w:type="dxa"/>
            <w:shd w:val="clear" w:color="auto" w:fill="auto"/>
            <w:vAlign w:val="center"/>
          </w:tcPr>
          <w:p w:rsidR="002129DA"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105 (</w:t>
            </w:r>
            <w:r w:rsidR="00F80AA9" w:rsidRPr="00727E5C">
              <w:rPr>
                <w:rFonts w:ascii="Arial" w:hAnsi="Arial" w:cs="Arial"/>
                <w:sz w:val="20"/>
              </w:rPr>
              <w:t>47</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39 (</w:t>
            </w:r>
            <w:r w:rsidR="00F80AA9" w:rsidRPr="00727E5C">
              <w:rPr>
                <w:rFonts w:ascii="Arial" w:hAnsi="Arial" w:cs="Arial"/>
                <w:sz w:val="20"/>
              </w:rPr>
              <w:t>17</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23 (</w:t>
            </w:r>
            <w:r w:rsidR="00F80AA9" w:rsidRPr="00727E5C">
              <w:rPr>
                <w:rFonts w:ascii="Arial" w:hAnsi="Arial" w:cs="Arial"/>
                <w:sz w:val="20"/>
              </w:rPr>
              <w:t>10</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jc w:val="center"/>
              <w:textAlignment w:val="baseline"/>
              <w:rPr>
                <w:rFonts w:ascii="Arial" w:hAnsi="Arial" w:cs="Arial"/>
                <w:sz w:val="20"/>
              </w:rPr>
            </w:pPr>
            <w:r w:rsidRPr="00727E5C">
              <w:rPr>
                <w:rFonts w:ascii="Arial" w:hAnsi="Arial" w:cs="Arial"/>
                <w:sz w:val="20"/>
              </w:rPr>
              <w:t>8 (</w:t>
            </w:r>
            <w:r w:rsidR="00F80AA9" w:rsidRPr="00727E5C">
              <w:rPr>
                <w:rFonts w:ascii="Arial" w:hAnsi="Arial" w:cs="Arial"/>
                <w:sz w:val="20"/>
              </w:rPr>
              <w:t>4</w:t>
            </w:r>
            <w:r w:rsidRPr="00727E5C">
              <w:rPr>
                <w:rFonts w:ascii="Arial" w:hAnsi="Arial" w:cs="Arial"/>
                <w:sz w:val="20"/>
              </w:rPr>
              <w:t>%)</w:t>
            </w:r>
          </w:p>
        </w:tc>
        <w:tc>
          <w:tcPr>
            <w:tcW w:w="1631" w:type="dxa"/>
            <w:shd w:val="clear" w:color="auto" w:fill="auto"/>
            <w:vAlign w:val="center"/>
          </w:tcPr>
          <w:p w:rsidR="002129DA"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38 (</w:t>
            </w:r>
            <w:r w:rsidR="00F80AA9" w:rsidRPr="00727E5C">
              <w:rPr>
                <w:rFonts w:ascii="Arial" w:hAnsi="Arial" w:cs="Arial"/>
                <w:sz w:val="20"/>
              </w:rPr>
              <w:t>16</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4 (</w:t>
            </w:r>
            <w:r w:rsidR="00F80AA9" w:rsidRPr="00727E5C">
              <w:rPr>
                <w:rFonts w:ascii="Arial" w:hAnsi="Arial" w:cs="Arial"/>
                <w:sz w:val="20"/>
              </w:rPr>
              <w:t>2</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2 (</w:t>
            </w:r>
            <w:r w:rsidR="00F80AA9" w:rsidRPr="00727E5C">
              <w:rPr>
                <w:rFonts w:ascii="Arial" w:hAnsi="Arial" w:cs="Arial"/>
                <w:sz w:val="20"/>
              </w:rPr>
              <w:t>1</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 (</w:t>
            </w:r>
            <w:r w:rsidR="00F80AA9" w:rsidRPr="00727E5C">
              <w:rPr>
                <w:rFonts w:ascii="Arial" w:hAnsi="Arial" w:cs="Arial"/>
                <w:sz w:val="20"/>
              </w:rPr>
              <w:t>0</w:t>
            </w:r>
            <w:r w:rsidRPr="00727E5C">
              <w:rPr>
                <w:rFonts w:ascii="Arial" w:hAnsi="Arial" w:cs="Arial"/>
                <w:sz w:val="20"/>
              </w:rPr>
              <w:t>%)</w:t>
            </w:r>
          </w:p>
        </w:tc>
      </w:tr>
      <w:tr w:rsidR="00315BAB" w:rsidRPr="00727E5C">
        <w:trPr>
          <w:trHeight w:hRule="exact" w:val="964"/>
          <w:jc w:val="center"/>
        </w:trPr>
        <w:tc>
          <w:tcPr>
            <w:tcW w:w="1706" w:type="dxa"/>
            <w:shd w:val="clear" w:color="auto" w:fill="auto"/>
            <w:vAlign w:val="center"/>
          </w:tcPr>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line="300" w:lineRule="auto"/>
              <w:ind w:left="57" w:right="23"/>
              <w:jc w:val="center"/>
              <w:textAlignment w:val="baseline"/>
              <w:rPr>
                <w:rFonts w:ascii="Arial" w:hAnsi="Arial" w:cs="Arial"/>
                <w:sz w:val="20"/>
              </w:rPr>
            </w:pPr>
            <w:r w:rsidRPr="00727E5C">
              <w:rPr>
                <w:rFonts w:ascii="Arial" w:hAnsi="Arial" w:cs="Arial"/>
                <w:sz w:val="20"/>
              </w:rPr>
              <w:t>Swelling</w:t>
            </w:r>
          </w:p>
        </w:tc>
        <w:tc>
          <w:tcPr>
            <w:tcW w:w="851" w:type="dxa"/>
            <w:shd w:val="clear" w:color="auto" w:fill="auto"/>
            <w:vAlign w:val="center"/>
          </w:tcPr>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1</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2</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3</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4</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line="300" w:lineRule="auto"/>
              <w:ind w:left="57" w:right="23"/>
              <w:jc w:val="center"/>
              <w:textAlignment w:val="baseline"/>
              <w:rPr>
                <w:rFonts w:ascii="Arial" w:hAnsi="Arial" w:cs="Arial"/>
                <w:sz w:val="20"/>
              </w:rPr>
            </w:pPr>
          </w:p>
        </w:tc>
        <w:tc>
          <w:tcPr>
            <w:tcW w:w="1630" w:type="dxa"/>
            <w:shd w:val="clear" w:color="auto" w:fill="auto"/>
            <w:vAlign w:val="center"/>
          </w:tcPr>
          <w:p w:rsidR="00315BAB"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88 (</w:t>
            </w:r>
            <w:r w:rsidR="00D71FDB" w:rsidRPr="00727E5C">
              <w:rPr>
                <w:rFonts w:ascii="Arial" w:hAnsi="Arial" w:cs="Arial"/>
                <w:sz w:val="20"/>
              </w:rPr>
              <w:t>32</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67 (</w:t>
            </w:r>
            <w:r w:rsidR="00D71FDB" w:rsidRPr="00727E5C">
              <w:rPr>
                <w:rFonts w:ascii="Arial" w:hAnsi="Arial" w:cs="Arial"/>
                <w:sz w:val="20"/>
              </w:rPr>
              <w:t>24</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48 (</w:t>
            </w:r>
            <w:r w:rsidR="00D71FDB" w:rsidRPr="00727E5C">
              <w:rPr>
                <w:rFonts w:ascii="Arial" w:hAnsi="Arial" w:cs="Arial"/>
                <w:sz w:val="20"/>
              </w:rPr>
              <w:t>18</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14 (</w:t>
            </w:r>
            <w:r w:rsidR="00D71FDB" w:rsidRPr="00727E5C">
              <w:rPr>
                <w:rFonts w:ascii="Arial" w:hAnsi="Arial" w:cs="Arial"/>
                <w:sz w:val="20"/>
              </w:rPr>
              <w:t>5</w:t>
            </w:r>
            <w:r w:rsidRPr="00727E5C">
              <w:rPr>
                <w:rFonts w:ascii="Arial" w:hAnsi="Arial" w:cs="Arial"/>
                <w:sz w:val="20"/>
              </w:rPr>
              <w:t>%)</w:t>
            </w:r>
          </w:p>
        </w:tc>
        <w:tc>
          <w:tcPr>
            <w:tcW w:w="1631" w:type="dxa"/>
            <w:shd w:val="clear" w:color="auto" w:fill="auto"/>
            <w:vAlign w:val="center"/>
          </w:tcPr>
          <w:p w:rsidR="00315BAB"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12 (</w:t>
            </w:r>
            <w:r w:rsidR="00D71FDB" w:rsidRPr="00727E5C">
              <w:rPr>
                <w:rFonts w:ascii="Arial" w:hAnsi="Arial" w:cs="Arial"/>
                <w:sz w:val="20"/>
              </w:rPr>
              <w:t>4</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2 (</w:t>
            </w:r>
            <w:r w:rsidR="00D71FDB" w:rsidRPr="00727E5C">
              <w:rPr>
                <w:rFonts w:ascii="Arial" w:hAnsi="Arial" w:cs="Arial"/>
                <w:sz w:val="20"/>
              </w:rPr>
              <w:t>1</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tc>
        <w:tc>
          <w:tcPr>
            <w:tcW w:w="1631" w:type="dxa"/>
            <w:shd w:val="clear" w:color="auto" w:fill="auto"/>
            <w:vAlign w:val="center"/>
          </w:tcPr>
          <w:p w:rsidR="00315BAB"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65 (</w:t>
            </w:r>
            <w:r w:rsidR="00F80AA9" w:rsidRPr="00727E5C">
              <w:rPr>
                <w:rFonts w:ascii="Arial" w:hAnsi="Arial" w:cs="Arial"/>
                <w:sz w:val="20"/>
              </w:rPr>
              <w:t>29</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51 (</w:t>
            </w:r>
            <w:r w:rsidR="00F80AA9" w:rsidRPr="00727E5C">
              <w:rPr>
                <w:rFonts w:ascii="Arial" w:hAnsi="Arial" w:cs="Arial"/>
                <w:sz w:val="20"/>
              </w:rPr>
              <w:t>23</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20 (</w:t>
            </w:r>
            <w:r w:rsidR="00F80AA9" w:rsidRPr="00727E5C">
              <w:rPr>
                <w:rFonts w:ascii="Arial" w:hAnsi="Arial" w:cs="Arial"/>
                <w:sz w:val="20"/>
              </w:rPr>
              <w:t>9</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7 (</w:t>
            </w:r>
            <w:r w:rsidR="00F80AA9" w:rsidRPr="00727E5C">
              <w:rPr>
                <w:rFonts w:ascii="Arial" w:hAnsi="Arial" w:cs="Arial"/>
                <w:sz w:val="20"/>
              </w:rPr>
              <w:t>3</w:t>
            </w:r>
            <w:r w:rsidRPr="00727E5C">
              <w:rPr>
                <w:rFonts w:ascii="Arial" w:hAnsi="Arial" w:cs="Arial"/>
                <w:sz w:val="20"/>
              </w:rPr>
              <w:t>%)</w:t>
            </w:r>
          </w:p>
        </w:tc>
        <w:tc>
          <w:tcPr>
            <w:tcW w:w="1631" w:type="dxa"/>
            <w:shd w:val="clear" w:color="auto" w:fill="auto"/>
            <w:vAlign w:val="center"/>
          </w:tcPr>
          <w:p w:rsidR="00315BAB"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13 (</w:t>
            </w:r>
            <w:r w:rsidR="00F80AA9" w:rsidRPr="00727E5C">
              <w:rPr>
                <w:rFonts w:ascii="Arial" w:hAnsi="Arial" w:cs="Arial"/>
                <w:sz w:val="20"/>
              </w:rPr>
              <w:t>6</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 (</w:t>
            </w:r>
            <w:r w:rsidR="00F80AA9"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 (</w:t>
            </w:r>
            <w:r w:rsidR="00F80AA9"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 (</w:t>
            </w:r>
            <w:r w:rsidR="00F80AA9" w:rsidRPr="00727E5C">
              <w:rPr>
                <w:rFonts w:ascii="Arial" w:hAnsi="Arial" w:cs="Arial"/>
                <w:sz w:val="20"/>
              </w:rPr>
              <w:t>0</w:t>
            </w:r>
            <w:r w:rsidRPr="00727E5C">
              <w:rPr>
                <w:rFonts w:ascii="Arial" w:hAnsi="Arial" w:cs="Arial"/>
                <w:sz w:val="20"/>
              </w:rPr>
              <w:t>%)</w:t>
            </w:r>
          </w:p>
        </w:tc>
      </w:tr>
      <w:tr w:rsidR="00315BAB" w:rsidRPr="00727E5C">
        <w:trPr>
          <w:trHeight w:hRule="exact" w:val="964"/>
          <w:jc w:val="center"/>
        </w:trPr>
        <w:tc>
          <w:tcPr>
            <w:tcW w:w="1706" w:type="dxa"/>
            <w:shd w:val="clear" w:color="auto" w:fill="auto"/>
            <w:vAlign w:val="center"/>
          </w:tcPr>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line="300" w:lineRule="auto"/>
              <w:ind w:left="57" w:right="23"/>
              <w:jc w:val="center"/>
              <w:textAlignment w:val="baseline"/>
              <w:rPr>
                <w:rFonts w:ascii="Arial" w:hAnsi="Arial" w:cs="Arial"/>
                <w:sz w:val="20"/>
              </w:rPr>
            </w:pPr>
            <w:r w:rsidRPr="00727E5C">
              <w:rPr>
                <w:rFonts w:ascii="Arial" w:hAnsi="Arial" w:cs="Arial"/>
                <w:sz w:val="20"/>
              </w:rPr>
              <w:t>Vesiculation/</w:t>
            </w:r>
          </w:p>
          <w:p w:rsidR="00315BAB" w:rsidRPr="00727E5C" w:rsidRDefault="00D570BE" w:rsidP="00D570BE">
            <w:pPr>
              <w:pStyle w:val="Bodytext"/>
              <w:tabs>
                <w:tab w:val="clear" w:pos="1152"/>
              </w:tabs>
              <w:overflowPunct w:val="0"/>
              <w:autoSpaceDE w:val="0"/>
              <w:autoSpaceDN w:val="0"/>
              <w:adjustRightInd w:val="0"/>
              <w:spacing w:before="0" w:line="300" w:lineRule="auto"/>
              <w:ind w:left="57" w:right="23"/>
              <w:jc w:val="center"/>
              <w:textAlignment w:val="baseline"/>
              <w:rPr>
                <w:rFonts w:ascii="Arial" w:hAnsi="Arial" w:cs="Arial"/>
                <w:sz w:val="20"/>
              </w:rPr>
            </w:pPr>
            <w:proofErr w:type="spellStart"/>
            <w:r w:rsidRPr="00727E5C">
              <w:rPr>
                <w:rFonts w:ascii="Arial" w:hAnsi="Arial" w:cs="Arial"/>
                <w:sz w:val="20"/>
              </w:rPr>
              <w:t>p</w:t>
            </w:r>
            <w:r>
              <w:rPr>
                <w:rFonts w:ascii="Arial" w:hAnsi="Arial" w:cs="Arial"/>
                <w:sz w:val="20"/>
              </w:rPr>
              <w:t>u</w:t>
            </w:r>
            <w:r w:rsidRPr="00727E5C">
              <w:rPr>
                <w:rFonts w:ascii="Arial" w:hAnsi="Arial" w:cs="Arial"/>
                <w:sz w:val="20"/>
              </w:rPr>
              <w:t>stulation</w:t>
            </w:r>
            <w:proofErr w:type="spellEnd"/>
          </w:p>
        </w:tc>
        <w:tc>
          <w:tcPr>
            <w:tcW w:w="851" w:type="dxa"/>
            <w:shd w:val="clear" w:color="auto" w:fill="auto"/>
            <w:vAlign w:val="center"/>
          </w:tcPr>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1</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2</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3</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4</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line="300" w:lineRule="auto"/>
              <w:ind w:left="57" w:right="23"/>
              <w:jc w:val="center"/>
              <w:textAlignment w:val="baseline"/>
              <w:rPr>
                <w:rFonts w:ascii="Arial" w:hAnsi="Arial" w:cs="Arial"/>
                <w:sz w:val="20"/>
              </w:rPr>
            </w:pPr>
          </w:p>
        </w:tc>
        <w:tc>
          <w:tcPr>
            <w:tcW w:w="1630" w:type="dxa"/>
            <w:shd w:val="clear" w:color="auto" w:fill="auto"/>
            <w:vAlign w:val="center"/>
          </w:tcPr>
          <w:p w:rsidR="00315BAB"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36 (</w:t>
            </w:r>
            <w:r w:rsidR="00D71FDB" w:rsidRPr="00727E5C">
              <w:rPr>
                <w:rFonts w:ascii="Arial" w:hAnsi="Arial" w:cs="Arial"/>
                <w:sz w:val="20"/>
              </w:rPr>
              <w:t>13</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53 (</w:t>
            </w:r>
            <w:r w:rsidR="00D71FDB" w:rsidRPr="00727E5C">
              <w:rPr>
                <w:rFonts w:ascii="Arial" w:hAnsi="Arial" w:cs="Arial"/>
                <w:sz w:val="20"/>
              </w:rPr>
              <w:t>19</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50 (</w:t>
            </w:r>
            <w:r w:rsidR="00D71FDB" w:rsidRPr="00727E5C">
              <w:rPr>
                <w:rFonts w:ascii="Arial" w:hAnsi="Arial" w:cs="Arial"/>
                <w:sz w:val="20"/>
              </w:rPr>
              <w:t>18</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15 (</w:t>
            </w:r>
            <w:r w:rsidR="00D71FDB" w:rsidRPr="00727E5C">
              <w:rPr>
                <w:rFonts w:ascii="Arial" w:hAnsi="Arial" w:cs="Arial"/>
                <w:sz w:val="20"/>
              </w:rPr>
              <w:t>5</w:t>
            </w:r>
            <w:r w:rsidRPr="00727E5C">
              <w:rPr>
                <w:rFonts w:ascii="Arial" w:hAnsi="Arial" w:cs="Arial"/>
                <w:sz w:val="20"/>
              </w:rPr>
              <w:t>%)</w:t>
            </w:r>
          </w:p>
        </w:tc>
        <w:tc>
          <w:tcPr>
            <w:tcW w:w="1631" w:type="dxa"/>
            <w:shd w:val="clear" w:color="auto" w:fill="auto"/>
            <w:vAlign w:val="center"/>
          </w:tcPr>
          <w:p w:rsidR="00315BAB"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1 (</w:t>
            </w:r>
            <w:r w:rsidR="00D71FDB"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p>
        </w:tc>
        <w:tc>
          <w:tcPr>
            <w:tcW w:w="1631" w:type="dxa"/>
            <w:shd w:val="clear" w:color="auto" w:fill="auto"/>
            <w:vAlign w:val="center"/>
          </w:tcPr>
          <w:p w:rsidR="00315BAB"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46 (</w:t>
            </w:r>
            <w:r w:rsidR="00F80AA9" w:rsidRPr="00727E5C">
              <w:rPr>
                <w:rFonts w:ascii="Arial" w:hAnsi="Arial" w:cs="Arial"/>
                <w:sz w:val="20"/>
              </w:rPr>
              <w:t>20</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30 (</w:t>
            </w:r>
            <w:r w:rsidR="00F80AA9" w:rsidRPr="00727E5C">
              <w:rPr>
                <w:rFonts w:ascii="Arial" w:hAnsi="Arial" w:cs="Arial"/>
                <w:sz w:val="20"/>
              </w:rPr>
              <w:t>13</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19 (</w:t>
            </w:r>
            <w:r w:rsidR="00F80AA9" w:rsidRPr="00727E5C">
              <w:rPr>
                <w:rFonts w:ascii="Arial" w:hAnsi="Arial" w:cs="Arial"/>
                <w:sz w:val="20"/>
              </w:rPr>
              <w:t>8</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3 (</w:t>
            </w:r>
            <w:r w:rsidR="00F80AA9" w:rsidRPr="00727E5C">
              <w:rPr>
                <w:rFonts w:ascii="Arial" w:hAnsi="Arial" w:cs="Arial"/>
                <w:sz w:val="20"/>
              </w:rPr>
              <w:t>1</w:t>
            </w:r>
            <w:r w:rsidRPr="00727E5C">
              <w:rPr>
                <w:rFonts w:ascii="Arial" w:hAnsi="Arial" w:cs="Arial"/>
                <w:sz w:val="20"/>
              </w:rPr>
              <w:t>%)</w:t>
            </w:r>
          </w:p>
        </w:tc>
        <w:tc>
          <w:tcPr>
            <w:tcW w:w="1631" w:type="dxa"/>
            <w:shd w:val="clear" w:color="auto" w:fill="auto"/>
            <w:vAlign w:val="center"/>
          </w:tcPr>
          <w:p w:rsidR="00315BAB"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1 (</w:t>
            </w:r>
            <w:r w:rsidR="00F80AA9"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1 (</w:t>
            </w:r>
            <w:r w:rsidR="00F80AA9"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 (</w:t>
            </w:r>
            <w:r w:rsidR="00F80AA9"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 (</w:t>
            </w:r>
            <w:r w:rsidR="00F80AA9" w:rsidRPr="00727E5C">
              <w:rPr>
                <w:rFonts w:ascii="Arial" w:hAnsi="Arial" w:cs="Arial"/>
                <w:sz w:val="20"/>
              </w:rPr>
              <w:t>0</w:t>
            </w:r>
            <w:r w:rsidRPr="00727E5C">
              <w:rPr>
                <w:rFonts w:ascii="Arial" w:hAnsi="Arial" w:cs="Arial"/>
                <w:sz w:val="20"/>
              </w:rPr>
              <w:t>%)</w:t>
            </w:r>
          </w:p>
        </w:tc>
      </w:tr>
      <w:tr w:rsidR="00315BAB" w:rsidRPr="00727E5C">
        <w:trPr>
          <w:trHeight w:hRule="exact" w:val="964"/>
          <w:jc w:val="center"/>
        </w:trPr>
        <w:tc>
          <w:tcPr>
            <w:tcW w:w="1706" w:type="dxa"/>
            <w:shd w:val="clear" w:color="auto" w:fill="auto"/>
            <w:vAlign w:val="center"/>
          </w:tcPr>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line="300" w:lineRule="auto"/>
              <w:ind w:left="57" w:right="23"/>
              <w:jc w:val="center"/>
              <w:textAlignment w:val="baseline"/>
              <w:rPr>
                <w:rFonts w:ascii="Arial" w:hAnsi="Arial" w:cs="Arial"/>
                <w:sz w:val="20"/>
              </w:rPr>
            </w:pPr>
            <w:r w:rsidRPr="00727E5C">
              <w:rPr>
                <w:rFonts w:ascii="Arial" w:hAnsi="Arial" w:cs="Arial"/>
                <w:sz w:val="20"/>
              </w:rPr>
              <w:t>Erosion/</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line="300" w:lineRule="auto"/>
              <w:ind w:left="57" w:right="23"/>
              <w:jc w:val="center"/>
              <w:textAlignment w:val="baseline"/>
              <w:rPr>
                <w:rFonts w:ascii="Arial" w:hAnsi="Arial" w:cs="Arial"/>
                <w:sz w:val="20"/>
              </w:rPr>
            </w:pPr>
            <w:r w:rsidRPr="00727E5C">
              <w:rPr>
                <w:rFonts w:ascii="Arial" w:hAnsi="Arial" w:cs="Arial"/>
                <w:sz w:val="20"/>
              </w:rPr>
              <w:t>Ulceration</w:t>
            </w:r>
          </w:p>
        </w:tc>
        <w:tc>
          <w:tcPr>
            <w:tcW w:w="851" w:type="dxa"/>
            <w:shd w:val="clear" w:color="auto" w:fill="auto"/>
            <w:vAlign w:val="center"/>
          </w:tcPr>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1</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2</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3</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ind w:left="57" w:right="23"/>
              <w:jc w:val="center"/>
              <w:textAlignment w:val="baseline"/>
              <w:rPr>
                <w:rFonts w:ascii="Arial" w:hAnsi="Arial" w:cs="Arial"/>
                <w:sz w:val="20"/>
              </w:rPr>
            </w:pPr>
            <w:r w:rsidRPr="00727E5C">
              <w:rPr>
                <w:rFonts w:ascii="Arial" w:hAnsi="Arial" w:cs="Arial"/>
                <w:sz w:val="20"/>
              </w:rPr>
              <w:t>4</w:t>
            </w:r>
          </w:p>
          <w:p w:rsidR="00315BAB" w:rsidRPr="00727E5C" w:rsidRDefault="00315BAB" w:rsidP="00727E5C">
            <w:pPr>
              <w:pStyle w:val="Bodytext"/>
              <w:tabs>
                <w:tab w:val="clear" w:pos="1152"/>
                <w:tab w:val="clear" w:pos="1872"/>
                <w:tab w:val="left" w:pos="1848"/>
              </w:tabs>
              <w:overflowPunct w:val="0"/>
              <w:autoSpaceDE w:val="0"/>
              <w:autoSpaceDN w:val="0"/>
              <w:adjustRightInd w:val="0"/>
              <w:spacing w:before="0" w:line="300" w:lineRule="auto"/>
              <w:ind w:left="57" w:right="23"/>
              <w:jc w:val="center"/>
              <w:textAlignment w:val="baseline"/>
              <w:rPr>
                <w:rFonts w:ascii="Arial" w:hAnsi="Arial" w:cs="Arial"/>
                <w:sz w:val="20"/>
              </w:rPr>
            </w:pPr>
          </w:p>
        </w:tc>
        <w:tc>
          <w:tcPr>
            <w:tcW w:w="1630" w:type="dxa"/>
            <w:shd w:val="clear" w:color="auto" w:fill="auto"/>
            <w:vAlign w:val="center"/>
          </w:tcPr>
          <w:p w:rsidR="00315BAB"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55 (</w:t>
            </w:r>
            <w:r w:rsidR="00D71FDB" w:rsidRPr="00727E5C">
              <w:rPr>
                <w:rFonts w:ascii="Arial" w:hAnsi="Arial" w:cs="Arial"/>
                <w:sz w:val="20"/>
              </w:rPr>
              <w:t>20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26 (</w:t>
            </w:r>
            <w:r w:rsidR="00D71FDB" w:rsidRPr="00727E5C">
              <w:rPr>
                <w:rFonts w:ascii="Arial" w:hAnsi="Arial" w:cs="Arial"/>
                <w:sz w:val="20"/>
              </w:rPr>
              <w:t>10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5 (</w:t>
            </w:r>
            <w:r w:rsidR="00D71FDB" w:rsidRPr="00727E5C">
              <w:rPr>
                <w:rFonts w:ascii="Arial" w:hAnsi="Arial" w:cs="Arial"/>
                <w:sz w:val="20"/>
              </w:rPr>
              <w:t>2</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1 (</w:t>
            </w:r>
            <w:r w:rsidR="00D71FDB" w:rsidRPr="00727E5C">
              <w:rPr>
                <w:rFonts w:ascii="Arial" w:hAnsi="Arial" w:cs="Arial"/>
                <w:sz w:val="20"/>
              </w:rPr>
              <w:t>0</w:t>
            </w:r>
            <w:r w:rsidRPr="00727E5C">
              <w:rPr>
                <w:rFonts w:ascii="Arial" w:hAnsi="Arial" w:cs="Arial"/>
                <w:sz w:val="20"/>
              </w:rPr>
              <w:t>%)</w:t>
            </w:r>
          </w:p>
        </w:tc>
        <w:tc>
          <w:tcPr>
            <w:tcW w:w="1631" w:type="dxa"/>
            <w:shd w:val="clear" w:color="auto" w:fill="auto"/>
            <w:vAlign w:val="center"/>
          </w:tcPr>
          <w:p w:rsidR="00315BAB"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4 (</w:t>
            </w:r>
            <w:r w:rsidR="00D71FDB" w:rsidRPr="00727E5C">
              <w:rPr>
                <w:rFonts w:ascii="Arial" w:hAnsi="Arial" w:cs="Arial"/>
                <w:sz w:val="20"/>
              </w:rPr>
              <w:t>1</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4"/>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0 (</w:t>
            </w:r>
            <w:r w:rsidR="00D71FDB" w:rsidRPr="00727E5C">
              <w:rPr>
                <w:rFonts w:ascii="Arial" w:hAnsi="Arial" w:cs="Arial"/>
                <w:sz w:val="20"/>
              </w:rPr>
              <w:t>0</w:t>
            </w:r>
            <w:r w:rsidRPr="00727E5C">
              <w:rPr>
                <w:rFonts w:ascii="Arial" w:hAnsi="Arial" w:cs="Arial"/>
                <w:sz w:val="20"/>
              </w:rPr>
              <w:t>%)</w:t>
            </w:r>
          </w:p>
        </w:tc>
        <w:tc>
          <w:tcPr>
            <w:tcW w:w="1631" w:type="dxa"/>
            <w:shd w:val="clear" w:color="auto" w:fill="auto"/>
            <w:vAlign w:val="center"/>
          </w:tcPr>
          <w:p w:rsidR="00315BAB"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37 (</w:t>
            </w:r>
            <w:r w:rsidR="00F80AA9" w:rsidRPr="00727E5C">
              <w:rPr>
                <w:rFonts w:ascii="Arial" w:hAnsi="Arial" w:cs="Arial"/>
                <w:sz w:val="20"/>
              </w:rPr>
              <w:t>16</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15 (</w:t>
            </w:r>
            <w:r w:rsidR="00F80AA9" w:rsidRPr="00727E5C">
              <w:rPr>
                <w:rFonts w:ascii="Arial" w:hAnsi="Arial" w:cs="Arial"/>
                <w:sz w:val="20"/>
              </w:rPr>
              <w:t>7</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4 (</w:t>
            </w:r>
            <w:r w:rsidR="00F80AA9" w:rsidRPr="00727E5C">
              <w:rPr>
                <w:rFonts w:ascii="Arial" w:hAnsi="Arial" w:cs="Arial"/>
                <w:sz w:val="20"/>
              </w:rPr>
              <w:t>2</w:t>
            </w:r>
            <w:r w:rsidRPr="00727E5C">
              <w:rPr>
                <w:rFonts w:ascii="Arial" w:hAnsi="Arial" w:cs="Arial"/>
                <w:sz w:val="20"/>
              </w:rPr>
              <w:t>%)</w:t>
            </w:r>
          </w:p>
          <w:p w:rsidR="00AD2B2C" w:rsidRPr="00727E5C" w:rsidRDefault="00AD2B2C" w:rsidP="00727E5C">
            <w:pPr>
              <w:pStyle w:val="Bodytext"/>
              <w:tabs>
                <w:tab w:val="clear" w:pos="1152"/>
                <w:tab w:val="clear" w:pos="1872"/>
                <w:tab w:val="left" w:pos="1897"/>
              </w:tabs>
              <w:overflowPunct w:val="0"/>
              <w:autoSpaceDE w:val="0"/>
              <w:autoSpaceDN w:val="0"/>
              <w:adjustRightInd w:val="0"/>
              <w:spacing w:before="0"/>
              <w:ind w:left="57" w:right="57"/>
              <w:jc w:val="center"/>
              <w:textAlignment w:val="baseline"/>
              <w:rPr>
                <w:rFonts w:ascii="Arial" w:hAnsi="Arial" w:cs="Arial"/>
                <w:sz w:val="20"/>
              </w:rPr>
            </w:pPr>
            <w:r w:rsidRPr="00727E5C">
              <w:rPr>
                <w:rFonts w:ascii="Arial" w:hAnsi="Arial" w:cs="Arial"/>
                <w:sz w:val="20"/>
              </w:rPr>
              <w:t>2 (</w:t>
            </w:r>
            <w:r w:rsidR="00F80AA9" w:rsidRPr="00727E5C">
              <w:rPr>
                <w:rFonts w:ascii="Arial" w:hAnsi="Arial" w:cs="Arial"/>
                <w:sz w:val="20"/>
              </w:rPr>
              <w:t>1</w:t>
            </w:r>
            <w:r w:rsidRPr="00727E5C">
              <w:rPr>
                <w:rFonts w:ascii="Arial" w:hAnsi="Arial" w:cs="Arial"/>
                <w:sz w:val="20"/>
              </w:rPr>
              <w:t>%)</w:t>
            </w:r>
          </w:p>
        </w:tc>
        <w:tc>
          <w:tcPr>
            <w:tcW w:w="1631" w:type="dxa"/>
            <w:shd w:val="clear" w:color="auto" w:fill="auto"/>
            <w:vAlign w:val="center"/>
          </w:tcPr>
          <w:p w:rsidR="00315BAB"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6 (</w:t>
            </w:r>
            <w:r w:rsidR="00A80E0F">
              <w:rPr>
                <w:rFonts w:ascii="Arial" w:hAnsi="Arial" w:cs="Arial"/>
                <w:sz w:val="20"/>
              </w:rPr>
              <w:t>3</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 (</w:t>
            </w:r>
            <w:r w:rsidR="00F80AA9"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 (</w:t>
            </w:r>
            <w:r w:rsidR="00F80AA9" w:rsidRPr="00727E5C">
              <w:rPr>
                <w:rFonts w:ascii="Arial" w:hAnsi="Arial" w:cs="Arial"/>
                <w:sz w:val="20"/>
              </w:rPr>
              <w:t>0</w:t>
            </w:r>
            <w:r w:rsidRPr="00727E5C">
              <w:rPr>
                <w:rFonts w:ascii="Arial" w:hAnsi="Arial" w:cs="Arial"/>
                <w:sz w:val="20"/>
              </w:rPr>
              <w:t>%)</w:t>
            </w:r>
          </w:p>
          <w:p w:rsidR="00AD2B2C" w:rsidRPr="00727E5C" w:rsidRDefault="00AD2B2C" w:rsidP="00727E5C">
            <w:pPr>
              <w:pStyle w:val="Bodytext"/>
              <w:tabs>
                <w:tab w:val="clear" w:pos="1152"/>
                <w:tab w:val="clear" w:pos="1872"/>
                <w:tab w:val="left" w:pos="1875"/>
              </w:tabs>
              <w:overflowPunct w:val="0"/>
              <w:autoSpaceDE w:val="0"/>
              <w:autoSpaceDN w:val="0"/>
              <w:adjustRightInd w:val="0"/>
              <w:spacing w:before="0"/>
              <w:ind w:left="57" w:right="9"/>
              <w:jc w:val="center"/>
              <w:textAlignment w:val="baseline"/>
              <w:rPr>
                <w:rFonts w:ascii="Arial" w:hAnsi="Arial" w:cs="Arial"/>
                <w:sz w:val="20"/>
              </w:rPr>
            </w:pPr>
            <w:r w:rsidRPr="00727E5C">
              <w:rPr>
                <w:rFonts w:ascii="Arial" w:hAnsi="Arial" w:cs="Arial"/>
                <w:sz w:val="20"/>
              </w:rPr>
              <w:t>0 (</w:t>
            </w:r>
            <w:r w:rsidR="00F80AA9" w:rsidRPr="00727E5C">
              <w:rPr>
                <w:rFonts w:ascii="Arial" w:hAnsi="Arial" w:cs="Arial"/>
                <w:sz w:val="20"/>
              </w:rPr>
              <w:t>0</w:t>
            </w:r>
            <w:r w:rsidRPr="00727E5C">
              <w:rPr>
                <w:rFonts w:ascii="Arial" w:hAnsi="Arial" w:cs="Arial"/>
                <w:sz w:val="20"/>
              </w:rPr>
              <w:t>%)</w:t>
            </w:r>
          </w:p>
        </w:tc>
      </w:tr>
    </w:tbl>
    <w:p w:rsidR="00742F8D" w:rsidRPr="00FE7A04" w:rsidRDefault="00742F8D" w:rsidP="00BF5A9D">
      <w:pPr>
        <w:pStyle w:val="Heading3"/>
      </w:pPr>
      <w:r w:rsidRPr="00FE7A04">
        <w:t>Clinical Trial Experience – Long-term Safety Follow-up</w:t>
      </w:r>
    </w:p>
    <w:p w:rsidR="00742F8D" w:rsidRPr="00FE7A04" w:rsidRDefault="00742F8D" w:rsidP="00BF5A9D">
      <w:r w:rsidRPr="00FE7A04">
        <w:t xml:space="preserve">Three prospective, observational long-term follow-up studies were conducted to evaluate recurrence of </w:t>
      </w:r>
      <w:r w:rsidR="00C529E2">
        <w:t>solar kerat</w:t>
      </w:r>
      <w:r w:rsidR="00C529E2">
        <w:t>o</w:t>
      </w:r>
      <w:r w:rsidR="00C529E2">
        <w:t>sis</w:t>
      </w:r>
      <w:r w:rsidRPr="00FE7A04">
        <w:t xml:space="preserve"> lesions and safety in subjects receiving treatment with </w:t>
      </w:r>
      <w:r w:rsidR="002C47E1">
        <w:t>Picato</w:t>
      </w:r>
      <w:r w:rsidR="00DA2F20" w:rsidRPr="00DA2F20">
        <w:rPr>
          <w:vertAlign w:val="superscript"/>
        </w:rPr>
        <w:t>®</w:t>
      </w:r>
      <w:r w:rsidR="00B201E7">
        <w:t xml:space="preserve"> </w:t>
      </w:r>
      <w:r w:rsidR="001C6EF4">
        <w:t>on the face, scalp or body (</w:t>
      </w:r>
      <w:r w:rsidRPr="00FE7A04">
        <w:t>trunk or extremities</w:t>
      </w:r>
      <w:r w:rsidR="001C6EF4">
        <w:t>)</w:t>
      </w:r>
      <w:r w:rsidRPr="00FE7A04">
        <w:t xml:space="preserve">. Only those subjects who achieved complete </w:t>
      </w:r>
      <w:r w:rsidRPr="00FE7A04">
        <w:lastRenderedPageBreak/>
        <w:t>clea</w:t>
      </w:r>
      <w:r w:rsidRPr="00FE7A04">
        <w:t>r</w:t>
      </w:r>
      <w:r w:rsidRPr="00FE7A04">
        <w:t>ance in the treated area at the end of the phase 3 studies (Day 57) were eligible for long term follow-up. Subjects were followed every 3 months for up to 12 months.</w:t>
      </w:r>
    </w:p>
    <w:p w:rsidR="002E4F1D" w:rsidRPr="00FE7A04" w:rsidRDefault="00742F8D" w:rsidP="0081540D">
      <w:pPr>
        <w:pStyle w:val="Bodytext"/>
        <w:spacing w:after="240"/>
        <w:ind w:right="-2"/>
        <w:jc w:val="both"/>
        <w:rPr>
          <w:rFonts w:ascii="Arial" w:hAnsi="Arial" w:cs="Arial"/>
          <w:sz w:val="22"/>
          <w:szCs w:val="22"/>
        </w:rPr>
      </w:pPr>
      <w:r w:rsidRPr="00FE7A04">
        <w:rPr>
          <w:rFonts w:ascii="Arial" w:hAnsi="Arial" w:cs="Arial"/>
          <w:sz w:val="22"/>
          <w:szCs w:val="22"/>
        </w:rPr>
        <w:t xml:space="preserve">A total of 198 subjects (184 treated with </w:t>
      </w:r>
      <w:r w:rsidR="002C47E1">
        <w:rPr>
          <w:rFonts w:ascii="Arial" w:hAnsi="Arial" w:cs="Arial"/>
          <w:sz w:val="22"/>
          <w:szCs w:val="22"/>
        </w:rPr>
        <w:t>Picato</w:t>
      </w:r>
      <w:r w:rsidR="00DA2F20" w:rsidRPr="00DA2F20">
        <w:rPr>
          <w:rFonts w:ascii="Arial" w:hAnsi="Arial" w:cs="Arial"/>
          <w:sz w:val="22"/>
          <w:szCs w:val="22"/>
          <w:vertAlign w:val="superscript"/>
        </w:rPr>
        <w:t>®</w:t>
      </w:r>
      <w:r w:rsidR="00C339AA">
        <w:rPr>
          <w:rFonts w:ascii="Arial" w:hAnsi="Arial" w:cs="Arial"/>
          <w:sz w:val="22"/>
          <w:szCs w:val="22"/>
        </w:rPr>
        <w:t xml:space="preserve"> </w:t>
      </w:r>
      <w:r w:rsidRPr="00FE7A04">
        <w:rPr>
          <w:rFonts w:ascii="Arial" w:hAnsi="Arial" w:cs="Arial"/>
          <w:sz w:val="22"/>
          <w:szCs w:val="22"/>
        </w:rPr>
        <w:t>and 14 treated with vehicle)</w:t>
      </w:r>
      <w:r w:rsidR="00FA6960">
        <w:rPr>
          <w:rFonts w:ascii="Arial" w:hAnsi="Arial" w:cs="Arial"/>
          <w:sz w:val="22"/>
          <w:szCs w:val="22"/>
        </w:rPr>
        <w:t>,</w:t>
      </w:r>
      <w:r w:rsidRPr="00FE7A04">
        <w:rPr>
          <w:rFonts w:ascii="Arial" w:hAnsi="Arial" w:cs="Arial"/>
          <w:sz w:val="22"/>
          <w:szCs w:val="22"/>
        </w:rPr>
        <w:t xml:space="preserve"> enrolled in the long-term follow-up studies. </w:t>
      </w:r>
      <w:r w:rsidR="00876B68" w:rsidRPr="00876B68">
        <w:rPr>
          <w:rFonts w:ascii="Arial" w:hAnsi="Arial" w:cs="Arial"/>
          <w:sz w:val="22"/>
          <w:szCs w:val="22"/>
        </w:rPr>
        <w:t xml:space="preserve">Results from these studies did not change the safety profile for </w:t>
      </w:r>
      <w:r w:rsidR="002C47E1">
        <w:rPr>
          <w:rFonts w:ascii="Arial" w:hAnsi="Arial" w:cs="Arial"/>
          <w:sz w:val="22"/>
          <w:szCs w:val="22"/>
        </w:rPr>
        <w:t>Picato</w:t>
      </w:r>
      <w:r w:rsidR="00DA2F20" w:rsidRPr="00DA2F20">
        <w:rPr>
          <w:rFonts w:ascii="Arial" w:hAnsi="Arial" w:cs="Arial"/>
          <w:sz w:val="22"/>
          <w:szCs w:val="22"/>
          <w:vertAlign w:val="superscript"/>
        </w:rPr>
        <w:t>®</w:t>
      </w:r>
      <w:r w:rsidR="00876B68">
        <w:rPr>
          <w:rFonts w:ascii="Arial" w:hAnsi="Arial" w:cs="Arial"/>
          <w:sz w:val="22"/>
          <w:szCs w:val="22"/>
        </w:rPr>
        <w:t xml:space="preserve"> </w:t>
      </w:r>
      <w:r w:rsidR="00BC7723">
        <w:rPr>
          <w:rFonts w:ascii="Arial" w:hAnsi="Arial" w:cs="Arial"/>
          <w:sz w:val="22"/>
          <w:szCs w:val="22"/>
        </w:rPr>
        <w:t>[</w:t>
      </w:r>
      <w:r w:rsidR="00BC7723">
        <w:rPr>
          <w:rFonts w:ascii="Arial" w:hAnsi="Arial" w:cs="Arial"/>
          <w:i/>
          <w:sz w:val="22"/>
          <w:szCs w:val="22"/>
        </w:rPr>
        <w:t>s</w:t>
      </w:r>
      <w:r w:rsidR="00876B68" w:rsidRPr="00413790">
        <w:rPr>
          <w:rFonts w:ascii="Arial" w:hAnsi="Arial" w:cs="Arial"/>
          <w:i/>
          <w:sz w:val="22"/>
          <w:szCs w:val="22"/>
        </w:rPr>
        <w:t xml:space="preserve">ee </w:t>
      </w:r>
      <w:r w:rsidR="00876B68" w:rsidRPr="00BC7723">
        <w:rPr>
          <w:rFonts w:ascii="Arial" w:hAnsi="Arial" w:cs="Arial"/>
          <w:sz w:val="22"/>
          <w:szCs w:val="22"/>
        </w:rPr>
        <w:t>Clinical Trials</w:t>
      </w:r>
      <w:r w:rsidR="00BC7723" w:rsidRPr="00BC7723">
        <w:rPr>
          <w:rFonts w:ascii="Arial" w:hAnsi="Arial" w:cs="Arial"/>
          <w:sz w:val="22"/>
          <w:szCs w:val="22"/>
        </w:rPr>
        <w:t>]</w:t>
      </w:r>
      <w:r w:rsidR="00876B68" w:rsidRPr="00BC7723">
        <w:rPr>
          <w:rFonts w:ascii="Arial" w:hAnsi="Arial" w:cs="Arial"/>
          <w:sz w:val="22"/>
          <w:szCs w:val="22"/>
        </w:rPr>
        <w:t>.</w:t>
      </w:r>
    </w:p>
    <w:p w:rsidR="00E23B16" w:rsidRPr="00FE7A04" w:rsidRDefault="00175525" w:rsidP="00BF5A9D">
      <w:pPr>
        <w:pStyle w:val="Heading2"/>
      </w:pPr>
      <w:r w:rsidRPr="00FE7A04">
        <w:t>DOSAGE AND ADMINISTRATION</w:t>
      </w:r>
    </w:p>
    <w:p w:rsidR="00E23B16" w:rsidRDefault="002C47E1" w:rsidP="00BF5A9D">
      <w:r>
        <w:t>Picato</w:t>
      </w:r>
      <w:r w:rsidR="00DA2F20" w:rsidRPr="00DA2F20">
        <w:rPr>
          <w:vertAlign w:val="superscript"/>
        </w:rPr>
        <w:t>®</w:t>
      </w:r>
      <w:r w:rsidR="00B201E7">
        <w:t xml:space="preserve"> gel</w:t>
      </w:r>
      <w:r w:rsidR="00E23B16" w:rsidRPr="00FE7A04">
        <w:t xml:space="preserve"> is indicated</w:t>
      </w:r>
      <w:r w:rsidR="00E23B16" w:rsidRPr="00FE7A04">
        <w:rPr>
          <w:b/>
        </w:rPr>
        <w:t xml:space="preserve"> </w:t>
      </w:r>
      <w:r w:rsidR="00175525" w:rsidRPr="00FE7A04">
        <w:t>for</w:t>
      </w:r>
      <w:r w:rsidR="00E23B16" w:rsidRPr="00FE7A04">
        <w:rPr>
          <w:b/>
        </w:rPr>
        <w:t xml:space="preserve"> </w:t>
      </w:r>
      <w:r w:rsidR="00E23B16" w:rsidRPr="00FA6960">
        <w:t>TOPICAL USE ONLY</w:t>
      </w:r>
      <w:r w:rsidR="00E23B16" w:rsidRPr="00FE7A04">
        <w:rPr>
          <w:b/>
        </w:rPr>
        <w:t xml:space="preserve">.  </w:t>
      </w:r>
      <w:r>
        <w:t>Picato</w:t>
      </w:r>
      <w:r w:rsidR="00DA2F20" w:rsidRPr="00DA2F20">
        <w:rPr>
          <w:vertAlign w:val="superscript"/>
        </w:rPr>
        <w:t>®</w:t>
      </w:r>
      <w:r w:rsidR="00B201E7">
        <w:t xml:space="preserve"> gel</w:t>
      </w:r>
      <w:r w:rsidR="00E23B16" w:rsidRPr="00FE7A04">
        <w:t xml:space="preserve"> is</w:t>
      </w:r>
      <w:r w:rsidR="00E23B16" w:rsidRPr="00FE7A04">
        <w:rPr>
          <w:b/>
        </w:rPr>
        <w:t xml:space="preserve"> </w:t>
      </w:r>
      <w:r w:rsidR="00E23B16" w:rsidRPr="00FA6960">
        <w:t>NOT</w:t>
      </w:r>
      <w:r w:rsidR="00E23B16" w:rsidRPr="00FE7A04">
        <w:rPr>
          <w:b/>
        </w:rPr>
        <w:t xml:space="preserve"> </w:t>
      </w:r>
      <w:r w:rsidR="006231F9" w:rsidRPr="00FE7A04">
        <w:t>for oral, op</w:t>
      </w:r>
      <w:r w:rsidR="006231F9" w:rsidRPr="00FE7A04">
        <w:t>h</w:t>
      </w:r>
      <w:r w:rsidR="006231F9" w:rsidRPr="00FE7A04">
        <w:t xml:space="preserve">thalmic, </w:t>
      </w:r>
      <w:proofErr w:type="spellStart"/>
      <w:r w:rsidR="006231F9" w:rsidRPr="00FE7A04">
        <w:t>intravaginal</w:t>
      </w:r>
      <w:proofErr w:type="spellEnd"/>
      <w:r w:rsidR="006231F9" w:rsidRPr="00FE7A04">
        <w:t xml:space="preserve"> or anal use.</w:t>
      </w:r>
    </w:p>
    <w:p w:rsidR="00201570" w:rsidRPr="0042461F" w:rsidRDefault="00360EB0" w:rsidP="00BF5A9D">
      <w:pPr>
        <w:pStyle w:val="Heading3"/>
      </w:pPr>
      <w:r w:rsidRPr="00360EB0">
        <w:t>Adults</w:t>
      </w:r>
    </w:p>
    <w:p w:rsidR="003A764E" w:rsidRPr="00FE7A04" w:rsidRDefault="003E6E4F" w:rsidP="00BF5A9D">
      <w:pPr>
        <w:pStyle w:val="Heading3"/>
      </w:pPr>
      <w:r>
        <w:t xml:space="preserve">For the Treatment of Solar (Actinic) Keratoses on the </w:t>
      </w:r>
      <w:r w:rsidR="003A764E" w:rsidRPr="00FE7A04">
        <w:t>Face and Scalp</w:t>
      </w:r>
    </w:p>
    <w:p w:rsidR="006231F9" w:rsidRPr="00FE7A04" w:rsidRDefault="002C47E1" w:rsidP="00FE7A04">
      <w:pPr>
        <w:pStyle w:val="Bodytext"/>
        <w:spacing w:before="60" w:after="240"/>
        <w:jc w:val="both"/>
        <w:rPr>
          <w:rFonts w:ascii="Arial" w:hAnsi="Arial" w:cs="Arial"/>
          <w:sz w:val="22"/>
          <w:szCs w:val="22"/>
        </w:rPr>
      </w:pPr>
      <w:r>
        <w:rPr>
          <w:rFonts w:ascii="Arial" w:hAnsi="Arial" w:cs="Arial"/>
          <w:sz w:val="22"/>
          <w:szCs w:val="22"/>
        </w:rPr>
        <w:t>Picato</w:t>
      </w:r>
      <w:r w:rsidR="00DA2F20" w:rsidRPr="00DA2F20">
        <w:rPr>
          <w:rFonts w:ascii="Arial" w:hAnsi="Arial" w:cs="Arial"/>
          <w:sz w:val="22"/>
          <w:szCs w:val="22"/>
          <w:vertAlign w:val="superscript"/>
        </w:rPr>
        <w:t>®</w:t>
      </w:r>
      <w:r w:rsidR="00B201E7">
        <w:rPr>
          <w:rFonts w:ascii="Arial" w:hAnsi="Arial" w:cs="Arial"/>
          <w:sz w:val="22"/>
          <w:szCs w:val="22"/>
        </w:rPr>
        <w:t xml:space="preserve"> gel</w:t>
      </w:r>
      <w:r w:rsidR="00C339AA">
        <w:rPr>
          <w:rFonts w:ascii="Arial" w:hAnsi="Arial" w:cs="Arial"/>
          <w:sz w:val="22"/>
          <w:szCs w:val="22"/>
        </w:rPr>
        <w:t>,</w:t>
      </w:r>
      <w:r w:rsidR="00954F59" w:rsidRPr="00FE7A04">
        <w:rPr>
          <w:rFonts w:ascii="Arial" w:hAnsi="Arial" w:cs="Arial"/>
          <w:sz w:val="22"/>
          <w:szCs w:val="22"/>
        </w:rPr>
        <w:t xml:space="preserve"> </w:t>
      </w:r>
      <w:r w:rsidR="001D6C53" w:rsidRPr="00FE7A04">
        <w:rPr>
          <w:rFonts w:ascii="Arial" w:hAnsi="Arial" w:cs="Arial"/>
          <w:sz w:val="22"/>
          <w:szCs w:val="22"/>
        </w:rPr>
        <w:t xml:space="preserve">0.015% </w:t>
      </w:r>
      <w:r w:rsidR="00A50771">
        <w:rPr>
          <w:rFonts w:ascii="Arial" w:hAnsi="Arial" w:cs="Arial"/>
          <w:sz w:val="22"/>
          <w:szCs w:val="22"/>
        </w:rPr>
        <w:t>should be applied</w:t>
      </w:r>
      <w:r w:rsidR="006231F9" w:rsidRPr="00FE7A04">
        <w:rPr>
          <w:rFonts w:ascii="Arial" w:hAnsi="Arial" w:cs="Arial"/>
          <w:sz w:val="22"/>
          <w:szCs w:val="22"/>
        </w:rPr>
        <w:t xml:space="preserve"> to the affected area once daily for 3 consec</w:t>
      </w:r>
      <w:r w:rsidR="006231F9" w:rsidRPr="00FE7A04">
        <w:rPr>
          <w:rFonts w:ascii="Arial" w:hAnsi="Arial" w:cs="Arial"/>
          <w:sz w:val="22"/>
          <w:szCs w:val="22"/>
        </w:rPr>
        <w:t>u</w:t>
      </w:r>
      <w:r w:rsidR="006231F9" w:rsidRPr="00FE7A04">
        <w:rPr>
          <w:rFonts w:ascii="Arial" w:hAnsi="Arial" w:cs="Arial"/>
          <w:sz w:val="22"/>
          <w:szCs w:val="22"/>
        </w:rPr>
        <w:t>tive days.</w:t>
      </w:r>
    </w:p>
    <w:p w:rsidR="003A764E" w:rsidRPr="00FE7A04" w:rsidRDefault="003E6E4F" w:rsidP="00BF5A9D">
      <w:pPr>
        <w:pStyle w:val="Heading3"/>
      </w:pPr>
      <w:r>
        <w:t xml:space="preserve">For the Treatment of Solar (Actinic) Keratoses on the </w:t>
      </w:r>
      <w:r w:rsidRPr="003C0C63">
        <w:t>Body</w:t>
      </w:r>
    </w:p>
    <w:p w:rsidR="006231F9" w:rsidRPr="00FE7A04" w:rsidRDefault="002C47E1" w:rsidP="00FE7A04">
      <w:pPr>
        <w:pStyle w:val="Bodytext"/>
        <w:spacing w:before="60" w:after="240"/>
        <w:jc w:val="both"/>
        <w:rPr>
          <w:rFonts w:ascii="Arial" w:hAnsi="Arial" w:cs="Arial"/>
          <w:sz w:val="22"/>
          <w:szCs w:val="22"/>
        </w:rPr>
      </w:pPr>
      <w:r>
        <w:rPr>
          <w:rFonts w:ascii="Arial" w:hAnsi="Arial" w:cs="Arial"/>
          <w:sz w:val="22"/>
          <w:szCs w:val="22"/>
        </w:rPr>
        <w:t>Picato</w:t>
      </w:r>
      <w:r w:rsidR="00DA2F20" w:rsidRPr="00DA2F20">
        <w:rPr>
          <w:rFonts w:ascii="Arial" w:hAnsi="Arial" w:cs="Arial"/>
          <w:sz w:val="22"/>
          <w:szCs w:val="22"/>
          <w:vertAlign w:val="superscript"/>
        </w:rPr>
        <w:t>®</w:t>
      </w:r>
      <w:r w:rsidR="00B201E7">
        <w:rPr>
          <w:rFonts w:ascii="Arial" w:hAnsi="Arial" w:cs="Arial"/>
          <w:sz w:val="22"/>
          <w:szCs w:val="22"/>
        </w:rPr>
        <w:t xml:space="preserve"> gel</w:t>
      </w:r>
      <w:r w:rsidR="00C339AA">
        <w:rPr>
          <w:rFonts w:ascii="Arial" w:hAnsi="Arial" w:cs="Arial"/>
          <w:sz w:val="22"/>
          <w:szCs w:val="22"/>
        </w:rPr>
        <w:t>,</w:t>
      </w:r>
      <w:r w:rsidR="00954F59" w:rsidRPr="00FE7A04">
        <w:rPr>
          <w:rFonts w:ascii="Arial" w:hAnsi="Arial" w:cs="Arial"/>
          <w:sz w:val="22"/>
          <w:szCs w:val="22"/>
        </w:rPr>
        <w:t xml:space="preserve"> </w:t>
      </w:r>
      <w:r w:rsidR="001D6C53" w:rsidRPr="00FE7A04">
        <w:rPr>
          <w:rFonts w:ascii="Arial" w:hAnsi="Arial" w:cs="Arial"/>
          <w:sz w:val="22"/>
          <w:szCs w:val="22"/>
        </w:rPr>
        <w:t xml:space="preserve">0.05% </w:t>
      </w:r>
      <w:r w:rsidR="00A50771">
        <w:rPr>
          <w:rFonts w:ascii="Arial" w:hAnsi="Arial" w:cs="Arial"/>
          <w:sz w:val="22"/>
          <w:szCs w:val="22"/>
        </w:rPr>
        <w:t xml:space="preserve">should be </w:t>
      </w:r>
      <w:r w:rsidR="003E6E4F">
        <w:rPr>
          <w:rFonts w:ascii="Arial" w:hAnsi="Arial" w:cs="Arial"/>
          <w:sz w:val="22"/>
          <w:szCs w:val="22"/>
        </w:rPr>
        <w:t xml:space="preserve">applied </w:t>
      </w:r>
      <w:r w:rsidR="006231F9" w:rsidRPr="00FE7A04">
        <w:rPr>
          <w:rFonts w:ascii="Arial" w:hAnsi="Arial" w:cs="Arial"/>
          <w:sz w:val="22"/>
          <w:szCs w:val="22"/>
        </w:rPr>
        <w:t>to the affected area once daily for 2 consec</w:t>
      </w:r>
      <w:r w:rsidR="006231F9" w:rsidRPr="00FE7A04">
        <w:rPr>
          <w:rFonts w:ascii="Arial" w:hAnsi="Arial" w:cs="Arial"/>
          <w:sz w:val="22"/>
          <w:szCs w:val="22"/>
        </w:rPr>
        <w:t>u</w:t>
      </w:r>
      <w:r w:rsidR="006231F9" w:rsidRPr="00FE7A04">
        <w:rPr>
          <w:rFonts w:ascii="Arial" w:hAnsi="Arial" w:cs="Arial"/>
          <w:sz w:val="22"/>
          <w:szCs w:val="22"/>
        </w:rPr>
        <w:t>tive days</w:t>
      </w:r>
      <w:r w:rsidR="003A764E" w:rsidRPr="00FE7A04">
        <w:rPr>
          <w:rFonts w:ascii="Arial" w:hAnsi="Arial" w:cs="Arial"/>
          <w:sz w:val="22"/>
          <w:szCs w:val="22"/>
        </w:rPr>
        <w:t>.</w:t>
      </w:r>
    </w:p>
    <w:p w:rsidR="00B32C98" w:rsidRPr="0002337D" w:rsidRDefault="00B32C98" w:rsidP="00BF5A9D">
      <w:r w:rsidRPr="0002337D">
        <w:t>Application Instructions</w:t>
      </w:r>
      <w:r w:rsidR="00E5044E" w:rsidRPr="0002337D">
        <w:t xml:space="preserve"> for the Face and Scalp and Body</w:t>
      </w:r>
    </w:p>
    <w:p w:rsidR="003A764E" w:rsidRPr="00FE7A04" w:rsidRDefault="002C47E1" w:rsidP="00BF5A9D">
      <w:r>
        <w:t>Picato</w:t>
      </w:r>
      <w:r w:rsidR="00DA2F20" w:rsidRPr="00DA2F20">
        <w:rPr>
          <w:vertAlign w:val="superscript"/>
        </w:rPr>
        <w:t>®</w:t>
      </w:r>
      <w:r w:rsidR="00B201E7">
        <w:t xml:space="preserve"> </w:t>
      </w:r>
      <w:r w:rsidR="003A764E" w:rsidRPr="00FE7A04">
        <w:t>should be applied to a defined treatment area.  A treatment area is defined as one contiguous area of approximately 25 cm</w:t>
      </w:r>
      <w:r w:rsidR="003A764E" w:rsidRPr="00FE7A04">
        <w:rPr>
          <w:vertAlign w:val="superscript"/>
        </w:rPr>
        <w:t>2</w:t>
      </w:r>
      <w:r w:rsidR="003A764E" w:rsidRPr="00FE7A04">
        <w:t xml:space="preserve"> (e.g., 5 cm x 5 cm). </w:t>
      </w:r>
      <w:r w:rsidR="00436359" w:rsidRPr="00FE7A04">
        <w:t xml:space="preserve"> </w:t>
      </w:r>
      <w:r w:rsidR="00D83796" w:rsidRPr="00FE7A04">
        <w:t>Each tube contains enough gel to treat a 25 cm</w:t>
      </w:r>
      <w:r w:rsidR="00D83796" w:rsidRPr="00FE7A04">
        <w:rPr>
          <w:vertAlign w:val="superscript"/>
        </w:rPr>
        <w:t>2</w:t>
      </w:r>
      <w:r w:rsidR="00D83796" w:rsidRPr="00FE7A04">
        <w:t xml:space="preserve"> treatment area.</w:t>
      </w:r>
    </w:p>
    <w:p w:rsidR="00FA6960" w:rsidRDefault="003A764E" w:rsidP="00BF5A9D">
      <w:pPr>
        <w:pStyle w:val="Bulletstyle"/>
      </w:pPr>
      <w:r w:rsidRPr="00FE7A04">
        <w:t>Patients should be instructed to squeeze the gel from the single use tube onto the fi</w:t>
      </w:r>
      <w:r w:rsidRPr="00FE7A04">
        <w:t>n</w:t>
      </w:r>
      <w:r w:rsidRPr="00FE7A04">
        <w:t xml:space="preserve">gertip and then spread it evenly over the area to be treated, </w:t>
      </w:r>
      <w:r w:rsidR="00D83796" w:rsidRPr="00FE7A04">
        <w:t>avoiding touching the treatment area and allowing it</w:t>
      </w:r>
      <w:r w:rsidRPr="00FE7A04">
        <w:t xml:space="preserve"> to dry for 15 minutes</w:t>
      </w:r>
      <w:r w:rsidR="00BF5A9D">
        <w:t>.</w:t>
      </w:r>
    </w:p>
    <w:p w:rsidR="00D83796" w:rsidRPr="00FE7A04" w:rsidRDefault="002C47E1" w:rsidP="00BF5A9D">
      <w:pPr>
        <w:pStyle w:val="Bulletstyle"/>
      </w:pPr>
      <w:r>
        <w:t>Picato</w:t>
      </w:r>
      <w:r w:rsidR="00DA2F20" w:rsidRPr="00DA2F20">
        <w:rPr>
          <w:vertAlign w:val="superscript"/>
        </w:rPr>
        <w:t>®</w:t>
      </w:r>
      <w:r w:rsidR="00C339AA">
        <w:t xml:space="preserve"> </w:t>
      </w:r>
      <w:r w:rsidR="0089766A" w:rsidRPr="00FE7A04">
        <w:t xml:space="preserve">should not be </w:t>
      </w:r>
      <w:r w:rsidR="006A4E4B" w:rsidRPr="00FE7A04">
        <w:t>applied immediately</w:t>
      </w:r>
      <w:r w:rsidR="00D83796" w:rsidRPr="00FE7A04">
        <w:t xml:space="preserve"> </w:t>
      </w:r>
      <w:r w:rsidR="0089766A" w:rsidRPr="00FE7A04">
        <w:t xml:space="preserve">before or </w:t>
      </w:r>
      <w:r w:rsidR="00D83796" w:rsidRPr="00FE7A04">
        <w:t>after taking a shower or less than 2 hours before be</w:t>
      </w:r>
      <w:r w:rsidR="00D83796" w:rsidRPr="00FE7A04">
        <w:t>d</w:t>
      </w:r>
      <w:r w:rsidR="00D83796" w:rsidRPr="00FE7A04">
        <w:t>time.</w:t>
      </w:r>
    </w:p>
    <w:p w:rsidR="00C266D7" w:rsidRPr="00C266D7" w:rsidRDefault="003A764E" w:rsidP="00C266D7">
      <w:pPr>
        <w:pStyle w:val="Bulletstyle"/>
        <w:spacing w:after="240"/>
        <w:jc w:val="both"/>
        <w:rPr>
          <w:rFonts w:ascii="Arial" w:hAnsi="Arial" w:cs="Arial"/>
          <w:sz w:val="22"/>
          <w:szCs w:val="22"/>
        </w:rPr>
      </w:pPr>
      <w:r w:rsidRPr="00C266D7">
        <w:rPr>
          <w:rFonts w:ascii="Arial" w:hAnsi="Arial" w:cs="Arial"/>
          <w:sz w:val="22"/>
          <w:szCs w:val="22"/>
        </w:rPr>
        <w:t xml:space="preserve">Patients should be instructed to wash their hands after applying </w:t>
      </w:r>
      <w:r w:rsidR="002C47E1">
        <w:rPr>
          <w:rFonts w:ascii="Arial" w:hAnsi="Arial" w:cs="Arial"/>
          <w:sz w:val="22"/>
          <w:szCs w:val="22"/>
        </w:rPr>
        <w:t>Picato</w:t>
      </w:r>
      <w:r w:rsidR="00DA2F20" w:rsidRPr="00DA2F20">
        <w:rPr>
          <w:rFonts w:ascii="Arial" w:hAnsi="Arial" w:cs="Arial"/>
          <w:sz w:val="22"/>
          <w:szCs w:val="22"/>
          <w:vertAlign w:val="superscript"/>
        </w:rPr>
        <w:t>®</w:t>
      </w:r>
      <w:r w:rsidR="00436359" w:rsidRPr="00C266D7">
        <w:rPr>
          <w:rFonts w:ascii="Arial" w:hAnsi="Arial" w:cs="Arial"/>
          <w:sz w:val="22"/>
          <w:szCs w:val="22"/>
        </w:rPr>
        <w:t>.</w:t>
      </w:r>
    </w:p>
    <w:p w:rsidR="00E14D21" w:rsidRDefault="00C266D7" w:rsidP="00E67C26">
      <w:r w:rsidRPr="00C266D7">
        <w:t>If treating the hands, only the fingertip which is used for app</w:t>
      </w:r>
      <w:r w:rsidR="000A1013">
        <w:t>lying the gel should be washed.</w:t>
      </w:r>
    </w:p>
    <w:p w:rsidR="00B43F07" w:rsidRPr="00E14D21" w:rsidRDefault="00C266D7" w:rsidP="00E67C26">
      <w:r w:rsidRPr="00E14D21">
        <w:t>Washing and touching the treated area should be avoided for a period of 6 hours a</w:t>
      </w:r>
      <w:r w:rsidRPr="00E14D21">
        <w:t>f</w:t>
      </w:r>
      <w:r w:rsidRPr="00E14D21">
        <w:t xml:space="preserve">ter application of </w:t>
      </w:r>
      <w:r w:rsidR="002C47E1">
        <w:t>Picato</w:t>
      </w:r>
      <w:r w:rsidR="00DA2F20" w:rsidRPr="00DA2F20">
        <w:rPr>
          <w:vertAlign w:val="superscript"/>
        </w:rPr>
        <w:t>®</w:t>
      </w:r>
      <w:r w:rsidRPr="00E14D21">
        <w:t>.</w:t>
      </w:r>
    </w:p>
    <w:p w:rsidR="00360EB0" w:rsidRPr="00360EB0" w:rsidRDefault="00360EB0" w:rsidP="000A1013">
      <w:pPr>
        <w:pStyle w:val="Heading3"/>
      </w:pPr>
      <w:r w:rsidRPr="00360EB0">
        <w:t>Children</w:t>
      </w:r>
    </w:p>
    <w:p w:rsidR="002B7EB8" w:rsidRDefault="0098230B" w:rsidP="000A1013">
      <w:r w:rsidRPr="0098230B">
        <w:t xml:space="preserve">There is no relevant use of </w:t>
      </w:r>
      <w:r w:rsidR="002C47E1">
        <w:t>Picato</w:t>
      </w:r>
      <w:r w:rsidR="00DA2F20" w:rsidRPr="00DA2F20">
        <w:rPr>
          <w:vertAlign w:val="superscript"/>
        </w:rPr>
        <w:t>®</w:t>
      </w:r>
      <w:r>
        <w:t xml:space="preserve"> gel</w:t>
      </w:r>
      <w:r w:rsidRPr="0098230B">
        <w:t xml:space="preserve"> in the paediatric popul</w:t>
      </w:r>
      <w:r w:rsidRPr="0098230B">
        <w:t>a</w:t>
      </w:r>
      <w:r w:rsidRPr="0098230B">
        <w:t>tion</w:t>
      </w:r>
      <w:r>
        <w:t>.</w:t>
      </w:r>
    </w:p>
    <w:p w:rsidR="00A1637C" w:rsidRDefault="00313ECE" w:rsidP="000A1013">
      <w:pPr>
        <w:pStyle w:val="Heading2"/>
      </w:pPr>
      <w:r w:rsidRPr="00FE7A04">
        <w:t>OVERDOSAGE</w:t>
      </w:r>
    </w:p>
    <w:p w:rsidR="00E64D62" w:rsidRPr="00E64D62" w:rsidRDefault="00E64D62" w:rsidP="000A1013">
      <w:r w:rsidRPr="00E64D62">
        <w:t xml:space="preserve">There has been no experience of overdose in clinical studies with </w:t>
      </w:r>
      <w:proofErr w:type="spellStart"/>
      <w:r w:rsidR="002C47E1">
        <w:t>Picato</w:t>
      </w:r>
      <w:proofErr w:type="spellEnd"/>
      <w:r w:rsidR="00DA2F20" w:rsidRPr="00DA2F20">
        <w:rPr>
          <w:vertAlign w:val="superscript"/>
        </w:rPr>
        <w:t>®</w:t>
      </w:r>
      <w:r w:rsidRPr="00E64D62">
        <w:t>.</w:t>
      </w:r>
    </w:p>
    <w:p w:rsidR="00EA116C" w:rsidRPr="00E64D62" w:rsidRDefault="00E64D62" w:rsidP="000A1013">
      <w:r w:rsidRPr="00E64D62">
        <w:lastRenderedPageBreak/>
        <w:t>In a clinical study 4</w:t>
      </w:r>
      <w:r>
        <w:t xml:space="preserve"> single dose tubes of </w:t>
      </w:r>
      <w:r w:rsidR="002C47E1">
        <w:t>Picato</w:t>
      </w:r>
      <w:r w:rsidR="00DA2F20" w:rsidRPr="00DA2F20">
        <w:rPr>
          <w:vertAlign w:val="superscript"/>
        </w:rPr>
        <w:t>®</w:t>
      </w:r>
      <w:r>
        <w:t xml:space="preserve"> gel, 0.05%</w:t>
      </w:r>
      <w:r w:rsidRPr="00E64D62">
        <w:t xml:space="preserve"> was applied daily for 2</w:t>
      </w:r>
      <w:r>
        <w:t xml:space="preserve"> </w:t>
      </w:r>
      <w:r w:rsidRPr="00E64D62">
        <w:t>consec</w:t>
      </w:r>
      <w:r w:rsidRPr="00E64D62">
        <w:t>u</w:t>
      </w:r>
      <w:r w:rsidRPr="00E64D62">
        <w:t>tive days to a 100 cm</w:t>
      </w:r>
      <w:r w:rsidRPr="00E64D62">
        <w:rPr>
          <w:vertAlign w:val="superscript"/>
        </w:rPr>
        <w:t>2</w:t>
      </w:r>
      <w:r w:rsidRPr="00E64D62">
        <w:t xml:space="preserve"> area of skin for the treatment of </w:t>
      </w:r>
      <w:r w:rsidR="000654F9">
        <w:t xml:space="preserve">solar </w:t>
      </w:r>
      <w:r w:rsidR="000654F9" w:rsidRPr="00E64D62">
        <w:t>keratos</w:t>
      </w:r>
      <w:r w:rsidR="000654F9">
        <w:t>e</w:t>
      </w:r>
      <w:r w:rsidR="000654F9" w:rsidRPr="00E64D62">
        <w:t>s</w:t>
      </w:r>
      <w:r w:rsidRPr="00E64D62">
        <w:t>. The result</w:t>
      </w:r>
      <w:r>
        <w:t xml:space="preserve"> </w:t>
      </w:r>
      <w:r w:rsidRPr="00E64D62">
        <w:t>demo</w:t>
      </w:r>
      <w:r w:rsidRPr="00E64D62">
        <w:t>n</w:t>
      </w:r>
      <w:r w:rsidRPr="00E64D62">
        <w:t>strated no change in the safety profile compared to the safety profile of</w:t>
      </w:r>
      <w:r>
        <w:t xml:space="preserve"> </w:t>
      </w:r>
      <w:r w:rsidR="002C47E1">
        <w:t>Picato</w:t>
      </w:r>
      <w:r w:rsidR="00DA2F20" w:rsidRPr="00DA2F20">
        <w:rPr>
          <w:vertAlign w:val="superscript"/>
        </w:rPr>
        <w:t>®</w:t>
      </w:r>
      <w:r>
        <w:t xml:space="preserve"> gel, 0.05%</w:t>
      </w:r>
      <w:r w:rsidRPr="00E64D62">
        <w:t xml:space="preserve"> when 1 tube is applied to a 25 cm</w:t>
      </w:r>
      <w:r w:rsidRPr="00E64D62">
        <w:rPr>
          <w:vertAlign w:val="superscript"/>
        </w:rPr>
        <w:t>2</w:t>
      </w:r>
      <w:r w:rsidRPr="00E64D62">
        <w:t xml:space="preserve"> area for 2 consecutive days.</w:t>
      </w:r>
    </w:p>
    <w:p w:rsidR="00113965" w:rsidRPr="00FE7A04" w:rsidRDefault="00313ECE" w:rsidP="000A1013">
      <w:pPr>
        <w:pStyle w:val="Heading2"/>
      </w:pPr>
      <w:r w:rsidRPr="00FE7A04">
        <w:t>PRESENTATION AND STORAGE CONDITIONS</w:t>
      </w:r>
    </w:p>
    <w:p w:rsidR="00113965" w:rsidRPr="00FE7A04" w:rsidRDefault="002C47E1" w:rsidP="000A1013">
      <w:pPr>
        <w:rPr>
          <w:b/>
        </w:rPr>
      </w:pPr>
      <w:r>
        <w:t>Picato</w:t>
      </w:r>
      <w:r w:rsidR="00DA2F20" w:rsidRPr="00DA2F20">
        <w:rPr>
          <w:vertAlign w:val="superscript"/>
        </w:rPr>
        <w:t>®</w:t>
      </w:r>
      <w:r w:rsidR="00543905" w:rsidRPr="00FE7A04">
        <w:t xml:space="preserve"> </w:t>
      </w:r>
      <w:r w:rsidR="0090565C" w:rsidRPr="00FE7A04">
        <w:t xml:space="preserve">is a topical </w:t>
      </w:r>
      <w:r w:rsidR="00F31A12">
        <w:t>g</w:t>
      </w:r>
      <w:r w:rsidR="00BE78BB">
        <w:t>el</w:t>
      </w:r>
      <w:r w:rsidR="0090565C" w:rsidRPr="00FE7A04">
        <w:t xml:space="preserve"> available in 2 dosage strengths:  0.015% and 0.05%.</w:t>
      </w:r>
    </w:p>
    <w:p w:rsidR="00113965" w:rsidRPr="00FE7A04" w:rsidRDefault="0090565C" w:rsidP="00FE7A04">
      <w:pPr>
        <w:pStyle w:val="Bodytext"/>
        <w:spacing w:after="240"/>
        <w:ind w:right="480"/>
        <w:rPr>
          <w:rFonts w:ascii="Arial" w:hAnsi="Arial" w:cs="Arial"/>
          <w:sz w:val="22"/>
          <w:szCs w:val="22"/>
        </w:rPr>
      </w:pPr>
      <w:r w:rsidRPr="00FE7A04">
        <w:rPr>
          <w:rFonts w:ascii="Arial" w:hAnsi="Arial" w:cs="Arial"/>
          <w:sz w:val="22"/>
          <w:szCs w:val="22"/>
        </w:rPr>
        <w:t xml:space="preserve">The 0.015% </w:t>
      </w:r>
      <w:r w:rsidR="00930609">
        <w:rPr>
          <w:rFonts w:ascii="Arial" w:hAnsi="Arial" w:cs="Arial"/>
          <w:sz w:val="22"/>
          <w:szCs w:val="22"/>
        </w:rPr>
        <w:t xml:space="preserve">dosage strength </w:t>
      </w:r>
      <w:r w:rsidRPr="00FE7A04">
        <w:rPr>
          <w:rFonts w:ascii="Arial" w:hAnsi="Arial" w:cs="Arial"/>
          <w:sz w:val="22"/>
          <w:szCs w:val="22"/>
        </w:rPr>
        <w:t xml:space="preserve">is indicated for the face and scalp and is available in 3 </w:t>
      </w:r>
      <w:r w:rsidR="00B43F07" w:rsidRPr="00FE7A04">
        <w:rPr>
          <w:rFonts w:ascii="Arial" w:hAnsi="Arial" w:cs="Arial"/>
          <w:sz w:val="22"/>
          <w:szCs w:val="22"/>
        </w:rPr>
        <w:t xml:space="preserve">single use </w:t>
      </w:r>
      <w:r w:rsidRPr="00FE7A04">
        <w:rPr>
          <w:rFonts w:ascii="Arial" w:hAnsi="Arial" w:cs="Arial"/>
          <w:sz w:val="22"/>
          <w:szCs w:val="22"/>
        </w:rPr>
        <w:t>tubes per carton.</w:t>
      </w:r>
      <w:r w:rsidR="00930609">
        <w:rPr>
          <w:rFonts w:ascii="Arial" w:hAnsi="Arial" w:cs="Arial"/>
          <w:sz w:val="22"/>
          <w:szCs w:val="22"/>
        </w:rPr>
        <w:t xml:space="preserve">  Each tube contains 70 mcg of ingenol mebutate in 0.47 g </w:t>
      </w:r>
      <w:r w:rsidR="00304E86">
        <w:rPr>
          <w:rFonts w:ascii="Arial" w:hAnsi="Arial" w:cs="Arial"/>
          <w:sz w:val="22"/>
          <w:szCs w:val="22"/>
        </w:rPr>
        <w:t xml:space="preserve">of </w:t>
      </w:r>
      <w:r w:rsidR="00930609">
        <w:rPr>
          <w:rFonts w:ascii="Arial" w:hAnsi="Arial" w:cs="Arial"/>
          <w:sz w:val="22"/>
          <w:szCs w:val="22"/>
        </w:rPr>
        <w:t>gel.</w:t>
      </w:r>
    </w:p>
    <w:p w:rsidR="00B43F07" w:rsidRPr="00FE7A04" w:rsidRDefault="0090565C" w:rsidP="00FE7A04">
      <w:pPr>
        <w:pStyle w:val="Bodytext"/>
        <w:spacing w:after="240"/>
        <w:ind w:right="480"/>
        <w:rPr>
          <w:rFonts w:ascii="Arial" w:hAnsi="Arial" w:cs="Arial"/>
          <w:b/>
          <w:sz w:val="22"/>
          <w:szCs w:val="22"/>
        </w:rPr>
      </w:pPr>
      <w:r w:rsidRPr="00FE7A04">
        <w:rPr>
          <w:rFonts w:ascii="Arial" w:hAnsi="Arial" w:cs="Arial"/>
          <w:sz w:val="22"/>
          <w:szCs w:val="22"/>
        </w:rPr>
        <w:t xml:space="preserve">The 0.05% </w:t>
      </w:r>
      <w:r w:rsidR="00930609">
        <w:rPr>
          <w:rFonts w:ascii="Arial" w:hAnsi="Arial" w:cs="Arial"/>
          <w:sz w:val="22"/>
          <w:szCs w:val="22"/>
        </w:rPr>
        <w:t xml:space="preserve">dosage strength </w:t>
      </w:r>
      <w:r w:rsidRPr="00FE7A04">
        <w:rPr>
          <w:rFonts w:ascii="Arial" w:hAnsi="Arial" w:cs="Arial"/>
          <w:sz w:val="22"/>
          <w:szCs w:val="22"/>
        </w:rPr>
        <w:t xml:space="preserve">is indicated for the </w:t>
      </w:r>
      <w:r w:rsidR="003C0C63">
        <w:rPr>
          <w:rFonts w:ascii="Arial" w:hAnsi="Arial" w:cs="Arial"/>
          <w:sz w:val="22"/>
          <w:szCs w:val="22"/>
        </w:rPr>
        <w:t xml:space="preserve">body </w:t>
      </w:r>
      <w:r w:rsidRPr="00FE7A04">
        <w:rPr>
          <w:rFonts w:ascii="Arial" w:hAnsi="Arial" w:cs="Arial"/>
          <w:sz w:val="22"/>
          <w:szCs w:val="22"/>
        </w:rPr>
        <w:t xml:space="preserve">and is available </w:t>
      </w:r>
      <w:r w:rsidR="00B43F07" w:rsidRPr="00FE7A04">
        <w:rPr>
          <w:rFonts w:ascii="Arial" w:hAnsi="Arial" w:cs="Arial"/>
          <w:sz w:val="22"/>
          <w:szCs w:val="22"/>
        </w:rPr>
        <w:t>in 2 single use tubes per carton.</w:t>
      </w:r>
      <w:r w:rsidR="00930609">
        <w:rPr>
          <w:rFonts w:ascii="Arial" w:hAnsi="Arial" w:cs="Arial"/>
          <w:sz w:val="22"/>
          <w:szCs w:val="22"/>
        </w:rPr>
        <w:t xml:space="preserve">  Each tube contains 235 mcg of ingenol mebutate in 0.47 g</w:t>
      </w:r>
      <w:r w:rsidR="00304E86">
        <w:rPr>
          <w:rFonts w:ascii="Arial" w:hAnsi="Arial" w:cs="Arial"/>
          <w:sz w:val="22"/>
          <w:szCs w:val="22"/>
        </w:rPr>
        <w:t xml:space="preserve"> of</w:t>
      </w:r>
      <w:r w:rsidR="00930609">
        <w:rPr>
          <w:rFonts w:ascii="Arial" w:hAnsi="Arial" w:cs="Arial"/>
          <w:sz w:val="22"/>
          <w:szCs w:val="22"/>
        </w:rPr>
        <w:t xml:space="preserve"> gel.</w:t>
      </w:r>
    </w:p>
    <w:p w:rsidR="000508BA" w:rsidRDefault="002C47E1" w:rsidP="000A1013">
      <w:r>
        <w:t>Picato</w:t>
      </w:r>
      <w:r w:rsidR="00DA2F20" w:rsidRPr="00DA2F20">
        <w:rPr>
          <w:vertAlign w:val="superscript"/>
        </w:rPr>
        <w:t>®</w:t>
      </w:r>
      <w:r w:rsidR="00F31A12" w:rsidRPr="0002337D">
        <w:t xml:space="preserve"> </w:t>
      </w:r>
      <w:r w:rsidR="0090565C" w:rsidRPr="0002337D">
        <w:t>should be stored in a refrigerator (2ºC – 8ºC</w:t>
      </w:r>
      <w:r w:rsidR="00557AC9" w:rsidRPr="0002337D">
        <w:t>).</w:t>
      </w:r>
    </w:p>
    <w:p w:rsidR="00313ECE" w:rsidRPr="00FE7A04" w:rsidRDefault="00313ECE" w:rsidP="000A1013">
      <w:pPr>
        <w:pStyle w:val="Heading2"/>
      </w:pPr>
      <w:r w:rsidRPr="00FE7A04">
        <w:t>NAME AND AD</w:t>
      </w:r>
      <w:r w:rsidR="00FE7A04">
        <w:t>D</w:t>
      </w:r>
      <w:r w:rsidRPr="00FE7A04">
        <w:t>RESS OF SPONSOR:</w:t>
      </w:r>
    </w:p>
    <w:p w:rsidR="00174854" w:rsidRPr="00FE7A04" w:rsidRDefault="00174854" w:rsidP="000A1013">
      <w:pPr>
        <w:pStyle w:val="Heading3"/>
      </w:pPr>
      <w:r w:rsidRPr="00FE7A04">
        <w:t>In Australia:</w:t>
      </w:r>
    </w:p>
    <w:p w:rsidR="00313ECE" w:rsidRPr="00FE7A04" w:rsidRDefault="00313ECE" w:rsidP="00174854">
      <w:pPr>
        <w:pStyle w:val="Bodytext"/>
        <w:spacing w:before="0"/>
        <w:ind w:right="482"/>
        <w:rPr>
          <w:rFonts w:ascii="Arial" w:hAnsi="Arial" w:cs="Arial"/>
          <w:sz w:val="22"/>
          <w:szCs w:val="22"/>
        </w:rPr>
      </w:pPr>
      <w:r w:rsidRPr="00FE7A04">
        <w:rPr>
          <w:rFonts w:ascii="Arial" w:hAnsi="Arial" w:cs="Arial"/>
          <w:sz w:val="22"/>
          <w:szCs w:val="22"/>
        </w:rPr>
        <w:t xml:space="preserve">LEO Pharma </w:t>
      </w:r>
      <w:r w:rsidR="00B27E5D">
        <w:rPr>
          <w:rFonts w:ascii="Arial" w:hAnsi="Arial" w:cs="Arial"/>
          <w:sz w:val="22"/>
          <w:szCs w:val="22"/>
        </w:rPr>
        <w:t>Pty Ltd</w:t>
      </w:r>
      <w:r w:rsidRPr="00FE7A04">
        <w:rPr>
          <w:rFonts w:ascii="Arial" w:hAnsi="Arial" w:cs="Arial"/>
          <w:sz w:val="22"/>
          <w:szCs w:val="22"/>
        </w:rPr>
        <w:t xml:space="preserve"> ABN</w:t>
      </w:r>
      <w:r w:rsidR="00174854" w:rsidRPr="00FE7A04">
        <w:rPr>
          <w:rFonts w:ascii="Arial" w:hAnsi="Arial" w:cs="Arial"/>
          <w:sz w:val="22"/>
          <w:szCs w:val="22"/>
        </w:rPr>
        <w:t>: 72 147 880 617</w:t>
      </w:r>
    </w:p>
    <w:p w:rsidR="00313ECE" w:rsidRPr="00FE7A04" w:rsidRDefault="00313ECE" w:rsidP="00174854">
      <w:pPr>
        <w:pStyle w:val="Bodytext"/>
        <w:spacing w:before="0"/>
        <w:ind w:right="482"/>
        <w:rPr>
          <w:rFonts w:ascii="Arial" w:hAnsi="Arial" w:cs="Arial"/>
          <w:sz w:val="22"/>
          <w:szCs w:val="22"/>
        </w:rPr>
      </w:pPr>
      <w:r w:rsidRPr="00FE7A04">
        <w:rPr>
          <w:rFonts w:ascii="Arial" w:hAnsi="Arial" w:cs="Arial"/>
          <w:sz w:val="22"/>
          <w:szCs w:val="22"/>
        </w:rPr>
        <w:t>Level 3 Tower One</w:t>
      </w:r>
    </w:p>
    <w:p w:rsidR="00313ECE" w:rsidRPr="00FE7A04" w:rsidRDefault="00313ECE" w:rsidP="00174854">
      <w:pPr>
        <w:pStyle w:val="Bodytext"/>
        <w:spacing w:before="0"/>
        <w:ind w:right="482"/>
        <w:rPr>
          <w:rFonts w:ascii="Arial" w:hAnsi="Arial" w:cs="Arial"/>
          <w:sz w:val="22"/>
          <w:szCs w:val="22"/>
        </w:rPr>
      </w:pPr>
      <w:r w:rsidRPr="00FE7A04">
        <w:rPr>
          <w:rFonts w:ascii="Arial" w:hAnsi="Arial" w:cs="Arial"/>
          <w:sz w:val="22"/>
          <w:szCs w:val="22"/>
        </w:rPr>
        <w:t xml:space="preserve">25 Montpelier Rd </w:t>
      </w:r>
    </w:p>
    <w:p w:rsidR="00313ECE" w:rsidRPr="00FE7A04" w:rsidRDefault="00313ECE" w:rsidP="00174854">
      <w:pPr>
        <w:pStyle w:val="Bodytext"/>
        <w:spacing w:before="0"/>
        <w:ind w:right="482"/>
        <w:rPr>
          <w:rFonts w:ascii="Arial" w:hAnsi="Arial" w:cs="Arial"/>
          <w:sz w:val="22"/>
          <w:szCs w:val="22"/>
        </w:rPr>
      </w:pPr>
      <w:r w:rsidRPr="00FE7A04">
        <w:rPr>
          <w:rFonts w:ascii="Arial" w:hAnsi="Arial" w:cs="Arial"/>
          <w:sz w:val="22"/>
          <w:szCs w:val="22"/>
        </w:rPr>
        <w:t>Bowen Hills QLD 4006 AUSTRALIA</w:t>
      </w:r>
    </w:p>
    <w:p w:rsidR="004147D7" w:rsidRDefault="004147D7" w:rsidP="00E6472B">
      <w:pPr>
        <w:pStyle w:val="Bodytext"/>
        <w:spacing w:after="240"/>
        <w:ind w:right="480"/>
        <w:rPr>
          <w:rFonts w:ascii="Arial" w:hAnsi="Arial" w:cs="Arial"/>
          <w:b/>
          <w:sz w:val="22"/>
          <w:szCs w:val="22"/>
        </w:rPr>
      </w:pPr>
      <w:r>
        <w:rPr>
          <w:rFonts w:ascii="Arial" w:hAnsi="Arial" w:cs="Arial"/>
          <w:b/>
          <w:sz w:val="22"/>
          <w:szCs w:val="22"/>
        </w:rPr>
        <w:t xml:space="preserve">AUST R </w:t>
      </w:r>
    </w:p>
    <w:p w:rsidR="004147D7" w:rsidRPr="004147D7" w:rsidRDefault="004147D7" w:rsidP="000A1013">
      <w:pPr>
        <w:pStyle w:val="Bodytext"/>
        <w:spacing w:after="120"/>
        <w:ind w:right="482"/>
        <w:rPr>
          <w:rFonts w:ascii="Arial" w:hAnsi="Arial" w:cs="Arial"/>
          <w:sz w:val="22"/>
          <w:szCs w:val="22"/>
        </w:rPr>
      </w:pPr>
      <w:r w:rsidRPr="004147D7">
        <w:rPr>
          <w:rFonts w:ascii="Arial" w:hAnsi="Arial" w:cs="Arial"/>
          <w:sz w:val="22"/>
          <w:szCs w:val="22"/>
        </w:rPr>
        <w:t>Picato</w:t>
      </w:r>
      <w:r w:rsidRPr="004147D7">
        <w:rPr>
          <w:rFonts w:ascii="Arial" w:hAnsi="Arial" w:cs="Arial"/>
          <w:sz w:val="22"/>
          <w:szCs w:val="22"/>
          <w:vertAlign w:val="superscript"/>
        </w:rPr>
        <w:t>®</w:t>
      </w:r>
      <w:r w:rsidRPr="004147D7">
        <w:rPr>
          <w:rFonts w:ascii="Arial" w:hAnsi="Arial" w:cs="Arial"/>
          <w:sz w:val="22"/>
          <w:szCs w:val="22"/>
        </w:rPr>
        <w:t xml:space="preserve"> (ingenol mebutate) gel, 0.015%: </w:t>
      </w:r>
      <w:r>
        <w:rPr>
          <w:rFonts w:ascii="Arial" w:hAnsi="Arial" w:cs="Arial"/>
          <w:sz w:val="22"/>
          <w:szCs w:val="22"/>
        </w:rPr>
        <w:t xml:space="preserve">AUST R </w:t>
      </w:r>
      <w:r w:rsidRPr="004147D7">
        <w:rPr>
          <w:rFonts w:ascii="Arial" w:hAnsi="Arial" w:cs="Arial"/>
          <w:sz w:val="22"/>
          <w:szCs w:val="22"/>
        </w:rPr>
        <w:t>1901</w:t>
      </w:r>
      <w:r w:rsidR="0069556C">
        <w:rPr>
          <w:rFonts w:ascii="Arial" w:hAnsi="Arial" w:cs="Arial"/>
          <w:sz w:val="22"/>
          <w:szCs w:val="22"/>
        </w:rPr>
        <w:t>22</w:t>
      </w:r>
    </w:p>
    <w:p w:rsidR="004147D7" w:rsidRPr="004147D7" w:rsidRDefault="004147D7" w:rsidP="000A1013">
      <w:pPr>
        <w:pStyle w:val="Bodytext"/>
        <w:spacing w:before="120" w:after="240"/>
        <w:ind w:right="482"/>
        <w:rPr>
          <w:rFonts w:ascii="Arial" w:hAnsi="Arial" w:cs="Arial"/>
          <w:sz w:val="22"/>
          <w:szCs w:val="22"/>
        </w:rPr>
      </w:pPr>
      <w:r w:rsidRPr="004147D7">
        <w:rPr>
          <w:rFonts w:ascii="Arial" w:hAnsi="Arial" w:cs="Arial"/>
          <w:sz w:val="22"/>
          <w:szCs w:val="22"/>
        </w:rPr>
        <w:t>Picato</w:t>
      </w:r>
      <w:r w:rsidRPr="004147D7">
        <w:rPr>
          <w:rFonts w:ascii="Arial" w:hAnsi="Arial" w:cs="Arial"/>
          <w:sz w:val="22"/>
          <w:szCs w:val="22"/>
          <w:vertAlign w:val="superscript"/>
        </w:rPr>
        <w:t>®</w:t>
      </w:r>
      <w:r w:rsidRPr="004147D7">
        <w:rPr>
          <w:rFonts w:ascii="Arial" w:hAnsi="Arial" w:cs="Arial"/>
          <w:sz w:val="22"/>
          <w:szCs w:val="22"/>
        </w:rPr>
        <w:t xml:space="preserve"> (ingenol mebutate) gel, 0.05%: </w:t>
      </w:r>
      <w:r>
        <w:rPr>
          <w:rFonts w:ascii="Arial" w:hAnsi="Arial" w:cs="Arial"/>
          <w:sz w:val="22"/>
          <w:szCs w:val="22"/>
        </w:rPr>
        <w:t xml:space="preserve">AUST R </w:t>
      </w:r>
      <w:r w:rsidRPr="004147D7">
        <w:rPr>
          <w:rFonts w:ascii="Arial" w:hAnsi="Arial" w:cs="Arial"/>
          <w:sz w:val="22"/>
          <w:szCs w:val="22"/>
        </w:rPr>
        <w:t>1901</w:t>
      </w:r>
      <w:r w:rsidR="0069556C">
        <w:rPr>
          <w:rFonts w:ascii="Arial" w:hAnsi="Arial" w:cs="Arial"/>
          <w:sz w:val="22"/>
          <w:szCs w:val="22"/>
        </w:rPr>
        <w:t>13</w:t>
      </w:r>
    </w:p>
    <w:p w:rsidR="00313ECE" w:rsidRPr="00FE7A04" w:rsidRDefault="00313ECE" w:rsidP="000A1013">
      <w:pPr>
        <w:pStyle w:val="Heading2"/>
      </w:pPr>
      <w:r w:rsidRPr="00FE7A04">
        <w:t>MANUFACTURER</w:t>
      </w:r>
      <w:r w:rsidR="0090565C" w:rsidRPr="00FE7A04">
        <w:t>S</w:t>
      </w:r>
      <w:r w:rsidRPr="00FE7A04">
        <w:t>:</w:t>
      </w:r>
    </w:p>
    <w:p w:rsidR="0090565C" w:rsidRPr="00FE7A04" w:rsidRDefault="0090565C" w:rsidP="000A1013">
      <w:pPr>
        <w:spacing w:after="0"/>
      </w:pPr>
      <w:r w:rsidRPr="00FE7A04">
        <w:t>DPT Laboratories, Inc.</w:t>
      </w:r>
    </w:p>
    <w:p w:rsidR="0090565C" w:rsidRPr="00FE7A04" w:rsidRDefault="0090565C" w:rsidP="000A1013">
      <w:pPr>
        <w:spacing w:before="0" w:after="0"/>
        <w:rPr>
          <w:lang w:val="it-IT"/>
        </w:rPr>
      </w:pPr>
      <w:r w:rsidRPr="00FE7A04">
        <w:rPr>
          <w:lang w:val="it-IT"/>
        </w:rPr>
        <w:t>307 E. Josephine Street</w:t>
      </w:r>
    </w:p>
    <w:p w:rsidR="0090565C" w:rsidRPr="00FE7A04" w:rsidRDefault="0090565C" w:rsidP="000A1013">
      <w:pPr>
        <w:spacing w:before="0"/>
        <w:rPr>
          <w:lang w:val="it-IT"/>
        </w:rPr>
      </w:pPr>
      <w:r w:rsidRPr="00FE7A04">
        <w:rPr>
          <w:lang w:val="it-IT"/>
        </w:rPr>
        <w:t>San Antonio, TX 78215</w:t>
      </w:r>
    </w:p>
    <w:p w:rsidR="0090565C" w:rsidRPr="00FE7A04" w:rsidRDefault="0090565C" w:rsidP="000A1013">
      <w:pPr>
        <w:spacing w:after="0"/>
        <w:rPr>
          <w:lang w:val="it-IT"/>
        </w:rPr>
      </w:pPr>
      <w:r w:rsidRPr="00FE7A04">
        <w:rPr>
          <w:lang w:val="it-IT"/>
        </w:rPr>
        <w:t>LEO Laboratories Ltd.</w:t>
      </w:r>
    </w:p>
    <w:p w:rsidR="0090565C" w:rsidRPr="00FE7A04" w:rsidRDefault="000A1013" w:rsidP="000A1013">
      <w:pPr>
        <w:spacing w:before="0" w:after="0"/>
      </w:pPr>
      <w:r>
        <w:t xml:space="preserve">285 </w:t>
      </w:r>
      <w:proofErr w:type="spellStart"/>
      <w:r>
        <w:t>Cashel</w:t>
      </w:r>
      <w:proofErr w:type="spellEnd"/>
      <w:r>
        <w:t xml:space="preserve"> Road,</w:t>
      </w:r>
    </w:p>
    <w:p w:rsidR="0090565C" w:rsidRPr="00FE7A04" w:rsidRDefault="0090565C" w:rsidP="000A1013">
      <w:pPr>
        <w:spacing w:before="0" w:after="0"/>
        <w:rPr>
          <w:lang w:val="en-GB"/>
        </w:rPr>
      </w:pPr>
      <w:r w:rsidRPr="00FE7A04">
        <w:t>Dublin 12</w:t>
      </w:r>
    </w:p>
    <w:p w:rsidR="0090565C" w:rsidRPr="00FE7A04" w:rsidRDefault="0090565C" w:rsidP="000A1013">
      <w:pPr>
        <w:spacing w:before="0"/>
        <w:rPr>
          <w:lang w:val="en-GB"/>
        </w:rPr>
      </w:pPr>
      <w:r w:rsidRPr="00FE7A04">
        <w:rPr>
          <w:lang w:val="en-GB"/>
        </w:rPr>
        <w:t>Ireland</w:t>
      </w:r>
    </w:p>
    <w:p w:rsidR="00313ECE" w:rsidRPr="00FE7A04" w:rsidRDefault="00313ECE" w:rsidP="000A1013">
      <w:pPr>
        <w:pStyle w:val="Heading2"/>
      </w:pPr>
      <w:r w:rsidRPr="00FE7A04">
        <w:t>POISONS SCHEDULE OF MEDICINE:</w:t>
      </w:r>
    </w:p>
    <w:p w:rsidR="00313ECE" w:rsidRPr="00FE7A04" w:rsidRDefault="00313ECE" w:rsidP="00E6472B">
      <w:pPr>
        <w:pStyle w:val="Bodytext"/>
        <w:spacing w:after="240"/>
        <w:ind w:right="480"/>
        <w:rPr>
          <w:rFonts w:ascii="Arial" w:hAnsi="Arial" w:cs="Arial"/>
          <w:sz w:val="22"/>
          <w:szCs w:val="22"/>
        </w:rPr>
      </w:pPr>
      <w:r w:rsidRPr="00FE7A04">
        <w:rPr>
          <w:rFonts w:ascii="Arial" w:hAnsi="Arial" w:cs="Arial"/>
          <w:sz w:val="22"/>
          <w:szCs w:val="22"/>
        </w:rPr>
        <w:t>S4</w:t>
      </w:r>
    </w:p>
    <w:p w:rsidR="00313ECE" w:rsidRPr="00FE7A04" w:rsidRDefault="006231F9" w:rsidP="000A1013">
      <w:pPr>
        <w:pStyle w:val="Heading2"/>
      </w:pPr>
      <w:r w:rsidRPr="00FE7A04">
        <w:t>D</w:t>
      </w:r>
      <w:r w:rsidR="00313ECE" w:rsidRPr="00FE7A04">
        <w:t xml:space="preserve">ATE OF </w:t>
      </w:r>
      <w:r w:rsidR="00E95808">
        <w:t>ENTRY INTO ARTG</w:t>
      </w:r>
      <w:r w:rsidR="00313ECE" w:rsidRPr="00FE7A04">
        <w:t>:</w:t>
      </w:r>
      <w:r w:rsidR="00E769C5">
        <w:t xml:space="preserve"> </w:t>
      </w:r>
      <w:r w:rsidR="00C779E9">
        <w:t>9 November 2012</w:t>
      </w:r>
    </w:p>
    <w:p w:rsidR="009A1F84" w:rsidRPr="00654624" w:rsidRDefault="002C47E1" w:rsidP="000A1013">
      <w:pPr>
        <w:pStyle w:val="Bodytext"/>
        <w:spacing w:after="240"/>
        <w:ind w:right="480"/>
        <w:rPr>
          <w:rFonts w:ascii="Arial" w:hAnsi="Arial" w:cs="Arial"/>
        </w:rPr>
      </w:pPr>
      <w:proofErr w:type="spellStart"/>
      <w:r>
        <w:rPr>
          <w:rFonts w:ascii="Arial" w:hAnsi="Arial" w:cs="Arial"/>
          <w:sz w:val="22"/>
          <w:szCs w:val="22"/>
        </w:rPr>
        <w:lastRenderedPageBreak/>
        <w:t>Picato</w:t>
      </w:r>
      <w:proofErr w:type="spellEnd"/>
      <w:r w:rsidR="00F56F93">
        <w:rPr>
          <w:rFonts w:ascii="Arial" w:hAnsi="Arial" w:cs="Arial"/>
          <w:sz w:val="22"/>
          <w:szCs w:val="22"/>
        </w:rPr>
        <w:t xml:space="preserve"> </w:t>
      </w:r>
      <w:r w:rsidR="00313ECE" w:rsidRPr="00FE7A04">
        <w:rPr>
          <w:rFonts w:ascii="Arial" w:hAnsi="Arial" w:cs="Arial"/>
          <w:sz w:val="22"/>
          <w:szCs w:val="22"/>
        </w:rPr>
        <w:t xml:space="preserve">is a registered trademark of LEO </w:t>
      </w:r>
      <w:proofErr w:type="spellStart"/>
      <w:r w:rsidR="00E95808">
        <w:rPr>
          <w:rFonts w:ascii="Arial" w:hAnsi="Arial" w:cs="Arial"/>
          <w:sz w:val="22"/>
          <w:szCs w:val="22"/>
        </w:rPr>
        <w:t>Pharma</w:t>
      </w:r>
      <w:proofErr w:type="spellEnd"/>
      <w:r w:rsidR="00313ECE" w:rsidRPr="00FE7A04">
        <w:rPr>
          <w:rFonts w:ascii="Arial" w:hAnsi="Arial" w:cs="Arial"/>
          <w:sz w:val="22"/>
          <w:szCs w:val="22"/>
        </w:rPr>
        <w:t xml:space="preserve"> A/S, De</w:t>
      </w:r>
      <w:r w:rsidR="00313ECE" w:rsidRPr="00FE7A04">
        <w:rPr>
          <w:rFonts w:ascii="Arial" w:hAnsi="Arial" w:cs="Arial"/>
          <w:sz w:val="22"/>
          <w:szCs w:val="22"/>
        </w:rPr>
        <w:t>n</w:t>
      </w:r>
      <w:r w:rsidR="00313ECE" w:rsidRPr="00FE7A04">
        <w:rPr>
          <w:rFonts w:ascii="Arial" w:hAnsi="Arial" w:cs="Arial"/>
          <w:sz w:val="22"/>
          <w:szCs w:val="22"/>
        </w:rPr>
        <w:t>mark</w:t>
      </w:r>
      <w:r w:rsidR="008F2F3A">
        <w:rPr>
          <w:rFonts w:ascii="Arial" w:hAnsi="Arial" w:cs="Arial"/>
          <w:noProof/>
          <w:lang w:val="en-AU" w:eastAsia="en-AU"/>
        </w:rPr>
        <w:pict>
          <v:shapetype id="_x0000_t202" coordsize="21600,21600" o:spt="202" path="m,l,21600r21600,l21600,xe">
            <v:stroke joinstyle="miter"/>
            <v:path gradientshapeok="t" o:connecttype="rect"/>
          </v:shapetype>
          <v:shape id="Text Box 2" o:spid="_x0000_s1027" type="#_x0000_t202" style="position:absolute;margin-left:387.6pt;margin-top:573.8pt;width:76.95pt;height:21.1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8F2F3A" w:rsidRDefault="008F2F3A" w:rsidP="00E67C26">
                  <w:r>
                    <w:t>LSK-12-134</w:t>
                  </w:r>
                </w:p>
                <w:p w:rsidR="008F2F3A" w:rsidRDefault="008F2F3A" w:rsidP="00E67C26"/>
                <w:p w:rsidR="008F2F3A" w:rsidRDefault="008F2F3A" w:rsidP="00E67C26">
                  <w:r>
                    <w:t>LSK-12-134</w:t>
                  </w:r>
                </w:p>
              </w:txbxContent>
            </v:textbox>
          </v:shape>
        </w:pict>
      </w:r>
    </w:p>
    <w:sectPr w:rsidR="009A1F84" w:rsidRPr="00654624" w:rsidSect="00557AC9">
      <w:headerReference w:type="even" r:id="rId9"/>
      <w:headerReference w:type="default" r:id="rId10"/>
      <w:footerReference w:type="even" r:id="rId11"/>
      <w:footerReference w:type="default" r:id="rId12"/>
      <w:headerReference w:type="first" r:id="rId13"/>
      <w:footerReference w:type="first" r:id="rId14"/>
      <w:pgSz w:w="11906" w:h="16838" w:code="9"/>
      <w:pgMar w:top="567" w:right="1418" w:bottom="567" w:left="1418" w:header="567"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434" w:rsidRDefault="00F46434" w:rsidP="00E67C26">
      <w:r>
        <w:separator/>
      </w:r>
    </w:p>
  </w:endnote>
  <w:endnote w:type="continuationSeparator" w:id="0">
    <w:p w:rsidR="00F46434" w:rsidRDefault="00F46434" w:rsidP="00E67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A9" w:rsidRDefault="001D43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A" w:rsidRDefault="0036455A" w:rsidP="00E67C26"/>
  <w:tbl>
    <w:tblPr>
      <w:tblW w:w="9208" w:type="dxa"/>
      <w:tblLayout w:type="fixed"/>
      <w:tblCellMar>
        <w:left w:w="70" w:type="dxa"/>
        <w:right w:w="70" w:type="dxa"/>
      </w:tblCellMar>
      <w:tblLook w:val="0000"/>
    </w:tblPr>
    <w:tblGrid>
      <w:gridCol w:w="879"/>
      <w:gridCol w:w="8329"/>
    </w:tblGrid>
    <w:tr w:rsidR="0036455A" w:rsidRPr="0078470F">
      <w:tblPrEx>
        <w:tblCellMar>
          <w:top w:w="0" w:type="dxa"/>
          <w:bottom w:w="0" w:type="dxa"/>
        </w:tblCellMar>
      </w:tblPrEx>
      <w:tc>
        <w:tcPr>
          <w:tcW w:w="879" w:type="dxa"/>
          <w:tcBorders>
            <w:right w:val="single" w:sz="4" w:space="0" w:color="auto"/>
          </w:tcBorders>
        </w:tcPr>
        <w:p w:rsidR="0036455A" w:rsidRPr="0078470F" w:rsidRDefault="00972884" w:rsidP="00E67C26">
          <w:pPr>
            <w:pStyle w:val="Footer"/>
          </w:pPr>
          <w:r>
            <w:rPr>
              <w:noProof/>
              <w:lang w:val="en-AU" w:eastAsia="en-AU"/>
            </w:rPr>
            <w:drawing>
              <wp:inline distT="0" distB="0" distL="0" distR="0">
                <wp:extent cx="347980" cy="273050"/>
                <wp:effectExtent l="19050" t="0" r="0" b="0"/>
                <wp:docPr id="2" name="Picture 2" descr="LE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O-logo"/>
                        <pic:cNvPicPr>
                          <a:picLocks noChangeAspect="1" noChangeArrowheads="1"/>
                        </pic:cNvPicPr>
                      </pic:nvPicPr>
                      <pic:blipFill>
                        <a:blip r:embed="rId1"/>
                        <a:srcRect/>
                        <a:stretch>
                          <a:fillRect/>
                        </a:stretch>
                      </pic:blipFill>
                      <pic:spPr bwMode="auto">
                        <a:xfrm>
                          <a:off x="0" y="0"/>
                          <a:ext cx="347980" cy="273050"/>
                        </a:xfrm>
                        <a:prstGeom prst="rect">
                          <a:avLst/>
                        </a:prstGeom>
                        <a:noFill/>
                        <a:ln w="9525">
                          <a:noFill/>
                          <a:miter lim="800000"/>
                          <a:headEnd/>
                          <a:tailEnd/>
                        </a:ln>
                      </pic:spPr>
                    </pic:pic>
                  </a:graphicData>
                </a:graphic>
              </wp:inline>
            </w:drawing>
          </w:r>
        </w:p>
      </w:tc>
      <w:tc>
        <w:tcPr>
          <w:tcW w:w="8329" w:type="dxa"/>
          <w:tcBorders>
            <w:left w:val="single" w:sz="4" w:space="0" w:color="auto"/>
          </w:tcBorders>
        </w:tcPr>
        <w:p w:rsidR="0036455A" w:rsidRPr="00F366FC" w:rsidRDefault="0036455A" w:rsidP="00E67C26">
          <w:pPr>
            <w:pStyle w:val="Footer"/>
          </w:pPr>
          <w:bookmarkStart w:id="2" w:name="LEOClaimer"/>
          <w:r w:rsidRPr="00F366FC">
            <w:t>THIS DOCUMENT CONTAINS TRADE SECRETS, OR COMMERCIAL OR FINANCIAL INFORMATION, PRIVILEGED OR CONFIDENTIAL, DELIVERED IN CONFIDENCE AND RELIANCE THAT SUCH INFORMATION WILL NOT BE COPIED OR MADE AVAILABLE TO ANY THIRD PARTY WITHOUT THE WRITTEN CONSENT OF LEO PHARMA</w:t>
          </w:r>
          <w:r>
            <w:t xml:space="preserve"> A/S - </w:t>
          </w:r>
          <w:r w:rsidRPr="00F366FC">
            <w:t>LEO PHARMACEUTICAL PRODUCTS</w:t>
          </w:r>
          <w:r>
            <w:t xml:space="preserve"> LTD. A/S</w:t>
          </w:r>
          <w:bookmarkEnd w:id="2"/>
        </w:p>
      </w:tc>
    </w:tr>
  </w:tbl>
  <w:p w:rsidR="0036455A" w:rsidRDefault="0036455A" w:rsidP="00E67C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A9" w:rsidRDefault="001D43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434" w:rsidRDefault="00F46434" w:rsidP="00E67C26">
      <w:r>
        <w:separator/>
      </w:r>
    </w:p>
  </w:footnote>
  <w:footnote w:type="continuationSeparator" w:id="0">
    <w:p w:rsidR="00F46434" w:rsidRDefault="00F46434" w:rsidP="00E67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A9" w:rsidRDefault="001D43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73" w:rsidRPr="00C21D73" w:rsidRDefault="00C21D73" w:rsidP="001D43A9">
    <w:pPr>
      <w:pBdr>
        <w:top w:val="single" w:sz="4" w:space="1" w:color="auto"/>
        <w:left w:val="single" w:sz="4" w:space="4" w:color="auto"/>
        <w:bottom w:val="single" w:sz="4" w:space="1" w:color="auto"/>
        <w:right w:val="single" w:sz="4" w:space="4" w:color="auto"/>
      </w:pBdr>
      <w:shd w:val="clear" w:color="auto" w:fill="E4F2E0"/>
    </w:pPr>
    <w:r w:rsidRPr="00C21D73">
      <w:t xml:space="preserve">Attachment 1: Product information for </w:t>
    </w:r>
    <w:proofErr w:type="spellStart"/>
    <w:r w:rsidRPr="00C21D73">
      <w:t>AusPAR</w:t>
    </w:r>
    <w:proofErr w:type="spellEnd"/>
    <w:r w:rsidRPr="00C21D73">
      <w:t xml:space="preserve"> </w:t>
    </w:r>
    <w:proofErr w:type="spellStart"/>
    <w:r w:rsidRPr="00C21D73">
      <w:t>Picato</w:t>
    </w:r>
    <w:proofErr w:type="spellEnd"/>
    <w:r w:rsidRPr="00C21D73">
      <w:t xml:space="preserve"> 0.015% and 0.05% gel </w:t>
    </w:r>
    <w:proofErr w:type="spellStart"/>
    <w:r w:rsidRPr="00C21D73">
      <w:t>Ingenol</w:t>
    </w:r>
    <w:proofErr w:type="spellEnd"/>
    <w:r w:rsidRPr="00C21D73">
      <w:t xml:space="preserve"> </w:t>
    </w:r>
    <w:proofErr w:type="spellStart"/>
    <w:r w:rsidRPr="00C21D73">
      <w:t>Mebutate</w:t>
    </w:r>
    <w:proofErr w:type="spellEnd"/>
    <w:r w:rsidRPr="00C21D73">
      <w:t xml:space="preserve"> </w:t>
    </w:r>
    <w:r w:rsidR="001D43A9">
      <w:t>L</w:t>
    </w:r>
    <w:r w:rsidRPr="00C21D73">
      <w:t xml:space="preserve">EO </w:t>
    </w:r>
    <w:proofErr w:type="spellStart"/>
    <w:r w:rsidRPr="00C21D73">
      <w:t>Pharma</w:t>
    </w:r>
    <w:proofErr w:type="spellEnd"/>
    <w:r w:rsidRPr="00C21D73">
      <w:t xml:space="preserve"> Pty Ltd PM-2011-02307-3-5 Final 6 June 2013</w:t>
    </w:r>
    <w:r w:rsidRPr="00C21D73">
      <w:t>. This Product Inform</w:t>
    </w:r>
    <w:r w:rsidRPr="00C21D73">
      <w:t>a</w:t>
    </w:r>
    <w:r w:rsidRPr="00C21D73">
      <w:t xml:space="preserve">tion was approved at the time this </w:t>
    </w:r>
    <w:proofErr w:type="spellStart"/>
    <w:r w:rsidRPr="00C21D73">
      <w:t>AusPAR</w:t>
    </w:r>
    <w:proofErr w:type="spellEnd"/>
    <w:r w:rsidRPr="00C21D73">
      <w:t xml:space="preserve"> was published.</w:t>
    </w:r>
  </w:p>
  <w:p w:rsidR="0036455A" w:rsidRDefault="0036455A" w:rsidP="00E67C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A9" w:rsidRDefault="001D43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D49462"/>
    <w:lvl w:ilvl="0">
      <w:start w:val="1"/>
      <w:numFmt w:val="decimal"/>
      <w:lvlText w:val="%1."/>
      <w:lvlJc w:val="right"/>
      <w:pPr>
        <w:tabs>
          <w:tab w:val="num" w:pos="425"/>
        </w:tabs>
        <w:ind w:left="425" w:hanging="137"/>
      </w:pPr>
      <w:rPr>
        <w:rFonts w:hint="default"/>
      </w:rPr>
    </w:lvl>
  </w:abstractNum>
  <w:abstractNum w:abstractNumId="1">
    <w:nsid w:val="FFFFFF7D"/>
    <w:multiLevelType w:val="singleLevel"/>
    <w:tmpl w:val="B73CFF54"/>
    <w:lvl w:ilvl="0">
      <w:start w:val="1"/>
      <w:numFmt w:val="decimal"/>
      <w:lvlText w:val="%1."/>
      <w:lvlJc w:val="right"/>
      <w:pPr>
        <w:tabs>
          <w:tab w:val="num" w:pos="425"/>
        </w:tabs>
        <w:ind w:left="425" w:hanging="137"/>
      </w:pPr>
      <w:rPr>
        <w:rFonts w:hint="default"/>
      </w:rPr>
    </w:lvl>
  </w:abstractNum>
  <w:abstractNum w:abstractNumId="2">
    <w:nsid w:val="FFFFFF7E"/>
    <w:multiLevelType w:val="singleLevel"/>
    <w:tmpl w:val="C622ACB4"/>
    <w:lvl w:ilvl="0">
      <w:start w:val="1"/>
      <w:numFmt w:val="decimal"/>
      <w:lvlText w:val="%1."/>
      <w:lvlJc w:val="right"/>
      <w:pPr>
        <w:tabs>
          <w:tab w:val="num" w:pos="425"/>
        </w:tabs>
        <w:ind w:left="425" w:hanging="137"/>
      </w:pPr>
      <w:rPr>
        <w:rFonts w:hint="default"/>
      </w:rPr>
    </w:lvl>
  </w:abstractNum>
  <w:abstractNum w:abstractNumId="3">
    <w:nsid w:val="FFFFFF7F"/>
    <w:multiLevelType w:val="singleLevel"/>
    <w:tmpl w:val="379A9D32"/>
    <w:lvl w:ilvl="0">
      <w:start w:val="1"/>
      <w:numFmt w:val="decimal"/>
      <w:lvlText w:val="%1."/>
      <w:lvlJc w:val="right"/>
      <w:pPr>
        <w:tabs>
          <w:tab w:val="num" w:pos="425"/>
        </w:tabs>
        <w:ind w:left="425" w:hanging="137"/>
      </w:pPr>
      <w:rPr>
        <w:rFonts w:hint="default"/>
      </w:rPr>
    </w:lvl>
  </w:abstractNum>
  <w:abstractNum w:abstractNumId="4">
    <w:nsid w:val="FFFFFF80"/>
    <w:multiLevelType w:val="singleLevel"/>
    <w:tmpl w:val="A46420C0"/>
    <w:lvl w:ilvl="0">
      <w:start w:val="1"/>
      <w:numFmt w:val="bullet"/>
      <w:lvlText w:val=""/>
      <w:lvlJc w:val="left"/>
      <w:pPr>
        <w:tabs>
          <w:tab w:val="num" w:pos="425"/>
        </w:tabs>
        <w:ind w:left="425" w:hanging="425"/>
      </w:pPr>
      <w:rPr>
        <w:rFonts w:ascii="Symbol" w:hAnsi="Symbol" w:hint="default"/>
      </w:rPr>
    </w:lvl>
  </w:abstractNum>
  <w:abstractNum w:abstractNumId="5">
    <w:nsid w:val="FFFFFF81"/>
    <w:multiLevelType w:val="singleLevel"/>
    <w:tmpl w:val="2EA4A97E"/>
    <w:lvl w:ilvl="0">
      <w:start w:val="1"/>
      <w:numFmt w:val="bullet"/>
      <w:lvlText w:val=""/>
      <w:lvlJc w:val="left"/>
      <w:pPr>
        <w:tabs>
          <w:tab w:val="num" w:pos="425"/>
        </w:tabs>
        <w:ind w:left="425" w:hanging="425"/>
      </w:pPr>
      <w:rPr>
        <w:rFonts w:ascii="Symbol" w:hAnsi="Symbol" w:hint="default"/>
      </w:rPr>
    </w:lvl>
  </w:abstractNum>
  <w:abstractNum w:abstractNumId="6">
    <w:nsid w:val="FFFFFF82"/>
    <w:multiLevelType w:val="singleLevel"/>
    <w:tmpl w:val="30660486"/>
    <w:lvl w:ilvl="0">
      <w:start w:val="1"/>
      <w:numFmt w:val="bullet"/>
      <w:lvlText w:val=""/>
      <w:lvlJc w:val="left"/>
      <w:pPr>
        <w:tabs>
          <w:tab w:val="num" w:pos="425"/>
        </w:tabs>
        <w:ind w:left="425" w:hanging="425"/>
      </w:pPr>
      <w:rPr>
        <w:rFonts w:ascii="Symbol" w:hAnsi="Symbol" w:hint="default"/>
      </w:rPr>
    </w:lvl>
  </w:abstractNum>
  <w:abstractNum w:abstractNumId="7">
    <w:nsid w:val="FFFFFF83"/>
    <w:multiLevelType w:val="singleLevel"/>
    <w:tmpl w:val="04266E64"/>
    <w:lvl w:ilvl="0">
      <w:start w:val="1"/>
      <w:numFmt w:val="bullet"/>
      <w:lvlText w:val=""/>
      <w:lvlJc w:val="left"/>
      <w:pPr>
        <w:tabs>
          <w:tab w:val="num" w:pos="425"/>
        </w:tabs>
        <w:ind w:left="425" w:hanging="425"/>
      </w:pPr>
      <w:rPr>
        <w:rFonts w:ascii="Symbol" w:hAnsi="Symbol" w:hint="default"/>
      </w:rPr>
    </w:lvl>
  </w:abstractNum>
  <w:abstractNum w:abstractNumId="8">
    <w:nsid w:val="FFFFFF88"/>
    <w:multiLevelType w:val="singleLevel"/>
    <w:tmpl w:val="937C64C8"/>
    <w:lvl w:ilvl="0">
      <w:start w:val="1"/>
      <w:numFmt w:val="decimal"/>
      <w:pStyle w:val="ListNumber"/>
      <w:lvlText w:val="%1."/>
      <w:lvlJc w:val="left"/>
      <w:pPr>
        <w:tabs>
          <w:tab w:val="num" w:pos="425"/>
        </w:tabs>
        <w:ind w:left="425" w:hanging="425"/>
      </w:pPr>
      <w:rPr>
        <w:rFonts w:ascii="Times New Roman" w:hAnsi="Times New Roman" w:hint="default"/>
        <w:b w:val="0"/>
        <w:i w:val="0"/>
        <w:w w:val="100"/>
        <w:sz w:val="24"/>
        <w:szCs w:val="24"/>
      </w:rPr>
    </w:lvl>
  </w:abstractNum>
  <w:abstractNum w:abstractNumId="9">
    <w:nsid w:val="FFFFFF89"/>
    <w:multiLevelType w:val="singleLevel"/>
    <w:tmpl w:val="1DFE2406"/>
    <w:lvl w:ilvl="0">
      <w:start w:val="1"/>
      <w:numFmt w:val="bullet"/>
      <w:pStyle w:val="ListBullet"/>
      <w:lvlText w:val="•"/>
      <w:lvlJc w:val="left"/>
      <w:pPr>
        <w:tabs>
          <w:tab w:val="num" w:pos="425"/>
        </w:tabs>
        <w:ind w:left="425" w:hanging="425"/>
      </w:pPr>
      <w:rPr>
        <w:rFonts w:ascii="Times New Roman" w:hAnsi="Times New Roman" w:cs="Times New Roman" w:hint="default"/>
        <w:b w:val="0"/>
        <w:i w:val="0"/>
        <w:w w:val="100"/>
        <w:sz w:val="24"/>
        <w:szCs w:val="24"/>
      </w:rPr>
    </w:lvl>
  </w:abstractNum>
  <w:abstractNum w:abstractNumId="10">
    <w:nsid w:val="1274292B"/>
    <w:multiLevelType w:val="singleLevel"/>
    <w:tmpl w:val="A64E8BEA"/>
    <w:lvl w:ilvl="0">
      <w:start w:val="1"/>
      <w:numFmt w:val="upperRoman"/>
      <w:pStyle w:val="HeadingRomanNumerals"/>
      <w:lvlText w:val="%1"/>
      <w:lvlJc w:val="left"/>
      <w:pPr>
        <w:tabs>
          <w:tab w:val="num" w:pos="1151"/>
        </w:tabs>
        <w:ind w:left="1151" w:hanging="1151"/>
      </w:pPr>
    </w:lvl>
  </w:abstractNum>
  <w:abstractNum w:abstractNumId="11">
    <w:nsid w:val="1ED623D3"/>
    <w:multiLevelType w:val="hybridMultilevel"/>
    <w:tmpl w:val="176A9E70"/>
    <w:lvl w:ilvl="0">
      <w:start w:val="1"/>
      <w:numFmt w:val="none"/>
      <w:pStyle w:val="HeadingNoNumber9"/>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4742D58"/>
    <w:multiLevelType w:val="hybridMultilevel"/>
    <w:tmpl w:val="A9F01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064F73"/>
    <w:multiLevelType w:val="hybridMultilevel"/>
    <w:tmpl w:val="569E54EC"/>
    <w:lvl w:ilvl="0">
      <w:start w:val="1"/>
      <w:numFmt w:val="none"/>
      <w:pStyle w:val="HeadingNoNumber4"/>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6DB2468"/>
    <w:multiLevelType w:val="hybridMultilevel"/>
    <w:tmpl w:val="DA20C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4003B9"/>
    <w:multiLevelType w:val="hybridMultilevel"/>
    <w:tmpl w:val="96C20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EC6407"/>
    <w:multiLevelType w:val="hybridMultilevel"/>
    <w:tmpl w:val="F6F24B50"/>
    <w:lvl w:ilvl="0" w:tplc="B790AA24">
      <w:start w:val="1"/>
      <w:numFmt w:val="bullet"/>
      <w:pStyle w:val="Bulletstyle2"/>
      <w:lvlText w:val=""/>
      <w:lvlJc w:val="left"/>
      <w:pPr>
        <w:tabs>
          <w:tab w:val="num" w:pos="1872"/>
        </w:tabs>
        <w:ind w:left="1872" w:hanging="360"/>
      </w:pPr>
      <w:rPr>
        <w:rFonts w:ascii="Symbol" w:hAnsi="Symbol"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7">
    <w:nsid w:val="3D2C6FFE"/>
    <w:multiLevelType w:val="hybridMultilevel"/>
    <w:tmpl w:val="5464055E"/>
    <w:lvl w:ilvl="0">
      <w:start w:val="1"/>
      <w:numFmt w:val="none"/>
      <w:pStyle w:val="HeadingNoNumber7"/>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FEA07A2"/>
    <w:multiLevelType w:val="multilevel"/>
    <w:tmpl w:val="3770103E"/>
    <w:lvl w:ilvl="0">
      <w:start w:val="1"/>
      <w:numFmt w:val="decimal"/>
      <w:suff w:val="space"/>
      <w:lvlText w:val="%1"/>
      <w:lvlJc w:val="left"/>
      <w:pPr>
        <w:ind w:left="0" w:firstLine="0"/>
      </w:pPr>
      <w:rPr>
        <w:rFonts w:ascii="Times New Roman" w:hAnsi="Times New Roman" w:hint="default"/>
        <w:b/>
        <w:i w:val="0"/>
        <w:caps w:val="0"/>
        <w:strike w:val="0"/>
        <w:dstrike w:val="0"/>
        <w:outline w:val="0"/>
        <w:shadow w:val="0"/>
        <w:emboss w:val="0"/>
        <w:imprint w:val="0"/>
        <w:vanish w:val="0"/>
        <w:spacing w:val="4"/>
        <w:kern w:val="0"/>
        <w:sz w:val="28"/>
        <w:szCs w:val="28"/>
        <w:vertAlign w:val="baseline"/>
      </w:rPr>
    </w:lvl>
    <w:lvl w:ilvl="1">
      <w:start w:val="1"/>
      <w:numFmt w:val="decimal"/>
      <w:suff w:val="space"/>
      <w:lvlText w:val="%1.%2"/>
      <w:lvlJc w:val="left"/>
      <w:pPr>
        <w:ind w:left="0" w:firstLine="0"/>
      </w:pPr>
      <w:rPr>
        <w:rFonts w:ascii="Times New Roman" w:hAnsi="Times New Roman" w:hint="default"/>
        <w:b/>
        <w:i w:val="0"/>
        <w:sz w:val="24"/>
        <w:szCs w:val="24"/>
      </w:rPr>
    </w:lvl>
    <w:lvl w:ilvl="2">
      <w:start w:val="1"/>
      <w:numFmt w:val="decimal"/>
      <w:suff w:val="space"/>
      <w:lvlText w:val="%1.%2.%3"/>
      <w:lvlJc w:val="left"/>
      <w:pPr>
        <w:ind w:left="0" w:firstLine="0"/>
      </w:pPr>
      <w:rPr>
        <w:rFonts w:ascii="Times New Roman" w:hAnsi="Times New Roman" w:hint="default"/>
        <w:b/>
        <w:i w:val="0"/>
        <w:sz w:val="24"/>
        <w:szCs w:val="24"/>
      </w:rPr>
    </w:lvl>
    <w:lvl w:ilvl="3">
      <w:start w:val="1"/>
      <w:numFmt w:val="decimal"/>
      <w:pStyle w:val="Heading4"/>
      <w:suff w:val="space"/>
      <w:lvlText w:val="%1.%2.%3.%4"/>
      <w:lvlJc w:val="left"/>
      <w:pPr>
        <w:ind w:left="0" w:firstLine="0"/>
      </w:pPr>
      <w:rPr>
        <w:rFonts w:ascii="Times New Roman" w:hAnsi="Times New Roman" w:hint="default"/>
        <w:b/>
        <w:i w:val="0"/>
        <w:sz w:val="24"/>
        <w:szCs w:val="24"/>
      </w:rPr>
    </w:lvl>
    <w:lvl w:ilvl="4">
      <w:start w:val="1"/>
      <w:numFmt w:val="decimal"/>
      <w:pStyle w:val="Heading5"/>
      <w:suff w:val="space"/>
      <w:lvlText w:val="%1.%2.%3.%4.%5"/>
      <w:lvlJc w:val="left"/>
      <w:pPr>
        <w:ind w:left="0" w:firstLine="0"/>
      </w:pPr>
      <w:rPr>
        <w:rFonts w:ascii="Times New Roman" w:hAnsi="Times New Roman" w:hint="default"/>
        <w:b/>
        <w:i w:val="0"/>
        <w:sz w:val="24"/>
        <w:szCs w:val="24"/>
      </w:rPr>
    </w:lvl>
    <w:lvl w:ilvl="5">
      <w:start w:val="1"/>
      <w:numFmt w:val="decimal"/>
      <w:lvlText w:val="%1.%2.%3.%4.%5.%6  "/>
      <w:lvlJc w:val="left"/>
      <w:pPr>
        <w:tabs>
          <w:tab w:val="num" w:pos="0"/>
        </w:tabs>
        <w:ind w:left="284" w:hanging="284"/>
      </w:pPr>
      <w:rPr>
        <w:rFonts w:ascii="Verdana" w:hAnsi="Verdana" w:hint="default"/>
        <w:b w:val="0"/>
        <w:i w:val="0"/>
        <w:sz w:val="20"/>
        <w:szCs w:val="20"/>
      </w:rPr>
    </w:lvl>
    <w:lvl w:ilvl="6">
      <w:start w:val="1"/>
      <w:numFmt w:val="decimal"/>
      <w:lvlText w:val="%1.%2.%3.%4.%5.%6.%7  "/>
      <w:lvlJc w:val="left"/>
      <w:pPr>
        <w:tabs>
          <w:tab w:val="num" w:pos="0"/>
        </w:tabs>
        <w:ind w:left="284" w:hanging="284"/>
      </w:pPr>
      <w:rPr>
        <w:rFonts w:ascii="Verdana" w:hAnsi="Verdana" w:hint="default"/>
        <w:b w:val="0"/>
        <w:i w:val="0"/>
        <w:sz w:val="20"/>
        <w:szCs w:val="20"/>
      </w:rPr>
    </w:lvl>
    <w:lvl w:ilvl="7">
      <w:start w:val="1"/>
      <w:numFmt w:val="decimal"/>
      <w:lvlText w:val="%1.%2.%3.%4.%5.%6.%7.%8  "/>
      <w:lvlJc w:val="left"/>
      <w:pPr>
        <w:tabs>
          <w:tab w:val="num" w:pos="0"/>
        </w:tabs>
        <w:ind w:left="284" w:hanging="284"/>
      </w:pPr>
      <w:rPr>
        <w:rFonts w:ascii="Verdana" w:hAnsi="Verdana" w:hint="default"/>
        <w:b w:val="0"/>
        <w:i w:val="0"/>
        <w:sz w:val="20"/>
        <w:szCs w:val="20"/>
      </w:rPr>
    </w:lvl>
    <w:lvl w:ilvl="8">
      <w:start w:val="1"/>
      <w:numFmt w:val="decimal"/>
      <w:lvlText w:val="%1.%2.%3.%4.%5.%6.%7.%8.%9  "/>
      <w:lvlJc w:val="left"/>
      <w:pPr>
        <w:tabs>
          <w:tab w:val="num" w:pos="0"/>
        </w:tabs>
        <w:ind w:left="284" w:hanging="284"/>
      </w:pPr>
      <w:rPr>
        <w:rFonts w:ascii="Verdana" w:hAnsi="Verdana" w:hint="default"/>
        <w:b w:val="0"/>
        <w:i w:val="0"/>
        <w:sz w:val="20"/>
        <w:szCs w:val="20"/>
      </w:rPr>
    </w:lvl>
  </w:abstractNum>
  <w:abstractNum w:abstractNumId="19">
    <w:nsid w:val="50033F85"/>
    <w:multiLevelType w:val="hybridMultilevel"/>
    <w:tmpl w:val="4376689E"/>
    <w:lvl w:ilvl="0">
      <w:start w:val="1"/>
      <w:numFmt w:val="none"/>
      <w:pStyle w:val="HeadingNoNumber2"/>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9B6667B"/>
    <w:multiLevelType w:val="hybridMultilevel"/>
    <w:tmpl w:val="7626F8BE"/>
    <w:lvl w:ilvl="0">
      <w:start w:val="1"/>
      <w:numFmt w:val="none"/>
      <w:pStyle w:val="HeadingNoNumber6"/>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B3A109B"/>
    <w:multiLevelType w:val="hybridMultilevel"/>
    <w:tmpl w:val="5FFEF12C"/>
    <w:lvl w:ilvl="0" w:tplc="5490969E">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693030A4"/>
    <w:multiLevelType w:val="hybridMultilevel"/>
    <w:tmpl w:val="8F0E856E"/>
    <w:lvl w:ilvl="0">
      <w:start w:val="1"/>
      <w:numFmt w:val="none"/>
      <w:pStyle w:val="HeadingNoNumber1"/>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AD374E9"/>
    <w:multiLevelType w:val="hybridMultilevel"/>
    <w:tmpl w:val="AE522850"/>
    <w:lvl w:ilvl="0">
      <w:start w:val="1"/>
      <w:numFmt w:val="none"/>
      <w:pStyle w:val="HeadingNoNumber5"/>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C32055E"/>
    <w:multiLevelType w:val="singleLevel"/>
    <w:tmpl w:val="65142960"/>
    <w:lvl w:ilvl="0">
      <w:start w:val="1"/>
      <w:numFmt w:val="bullet"/>
      <w:pStyle w:val="Bulletstyle"/>
      <w:lvlText w:val=""/>
      <w:lvlJc w:val="left"/>
      <w:pPr>
        <w:tabs>
          <w:tab w:val="num" w:pos="360"/>
        </w:tabs>
        <w:ind w:left="720" w:hanging="360"/>
      </w:pPr>
      <w:rPr>
        <w:rFonts w:ascii="Symbol" w:hAnsi="Symbol" w:hint="default"/>
        <w:sz w:val="28"/>
      </w:rPr>
    </w:lvl>
  </w:abstractNum>
  <w:abstractNum w:abstractNumId="25">
    <w:nsid w:val="72D4071E"/>
    <w:multiLevelType w:val="hybridMultilevel"/>
    <w:tmpl w:val="23969F9A"/>
    <w:lvl w:ilvl="0" w:tplc="5A04D5A0">
      <w:start w:val="1"/>
      <w:numFmt w:val="bullet"/>
      <w:lvlText w:val=""/>
      <w:lvlJc w:val="left"/>
      <w:pPr>
        <w:tabs>
          <w:tab w:val="num" w:pos="720"/>
        </w:tabs>
        <w:ind w:left="720" w:hanging="360"/>
      </w:pPr>
      <w:rPr>
        <w:rFonts w:ascii="Symbol" w:hAnsi="Symbol" w:hint="default"/>
        <w:d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67DAD"/>
    <w:multiLevelType w:val="hybridMultilevel"/>
    <w:tmpl w:val="3358FEDA"/>
    <w:lvl w:ilvl="0">
      <w:start w:val="1"/>
      <w:numFmt w:val="none"/>
      <w:pStyle w:val="HeadingNoNumber3"/>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9DF3E4D"/>
    <w:multiLevelType w:val="hybridMultilevel"/>
    <w:tmpl w:val="7C02FE32"/>
    <w:lvl w:ilvl="0">
      <w:start w:val="1"/>
      <w:numFmt w:val="none"/>
      <w:pStyle w:val="HeadingNoNumber8"/>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4"/>
  </w:num>
  <w:num w:numId="4">
    <w:abstractNumId w:val="18"/>
  </w:num>
  <w:num w:numId="5">
    <w:abstractNumId w:val="7"/>
  </w:num>
  <w:num w:numId="6">
    <w:abstractNumId w:val="5"/>
  </w:num>
  <w:num w:numId="7">
    <w:abstractNumId w:val="3"/>
  </w:num>
  <w:num w:numId="8">
    <w:abstractNumId w:val="2"/>
  </w:num>
  <w:num w:numId="9">
    <w:abstractNumId w:val="1"/>
  </w:num>
  <w:num w:numId="10">
    <w:abstractNumId w:val="0"/>
  </w:num>
  <w:num w:numId="11">
    <w:abstractNumId w:val="18"/>
  </w:num>
  <w:num w:numId="12">
    <w:abstractNumId w:val="8"/>
  </w:num>
  <w:num w:numId="13">
    <w:abstractNumId w:val="22"/>
  </w:num>
  <w:num w:numId="14">
    <w:abstractNumId w:val="19"/>
  </w:num>
  <w:num w:numId="15">
    <w:abstractNumId w:val="26"/>
  </w:num>
  <w:num w:numId="16">
    <w:abstractNumId w:val="13"/>
  </w:num>
  <w:num w:numId="17">
    <w:abstractNumId w:val="23"/>
  </w:num>
  <w:num w:numId="18">
    <w:abstractNumId w:val="20"/>
  </w:num>
  <w:num w:numId="19">
    <w:abstractNumId w:val="17"/>
  </w:num>
  <w:num w:numId="20">
    <w:abstractNumId w:val="27"/>
  </w:num>
  <w:num w:numId="21">
    <w:abstractNumId w:val="11"/>
  </w:num>
  <w:num w:numId="22">
    <w:abstractNumId w:val="24"/>
  </w:num>
  <w:num w:numId="23">
    <w:abstractNumId w:val="10"/>
  </w:num>
  <w:num w:numId="24">
    <w:abstractNumId w:val="16"/>
  </w:num>
  <w:num w:numId="25">
    <w:abstractNumId w:val="25"/>
  </w:num>
  <w:num w:numId="26">
    <w:abstractNumId w:val="21"/>
  </w:num>
  <w:num w:numId="27">
    <w:abstractNumId w:val="15"/>
  </w:num>
  <w:num w:numId="28">
    <w:abstractNumId w:val="1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efaultTabStop w:val="425"/>
  <w:autoHyphenation/>
  <w:hyphenationZone w:val="851"/>
  <w:doNotHyphenateCaps/>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050128"/>
    <w:rsid w:val="00000209"/>
    <w:rsid w:val="00001B00"/>
    <w:rsid w:val="00001BEB"/>
    <w:rsid w:val="00001D23"/>
    <w:rsid w:val="00002E0A"/>
    <w:rsid w:val="000046A8"/>
    <w:rsid w:val="00005046"/>
    <w:rsid w:val="0001078B"/>
    <w:rsid w:val="000204F5"/>
    <w:rsid w:val="0002337D"/>
    <w:rsid w:val="000233DF"/>
    <w:rsid w:val="00033705"/>
    <w:rsid w:val="0003558F"/>
    <w:rsid w:val="000419B7"/>
    <w:rsid w:val="00043E41"/>
    <w:rsid w:val="000454F0"/>
    <w:rsid w:val="00050128"/>
    <w:rsid w:val="000508BA"/>
    <w:rsid w:val="000544EA"/>
    <w:rsid w:val="00055B03"/>
    <w:rsid w:val="00057272"/>
    <w:rsid w:val="000645B8"/>
    <w:rsid w:val="000654F9"/>
    <w:rsid w:val="00065BC7"/>
    <w:rsid w:val="00066B8F"/>
    <w:rsid w:val="00066E24"/>
    <w:rsid w:val="00066FFA"/>
    <w:rsid w:val="000670C4"/>
    <w:rsid w:val="0007018B"/>
    <w:rsid w:val="00072516"/>
    <w:rsid w:val="0007422E"/>
    <w:rsid w:val="00080A35"/>
    <w:rsid w:val="00086E24"/>
    <w:rsid w:val="00090FAF"/>
    <w:rsid w:val="00091B4E"/>
    <w:rsid w:val="00091D1E"/>
    <w:rsid w:val="00094F6F"/>
    <w:rsid w:val="000A05CF"/>
    <w:rsid w:val="000A1013"/>
    <w:rsid w:val="000A2A95"/>
    <w:rsid w:val="000A454E"/>
    <w:rsid w:val="000A6C96"/>
    <w:rsid w:val="000B04FF"/>
    <w:rsid w:val="000B7AC8"/>
    <w:rsid w:val="000C0899"/>
    <w:rsid w:val="000C0D71"/>
    <w:rsid w:val="000D0BF2"/>
    <w:rsid w:val="000D3F18"/>
    <w:rsid w:val="000D6E90"/>
    <w:rsid w:val="000E0D9C"/>
    <w:rsid w:val="000E2CDD"/>
    <w:rsid w:val="000E36AA"/>
    <w:rsid w:val="000E3EC7"/>
    <w:rsid w:val="000E7C98"/>
    <w:rsid w:val="000F111D"/>
    <w:rsid w:val="000F117B"/>
    <w:rsid w:val="000F4ACF"/>
    <w:rsid w:val="000F6EFE"/>
    <w:rsid w:val="000F7E9F"/>
    <w:rsid w:val="000F7F08"/>
    <w:rsid w:val="001017AF"/>
    <w:rsid w:val="0010347B"/>
    <w:rsid w:val="00104534"/>
    <w:rsid w:val="001058BB"/>
    <w:rsid w:val="001071C6"/>
    <w:rsid w:val="00110ABD"/>
    <w:rsid w:val="00110B6F"/>
    <w:rsid w:val="00111367"/>
    <w:rsid w:val="00113965"/>
    <w:rsid w:val="0011416C"/>
    <w:rsid w:val="001145DC"/>
    <w:rsid w:val="00115753"/>
    <w:rsid w:val="0011592C"/>
    <w:rsid w:val="001160A7"/>
    <w:rsid w:val="0012194D"/>
    <w:rsid w:val="001229AD"/>
    <w:rsid w:val="00124710"/>
    <w:rsid w:val="001260C4"/>
    <w:rsid w:val="00127957"/>
    <w:rsid w:val="001317AD"/>
    <w:rsid w:val="00132640"/>
    <w:rsid w:val="001366FB"/>
    <w:rsid w:val="00137275"/>
    <w:rsid w:val="00140525"/>
    <w:rsid w:val="00141058"/>
    <w:rsid w:val="00142533"/>
    <w:rsid w:val="00143610"/>
    <w:rsid w:val="00144F56"/>
    <w:rsid w:val="00150662"/>
    <w:rsid w:val="001509FB"/>
    <w:rsid w:val="001527E6"/>
    <w:rsid w:val="001543D4"/>
    <w:rsid w:val="00157D25"/>
    <w:rsid w:val="00163B02"/>
    <w:rsid w:val="0016431A"/>
    <w:rsid w:val="0016590D"/>
    <w:rsid w:val="001678DC"/>
    <w:rsid w:val="00170AED"/>
    <w:rsid w:val="00171B39"/>
    <w:rsid w:val="001723E5"/>
    <w:rsid w:val="00173B34"/>
    <w:rsid w:val="00174854"/>
    <w:rsid w:val="0017487B"/>
    <w:rsid w:val="00174E61"/>
    <w:rsid w:val="00175525"/>
    <w:rsid w:val="00175798"/>
    <w:rsid w:val="001806D6"/>
    <w:rsid w:val="0018135D"/>
    <w:rsid w:val="00181CF9"/>
    <w:rsid w:val="00182C3B"/>
    <w:rsid w:val="00183C79"/>
    <w:rsid w:val="00184DBB"/>
    <w:rsid w:val="00193E82"/>
    <w:rsid w:val="001955AB"/>
    <w:rsid w:val="001961CC"/>
    <w:rsid w:val="0019720B"/>
    <w:rsid w:val="001A28BC"/>
    <w:rsid w:val="001A4C17"/>
    <w:rsid w:val="001A79C3"/>
    <w:rsid w:val="001A7FC5"/>
    <w:rsid w:val="001B00C1"/>
    <w:rsid w:val="001B0A98"/>
    <w:rsid w:val="001B2A91"/>
    <w:rsid w:val="001B36D7"/>
    <w:rsid w:val="001B724A"/>
    <w:rsid w:val="001C23C8"/>
    <w:rsid w:val="001C5FE1"/>
    <w:rsid w:val="001C62A0"/>
    <w:rsid w:val="001C65D9"/>
    <w:rsid w:val="001C6EF4"/>
    <w:rsid w:val="001D2E87"/>
    <w:rsid w:val="001D43A9"/>
    <w:rsid w:val="001D5C8D"/>
    <w:rsid w:val="001D6C53"/>
    <w:rsid w:val="001D7FFD"/>
    <w:rsid w:val="001E05B1"/>
    <w:rsid w:val="001E6240"/>
    <w:rsid w:val="001E6B02"/>
    <w:rsid w:val="001F2139"/>
    <w:rsid w:val="001F52EF"/>
    <w:rsid w:val="001F584C"/>
    <w:rsid w:val="00201570"/>
    <w:rsid w:val="002129DA"/>
    <w:rsid w:val="002149A4"/>
    <w:rsid w:val="00217C4E"/>
    <w:rsid w:val="002214F3"/>
    <w:rsid w:val="00223E4E"/>
    <w:rsid w:val="002268C1"/>
    <w:rsid w:val="002300BF"/>
    <w:rsid w:val="00234C46"/>
    <w:rsid w:val="002404C6"/>
    <w:rsid w:val="00245D14"/>
    <w:rsid w:val="00247AAF"/>
    <w:rsid w:val="00251627"/>
    <w:rsid w:val="00252158"/>
    <w:rsid w:val="002525EC"/>
    <w:rsid w:val="00255A9F"/>
    <w:rsid w:val="00255D76"/>
    <w:rsid w:val="00261BC5"/>
    <w:rsid w:val="002627FE"/>
    <w:rsid w:val="00262A25"/>
    <w:rsid w:val="002744D7"/>
    <w:rsid w:val="00274D9A"/>
    <w:rsid w:val="00276F17"/>
    <w:rsid w:val="00280F59"/>
    <w:rsid w:val="00283361"/>
    <w:rsid w:val="00283828"/>
    <w:rsid w:val="0028732B"/>
    <w:rsid w:val="002931F3"/>
    <w:rsid w:val="0029322D"/>
    <w:rsid w:val="00294076"/>
    <w:rsid w:val="00295C15"/>
    <w:rsid w:val="00295F22"/>
    <w:rsid w:val="002968DF"/>
    <w:rsid w:val="002A6005"/>
    <w:rsid w:val="002A61ED"/>
    <w:rsid w:val="002B3647"/>
    <w:rsid w:val="002B3D65"/>
    <w:rsid w:val="002B42CC"/>
    <w:rsid w:val="002B47C2"/>
    <w:rsid w:val="002B7EB8"/>
    <w:rsid w:val="002C0BBE"/>
    <w:rsid w:val="002C1F9F"/>
    <w:rsid w:val="002C47E1"/>
    <w:rsid w:val="002C505A"/>
    <w:rsid w:val="002C65D3"/>
    <w:rsid w:val="002D0539"/>
    <w:rsid w:val="002D4606"/>
    <w:rsid w:val="002D5CE0"/>
    <w:rsid w:val="002D603E"/>
    <w:rsid w:val="002E0DC8"/>
    <w:rsid w:val="002E3B49"/>
    <w:rsid w:val="002E44A8"/>
    <w:rsid w:val="002E4635"/>
    <w:rsid w:val="002E4F1D"/>
    <w:rsid w:val="002E5927"/>
    <w:rsid w:val="002E6148"/>
    <w:rsid w:val="002E721C"/>
    <w:rsid w:val="002F0F0B"/>
    <w:rsid w:val="002F1BFB"/>
    <w:rsid w:val="002F3F34"/>
    <w:rsid w:val="002F4AFE"/>
    <w:rsid w:val="002F53F7"/>
    <w:rsid w:val="002F7964"/>
    <w:rsid w:val="003013F7"/>
    <w:rsid w:val="0030461F"/>
    <w:rsid w:val="00304E86"/>
    <w:rsid w:val="00307ABD"/>
    <w:rsid w:val="00311661"/>
    <w:rsid w:val="003131DA"/>
    <w:rsid w:val="00313ECE"/>
    <w:rsid w:val="00315BAB"/>
    <w:rsid w:val="00315F85"/>
    <w:rsid w:val="003163E0"/>
    <w:rsid w:val="003233D1"/>
    <w:rsid w:val="003246C2"/>
    <w:rsid w:val="00325418"/>
    <w:rsid w:val="00331251"/>
    <w:rsid w:val="0033423B"/>
    <w:rsid w:val="00336C17"/>
    <w:rsid w:val="00336D39"/>
    <w:rsid w:val="00337637"/>
    <w:rsid w:val="00341E05"/>
    <w:rsid w:val="00342339"/>
    <w:rsid w:val="00342DF3"/>
    <w:rsid w:val="003473E1"/>
    <w:rsid w:val="00353D58"/>
    <w:rsid w:val="0035662A"/>
    <w:rsid w:val="00360EB0"/>
    <w:rsid w:val="0036455A"/>
    <w:rsid w:val="003723D8"/>
    <w:rsid w:val="0037587E"/>
    <w:rsid w:val="003800A3"/>
    <w:rsid w:val="003805A1"/>
    <w:rsid w:val="003809C0"/>
    <w:rsid w:val="00382DCE"/>
    <w:rsid w:val="0038341E"/>
    <w:rsid w:val="00383877"/>
    <w:rsid w:val="00384654"/>
    <w:rsid w:val="0038475E"/>
    <w:rsid w:val="0038499E"/>
    <w:rsid w:val="0038548C"/>
    <w:rsid w:val="003863A3"/>
    <w:rsid w:val="0039490C"/>
    <w:rsid w:val="00396038"/>
    <w:rsid w:val="0039659E"/>
    <w:rsid w:val="0039723D"/>
    <w:rsid w:val="003A2242"/>
    <w:rsid w:val="003A3315"/>
    <w:rsid w:val="003A4F4E"/>
    <w:rsid w:val="003A5493"/>
    <w:rsid w:val="003A764E"/>
    <w:rsid w:val="003B089A"/>
    <w:rsid w:val="003B15CC"/>
    <w:rsid w:val="003B27E3"/>
    <w:rsid w:val="003B38B8"/>
    <w:rsid w:val="003B3F93"/>
    <w:rsid w:val="003B6DEA"/>
    <w:rsid w:val="003C0C63"/>
    <w:rsid w:val="003C44CA"/>
    <w:rsid w:val="003D2E11"/>
    <w:rsid w:val="003D741B"/>
    <w:rsid w:val="003E0214"/>
    <w:rsid w:val="003E2B74"/>
    <w:rsid w:val="003E3179"/>
    <w:rsid w:val="003E6E4F"/>
    <w:rsid w:val="003E75E7"/>
    <w:rsid w:val="003F07D2"/>
    <w:rsid w:val="003F192F"/>
    <w:rsid w:val="003F2599"/>
    <w:rsid w:val="003F399D"/>
    <w:rsid w:val="003F6ABD"/>
    <w:rsid w:val="00401DFC"/>
    <w:rsid w:val="00403F84"/>
    <w:rsid w:val="004047B7"/>
    <w:rsid w:val="00406451"/>
    <w:rsid w:val="00413641"/>
    <w:rsid w:val="00413790"/>
    <w:rsid w:val="004147D7"/>
    <w:rsid w:val="00414FB9"/>
    <w:rsid w:val="004150DE"/>
    <w:rsid w:val="0042461F"/>
    <w:rsid w:val="004278BB"/>
    <w:rsid w:val="00433629"/>
    <w:rsid w:val="00435314"/>
    <w:rsid w:val="00435389"/>
    <w:rsid w:val="004356E2"/>
    <w:rsid w:val="00435964"/>
    <w:rsid w:val="00436359"/>
    <w:rsid w:val="00440138"/>
    <w:rsid w:val="00444FBC"/>
    <w:rsid w:val="00446E40"/>
    <w:rsid w:val="00447CAB"/>
    <w:rsid w:val="00453AEE"/>
    <w:rsid w:val="00454A1C"/>
    <w:rsid w:val="004569EB"/>
    <w:rsid w:val="00464EC4"/>
    <w:rsid w:val="004666A6"/>
    <w:rsid w:val="00470203"/>
    <w:rsid w:val="00471483"/>
    <w:rsid w:val="00483CB0"/>
    <w:rsid w:val="00484B4B"/>
    <w:rsid w:val="00497082"/>
    <w:rsid w:val="004A2AE3"/>
    <w:rsid w:val="004A3674"/>
    <w:rsid w:val="004B00D0"/>
    <w:rsid w:val="004C04D1"/>
    <w:rsid w:val="004C35D8"/>
    <w:rsid w:val="004C362F"/>
    <w:rsid w:val="004D1EFA"/>
    <w:rsid w:val="004D4F8E"/>
    <w:rsid w:val="004E2ECE"/>
    <w:rsid w:val="004E4E11"/>
    <w:rsid w:val="004F078A"/>
    <w:rsid w:val="004F1058"/>
    <w:rsid w:val="004F1F17"/>
    <w:rsid w:val="004F3131"/>
    <w:rsid w:val="004F5498"/>
    <w:rsid w:val="005004ED"/>
    <w:rsid w:val="00506140"/>
    <w:rsid w:val="00512839"/>
    <w:rsid w:val="0051458D"/>
    <w:rsid w:val="005171D8"/>
    <w:rsid w:val="005210DC"/>
    <w:rsid w:val="005211C5"/>
    <w:rsid w:val="0052272F"/>
    <w:rsid w:val="005244A6"/>
    <w:rsid w:val="005307D6"/>
    <w:rsid w:val="005332CE"/>
    <w:rsid w:val="005336C3"/>
    <w:rsid w:val="00533B4F"/>
    <w:rsid w:val="005345A1"/>
    <w:rsid w:val="005361F1"/>
    <w:rsid w:val="00536CF2"/>
    <w:rsid w:val="005402EB"/>
    <w:rsid w:val="00543905"/>
    <w:rsid w:val="00544DAF"/>
    <w:rsid w:val="005455F8"/>
    <w:rsid w:val="0054701B"/>
    <w:rsid w:val="00547738"/>
    <w:rsid w:val="005542E0"/>
    <w:rsid w:val="00557AC9"/>
    <w:rsid w:val="00562686"/>
    <w:rsid w:val="0056652A"/>
    <w:rsid w:val="00567121"/>
    <w:rsid w:val="005674DC"/>
    <w:rsid w:val="00570985"/>
    <w:rsid w:val="005737AC"/>
    <w:rsid w:val="005767AF"/>
    <w:rsid w:val="00577E0F"/>
    <w:rsid w:val="00585540"/>
    <w:rsid w:val="005874F5"/>
    <w:rsid w:val="00590CC0"/>
    <w:rsid w:val="00590F6C"/>
    <w:rsid w:val="00591EBA"/>
    <w:rsid w:val="0059393C"/>
    <w:rsid w:val="005A4011"/>
    <w:rsid w:val="005B1C43"/>
    <w:rsid w:val="005B3214"/>
    <w:rsid w:val="005B5336"/>
    <w:rsid w:val="005B5CFB"/>
    <w:rsid w:val="005B6625"/>
    <w:rsid w:val="005B6FC9"/>
    <w:rsid w:val="005C13E3"/>
    <w:rsid w:val="005C45B8"/>
    <w:rsid w:val="005D1F72"/>
    <w:rsid w:val="005D3BC9"/>
    <w:rsid w:val="005E22E5"/>
    <w:rsid w:val="005E6955"/>
    <w:rsid w:val="005F79AB"/>
    <w:rsid w:val="00600F35"/>
    <w:rsid w:val="00604064"/>
    <w:rsid w:val="00606037"/>
    <w:rsid w:val="006071BF"/>
    <w:rsid w:val="00611567"/>
    <w:rsid w:val="00611576"/>
    <w:rsid w:val="00612052"/>
    <w:rsid w:val="0062090C"/>
    <w:rsid w:val="006231F9"/>
    <w:rsid w:val="00626B02"/>
    <w:rsid w:val="00626B93"/>
    <w:rsid w:val="006276ED"/>
    <w:rsid w:val="0063469E"/>
    <w:rsid w:val="006350D0"/>
    <w:rsid w:val="00642F01"/>
    <w:rsid w:val="00646C6C"/>
    <w:rsid w:val="006476F9"/>
    <w:rsid w:val="0065209A"/>
    <w:rsid w:val="00654624"/>
    <w:rsid w:val="006567CF"/>
    <w:rsid w:val="006567F2"/>
    <w:rsid w:val="006630EA"/>
    <w:rsid w:val="00663973"/>
    <w:rsid w:val="00663ACE"/>
    <w:rsid w:val="006660E7"/>
    <w:rsid w:val="006723BF"/>
    <w:rsid w:val="006726B8"/>
    <w:rsid w:val="00673363"/>
    <w:rsid w:val="006742A7"/>
    <w:rsid w:val="00682CF2"/>
    <w:rsid w:val="00682DAF"/>
    <w:rsid w:val="00684401"/>
    <w:rsid w:val="00684959"/>
    <w:rsid w:val="00687EB7"/>
    <w:rsid w:val="0069373C"/>
    <w:rsid w:val="00695063"/>
    <w:rsid w:val="0069512D"/>
    <w:rsid w:val="0069556C"/>
    <w:rsid w:val="00695A7E"/>
    <w:rsid w:val="006A1E4D"/>
    <w:rsid w:val="006A307B"/>
    <w:rsid w:val="006A369B"/>
    <w:rsid w:val="006A38C3"/>
    <w:rsid w:val="006A4E4B"/>
    <w:rsid w:val="006A7C6C"/>
    <w:rsid w:val="006B0C7A"/>
    <w:rsid w:val="006B318E"/>
    <w:rsid w:val="006B7C59"/>
    <w:rsid w:val="006C3142"/>
    <w:rsid w:val="006C6F7F"/>
    <w:rsid w:val="006C7333"/>
    <w:rsid w:val="006D1008"/>
    <w:rsid w:val="006D2573"/>
    <w:rsid w:val="006D4331"/>
    <w:rsid w:val="006D7DA0"/>
    <w:rsid w:val="006E32AC"/>
    <w:rsid w:val="006E5C45"/>
    <w:rsid w:val="006E60B5"/>
    <w:rsid w:val="006E6C9F"/>
    <w:rsid w:val="006E6F99"/>
    <w:rsid w:val="006E6FE9"/>
    <w:rsid w:val="006E70A1"/>
    <w:rsid w:val="006E7C54"/>
    <w:rsid w:val="006F0203"/>
    <w:rsid w:val="00700412"/>
    <w:rsid w:val="0070309A"/>
    <w:rsid w:val="00704094"/>
    <w:rsid w:val="007043D3"/>
    <w:rsid w:val="00704D53"/>
    <w:rsid w:val="00712264"/>
    <w:rsid w:val="007128BF"/>
    <w:rsid w:val="00712FB5"/>
    <w:rsid w:val="00717657"/>
    <w:rsid w:val="00717738"/>
    <w:rsid w:val="00724FDC"/>
    <w:rsid w:val="00725AD9"/>
    <w:rsid w:val="00727CC1"/>
    <w:rsid w:val="00727E5C"/>
    <w:rsid w:val="007312BD"/>
    <w:rsid w:val="007328EF"/>
    <w:rsid w:val="007330D7"/>
    <w:rsid w:val="007358B3"/>
    <w:rsid w:val="00737280"/>
    <w:rsid w:val="00741BFF"/>
    <w:rsid w:val="00742F8D"/>
    <w:rsid w:val="00743313"/>
    <w:rsid w:val="00743FD1"/>
    <w:rsid w:val="00744125"/>
    <w:rsid w:val="0074688A"/>
    <w:rsid w:val="00746970"/>
    <w:rsid w:val="007479A0"/>
    <w:rsid w:val="00747E45"/>
    <w:rsid w:val="007615AF"/>
    <w:rsid w:val="00761CBB"/>
    <w:rsid w:val="007666AC"/>
    <w:rsid w:val="0076698C"/>
    <w:rsid w:val="00772A9A"/>
    <w:rsid w:val="00775451"/>
    <w:rsid w:val="00777B32"/>
    <w:rsid w:val="00782BD9"/>
    <w:rsid w:val="00783F90"/>
    <w:rsid w:val="0078470F"/>
    <w:rsid w:val="007863F4"/>
    <w:rsid w:val="0078679D"/>
    <w:rsid w:val="007872B3"/>
    <w:rsid w:val="00790FCC"/>
    <w:rsid w:val="00792BB5"/>
    <w:rsid w:val="00792BC2"/>
    <w:rsid w:val="00792E51"/>
    <w:rsid w:val="00793251"/>
    <w:rsid w:val="007A23E3"/>
    <w:rsid w:val="007A65E4"/>
    <w:rsid w:val="007B160B"/>
    <w:rsid w:val="007B4AD0"/>
    <w:rsid w:val="007C3652"/>
    <w:rsid w:val="007C46F3"/>
    <w:rsid w:val="007C5934"/>
    <w:rsid w:val="007D3959"/>
    <w:rsid w:val="007D70AB"/>
    <w:rsid w:val="007E020B"/>
    <w:rsid w:val="007E09B4"/>
    <w:rsid w:val="007E50E9"/>
    <w:rsid w:val="007E6B2D"/>
    <w:rsid w:val="007E7F93"/>
    <w:rsid w:val="007F0DC2"/>
    <w:rsid w:val="007F1515"/>
    <w:rsid w:val="007F4B61"/>
    <w:rsid w:val="007F4D8F"/>
    <w:rsid w:val="007F69D6"/>
    <w:rsid w:val="008051EE"/>
    <w:rsid w:val="008112A2"/>
    <w:rsid w:val="008113BA"/>
    <w:rsid w:val="0081540D"/>
    <w:rsid w:val="0081762F"/>
    <w:rsid w:val="008256BE"/>
    <w:rsid w:val="0082671B"/>
    <w:rsid w:val="00826E34"/>
    <w:rsid w:val="00830B73"/>
    <w:rsid w:val="00831B5A"/>
    <w:rsid w:val="00831DF9"/>
    <w:rsid w:val="00832473"/>
    <w:rsid w:val="00832DBB"/>
    <w:rsid w:val="00833F73"/>
    <w:rsid w:val="00835CD9"/>
    <w:rsid w:val="0084078F"/>
    <w:rsid w:val="008408FA"/>
    <w:rsid w:val="008432BE"/>
    <w:rsid w:val="0084340D"/>
    <w:rsid w:val="00846C9F"/>
    <w:rsid w:val="00846FDA"/>
    <w:rsid w:val="0084727C"/>
    <w:rsid w:val="00853FD9"/>
    <w:rsid w:val="008544E6"/>
    <w:rsid w:val="0085569D"/>
    <w:rsid w:val="00855748"/>
    <w:rsid w:val="00857C22"/>
    <w:rsid w:val="00857DB4"/>
    <w:rsid w:val="00857DD5"/>
    <w:rsid w:val="00860D4C"/>
    <w:rsid w:val="00861309"/>
    <w:rsid w:val="00864B26"/>
    <w:rsid w:val="00871994"/>
    <w:rsid w:val="00871C00"/>
    <w:rsid w:val="008722C4"/>
    <w:rsid w:val="008729D9"/>
    <w:rsid w:val="00876B68"/>
    <w:rsid w:val="008824FE"/>
    <w:rsid w:val="00886B30"/>
    <w:rsid w:val="008950B1"/>
    <w:rsid w:val="00897606"/>
    <w:rsid w:val="0089766A"/>
    <w:rsid w:val="008979C7"/>
    <w:rsid w:val="008A1E46"/>
    <w:rsid w:val="008A1E7D"/>
    <w:rsid w:val="008A4A67"/>
    <w:rsid w:val="008A5507"/>
    <w:rsid w:val="008B0793"/>
    <w:rsid w:val="008B233B"/>
    <w:rsid w:val="008C0C19"/>
    <w:rsid w:val="008C1056"/>
    <w:rsid w:val="008C206F"/>
    <w:rsid w:val="008C2A15"/>
    <w:rsid w:val="008C3E87"/>
    <w:rsid w:val="008C4755"/>
    <w:rsid w:val="008C51C1"/>
    <w:rsid w:val="008C7890"/>
    <w:rsid w:val="008D0CC2"/>
    <w:rsid w:val="008D169A"/>
    <w:rsid w:val="008D19F5"/>
    <w:rsid w:val="008D33B9"/>
    <w:rsid w:val="008D4390"/>
    <w:rsid w:val="008D4681"/>
    <w:rsid w:val="008E0354"/>
    <w:rsid w:val="008E148E"/>
    <w:rsid w:val="008E3462"/>
    <w:rsid w:val="008E3849"/>
    <w:rsid w:val="008E4898"/>
    <w:rsid w:val="008E6255"/>
    <w:rsid w:val="008E6EE0"/>
    <w:rsid w:val="008F200F"/>
    <w:rsid w:val="008F2F3A"/>
    <w:rsid w:val="008F34FF"/>
    <w:rsid w:val="008F5A74"/>
    <w:rsid w:val="008F6362"/>
    <w:rsid w:val="008F79C0"/>
    <w:rsid w:val="0090565C"/>
    <w:rsid w:val="00906474"/>
    <w:rsid w:val="00912660"/>
    <w:rsid w:val="00912A0D"/>
    <w:rsid w:val="00913285"/>
    <w:rsid w:val="0091705B"/>
    <w:rsid w:val="009171BB"/>
    <w:rsid w:val="00922BBF"/>
    <w:rsid w:val="009261C0"/>
    <w:rsid w:val="00927950"/>
    <w:rsid w:val="00930609"/>
    <w:rsid w:val="00930EFB"/>
    <w:rsid w:val="00932261"/>
    <w:rsid w:val="00934936"/>
    <w:rsid w:val="009414C2"/>
    <w:rsid w:val="00944637"/>
    <w:rsid w:val="009447DF"/>
    <w:rsid w:val="00945869"/>
    <w:rsid w:val="009462BF"/>
    <w:rsid w:val="009501BE"/>
    <w:rsid w:val="009509C1"/>
    <w:rsid w:val="009532AC"/>
    <w:rsid w:val="00954F59"/>
    <w:rsid w:val="0095681A"/>
    <w:rsid w:val="00957F0C"/>
    <w:rsid w:val="009601B5"/>
    <w:rsid w:val="00971C03"/>
    <w:rsid w:val="00971EBD"/>
    <w:rsid w:val="009721E5"/>
    <w:rsid w:val="00972512"/>
    <w:rsid w:val="00972884"/>
    <w:rsid w:val="00980197"/>
    <w:rsid w:val="00981D6D"/>
    <w:rsid w:val="0098230B"/>
    <w:rsid w:val="00984D50"/>
    <w:rsid w:val="00986057"/>
    <w:rsid w:val="00986C01"/>
    <w:rsid w:val="009879A7"/>
    <w:rsid w:val="00990A8A"/>
    <w:rsid w:val="00991AF3"/>
    <w:rsid w:val="009943C1"/>
    <w:rsid w:val="00995589"/>
    <w:rsid w:val="009A0083"/>
    <w:rsid w:val="009A1F84"/>
    <w:rsid w:val="009A3F80"/>
    <w:rsid w:val="009B3F58"/>
    <w:rsid w:val="009C0516"/>
    <w:rsid w:val="009C3C39"/>
    <w:rsid w:val="009C4CBC"/>
    <w:rsid w:val="009C6EC4"/>
    <w:rsid w:val="009D2EE7"/>
    <w:rsid w:val="009D448F"/>
    <w:rsid w:val="009D46CF"/>
    <w:rsid w:val="009D521F"/>
    <w:rsid w:val="009D7A15"/>
    <w:rsid w:val="009E4395"/>
    <w:rsid w:val="009E6585"/>
    <w:rsid w:val="009F0284"/>
    <w:rsid w:val="009F4E59"/>
    <w:rsid w:val="009F53F0"/>
    <w:rsid w:val="009F6209"/>
    <w:rsid w:val="009F6707"/>
    <w:rsid w:val="009F793A"/>
    <w:rsid w:val="00A03634"/>
    <w:rsid w:val="00A03B11"/>
    <w:rsid w:val="00A04584"/>
    <w:rsid w:val="00A0791D"/>
    <w:rsid w:val="00A1019F"/>
    <w:rsid w:val="00A108A0"/>
    <w:rsid w:val="00A12E51"/>
    <w:rsid w:val="00A1637C"/>
    <w:rsid w:val="00A1696D"/>
    <w:rsid w:val="00A206DC"/>
    <w:rsid w:val="00A20BD4"/>
    <w:rsid w:val="00A212EA"/>
    <w:rsid w:val="00A23D0A"/>
    <w:rsid w:val="00A26190"/>
    <w:rsid w:val="00A27DEB"/>
    <w:rsid w:val="00A36567"/>
    <w:rsid w:val="00A50771"/>
    <w:rsid w:val="00A5236E"/>
    <w:rsid w:val="00A52A58"/>
    <w:rsid w:val="00A5404D"/>
    <w:rsid w:val="00A5709A"/>
    <w:rsid w:val="00A608C2"/>
    <w:rsid w:val="00A63320"/>
    <w:rsid w:val="00A6452A"/>
    <w:rsid w:val="00A7245E"/>
    <w:rsid w:val="00A73A5E"/>
    <w:rsid w:val="00A750E3"/>
    <w:rsid w:val="00A77E23"/>
    <w:rsid w:val="00A80E0F"/>
    <w:rsid w:val="00A818BA"/>
    <w:rsid w:val="00A83142"/>
    <w:rsid w:val="00A83357"/>
    <w:rsid w:val="00A84CDB"/>
    <w:rsid w:val="00A869A7"/>
    <w:rsid w:val="00A907D6"/>
    <w:rsid w:val="00A915B0"/>
    <w:rsid w:val="00A9161F"/>
    <w:rsid w:val="00A9177C"/>
    <w:rsid w:val="00A97268"/>
    <w:rsid w:val="00A97CA8"/>
    <w:rsid w:val="00AA10D5"/>
    <w:rsid w:val="00AA1246"/>
    <w:rsid w:val="00AA197F"/>
    <w:rsid w:val="00AA1F2D"/>
    <w:rsid w:val="00AA2E41"/>
    <w:rsid w:val="00AA2E9A"/>
    <w:rsid w:val="00AA33B6"/>
    <w:rsid w:val="00AA4912"/>
    <w:rsid w:val="00AA6132"/>
    <w:rsid w:val="00AB20DB"/>
    <w:rsid w:val="00AC1227"/>
    <w:rsid w:val="00AC339F"/>
    <w:rsid w:val="00AC3C92"/>
    <w:rsid w:val="00AC3F75"/>
    <w:rsid w:val="00AC70BB"/>
    <w:rsid w:val="00AC75D9"/>
    <w:rsid w:val="00AC7C33"/>
    <w:rsid w:val="00AD2B2C"/>
    <w:rsid w:val="00AD3854"/>
    <w:rsid w:val="00AE13A5"/>
    <w:rsid w:val="00AF1524"/>
    <w:rsid w:val="00AF2174"/>
    <w:rsid w:val="00AF2445"/>
    <w:rsid w:val="00AF3B88"/>
    <w:rsid w:val="00AF5188"/>
    <w:rsid w:val="00B03206"/>
    <w:rsid w:val="00B035B3"/>
    <w:rsid w:val="00B1186C"/>
    <w:rsid w:val="00B146A1"/>
    <w:rsid w:val="00B163EB"/>
    <w:rsid w:val="00B17464"/>
    <w:rsid w:val="00B17E45"/>
    <w:rsid w:val="00B201E7"/>
    <w:rsid w:val="00B27E5D"/>
    <w:rsid w:val="00B32C98"/>
    <w:rsid w:val="00B32E19"/>
    <w:rsid w:val="00B41116"/>
    <w:rsid w:val="00B41383"/>
    <w:rsid w:val="00B43F07"/>
    <w:rsid w:val="00B44824"/>
    <w:rsid w:val="00B4640B"/>
    <w:rsid w:val="00B53679"/>
    <w:rsid w:val="00B55435"/>
    <w:rsid w:val="00B56359"/>
    <w:rsid w:val="00B578A6"/>
    <w:rsid w:val="00B61D9F"/>
    <w:rsid w:val="00B620F0"/>
    <w:rsid w:val="00B63D06"/>
    <w:rsid w:val="00B704D9"/>
    <w:rsid w:val="00B71A11"/>
    <w:rsid w:val="00B73B6B"/>
    <w:rsid w:val="00B73F15"/>
    <w:rsid w:val="00B80879"/>
    <w:rsid w:val="00B90070"/>
    <w:rsid w:val="00B90350"/>
    <w:rsid w:val="00B90A1C"/>
    <w:rsid w:val="00B933DC"/>
    <w:rsid w:val="00B94397"/>
    <w:rsid w:val="00B97B28"/>
    <w:rsid w:val="00BA5C26"/>
    <w:rsid w:val="00BB3D50"/>
    <w:rsid w:val="00BC0E81"/>
    <w:rsid w:val="00BC40A4"/>
    <w:rsid w:val="00BC7723"/>
    <w:rsid w:val="00BD0332"/>
    <w:rsid w:val="00BD3E7C"/>
    <w:rsid w:val="00BD6B46"/>
    <w:rsid w:val="00BE3275"/>
    <w:rsid w:val="00BE4735"/>
    <w:rsid w:val="00BE4D0F"/>
    <w:rsid w:val="00BE537D"/>
    <w:rsid w:val="00BE585C"/>
    <w:rsid w:val="00BE6A78"/>
    <w:rsid w:val="00BE78BB"/>
    <w:rsid w:val="00BF3361"/>
    <w:rsid w:val="00BF5A9D"/>
    <w:rsid w:val="00BF6671"/>
    <w:rsid w:val="00C00430"/>
    <w:rsid w:val="00C0436B"/>
    <w:rsid w:val="00C04489"/>
    <w:rsid w:val="00C04A84"/>
    <w:rsid w:val="00C068E1"/>
    <w:rsid w:val="00C07C50"/>
    <w:rsid w:val="00C10F64"/>
    <w:rsid w:val="00C163ED"/>
    <w:rsid w:val="00C21D73"/>
    <w:rsid w:val="00C24FCE"/>
    <w:rsid w:val="00C25349"/>
    <w:rsid w:val="00C266D7"/>
    <w:rsid w:val="00C275BE"/>
    <w:rsid w:val="00C32C2C"/>
    <w:rsid w:val="00C33476"/>
    <w:rsid w:val="00C339AA"/>
    <w:rsid w:val="00C42D72"/>
    <w:rsid w:val="00C46D7C"/>
    <w:rsid w:val="00C47F13"/>
    <w:rsid w:val="00C52287"/>
    <w:rsid w:val="00C529E2"/>
    <w:rsid w:val="00C532FA"/>
    <w:rsid w:val="00C5529F"/>
    <w:rsid w:val="00C55692"/>
    <w:rsid w:val="00C56A15"/>
    <w:rsid w:val="00C6141F"/>
    <w:rsid w:val="00C643AF"/>
    <w:rsid w:val="00C66359"/>
    <w:rsid w:val="00C66C0C"/>
    <w:rsid w:val="00C72DC8"/>
    <w:rsid w:val="00C779E9"/>
    <w:rsid w:val="00C828A8"/>
    <w:rsid w:val="00C85C9D"/>
    <w:rsid w:val="00C9058D"/>
    <w:rsid w:val="00C93007"/>
    <w:rsid w:val="00C93BA6"/>
    <w:rsid w:val="00C93EE1"/>
    <w:rsid w:val="00C951E3"/>
    <w:rsid w:val="00CA276C"/>
    <w:rsid w:val="00CA3D88"/>
    <w:rsid w:val="00CA4714"/>
    <w:rsid w:val="00CA5573"/>
    <w:rsid w:val="00CA6954"/>
    <w:rsid w:val="00CB0220"/>
    <w:rsid w:val="00CB1440"/>
    <w:rsid w:val="00CB3494"/>
    <w:rsid w:val="00CB54BE"/>
    <w:rsid w:val="00CB584A"/>
    <w:rsid w:val="00CC0621"/>
    <w:rsid w:val="00CC0769"/>
    <w:rsid w:val="00CC0DFF"/>
    <w:rsid w:val="00CC12E6"/>
    <w:rsid w:val="00CC421D"/>
    <w:rsid w:val="00CD0A69"/>
    <w:rsid w:val="00CD7CA8"/>
    <w:rsid w:val="00CE07E9"/>
    <w:rsid w:val="00CE1CE1"/>
    <w:rsid w:val="00CE2CC7"/>
    <w:rsid w:val="00CE343A"/>
    <w:rsid w:val="00CF5D98"/>
    <w:rsid w:val="00D014C7"/>
    <w:rsid w:val="00D025CA"/>
    <w:rsid w:val="00D04327"/>
    <w:rsid w:val="00D06B84"/>
    <w:rsid w:val="00D10E00"/>
    <w:rsid w:val="00D11946"/>
    <w:rsid w:val="00D12C92"/>
    <w:rsid w:val="00D154A8"/>
    <w:rsid w:val="00D2125C"/>
    <w:rsid w:val="00D32131"/>
    <w:rsid w:val="00D40BA2"/>
    <w:rsid w:val="00D42B1D"/>
    <w:rsid w:val="00D467D5"/>
    <w:rsid w:val="00D473CA"/>
    <w:rsid w:val="00D47BBC"/>
    <w:rsid w:val="00D5024A"/>
    <w:rsid w:val="00D523FC"/>
    <w:rsid w:val="00D53737"/>
    <w:rsid w:val="00D54ED9"/>
    <w:rsid w:val="00D570BE"/>
    <w:rsid w:val="00D649F5"/>
    <w:rsid w:val="00D64E21"/>
    <w:rsid w:val="00D71FDB"/>
    <w:rsid w:val="00D7401F"/>
    <w:rsid w:val="00D7757F"/>
    <w:rsid w:val="00D80461"/>
    <w:rsid w:val="00D804F4"/>
    <w:rsid w:val="00D83796"/>
    <w:rsid w:val="00D85AEE"/>
    <w:rsid w:val="00D91729"/>
    <w:rsid w:val="00D91C2D"/>
    <w:rsid w:val="00D92DEE"/>
    <w:rsid w:val="00D94066"/>
    <w:rsid w:val="00D9632D"/>
    <w:rsid w:val="00DA0ACD"/>
    <w:rsid w:val="00DA126E"/>
    <w:rsid w:val="00DA165B"/>
    <w:rsid w:val="00DA1C87"/>
    <w:rsid w:val="00DA2F20"/>
    <w:rsid w:val="00DA4124"/>
    <w:rsid w:val="00DA5B2A"/>
    <w:rsid w:val="00DB307E"/>
    <w:rsid w:val="00DB734F"/>
    <w:rsid w:val="00DB742F"/>
    <w:rsid w:val="00DC04CD"/>
    <w:rsid w:val="00DC2AE0"/>
    <w:rsid w:val="00DC386D"/>
    <w:rsid w:val="00DD0CD7"/>
    <w:rsid w:val="00DD52A4"/>
    <w:rsid w:val="00DE09C1"/>
    <w:rsid w:val="00DF1F5C"/>
    <w:rsid w:val="00DF4530"/>
    <w:rsid w:val="00E02D33"/>
    <w:rsid w:val="00E060D3"/>
    <w:rsid w:val="00E06D2F"/>
    <w:rsid w:val="00E14D21"/>
    <w:rsid w:val="00E15790"/>
    <w:rsid w:val="00E202FD"/>
    <w:rsid w:val="00E21066"/>
    <w:rsid w:val="00E21D9C"/>
    <w:rsid w:val="00E23B16"/>
    <w:rsid w:val="00E261DB"/>
    <w:rsid w:val="00E26F3F"/>
    <w:rsid w:val="00E27C04"/>
    <w:rsid w:val="00E30295"/>
    <w:rsid w:val="00E30D9B"/>
    <w:rsid w:val="00E31AC6"/>
    <w:rsid w:val="00E31EB2"/>
    <w:rsid w:val="00E34052"/>
    <w:rsid w:val="00E349A6"/>
    <w:rsid w:val="00E35734"/>
    <w:rsid w:val="00E3677C"/>
    <w:rsid w:val="00E36FB1"/>
    <w:rsid w:val="00E37545"/>
    <w:rsid w:val="00E40480"/>
    <w:rsid w:val="00E443D7"/>
    <w:rsid w:val="00E5044E"/>
    <w:rsid w:val="00E51277"/>
    <w:rsid w:val="00E52B4F"/>
    <w:rsid w:val="00E53789"/>
    <w:rsid w:val="00E53987"/>
    <w:rsid w:val="00E551B2"/>
    <w:rsid w:val="00E55523"/>
    <w:rsid w:val="00E566DC"/>
    <w:rsid w:val="00E626DB"/>
    <w:rsid w:val="00E6472B"/>
    <w:rsid w:val="00E6475C"/>
    <w:rsid w:val="00E64D62"/>
    <w:rsid w:val="00E65016"/>
    <w:rsid w:val="00E6647D"/>
    <w:rsid w:val="00E67C26"/>
    <w:rsid w:val="00E70162"/>
    <w:rsid w:val="00E72885"/>
    <w:rsid w:val="00E72FD1"/>
    <w:rsid w:val="00E74B12"/>
    <w:rsid w:val="00E7682C"/>
    <w:rsid w:val="00E76862"/>
    <w:rsid w:val="00E769C5"/>
    <w:rsid w:val="00E77306"/>
    <w:rsid w:val="00E819D0"/>
    <w:rsid w:val="00E81A95"/>
    <w:rsid w:val="00E81DDF"/>
    <w:rsid w:val="00E827EF"/>
    <w:rsid w:val="00E837B6"/>
    <w:rsid w:val="00E85AFA"/>
    <w:rsid w:val="00E8764D"/>
    <w:rsid w:val="00E9081B"/>
    <w:rsid w:val="00E95685"/>
    <w:rsid w:val="00E95808"/>
    <w:rsid w:val="00E95E71"/>
    <w:rsid w:val="00EA0513"/>
    <w:rsid w:val="00EA116C"/>
    <w:rsid w:val="00EA5B7B"/>
    <w:rsid w:val="00EB23C8"/>
    <w:rsid w:val="00EB2E65"/>
    <w:rsid w:val="00EB43FA"/>
    <w:rsid w:val="00EB64EB"/>
    <w:rsid w:val="00EB6F8C"/>
    <w:rsid w:val="00EC20A6"/>
    <w:rsid w:val="00EC3E2A"/>
    <w:rsid w:val="00EC6F39"/>
    <w:rsid w:val="00EC78B9"/>
    <w:rsid w:val="00EC7967"/>
    <w:rsid w:val="00EC7B6B"/>
    <w:rsid w:val="00ED03C3"/>
    <w:rsid w:val="00ED140C"/>
    <w:rsid w:val="00ED67CA"/>
    <w:rsid w:val="00ED6F54"/>
    <w:rsid w:val="00EE28AA"/>
    <w:rsid w:val="00EE550F"/>
    <w:rsid w:val="00EE55A1"/>
    <w:rsid w:val="00EE5631"/>
    <w:rsid w:val="00EE66CD"/>
    <w:rsid w:val="00EE7B66"/>
    <w:rsid w:val="00EE7DD2"/>
    <w:rsid w:val="00EF2294"/>
    <w:rsid w:val="00EF287E"/>
    <w:rsid w:val="00EF383C"/>
    <w:rsid w:val="00EF4A9F"/>
    <w:rsid w:val="00EF54B6"/>
    <w:rsid w:val="00EF6E58"/>
    <w:rsid w:val="00EF7DF4"/>
    <w:rsid w:val="00F00873"/>
    <w:rsid w:val="00F01826"/>
    <w:rsid w:val="00F04C5D"/>
    <w:rsid w:val="00F06D25"/>
    <w:rsid w:val="00F134DF"/>
    <w:rsid w:val="00F15B3E"/>
    <w:rsid w:val="00F176E7"/>
    <w:rsid w:val="00F17C9D"/>
    <w:rsid w:val="00F20574"/>
    <w:rsid w:val="00F22690"/>
    <w:rsid w:val="00F23784"/>
    <w:rsid w:val="00F2384E"/>
    <w:rsid w:val="00F2759A"/>
    <w:rsid w:val="00F31A12"/>
    <w:rsid w:val="00F32ADA"/>
    <w:rsid w:val="00F33083"/>
    <w:rsid w:val="00F366FC"/>
    <w:rsid w:val="00F36E3E"/>
    <w:rsid w:val="00F40A6C"/>
    <w:rsid w:val="00F41790"/>
    <w:rsid w:val="00F46434"/>
    <w:rsid w:val="00F4664A"/>
    <w:rsid w:val="00F47EBC"/>
    <w:rsid w:val="00F52346"/>
    <w:rsid w:val="00F567E9"/>
    <w:rsid w:val="00F56F93"/>
    <w:rsid w:val="00F57D68"/>
    <w:rsid w:val="00F6321F"/>
    <w:rsid w:val="00F65A36"/>
    <w:rsid w:val="00F80595"/>
    <w:rsid w:val="00F805A7"/>
    <w:rsid w:val="00F80AA9"/>
    <w:rsid w:val="00F80C36"/>
    <w:rsid w:val="00F81177"/>
    <w:rsid w:val="00F859B7"/>
    <w:rsid w:val="00F9291A"/>
    <w:rsid w:val="00F93ACD"/>
    <w:rsid w:val="00F9546A"/>
    <w:rsid w:val="00F97B7D"/>
    <w:rsid w:val="00FA090F"/>
    <w:rsid w:val="00FA2840"/>
    <w:rsid w:val="00FA56C1"/>
    <w:rsid w:val="00FA62E8"/>
    <w:rsid w:val="00FA6960"/>
    <w:rsid w:val="00FA7A4F"/>
    <w:rsid w:val="00FB03BE"/>
    <w:rsid w:val="00FB1223"/>
    <w:rsid w:val="00FB12B0"/>
    <w:rsid w:val="00FB1540"/>
    <w:rsid w:val="00FB1843"/>
    <w:rsid w:val="00FB3BFF"/>
    <w:rsid w:val="00FB5B96"/>
    <w:rsid w:val="00FC2EC6"/>
    <w:rsid w:val="00FC3EEE"/>
    <w:rsid w:val="00FC66DC"/>
    <w:rsid w:val="00FC78A6"/>
    <w:rsid w:val="00FD26EA"/>
    <w:rsid w:val="00FD2D28"/>
    <w:rsid w:val="00FE05F8"/>
    <w:rsid w:val="00FE0AF0"/>
    <w:rsid w:val="00FE3417"/>
    <w:rsid w:val="00FE6753"/>
    <w:rsid w:val="00FE6857"/>
    <w:rsid w:val="00FE7A04"/>
    <w:rsid w:val="00FF142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A9D"/>
    <w:pPr>
      <w:overflowPunct w:val="0"/>
      <w:autoSpaceDE w:val="0"/>
      <w:autoSpaceDN w:val="0"/>
      <w:adjustRightInd w:val="0"/>
      <w:spacing w:before="60" w:after="240"/>
      <w:ind w:right="6"/>
      <w:jc w:val="both"/>
      <w:textAlignment w:val="baseline"/>
    </w:pPr>
    <w:rPr>
      <w:rFonts w:ascii="Arial" w:hAnsi="Arial" w:cs="Arial"/>
      <w:sz w:val="22"/>
      <w:szCs w:val="22"/>
      <w:lang w:val="en-US" w:eastAsia="en-US"/>
    </w:rPr>
  </w:style>
  <w:style w:type="paragraph" w:styleId="Heading1">
    <w:name w:val="heading 1"/>
    <w:basedOn w:val="Bodytext"/>
    <w:next w:val="Normal"/>
    <w:link w:val="Heading1Char"/>
    <w:qFormat/>
    <w:rsid w:val="000F111D"/>
    <w:pPr>
      <w:spacing w:before="60" w:after="60"/>
      <w:outlineLvl w:val="0"/>
    </w:pPr>
    <w:rPr>
      <w:rFonts w:ascii="Arial" w:hAnsi="Arial" w:cs="Arial"/>
      <w:b/>
    </w:rPr>
  </w:style>
  <w:style w:type="paragraph" w:styleId="Heading2">
    <w:name w:val="heading 2"/>
    <w:aliases w:val="Abbott 2"/>
    <w:basedOn w:val="Bodytext"/>
    <w:next w:val="Normal"/>
    <w:qFormat/>
    <w:rsid w:val="00BF5A9D"/>
    <w:pPr>
      <w:spacing w:after="60"/>
      <w:ind w:right="482"/>
      <w:jc w:val="both"/>
      <w:outlineLvl w:val="1"/>
    </w:pPr>
    <w:rPr>
      <w:rFonts w:ascii="Arial" w:hAnsi="Arial" w:cs="Arial"/>
      <w:b/>
      <w:caps/>
      <w:sz w:val="22"/>
      <w:szCs w:val="22"/>
    </w:rPr>
  </w:style>
  <w:style w:type="paragraph" w:styleId="Heading3">
    <w:name w:val="heading 3"/>
    <w:basedOn w:val="Bodytext"/>
    <w:next w:val="Normal"/>
    <w:link w:val="Heading3Char"/>
    <w:qFormat/>
    <w:rsid w:val="00E67C26"/>
    <w:pPr>
      <w:keepNext/>
      <w:spacing w:after="60"/>
      <w:ind w:right="6"/>
      <w:jc w:val="both"/>
      <w:outlineLvl w:val="2"/>
    </w:pPr>
    <w:rPr>
      <w:rFonts w:ascii="Arial" w:hAnsi="Arial" w:cs="Arial"/>
      <w:b/>
      <w:sz w:val="22"/>
      <w:szCs w:val="22"/>
    </w:rPr>
  </w:style>
  <w:style w:type="paragraph" w:styleId="Heading4">
    <w:name w:val="heading 4"/>
    <w:basedOn w:val="Normal"/>
    <w:next w:val="Normal"/>
    <w:qFormat/>
    <w:rsid w:val="005674DC"/>
    <w:pPr>
      <w:keepNext/>
      <w:numPr>
        <w:ilvl w:val="3"/>
        <w:numId w:val="11"/>
      </w:numPr>
      <w:spacing w:before="240" w:after="60"/>
      <w:outlineLvl w:val="3"/>
    </w:pPr>
    <w:rPr>
      <w:b/>
      <w:bCs/>
    </w:rPr>
  </w:style>
  <w:style w:type="paragraph" w:styleId="Heading5">
    <w:name w:val="heading 5"/>
    <w:basedOn w:val="Normal"/>
    <w:next w:val="Normal"/>
    <w:link w:val="Heading5Char"/>
    <w:qFormat/>
    <w:rsid w:val="005674DC"/>
    <w:pPr>
      <w:keepNext/>
      <w:numPr>
        <w:ilvl w:val="4"/>
        <w:numId w:val="11"/>
      </w:numPr>
      <w:spacing w:before="240" w:after="60"/>
      <w:outlineLvl w:val="4"/>
    </w:pPr>
    <w:rPr>
      <w:b/>
      <w:bCs/>
      <w:iCs/>
    </w:rPr>
  </w:style>
  <w:style w:type="paragraph" w:styleId="Heading6">
    <w:name w:val="heading 6"/>
    <w:basedOn w:val="Heading5"/>
    <w:next w:val="Normal"/>
    <w:qFormat/>
    <w:rsid w:val="00682CF2"/>
    <w:pPr>
      <w:outlineLvl w:val="5"/>
    </w:pPr>
    <w:rPr>
      <w:bCs w:val="0"/>
    </w:rPr>
  </w:style>
  <w:style w:type="paragraph" w:styleId="Heading7">
    <w:name w:val="heading 7"/>
    <w:basedOn w:val="Heading5"/>
    <w:next w:val="Normal"/>
    <w:qFormat/>
    <w:rsid w:val="00682CF2"/>
    <w:pPr>
      <w:outlineLvl w:val="6"/>
    </w:pPr>
    <w:rPr>
      <w:szCs w:val="24"/>
    </w:rPr>
  </w:style>
  <w:style w:type="paragraph" w:styleId="Heading8">
    <w:name w:val="heading 8"/>
    <w:basedOn w:val="Heading5"/>
    <w:next w:val="Normal"/>
    <w:qFormat/>
    <w:rsid w:val="00682CF2"/>
    <w:pPr>
      <w:outlineLvl w:val="7"/>
    </w:pPr>
    <w:rPr>
      <w:iCs w:val="0"/>
      <w:szCs w:val="24"/>
    </w:rPr>
  </w:style>
  <w:style w:type="paragraph" w:styleId="Heading9">
    <w:name w:val="heading 9"/>
    <w:basedOn w:val="Heading5"/>
    <w:next w:val="Normal"/>
    <w:qFormat/>
    <w:rsid w:val="00682CF2"/>
    <w:pPr>
      <w:outlineLvl w:val="8"/>
    </w:pPr>
  </w:style>
  <w:style w:type="character" w:default="1" w:styleId="DefaultParagraphFont">
    <w:name w:val="Default Paragraph Font"/>
    <w:aliases w:val=" Char2"/>
    <w:semiHidden/>
    <w:rsid w:val="00B73B6B"/>
  </w:style>
  <w:style w:type="table" w:default="1" w:styleId="TableNormal">
    <w:name w:val="Normal Table"/>
    <w:semiHidden/>
    <w:rsid w:val="00CE07E9"/>
    <w:tblPr>
      <w:tblInd w:w="0" w:type="dxa"/>
      <w:tblCellMar>
        <w:top w:w="0" w:type="dxa"/>
        <w:left w:w="108" w:type="dxa"/>
        <w:bottom w:w="0" w:type="dxa"/>
        <w:right w:w="108" w:type="dxa"/>
      </w:tblCellMar>
    </w:tblPr>
  </w:style>
  <w:style w:type="numbering" w:default="1" w:styleId="NoList">
    <w:name w:val="No List"/>
    <w:semiHidden/>
    <w:rsid w:val="00B73B6B"/>
  </w:style>
  <w:style w:type="paragraph" w:styleId="Header">
    <w:name w:val="header"/>
    <w:basedOn w:val="Normal"/>
    <w:semiHidden/>
    <w:rsid w:val="008B233B"/>
  </w:style>
  <w:style w:type="paragraph" w:styleId="Footer">
    <w:name w:val="footer"/>
    <w:basedOn w:val="Normal"/>
    <w:semiHidden/>
    <w:rsid w:val="008B233B"/>
    <w:rPr>
      <w:sz w:val="12"/>
      <w:szCs w:val="12"/>
    </w:rPr>
  </w:style>
  <w:style w:type="paragraph" w:styleId="Caption">
    <w:name w:val="caption"/>
    <w:basedOn w:val="Normal"/>
    <w:next w:val="Normal"/>
    <w:qFormat/>
    <w:rsid w:val="004D4F8E"/>
    <w:pPr>
      <w:spacing w:before="240" w:after="60"/>
    </w:pPr>
    <w:rPr>
      <w:bCs/>
    </w:rPr>
  </w:style>
  <w:style w:type="paragraph" w:styleId="Date">
    <w:name w:val="Date"/>
    <w:basedOn w:val="Normal"/>
    <w:next w:val="Normal"/>
    <w:semiHidden/>
    <w:rsid w:val="00A869A7"/>
  </w:style>
  <w:style w:type="character" w:styleId="FollowedHyperlink">
    <w:name w:val="FollowedHyperlink"/>
    <w:semiHidden/>
    <w:rsid w:val="005674DC"/>
    <w:rPr>
      <w:rFonts w:ascii="Times New Roman" w:hAnsi="Times New Roman"/>
      <w:dstrike w:val="0"/>
      <w:color w:val="800080"/>
      <w:sz w:val="24"/>
      <w:szCs w:val="20"/>
      <w:u w:val="single"/>
      <w:vertAlign w:val="baseline"/>
      <w:lang w:val="en-GB"/>
    </w:rPr>
  </w:style>
  <w:style w:type="character" w:styleId="Hyperlink">
    <w:name w:val="Hyperlink"/>
    <w:rsid w:val="0069512D"/>
    <w:rPr>
      <w:rFonts w:ascii="Times New Roman" w:hAnsi="Times New Roman"/>
      <w:color w:val="0000FF"/>
      <w:kern w:val="0"/>
      <w:sz w:val="24"/>
      <w:szCs w:val="20"/>
      <w:u w:val="single"/>
    </w:rPr>
  </w:style>
  <w:style w:type="paragraph" w:styleId="List">
    <w:name w:val="List"/>
    <w:basedOn w:val="Normal"/>
    <w:semiHidden/>
    <w:rsid w:val="00B73B6B"/>
    <w:pPr>
      <w:ind w:left="283" w:hanging="283"/>
    </w:pPr>
  </w:style>
  <w:style w:type="paragraph" w:styleId="List2">
    <w:name w:val="List 2"/>
    <w:basedOn w:val="Normal"/>
    <w:semiHidden/>
    <w:rsid w:val="00B73B6B"/>
    <w:pPr>
      <w:ind w:left="566" w:hanging="283"/>
    </w:pPr>
  </w:style>
  <w:style w:type="paragraph" w:styleId="List3">
    <w:name w:val="List 3"/>
    <w:basedOn w:val="Normal"/>
    <w:semiHidden/>
    <w:rsid w:val="00B73B6B"/>
    <w:pPr>
      <w:ind w:left="849" w:hanging="283"/>
    </w:pPr>
  </w:style>
  <w:style w:type="paragraph" w:styleId="List4">
    <w:name w:val="List 4"/>
    <w:basedOn w:val="Normal"/>
    <w:semiHidden/>
    <w:rsid w:val="00B73B6B"/>
    <w:pPr>
      <w:ind w:left="1132" w:hanging="283"/>
    </w:pPr>
  </w:style>
  <w:style w:type="paragraph" w:styleId="List5">
    <w:name w:val="List 5"/>
    <w:basedOn w:val="Normal"/>
    <w:semiHidden/>
    <w:rsid w:val="00B73B6B"/>
    <w:pPr>
      <w:ind w:left="1415" w:hanging="283"/>
    </w:pPr>
  </w:style>
  <w:style w:type="paragraph" w:styleId="ListBullet">
    <w:name w:val="List Bullet"/>
    <w:basedOn w:val="Normal"/>
    <w:rsid w:val="00986057"/>
    <w:pPr>
      <w:numPr>
        <w:numId w:val="1"/>
      </w:numPr>
    </w:pPr>
  </w:style>
  <w:style w:type="paragraph" w:styleId="ListBullet2">
    <w:name w:val="List Bullet 2"/>
    <w:basedOn w:val="Normal"/>
    <w:autoRedefine/>
    <w:semiHidden/>
    <w:rsid w:val="00EF383C"/>
    <w:pPr>
      <w:tabs>
        <w:tab w:val="num" w:pos="425"/>
      </w:tabs>
      <w:ind w:left="425" w:hanging="425"/>
    </w:pPr>
    <w:rPr>
      <w:lang w:val="da-DK"/>
    </w:rPr>
  </w:style>
  <w:style w:type="paragraph" w:styleId="ListBullet3">
    <w:name w:val="List Bullet 3"/>
    <w:basedOn w:val="Normal"/>
    <w:autoRedefine/>
    <w:semiHidden/>
    <w:rsid w:val="00EF383C"/>
    <w:pPr>
      <w:tabs>
        <w:tab w:val="num" w:pos="425"/>
      </w:tabs>
      <w:ind w:left="425" w:hanging="425"/>
    </w:pPr>
  </w:style>
  <w:style w:type="paragraph" w:styleId="ListBullet4">
    <w:name w:val="List Bullet 4"/>
    <w:basedOn w:val="Normal"/>
    <w:autoRedefine/>
    <w:semiHidden/>
    <w:rsid w:val="00EF383C"/>
    <w:pPr>
      <w:tabs>
        <w:tab w:val="num" w:pos="425"/>
      </w:tabs>
      <w:ind w:left="425" w:hanging="425"/>
    </w:pPr>
  </w:style>
  <w:style w:type="paragraph" w:styleId="ListBullet5">
    <w:name w:val="List Bullet 5"/>
    <w:basedOn w:val="Normal"/>
    <w:autoRedefine/>
    <w:semiHidden/>
    <w:rsid w:val="006E6FE9"/>
    <w:pPr>
      <w:tabs>
        <w:tab w:val="num" w:pos="425"/>
      </w:tabs>
      <w:ind w:left="425" w:hanging="425"/>
    </w:pPr>
  </w:style>
  <w:style w:type="paragraph" w:styleId="ListContinue">
    <w:name w:val="List Continue"/>
    <w:basedOn w:val="Normal"/>
    <w:semiHidden/>
    <w:rsid w:val="00A869A7"/>
    <w:pPr>
      <w:spacing w:after="120"/>
      <w:ind w:left="284"/>
    </w:pPr>
  </w:style>
  <w:style w:type="paragraph" w:styleId="ListContinue2">
    <w:name w:val="List Continue 2"/>
    <w:basedOn w:val="Normal"/>
    <w:semiHidden/>
    <w:rsid w:val="00B73B6B"/>
    <w:pPr>
      <w:spacing w:after="120"/>
      <w:ind w:left="566"/>
    </w:pPr>
  </w:style>
  <w:style w:type="paragraph" w:styleId="ListContinue3">
    <w:name w:val="List Continue 3"/>
    <w:basedOn w:val="Normal"/>
    <w:semiHidden/>
    <w:rsid w:val="00B73B6B"/>
    <w:pPr>
      <w:spacing w:after="120"/>
      <w:ind w:left="849"/>
    </w:pPr>
  </w:style>
  <w:style w:type="paragraph" w:styleId="ListContinue4">
    <w:name w:val="List Continue 4"/>
    <w:basedOn w:val="Normal"/>
    <w:semiHidden/>
    <w:rsid w:val="00B73B6B"/>
    <w:pPr>
      <w:spacing w:after="120"/>
      <w:ind w:left="1132"/>
    </w:pPr>
  </w:style>
  <w:style w:type="paragraph" w:styleId="ListContinue5">
    <w:name w:val="List Continue 5"/>
    <w:basedOn w:val="Normal"/>
    <w:semiHidden/>
    <w:rsid w:val="00B73B6B"/>
    <w:pPr>
      <w:spacing w:after="120"/>
      <w:ind w:left="1415"/>
    </w:pPr>
  </w:style>
  <w:style w:type="paragraph" w:styleId="ListNumber">
    <w:name w:val="List Number"/>
    <w:basedOn w:val="Normal"/>
    <w:rsid w:val="006A7C6C"/>
    <w:pPr>
      <w:numPr>
        <w:numId w:val="12"/>
      </w:numPr>
    </w:pPr>
  </w:style>
  <w:style w:type="paragraph" w:styleId="ListNumber2">
    <w:name w:val="List Number 2"/>
    <w:basedOn w:val="Normal"/>
    <w:semiHidden/>
    <w:rsid w:val="00BF3361"/>
    <w:pPr>
      <w:tabs>
        <w:tab w:val="num" w:pos="425"/>
      </w:tabs>
      <w:ind w:left="425" w:hanging="137"/>
    </w:pPr>
  </w:style>
  <w:style w:type="paragraph" w:styleId="ListNumber3">
    <w:name w:val="List Number 3"/>
    <w:basedOn w:val="Normal"/>
    <w:semiHidden/>
    <w:rsid w:val="00BF3361"/>
    <w:pPr>
      <w:tabs>
        <w:tab w:val="num" w:pos="425"/>
      </w:tabs>
      <w:ind w:left="425" w:hanging="137"/>
    </w:pPr>
  </w:style>
  <w:style w:type="paragraph" w:styleId="ListNumber4">
    <w:name w:val="List Number 4"/>
    <w:basedOn w:val="Normal"/>
    <w:semiHidden/>
    <w:rsid w:val="00BF3361"/>
    <w:pPr>
      <w:tabs>
        <w:tab w:val="num" w:pos="425"/>
      </w:tabs>
      <w:ind w:left="425" w:hanging="137"/>
    </w:pPr>
  </w:style>
  <w:style w:type="paragraph" w:styleId="ListNumber5">
    <w:name w:val="List Number 5"/>
    <w:basedOn w:val="Normal"/>
    <w:semiHidden/>
    <w:rsid w:val="00BF3361"/>
    <w:pPr>
      <w:tabs>
        <w:tab w:val="num" w:pos="425"/>
      </w:tabs>
      <w:ind w:left="425" w:hanging="137"/>
    </w:pPr>
  </w:style>
  <w:style w:type="paragraph" w:styleId="NormalIndent">
    <w:name w:val="Normal Indent"/>
    <w:basedOn w:val="Normal"/>
    <w:rsid w:val="003A3315"/>
    <w:pPr>
      <w:ind w:left="851"/>
    </w:pPr>
  </w:style>
  <w:style w:type="character" w:styleId="PageNumber">
    <w:name w:val="page number"/>
    <w:semiHidden/>
    <w:rsid w:val="0069512D"/>
    <w:rPr>
      <w:rFonts w:ascii="Times New Roman" w:hAnsi="Times New Roman"/>
      <w:dstrike w:val="0"/>
      <w:color w:val="auto"/>
      <w:spacing w:val="0"/>
      <w:kern w:val="0"/>
      <w:sz w:val="24"/>
      <w:szCs w:val="20"/>
      <w:u w:val="none"/>
      <w:vertAlign w:val="baseline"/>
      <w:lang w:val="en-GB"/>
    </w:rPr>
  </w:style>
  <w:style w:type="paragraph" w:customStyle="1" w:styleId="HeadingNoNumber1">
    <w:name w:val="Heading NoNumber 1"/>
    <w:basedOn w:val="Heading1"/>
    <w:next w:val="Normal"/>
    <w:link w:val="HeadingNoNumber1Char"/>
    <w:rsid w:val="00CA6954"/>
    <w:pPr>
      <w:numPr>
        <w:numId w:val="13"/>
      </w:numPr>
      <w:tabs>
        <w:tab w:val="left" w:pos="425"/>
        <w:tab w:val="left" w:pos="851"/>
      </w:tabs>
    </w:pPr>
  </w:style>
  <w:style w:type="paragraph" w:customStyle="1" w:styleId="HeadingNoNumber2">
    <w:name w:val="Heading NoNumber 2"/>
    <w:basedOn w:val="Heading2"/>
    <w:next w:val="Normal"/>
    <w:rsid w:val="0017487B"/>
    <w:pPr>
      <w:numPr>
        <w:numId w:val="14"/>
      </w:numPr>
      <w:tabs>
        <w:tab w:val="left" w:pos="425"/>
        <w:tab w:val="left" w:pos="1276"/>
      </w:tabs>
    </w:pPr>
  </w:style>
  <w:style w:type="paragraph" w:customStyle="1" w:styleId="HeadingNoNumber3">
    <w:name w:val="Heading NoNumber 3"/>
    <w:basedOn w:val="Heading3"/>
    <w:next w:val="Normal"/>
    <w:link w:val="HeadingNoNumber3Char"/>
    <w:rsid w:val="0017487B"/>
    <w:pPr>
      <w:numPr>
        <w:numId w:val="15"/>
      </w:numPr>
    </w:pPr>
  </w:style>
  <w:style w:type="table" w:styleId="TableGrid">
    <w:name w:val="Table Grid"/>
    <w:basedOn w:val="TableNormal"/>
    <w:uiPriority w:val="59"/>
    <w:rsid w:val="001B00C1"/>
    <w:pPr>
      <w:overflowPunct w:val="0"/>
      <w:autoSpaceDE w:val="0"/>
      <w:autoSpaceDN w:val="0"/>
      <w:adjustRightInd w:val="0"/>
      <w:spacing w:line="300" w:lineRule="auto"/>
      <w:ind w:left="57" w:right="57"/>
      <w:textAlignment w:val="baseline"/>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TOC1">
    <w:name w:val="toc 1"/>
    <w:basedOn w:val="Normal"/>
    <w:next w:val="Normal"/>
    <w:semiHidden/>
    <w:rsid w:val="001B00C1"/>
    <w:pPr>
      <w:tabs>
        <w:tab w:val="right" w:leader="dot" w:pos="9072"/>
      </w:tabs>
      <w:ind w:left="425" w:right="425" w:hanging="425"/>
    </w:pPr>
    <w:rPr>
      <w:b/>
      <w:caps/>
      <w:color w:val="0000FF"/>
    </w:rPr>
  </w:style>
  <w:style w:type="paragraph" w:styleId="TOC2">
    <w:name w:val="toc 2"/>
    <w:basedOn w:val="Normal"/>
    <w:next w:val="Normal"/>
    <w:semiHidden/>
    <w:rsid w:val="001B00C1"/>
    <w:pPr>
      <w:tabs>
        <w:tab w:val="right" w:leader="dot" w:pos="9072"/>
      </w:tabs>
      <w:ind w:left="425" w:right="425" w:hanging="425"/>
    </w:pPr>
    <w:rPr>
      <w:caps/>
      <w:color w:val="0000FF"/>
    </w:rPr>
  </w:style>
  <w:style w:type="paragraph" w:styleId="TOC3">
    <w:name w:val="toc 3"/>
    <w:basedOn w:val="Normal"/>
    <w:next w:val="Normal"/>
    <w:semiHidden/>
    <w:rsid w:val="001B00C1"/>
    <w:pPr>
      <w:tabs>
        <w:tab w:val="right" w:leader="dot" w:pos="9072"/>
      </w:tabs>
      <w:ind w:left="425" w:right="425" w:hanging="425"/>
    </w:pPr>
    <w:rPr>
      <w:color w:val="0000FF"/>
    </w:rPr>
  </w:style>
  <w:style w:type="paragraph" w:styleId="TOC4">
    <w:name w:val="toc 4"/>
    <w:basedOn w:val="Normal"/>
    <w:next w:val="Normal"/>
    <w:semiHidden/>
    <w:rsid w:val="001B00C1"/>
    <w:pPr>
      <w:tabs>
        <w:tab w:val="right" w:leader="dot" w:pos="9072"/>
      </w:tabs>
      <w:ind w:left="425" w:right="425" w:hanging="425"/>
    </w:pPr>
    <w:rPr>
      <w:color w:val="0000FF"/>
    </w:rPr>
  </w:style>
  <w:style w:type="character" w:styleId="LineNumber">
    <w:name w:val="line number"/>
    <w:semiHidden/>
    <w:rsid w:val="0069512D"/>
    <w:rPr>
      <w:rFonts w:ascii="Times New Roman" w:hAnsi="Times New Roman"/>
      <w:sz w:val="24"/>
      <w:szCs w:val="20"/>
    </w:rPr>
  </w:style>
  <w:style w:type="paragraph" w:styleId="DocumentMap">
    <w:name w:val="Document Map"/>
    <w:basedOn w:val="Normal"/>
    <w:semiHidden/>
    <w:rsid w:val="00A869A7"/>
    <w:pPr>
      <w:shd w:val="clear" w:color="auto" w:fill="000080"/>
    </w:pPr>
    <w:rPr>
      <w:rFonts w:cs="Tahoma"/>
    </w:rPr>
  </w:style>
  <w:style w:type="paragraph" w:styleId="Index1">
    <w:name w:val="index 1"/>
    <w:basedOn w:val="Normal"/>
    <w:next w:val="Normal"/>
    <w:semiHidden/>
    <w:rsid w:val="004D4F8E"/>
    <w:pPr>
      <w:ind w:left="284" w:hanging="284"/>
    </w:pPr>
  </w:style>
  <w:style w:type="paragraph" w:styleId="TOC5">
    <w:name w:val="toc 5"/>
    <w:basedOn w:val="Normal"/>
    <w:next w:val="Normal"/>
    <w:semiHidden/>
    <w:rsid w:val="001B00C1"/>
    <w:pPr>
      <w:tabs>
        <w:tab w:val="right" w:leader="dot" w:pos="9072"/>
      </w:tabs>
      <w:ind w:left="425" w:right="425" w:hanging="425"/>
    </w:pPr>
    <w:rPr>
      <w:color w:val="0000FF"/>
    </w:rPr>
  </w:style>
  <w:style w:type="paragraph" w:styleId="TOC6">
    <w:name w:val="toc 6"/>
    <w:basedOn w:val="Normal"/>
    <w:next w:val="Normal"/>
    <w:semiHidden/>
    <w:rsid w:val="001B00C1"/>
    <w:pPr>
      <w:tabs>
        <w:tab w:val="right" w:leader="dot" w:pos="9072"/>
      </w:tabs>
      <w:ind w:left="425" w:right="425" w:hanging="425"/>
    </w:pPr>
    <w:rPr>
      <w:color w:val="0000FF"/>
    </w:rPr>
  </w:style>
  <w:style w:type="paragraph" w:styleId="TOC7">
    <w:name w:val="toc 7"/>
    <w:basedOn w:val="Normal"/>
    <w:next w:val="Normal"/>
    <w:semiHidden/>
    <w:rsid w:val="001B00C1"/>
    <w:pPr>
      <w:tabs>
        <w:tab w:val="right" w:leader="dot" w:pos="9072"/>
      </w:tabs>
      <w:ind w:left="425" w:right="425" w:hanging="425"/>
    </w:pPr>
    <w:rPr>
      <w:color w:val="0000FF"/>
    </w:rPr>
  </w:style>
  <w:style w:type="paragraph" w:styleId="TOC8">
    <w:name w:val="toc 8"/>
    <w:basedOn w:val="Normal"/>
    <w:next w:val="Normal"/>
    <w:semiHidden/>
    <w:rsid w:val="001B00C1"/>
    <w:pPr>
      <w:tabs>
        <w:tab w:val="right" w:leader="dot" w:pos="9072"/>
      </w:tabs>
      <w:ind w:left="425" w:right="425" w:hanging="425"/>
    </w:pPr>
    <w:rPr>
      <w:color w:val="0000FF"/>
    </w:rPr>
  </w:style>
  <w:style w:type="paragraph" w:styleId="TOC9">
    <w:name w:val="toc 9"/>
    <w:basedOn w:val="Normal"/>
    <w:next w:val="Normal"/>
    <w:semiHidden/>
    <w:rsid w:val="001B00C1"/>
    <w:pPr>
      <w:tabs>
        <w:tab w:val="right" w:leader="dot" w:pos="9072"/>
      </w:tabs>
      <w:ind w:left="425" w:right="425" w:hanging="425"/>
    </w:pPr>
    <w:rPr>
      <w:color w:val="0000FF"/>
    </w:rPr>
  </w:style>
  <w:style w:type="paragraph" w:customStyle="1" w:styleId="Table">
    <w:name w:val="Table"/>
    <w:basedOn w:val="Normal"/>
    <w:rsid w:val="001B00C1"/>
    <w:pPr>
      <w:spacing w:before="40"/>
      <w:ind w:left="57" w:right="57"/>
    </w:pPr>
    <w:rPr>
      <w:sz w:val="20"/>
      <w:szCs w:val="18"/>
    </w:rPr>
  </w:style>
  <w:style w:type="paragraph" w:customStyle="1" w:styleId="TableNonProportional">
    <w:name w:val="TableNonProportional"/>
    <w:basedOn w:val="Table"/>
    <w:rsid w:val="003A3315"/>
    <w:rPr>
      <w:rFonts w:ascii="Courier New" w:hAnsi="Courier New"/>
    </w:rPr>
  </w:style>
  <w:style w:type="paragraph" w:styleId="BalloonText">
    <w:name w:val="Balloon Text"/>
    <w:basedOn w:val="Normal"/>
    <w:semiHidden/>
    <w:rsid w:val="00D91729"/>
    <w:rPr>
      <w:rFonts w:ascii="Tahoma" w:hAnsi="Tahoma" w:cs="Tahoma"/>
      <w:sz w:val="16"/>
      <w:szCs w:val="16"/>
    </w:rPr>
  </w:style>
  <w:style w:type="paragraph" w:customStyle="1" w:styleId="FrontPage">
    <w:name w:val="FrontPage"/>
    <w:basedOn w:val="Normal"/>
    <w:next w:val="Normal"/>
    <w:rsid w:val="005674DC"/>
    <w:pPr>
      <w:spacing w:before="240"/>
      <w:jc w:val="center"/>
    </w:pPr>
    <w:rPr>
      <w:b/>
      <w:sz w:val="32"/>
      <w:szCs w:val="28"/>
    </w:rPr>
  </w:style>
  <w:style w:type="paragraph" w:customStyle="1" w:styleId="Appendix">
    <w:name w:val="Appendix"/>
    <w:basedOn w:val="HeadingNoNumber1"/>
    <w:next w:val="Normal"/>
    <w:rsid w:val="00B80879"/>
    <w:pPr>
      <w:spacing w:after="240"/>
      <w:jc w:val="center"/>
    </w:pPr>
    <w:rPr>
      <w:caps/>
      <w:sz w:val="32"/>
      <w:szCs w:val="32"/>
    </w:rPr>
  </w:style>
  <w:style w:type="character" w:customStyle="1" w:styleId="Heading3Char">
    <w:name w:val="Heading 3 Char"/>
    <w:link w:val="Heading3"/>
    <w:rsid w:val="00E67C26"/>
    <w:rPr>
      <w:rFonts w:ascii="Arial" w:hAnsi="Arial" w:cs="Arial"/>
      <w:b/>
      <w:sz w:val="22"/>
      <w:szCs w:val="22"/>
      <w:lang w:val="en-US" w:eastAsia="en-US"/>
    </w:rPr>
  </w:style>
  <w:style w:type="paragraph" w:customStyle="1" w:styleId="HeadingNoNumber4">
    <w:name w:val="Heading NoNumber 4"/>
    <w:basedOn w:val="Heading4"/>
    <w:next w:val="Normal"/>
    <w:rsid w:val="0017487B"/>
    <w:pPr>
      <w:numPr>
        <w:ilvl w:val="0"/>
        <w:numId w:val="16"/>
      </w:numPr>
    </w:pPr>
  </w:style>
  <w:style w:type="paragraph" w:customStyle="1" w:styleId="HeadingNoNumber5">
    <w:name w:val="Heading NoNumber 5"/>
    <w:basedOn w:val="Heading5"/>
    <w:next w:val="Normal"/>
    <w:rsid w:val="0017487B"/>
    <w:pPr>
      <w:numPr>
        <w:ilvl w:val="0"/>
        <w:numId w:val="17"/>
      </w:numPr>
    </w:pPr>
  </w:style>
  <w:style w:type="paragraph" w:customStyle="1" w:styleId="HeadingNoNumber6">
    <w:name w:val="Heading NoNumber 6"/>
    <w:basedOn w:val="Heading6"/>
    <w:next w:val="Normal"/>
    <w:rsid w:val="005674DC"/>
    <w:pPr>
      <w:numPr>
        <w:ilvl w:val="0"/>
        <w:numId w:val="18"/>
      </w:numPr>
    </w:pPr>
    <w:rPr>
      <w:szCs w:val="20"/>
    </w:rPr>
  </w:style>
  <w:style w:type="paragraph" w:customStyle="1" w:styleId="HeadingNoNumber7">
    <w:name w:val="Heading NoNumber 7"/>
    <w:basedOn w:val="Heading7"/>
    <w:next w:val="Normal"/>
    <w:rsid w:val="008E0354"/>
    <w:pPr>
      <w:numPr>
        <w:ilvl w:val="0"/>
        <w:numId w:val="19"/>
      </w:numPr>
    </w:pPr>
    <w:rPr>
      <w:szCs w:val="20"/>
    </w:rPr>
  </w:style>
  <w:style w:type="paragraph" w:customStyle="1" w:styleId="HeadingNoNumber8">
    <w:name w:val="Heading NoNumber 8"/>
    <w:basedOn w:val="Heading8"/>
    <w:next w:val="Normal"/>
    <w:rsid w:val="008E0354"/>
    <w:pPr>
      <w:numPr>
        <w:ilvl w:val="0"/>
        <w:numId w:val="20"/>
      </w:numPr>
    </w:pPr>
    <w:rPr>
      <w:szCs w:val="20"/>
    </w:rPr>
  </w:style>
  <w:style w:type="paragraph" w:customStyle="1" w:styleId="HeadingNoNumber9">
    <w:name w:val="Heading NoNumber 9"/>
    <w:basedOn w:val="Heading9"/>
    <w:next w:val="Normal"/>
    <w:rsid w:val="008E0354"/>
    <w:pPr>
      <w:numPr>
        <w:ilvl w:val="0"/>
        <w:numId w:val="21"/>
      </w:numPr>
    </w:pPr>
    <w:rPr>
      <w:szCs w:val="20"/>
    </w:rPr>
  </w:style>
  <w:style w:type="character" w:customStyle="1" w:styleId="HeadingNoNumber3Char">
    <w:name w:val="Heading NoNumber 3 Char"/>
    <w:basedOn w:val="Heading3Char"/>
    <w:link w:val="HeadingNoNumber3"/>
    <w:rsid w:val="0017487B"/>
  </w:style>
  <w:style w:type="character" w:customStyle="1" w:styleId="Heading1Char">
    <w:name w:val="Heading 1 Char"/>
    <w:link w:val="Heading1"/>
    <w:rsid w:val="000F111D"/>
    <w:rPr>
      <w:rFonts w:ascii="Arial" w:hAnsi="Arial" w:cs="Arial"/>
      <w:b/>
      <w:sz w:val="24"/>
      <w:lang w:val="en-US" w:eastAsia="en-US"/>
    </w:rPr>
  </w:style>
  <w:style w:type="character" w:customStyle="1" w:styleId="HeadingNoNumber1Char">
    <w:name w:val="Heading NoNumber 1 Char"/>
    <w:basedOn w:val="Heading1Char"/>
    <w:link w:val="HeadingNoNumber1"/>
    <w:rsid w:val="00CA6954"/>
  </w:style>
  <w:style w:type="character" w:customStyle="1" w:styleId="Heading5Char">
    <w:name w:val="Heading 5 Char"/>
    <w:link w:val="Heading5"/>
    <w:rsid w:val="005674DC"/>
    <w:rPr>
      <w:b/>
      <w:bCs/>
      <w:iCs/>
      <w:sz w:val="24"/>
      <w:lang w:val="en-US" w:eastAsia="en-US"/>
    </w:rPr>
  </w:style>
  <w:style w:type="character" w:styleId="FootnoteReference">
    <w:name w:val="footnote reference"/>
    <w:semiHidden/>
    <w:rsid w:val="005674DC"/>
    <w:rPr>
      <w:rFonts w:ascii="Times New Roman" w:hAnsi="Times New Roman"/>
      <w:dstrike w:val="0"/>
      <w:sz w:val="24"/>
      <w:szCs w:val="20"/>
      <w:vertAlign w:val="superscript"/>
    </w:rPr>
  </w:style>
  <w:style w:type="paragraph" w:styleId="TableofFigures">
    <w:name w:val="table of figures"/>
    <w:basedOn w:val="TOC3"/>
    <w:next w:val="Normal"/>
    <w:semiHidden/>
    <w:rsid w:val="001B00C1"/>
  </w:style>
  <w:style w:type="paragraph" w:styleId="FootnoteText">
    <w:name w:val="footnote text"/>
    <w:basedOn w:val="Normal"/>
    <w:semiHidden/>
    <w:rsid w:val="008E6255"/>
    <w:rPr>
      <w:sz w:val="20"/>
    </w:rPr>
  </w:style>
  <w:style w:type="character" w:styleId="CommentReference">
    <w:name w:val="annotation reference"/>
    <w:semiHidden/>
    <w:rsid w:val="0003558F"/>
    <w:rPr>
      <w:sz w:val="16"/>
      <w:szCs w:val="16"/>
    </w:rPr>
  </w:style>
  <w:style w:type="paragraph" w:styleId="CommentText">
    <w:name w:val="annotation text"/>
    <w:basedOn w:val="Normal"/>
    <w:link w:val="CommentTextChar"/>
    <w:semiHidden/>
    <w:rsid w:val="0003558F"/>
    <w:rPr>
      <w:sz w:val="20"/>
    </w:rPr>
  </w:style>
  <w:style w:type="paragraph" w:styleId="CommentSubject">
    <w:name w:val="annotation subject"/>
    <w:basedOn w:val="CommentText"/>
    <w:next w:val="CommentText"/>
    <w:semiHidden/>
    <w:rsid w:val="0003558F"/>
    <w:rPr>
      <w:b/>
      <w:bCs/>
    </w:rPr>
  </w:style>
  <w:style w:type="character" w:styleId="EndnoteReference">
    <w:name w:val="endnote reference"/>
    <w:semiHidden/>
    <w:rsid w:val="0003558F"/>
    <w:rPr>
      <w:vertAlign w:val="superscript"/>
    </w:rPr>
  </w:style>
  <w:style w:type="paragraph" w:styleId="EndnoteText">
    <w:name w:val="endnote text"/>
    <w:basedOn w:val="Normal"/>
    <w:semiHidden/>
    <w:rsid w:val="0003558F"/>
    <w:rPr>
      <w:sz w:val="20"/>
    </w:rPr>
  </w:style>
  <w:style w:type="paragraph" w:styleId="Index2">
    <w:name w:val="index 2"/>
    <w:basedOn w:val="Normal"/>
    <w:next w:val="Normal"/>
    <w:autoRedefine/>
    <w:semiHidden/>
    <w:rsid w:val="0003558F"/>
    <w:pPr>
      <w:ind w:left="480" w:hanging="240"/>
    </w:pPr>
  </w:style>
  <w:style w:type="paragraph" w:styleId="Index3">
    <w:name w:val="index 3"/>
    <w:basedOn w:val="Normal"/>
    <w:next w:val="Normal"/>
    <w:autoRedefine/>
    <w:semiHidden/>
    <w:rsid w:val="0003558F"/>
    <w:pPr>
      <w:ind w:left="720" w:hanging="240"/>
    </w:pPr>
  </w:style>
  <w:style w:type="paragraph" w:styleId="Index4">
    <w:name w:val="index 4"/>
    <w:basedOn w:val="Normal"/>
    <w:next w:val="Normal"/>
    <w:autoRedefine/>
    <w:semiHidden/>
    <w:rsid w:val="0003558F"/>
    <w:pPr>
      <w:ind w:left="960" w:hanging="240"/>
    </w:pPr>
  </w:style>
  <w:style w:type="paragraph" w:styleId="Index5">
    <w:name w:val="index 5"/>
    <w:basedOn w:val="Normal"/>
    <w:next w:val="Normal"/>
    <w:autoRedefine/>
    <w:semiHidden/>
    <w:rsid w:val="0003558F"/>
    <w:pPr>
      <w:ind w:left="1200" w:hanging="240"/>
    </w:pPr>
  </w:style>
  <w:style w:type="paragraph" w:styleId="Index6">
    <w:name w:val="index 6"/>
    <w:basedOn w:val="Normal"/>
    <w:next w:val="Normal"/>
    <w:autoRedefine/>
    <w:semiHidden/>
    <w:rsid w:val="0003558F"/>
    <w:pPr>
      <w:ind w:left="1440" w:hanging="240"/>
    </w:pPr>
  </w:style>
  <w:style w:type="paragraph" w:styleId="Index7">
    <w:name w:val="index 7"/>
    <w:basedOn w:val="Normal"/>
    <w:next w:val="Normal"/>
    <w:autoRedefine/>
    <w:semiHidden/>
    <w:rsid w:val="0003558F"/>
    <w:pPr>
      <w:ind w:left="1680" w:hanging="240"/>
    </w:pPr>
  </w:style>
  <w:style w:type="paragraph" w:styleId="Index8">
    <w:name w:val="index 8"/>
    <w:basedOn w:val="Normal"/>
    <w:next w:val="Normal"/>
    <w:autoRedefine/>
    <w:semiHidden/>
    <w:rsid w:val="0003558F"/>
    <w:pPr>
      <w:ind w:left="1920" w:hanging="240"/>
    </w:pPr>
  </w:style>
  <w:style w:type="paragraph" w:styleId="Index9">
    <w:name w:val="index 9"/>
    <w:basedOn w:val="Normal"/>
    <w:next w:val="Normal"/>
    <w:autoRedefine/>
    <w:semiHidden/>
    <w:rsid w:val="0003558F"/>
    <w:pPr>
      <w:ind w:left="2160" w:hanging="240"/>
    </w:pPr>
  </w:style>
  <w:style w:type="paragraph" w:styleId="IndexHeading">
    <w:name w:val="index heading"/>
    <w:basedOn w:val="Normal"/>
    <w:next w:val="Index1"/>
    <w:semiHidden/>
    <w:rsid w:val="0003558F"/>
    <w:rPr>
      <w:b/>
      <w:bCs/>
    </w:rPr>
  </w:style>
  <w:style w:type="paragraph" w:styleId="MacroText">
    <w:name w:val="macro"/>
    <w:semiHidden/>
    <w:rsid w:val="0003558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00" w:lineRule="auto"/>
      <w:textAlignment w:val="baseline"/>
    </w:pPr>
    <w:rPr>
      <w:rFonts w:ascii="Courier New" w:hAnsi="Courier New" w:cs="Courier New"/>
      <w:lang w:val="en-GB" w:eastAsia="da-DK"/>
    </w:rPr>
  </w:style>
  <w:style w:type="paragraph" w:styleId="TableofAuthorities">
    <w:name w:val="table of authorities"/>
    <w:basedOn w:val="Normal"/>
    <w:next w:val="Normal"/>
    <w:semiHidden/>
    <w:rsid w:val="0003558F"/>
    <w:pPr>
      <w:ind w:left="240" w:hanging="240"/>
    </w:pPr>
  </w:style>
  <w:style w:type="paragraph" w:styleId="TOAHeading">
    <w:name w:val="toa heading"/>
    <w:basedOn w:val="Normal"/>
    <w:next w:val="Normal"/>
    <w:semiHidden/>
    <w:rsid w:val="0003558F"/>
    <w:pPr>
      <w:spacing w:before="120"/>
    </w:pPr>
    <w:rPr>
      <w:b/>
      <w:bCs/>
      <w:szCs w:val="24"/>
    </w:rPr>
  </w:style>
  <w:style w:type="character" w:customStyle="1" w:styleId="CrossRefText">
    <w:name w:val="CrossRefText"/>
    <w:semiHidden/>
    <w:rsid w:val="00986C01"/>
    <w:rPr>
      <w:color w:val="0000FF"/>
      <w:lang w:val="en-GB"/>
    </w:rPr>
  </w:style>
  <w:style w:type="paragraph" w:customStyle="1" w:styleId="TableNonPropNS">
    <w:name w:val="TableNonPropNS"/>
    <w:basedOn w:val="Table"/>
    <w:rsid w:val="00143610"/>
    <w:pPr>
      <w:spacing w:before="0"/>
    </w:pPr>
    <w:rPr>
      <w:rFonts w:ascii="Courier New" w:hAnsi="Courier New"/>
      <w:sz w:val="18"/>
    </w:rPr>
  </w:style>
  <w:style w:type="paragraph" w:customStyle="1" w:styleId="Bodytext">
    <w:name w:val="Body text"/>
    <w:link w:val="BodytextChar"/>
    <w:rsid w:val="004B00D0"/>
    <w:pPr>
      <w:tabs>
        <w:tab w:val="left" w:pos="1152"/>
        <w:tab w:val="left" w:pos="1872"/>
      </w:tabs>
      <w:spacing w:before="240"/>
    </w:pPr>
    <w:rPr>
      <w:sz w:val="24"/>
      <w:lang w:val="en-US" w:eastAsia="en-US"/>
    </w:rPr>
  </w:style>
  <w:style w:type="paragraph" w:customStyle="1" w:styleId="Bulletstyle">
    <w:name w:val="Bullet style"/>
    <w:basedOn w:val="Bodytext"/>
    <w:rsid w:val="004B00D0"/>
    <w:pPr>
      <w:numPr>
        <w:numId w:val="22"/>
      </w:numPr>
      <w:tabs>
        <w:tab w:val="clear" w:pos="1152"/>
        <w:tab w:val="clear" w:pos="1872"/>
      </w:tabs>
    </w:pPr>
  </w:style>
  <w:style w:type="paragraph" w:styleId="Title">
    <w:name w:val="Title"/>
    <w:next w:val="Bodytext"/>
    <w:qFormat/>
    <w:rsid w:val="004B00D0"/>
    <w:pPr>
      <w:widowControl w:val="0"/>
      <w:spacing w:line="288" w:lineRule="auto"/>
      <w:jc w:val="center"/>
    </w:pPr>
    <w:rPr>
      <w:rFonts w:ascii="Arial" w:hAnsi="Arial"/>
      <w:b/>
      <w:caps/>
      <w:sz w:val="28"/>
      <w:lang w:val="en-US" w:eastAsia="en-US"/>
    </w:rPr>
  </w:style>
  <w:style w:type="paragraph" w:customStyle="1" w:styleId="HeadingRomanNumerals">
    <w:name w:val="Heading Roman Numerals"/>
    <w:basedOn w:val="Heading1"/>
    <w:rsid w:val="004B00D0"/>
    <w:pPr>
      <w:pageBreakBefore/>
      <w:numPr>
        <w:numId w:val="23"/>
      </w:numPr>
      <w:tabs>
        <w:tab w:val="left" w:pos="720"/>
      </w:tabs>
      <w:spacing w:before="0" w:after="0"/>
    </w:pPr>
    <w:rPr>
      <w:rFonts w:ascii="Times New Roman Bold" w:hAnsi="Times New Roman Bold" w:cs="Times New Roman"/>
      <w:bCs/>
      <w:u w:val="single"/>
    </w:rPr>
  </w:style>
  <w:style w:type="paragraph" w:customStyle="1" w:styleId="Confidentialitystatementfrontpage">
    <w:name w:val="Confidentiality statement front page"/>
    <w:basedOn w:val="Normal"/>
    <w:rsid w:val="004B00D0"/>
    <w:pPr>
      <w:pBdr>
        <w:top w:val="single" w:sz="6" w:space="1" w:color="auto"/>
        <w:left w:val="single" w:sz="6" w:space="4" w:color="auto"/>
        <w:bottom w:val="single" w:sz="6" w:space="1" w:color="auto"/>
        <w:right w:val="single" w:sz="6" w:space="4" w:color="auto"/>
      </w:pBdr>
    </w:pPr>
    <w:rPr>
      <w:b/>
      <w:sz w:val="20"/>
    </w:rPr>
  </w:style>
  <w:style w:type="paragraph" w:customStyle="1" w:styleId="Synopsistext">
    <w:name w:val="Synopsis text"/>
    <w:rsid w:val="004B00D0"/>
    <w:pPr>
      <w:spacing w:line="288" w:lineRule="auto"/>
      <w:jc w:val="both"/>
    </w:pPr>
    <w:rPr>
      <w:rFonts w:ascii="Arial" w:hAnsi="Arial"/>
      <w:lang w:val="en-US" w:eastAsia="en-US"/>
    </w:rPr>
  </w:style>
  <w:style w:type="paragraph" w:customStyle="1" w:styleId="Synopsisheading">
    <w:name w:val="Synopsis heading"/>
    <w:basedOn w:val="Synopsistext"/>
    <w:rsid w:val="004B00D0"/>
    <w:rPr>
      <w:b/>
    </w:rPr>
  </w:style>
  <w:style w:type="paragraph" w:customStyle="1" w:styleId="In-textlandscapetabletitle">
    <w:name w:val="In-text landscape table title"/>
    <w:basedOn w:val="In-texttabletitle"/>
    <w:rsid w:val="004B00D0"/>
    <w:pPr>
      <w:spacing w:before="0"/>
    </w:pPr>
  </w:style>
  <w:style w:type="paragraph" w:customStyle="1" w:styleId="In-texttabletitle">
    <w:name w:val="In-text table title"/>
    <w:basedOn w:val="Normal"/>
    <w:link w:val="In-texttabletitleChar"/>
    <w:rsid w:val="004B00D0"/>
    <w:pPr>
      <w:keepNext/>
      <w:tabs>
        <w:tab w:val="left" w:pos="1440"/>
      </w:tabs>
      <w:spacing w:before="240"/>
      <w:ind w:left="1440" w:hanging="1440"/>
    </w:pPr>
    <w:rPr>
      <w:rFonts w:ascii="Times New Roman Bold" w:hAnsi="Times New Roman Bold"/>
      <w:b/>
    </w:rPr>
  </w:style>
  <w:style w:type="paragraph" w:customStyle="1" w:styleId="In-texttable">
    <w:name w:val="In-text table"/>
    <w:basedOn w:val="Normal"/>
    <w:link w:val="In-texttableChar"/>
    <w:rsid w:val="004B00D0"/>
    <w:pPr>
      <w:keepNext/>
      <w:spacing w:before="50" w:after="50"/>
    </w:pPr>
  </w:style>
  <w:style w:type="paragraph" w:customStyle="1" w:styleId="In-textfootnote">
    <w:name w:val="In-text footnote"/>
    <w:basedOn w:val="In-texttable"/>
    <w:link w:val="In-textfootnoteChar"/>
    <w:rsid w:val="004B00D0"/>
    <w:pPr>
      <w:tabs>
        <w:tab w:val="left" w:pos="142"/>
      </w:tabs>
      <w:spacing w:before="40"/>
      <w:ind w:left="142" w:hanging="142"/>
    </w:pPr>
  </w:style>
  <w:style w:type="paragraph" w:customStyle="1" w:styleId="Paragraphaftertable">
    <w:name w:val="Paragraph after table"/>
    <w:basedOn w:val="Bodytext"/>
    <w:next w:val="Bodytext"/>
    <w:rsid w:val="004B00D0"/>
  </w:style>
  <w:style w:type="paragraph" w:customStyle="1" w:styleId="In-textfiguretitle">
    <w:name w:val="In-text figure title"/>
    <w:basedOn w:val="In-texttabletitle"/>
    <w:next w:val="Bodytext"/>
    <w:rsid w:val="004B00D0"/>
    <w:pPr>
      <w:keepNext w:val="0"/>
    </w:pPr>
  </w:style>
  <w:style w:type="paragraph" w:customStyle="1" w:styleId="Referencecitationconvention">
    <w:name w:val="Reference citation convention"/>
    <w:basedOn w:val="Tabulatedbodytext"/>
    <w:rsid w:val="004B00D0"/>
  </w:style>
  <w:style w:type="paragraph" w:customStyle="1" w:styleId="Tabulatedbodytext">
    <w:name w:val="Tabulated body text"/>
    <w:basedOn w:val="Normal"/>
    <w:rsid w:val="004B00D0"/>
  </w:style>
  <w:style w:type="paragraph" w:customStyle="1" w:styleId="Filenameandpath">
    <w:name w:val="File name and path"/>
    <w:basedOn w:val="Normal"/>
    <w:rsid w:val="004B00D0"/>
    <w:rPr>
      <w:sz w:val="14"/>
    </w:rPr>
  </w:style>
  <w:style w:type="character" w:styleId="Emphasis">
    <w:name w:val="Emphasis"/>
    <w:qFormat/>
    <w:rsid w:val="004B00D0"/>
    <w:rPr>
      <w:i/>
      <w:noProof w:val="0"/>
      <w:lang w:val="en-US"/>
    </w:rPr>
  </w:style>
  <w:style w:type="paragraph" w:styleId="MessageHeader">
    <w:name w:val="Message Header"/>
    <w:basedOn w:val="Normal"/>
    <w:rsid w:val="004B00D0"/>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teHeading">
    <w:name w:val="Note Heading"/>
    <w:basedOn w:val="Normal"/>
    <w:next w:val="Normal"/>
    <w:rsid w:val="004B00D0"/>
  </w:style>
  <w:style w:type="paragraph" w:styleId="Subtitle">
    <w:name w:val="Subtitle"/>
    <w:basedOn w:val="Normal"/>
    <w:qFormat/>
    <w:rsid w:val="004B00D0"/>
    <w:pPr>
      <w:spacing w:after="60"/>
      <w:jc w:val="center"/>
      <w:outlineLvl w:val="1"/>
    </w:pPr>
  </w:style>
  <w:style w:type="paragraph" w:customStyle="1" w:styleId="Titlepageheadernoline">
    <w:name w:val="Title page header (no line)"/>
    <w:basedOn w:val="Normal"/>
    <w:rsid w:val="004B00D0"/>
    <w:pPr>
      <w:tabs>
        <w:tab w:val="right" w:pos="8647"/>
      </w:tabs>
    </w:pPr>
    <w:rPr>
      <w:sz w:val="16"/>
    </w:rPr>
  </w:style>
  <w:style w:type="paragraph" w:customStyle="1" w:styleId="Post-textfiguretitle">
    <w:name w:val="Post-text figure title"/>
    <w:basedOn w:val="In-textfiguretitle"/>
    <w:rsid w:val="004B00D0"/>
    <w:pPr>
      <w:ind w:left="2302" w:hanging="1151"/>
    </w:pPr>
  </w:style>
  <w:style w:type="paragraph" w:customStyle="1" w:styleId="Post-textfootnote">
    <w:name w:val="Post-text footnote"/>
    <w:basedOn w:val="In-textfootnote"/>
    <w:rsid w:val="004B00D0"/>
  </w:style>
  <w:style w:type="paragraph" w:customStyle="1" w:styleId="Post-textlandscapetabletitle">
    <w:name w:val="Post-text landscape table title"/>
    <w:basedOn w:val="In-textlandscapetabletitle"/>
    <w:rsid w:val="004B00D0"/>
    <w:pPr>
      <w:ind w:left="2302" w:hanging="1151"/>
    </w:pPr>
  </w:style>
  <w:style w:type="paragraph" w:customStyle="1" w:styleId="Post-texttable">
    <w:name w:val="Post-text table"/>
    <w:basedOn w:val="In-texttable"/>
    <w:rsid w:val="004B00D0"/>
  </w:style>
  <w:style w:type="paragraph" w:customStyle="1" w:styleId="Post-texttabletitle">
    <w:name w:val="Post-text table title"/>
    <w:basedOn w:val="In-texttabletitle"/>
    <w:rsid w:val="004B00D0"/>
    <w:pPr>
      <w:ind w:left="2302" w:hanging="1151"/>
    </w:pPr>
  </w:style>
  <w:style w:type="paragraph" w:customStyle="1" w:styleId="Sourceline">
    <w:name w:val="Source line"/>
    <w:basedOn w:val="In-textfootnote"/>
    <w:rsid w:val="004B00D0"/>
    <w:rPr>
      <w:i/>
    </w:rPr>
  </w:style>
  <w:style w:type="paragraph" w:customStyle="1" w:styleId="In-textsourceline">
    <w:name w:val="In-text source line"/>
    <w:basedOn w:val="In-textfootnote"/>
    <w:rsid w:val="004B00D0"/>
    <w:rPr>
      <w:i/>
    </w:rPr>
  </w:style>
  <w:style w:type="paragraph" w:customStyle="1" w:styleId="Post-textsourceline">
    <w:name w:val="Post-text source line"/>
    <w:basedOn w:val="In-textsourceline"/>
    <w:rsid w:val="004B00D0"/>
  </w:style>
  <w:style w:type="paragraph" w:customStyle="1" w:styleId="Maintitleonfrontpage">
    <w:name w:val="Main title on front page"/>
    <w:basedOn w:val="Title"/>
    <w:rsid w:val="004B00D0"/>
    <w:rPr>
      <w:rFonts w:ascii="Times New Roman" w:hAnsi="Times New Roman"/>
    </w:rPr>
  </w:style>
  <w:style w:type="paragraph" w:customStyle="1" w:styleId="Frontpageinformation">
    <w:name w:val="Front page information"/>
    <w:basedOn w:val="Normal"/>
    <w:rsid w:val="004B00D0"/>
    <w:pPr>
      <w:tabs>
        <w:tab w:val="left" w:pos="1276"/>
      </w:tabs>
    </w:pPr>
  </w:style>
  <w:style w:type="paragraph" w:customStyle="1" w:styleId="Frontpageinformationheadings">
    <w:name w:val="Front page information headings"/>
    <w:basedOn w:val="Frontpageinformation"/>
    <w:rsid w:val="004B00D0"/>
    <w:rPr>
      <w:b/>
    </w:rPr>
  </w:style>
  <w:style w:type="paragraph" w:customStyle="1" w:styleId="Style1">
    <w:name w:val="Style1"/>
    <w:basedOn w:val="Footer"/>
    <w:rsid w:val="004B00D0"/>
    <w:pPr>
      <w:widowControl w:val="0"/>
      <w:pBdr>
        <w:bottom w:val="single" w:sz="6" w:space="1" w:color="auto"/>
      </w:pBdr>
      <w:tabs>
        <w:tab w:val="right" w:pos="8647"/>
      </w:tabs>
      <w:overflowPunct/>
      <w:autoSpaceDE/>
      <w:autoSpaceDN/>
      <w:adjustRightInd/>
      <w:textAlignment w:val="auto"/>
    </w:pPr>
    <w:rPr>
      <w:sz w:val="20"/>
      <w:szCs w:val="20"/>
    </w:rPr>
  </w:style>
  <w:style w:type="paragraph" w:customStyle="1" w:styleId="StyleConfidentialitystatementfrontpageCentered">
    <w:name w:val="Style Confidentiality statement front page + Centered"/>
    <w:basedOn w:val="Confidentialitystatementfrontpage"/>
    <w:rsid w:val="004B00D0"/>
    <w:pPr>
      <w:jc w:val="center"/>
    </w:pPr>
    <w:rPr>
      <w:bCs/>
    </w:rPr>
  </w:style>
  <w:style w:type="paragraph" w:customStyle="1" w:styleId="Bulletstyle2">
    <w:name w:val="Bullet style 2"/>
    <w:basedOn w:val="Bulletstyle"/>
    <w:rsid w:val="004B00D0"/>
    <w:pPr>
      <w:numPr>
        <w:numId w:val="24"/>
      </w:numPr>
      <w:tabs>
        <w:tab w:val="clear" w:pos="1872"/>
      </w:tabs>
      <w:ind w:left="0" w:firstLine="0"/>
    </w:pPr>
  </w:style>
  <w:style w:type="character" w:customStyle="1" w:styleId="BodytextChar">
    <w:name w:val="Body text Char"/>
    <w:link w:val="Bodytext"/>
    <w:rsid w:val="004B00D0"/>
    <w:rPr>
      <w:sz w:val="24"/>
      <w:lang w:val="en-US" w:eastAsia="en-US" w:bidi="ar-SA"/>
    </w:rPr>
  </w:style>
  <w:style w:type="character" w:customStyle="1" w:styleId="In-texttableChar">
    <w:name w:val="In-text table Char"/>
    <w:link w:val="In-texttable"/>
    <w:rsid w:val="004B00D0"/>
    <w:rPr>
      <w:sz w:val="24"/>
      <w:lang w:val="en-US" w:eastAsia="en-US" w:bidi="ar-SA"/>
    </w:rPr>
  </w:style>
  <w:style w:type="character" w:customStyle="1" w:styleId="In-textfootnoteChar">
    <w:name w:val="In-text footnote Char"/>
    <w:basedOn w:val="In-texttableChar"/>
    <w:link w:val="In-textfootnote"/>
    <w:rsid w:val="004B00D0"/>
  </w:style>
  <w:style w:type="character" w:customStyle="1" w:styleId="In-texttabletitleChar">
    <w:name w:val="In-text table title Char"/>
    <w:link w:val="In-texttabletitle"/>
    <w:rsid w:val="004B00D0"/>
    <w:rPr>
      <w:rFonts w:ascii="Times New Roman Bold" w:hAnsi="Times New Roman Bold"/>
      <w:b/>
      <w:sz w:val="24"/>
      <w:lang w:val="en-US" w:eastAsia="en-US" w:bidi="ar-SA"/>
    </w:rPr>
  </w:style>
  <w:style w:type="paragraph" w:customStyle="1" w:styleId="a">
    <w:basedOn w:val="Normal"/>
    <w:rsid w:val="000046A8"/>
    <w:pPr>
      <w:spacing w:after="160" w:line="240" w:lineRule="exact"/>
    </w:pPr>
    <w:rPr>
      <w:rFonts w:ascii="Verdana" w:hAnsi="Verdana" w:cs="Verdana"/>
      <w:sz w:val="20"/>
    </w:rPr>
  </w:style>
  <w:style w:type="paragraph" w:customStyle="1" w:styleId="CharChar">
    <w:name w:val=" Char Char"/>
    <w:basedOn w:val="Normal"/>
    <w:rsid w:val="00792E51"/>
    <w:pPr>
      <w:spacing w:after="160" w:line="240" w:lineRule="exact"/>
    </w:pPr>
    <w:rPr>
      <w:rFonts w:ascii="Verdana" w:hAnsi="Verdana" w:cs="Verdana"/>
      <w:sz w:val="20"/>
    </w:rPr>
  </w:style>
  <w:style w:type="paragraph" w:styleId="Revision">
    <w:name w:val="Revision"/>
    <w:hidden/>
    <w:uiPriority w:val="99"/>
    <w:semiHidden/>
    <w:rsid w:val="00591EBA"/>
    <w:rPr>
      <w:sz w:val="24"/>
      <w:lang w:val="en-US" w:eastAsia="en-US"/>
    </w:rPr>
  </w:style>
  <w:style w:type="paragraph" w:customStyle="1" w:styleId="Default">
    <w:name w:val="Default"/>
    <w:rsid w:val="005307D6"/>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3D741B"/>
    <w:rPr>
      <w:lang w:val="en-US" w:eastAsia="en-US"/>
    </w:rPr>
  </w:style>
  <w:style w:type="paragraph" w:styleId="BodyText0">
    <w:name w:val="Body Text"/>
    <w:basedOn w:val="Normal"/>
    <w:link w:val="BodyTextChar0"/>
    <w:rsid w:val="00704094"/>
    <w:rPr>
      <w:i/>
      <w:color w:val="008000"/>
      <w:lang w:val="en-GB"/>
    </w:rPr>
  </w:style>
  <w:style w:type="character" w:customStyle="1" w:styleId="BodyTextChar0">
    <w:name w:val="Body Text Char"/>
    <w:link w:val="BodyText0"/>
    <w:rsid w:val="00704094"/>
    <w:rPr>
      <w:i/>
      <w:color w:val="008000"/>
      <w:sz w:val="22"/>
      <w:lang w:val="en-GB" w:eastAsia="en-US"/>
    </w:rPr>
  </w:style>
</w:styles>
</file>

<file path=word/webSettings.xml><?xml version="1.0" encoding="utf-8"?>
<w:webSettings xmlns:r="http://schemas.openxmlformats.org/officeDocument/2006/relationships" xmlns:w="http://schemas.openxmlformats.org/wordprocessingml/2006/main">
  <w:divs>
    <w:div w:id="556745365">
      <w:bodyDiv w:val="1"/>
      <w:marLeft w:val="0"/>
      <w:marRight w:val="0"/>
      <w:marTop w:val="0"/>
      <w:marBottom w:val="0"/>
      <w:divBdr>
        <w:top w:val="none" w:sz="0" w:space="0" w:color="auto"/>
        <w:left w:val="none" w:sz="0" w:space="0" w:color="auto"/>
        <w:bottom w:val="none" w:sz="0" w:space="0" w:color="auto"/>
        <w:right w:val="none" w:sz="0" w:space="0" w:color="auto"/>
      </w:divBdr>
    </w:div>
    <w:div w:id="804736802">
      <w:bodyDiv w:val="1"/>
      <w:marLeft w:val="0"/>
      <w:marRight w:val="0"/>
      <w:marTop w:val="0"/>
      <w:marBottom w:val="0"/>
      <w:divBdr>
        <w:top w:val="none" w:sz="0" w:space="0" w:color="auto"/>
        <w:left w:val="none" w:sz="0" w:space="0" w:color="auto"/>
        <w:bottom w:val="none" w:sz="0" w:space="0" w:color="auto"/>
        <w:right w:val="none" w:sz="0" w:space="0" w:color="auto"/>
      </w:divBdr>
      <w:divsChild>
        <w:div w:id="602538319">
          <w:marLeft w:val="0"/>
          <w:marRight w:val="0"/>
          <w:marTop w:val="0"/>
          <w:marBottom w:val="0"/>
          <w:divBdr>
            <w:top w:val="none" w:sz="0" w:space="0" w:color="auto"/>
            <w:left w:val="none" w:sz="0" w:space="0" w:color="auto"/>
            <w:bottom w:val="none" w:sz="0" w:space="0" w:color="auto"/>
            <w:right w:val="none" w:sz="0" w:space="0" w:color="auto"/>
          </w:divBdr>
          <w:divsChild>
            <w:div w:id="25647405">
              <w:marLeft w:val="0"/>
              <w:marRight w:val="0"/>
              <w:marTop w:val="0"/>
              <w:marBottom w:val="0"/>
              <w:divBdr>
                <w:top w:val="none" w:sz="0" w:space="0" w:color="auto"/>
                <w:left w:val="none" w:sz="0" w:space="0" w:color="auto"/>
                <w:bottom w:val="none" w:sz="0" w:space="0" w:color="auto"/>
                <w:right w:val="none" w:sz="0" w:space="0" w:color="auto"/>
              </w:divBdr>
            </w:div>
            <w:div w:id="110243047">
              <w:marLeft w:val="0"/>
              <w:marRight w:val="0"/>
              <w:marTop w:val="0"/>
              <w:marBottom w:val="0"/>
              <w:divBdr>
                <w:top w:val="none" w:sz="0" w:space="0" w:color="auto"/>
                <w:left w:val="none" w:sz="0" w:space="0" w:color="auto"/>
                <w:bottom w:val="none" w:sz="0" w:space="0" w:color="auto"/>
                <w:right w:val="none" w:sz="0" w:space="0" w:color="auto"/>
              </w:divBdr>
            </w:div>
            <w:div w:id="477920625">
              <w:marLeft w:val="0"/>
              <w:marRight w:val="0"/>
              <w:marTop w:val="0"/>
              <w:marBottom w:val="0"/>
              <w:divBdr>
                <w:top w:val="none" w:sz="0" w:space="0" w:color="auto"/>
                <w:left w:val="none" w:sz="0" w:space="0" w:color="auto"/>
                <w:bottom w:val="none" w:sz="0" w:space="0" w:color="auto"/>
                <w:right w:val="none" w:sz="0" w:space="0" w:color="auto"/>
              </w:divBdr>
            </w:div>
            <w:div w:id="810052172">
              <w:marLeft w:val="0"/>
              <w:marRight w:val="0"/>
              <w:marTop w:val="0"/>
              <w:marBottom w:val="0"/>
              <w:divBdr>
                <w:top w:val="none" w:sz="0" w:space="0" w:color="auto"/>
                <w:left w:val="none" w:sz="0" w:space="0" w:color="auto"/>
                <w:bottom w:val="none" w:sz="0" w:space="0" w:color="auto"/>
                <w:right w:val="none" w:sz="0" w:space="0" w:color="auto"/>
              </w:divBdr>
            </w:div>
            <w:div w:id="11225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Reference%20Material%20LEO\eDoc%20LEO\Templates\General\LEO%20R&amp;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A223D-E7A6-4231-BCDF-08600840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LEO R&amp;D Template.dot</Template>
  <TotalTime>37</TotalTime>
  <Pages>13</Pages>
  <Words>3693</Words>
  <Characters>20164</Characters>
  <Application>Microsoft Office Word</Application>
  <DocSecurity>0</DocSecurity>
  <Lines>315</Lines>
  <Paragraphs>80</Paragraphs>
  <ScaleCrop>false</ScaleCrop>
  <HeadingPairs>
    <vt:vector size="2" baseType="variant">
      <vt:variant>
        <vt:lpstr>Title</vt:lpstr>
      </vt:variant>
      <vt:variant>
        <vt:i4>1</vt:i4>
      </vt:variant>
    </vt:vector>
  </HeadingPairs>
  <TitlesOfParts>
    <vt:vector size="1" baseType="lpstr">
      <vt:lpstr>AusPAR Attachment 1: Product Information for ingenol mebutate</vt:lpstr>
    </vt:vector>
  </TitlesOfParts>
  <Manager>eDoc LEO</Manager>
  <Company>LEO Pharmaceutical Products Ltd. A/S (LEO Pharma A/S)</Company>
  <LinksUpToDate>false</LinksUpToDate>
  <CharactersWithSpaces>23777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ingenol mebutate</dc:title>
  <dc:subject>prescription medicine regulation</dc:subject>
  <dc:creator>LEO Pharma Pty Ltd</dc:creator>
  <cp:keywords>pi, product, information, prescription, medicine, ingenol mebutate, picato gel</cp:keywords>
  <cp:lastModifiedBy>Sheppard, Fran</cp:lastModifiedBy>
  <cp:revision>10</cp:revision>
  <cp:lastPrinted>2011-02-04T05:08:00Z</cp:lastPrinted>
  <dcterms:created xsi:type="dcterms:W3CDTF">2013-09-16T11:12:00Z</dcterms:created>
  <dcterms:modified xsi:type="dcterms:W3CDTF">2013-09-16T11:48:00Z</dcterms:modified>
</cp:coreProperties>
</file>