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14:paraId="37C90A11" w14:textId="77777777" w:rsidTr="00BF1190">
        <w:trPr>
          <w:trHeight w:val="1863"/>
        </w:trPr>
        <w:tc>
          <w:tcPr>
            <w:tcW w:w="3652" w:type="dxa"/>
            <w:tcBorders>
              <w:top w:val="nil"/>
              <w:left w:val="nil"/>
              <w:bottom w:val="nil"/>
              <w:right w:val="nil"/>
            </w:tcBorders>
          </w:tcPr>
          <w:p w14:paraId="079D4768" w14:textId="6FFB38EE" w:rsidR="008E7846" w:rsidRPr="00096AA7" w:rsidRDefault="00E0373B" w:rsidP="00096AA7">
            <w:pPr>
              <w:rPr>
                <w:rFonts w:ascii="Arial" w:hAnsi="Arial" w:cs="Arial"/>
                <w:b/>
                <w:color w:val="002C47"/>
                <w:sz w:val="36"/>
                <w:szCs w:val="36"/>
              </w:rPr>
            </w:pPr>
            <w:r>
              <w:rPr>
                <w:rFonts w:ascii="Arial" w:hAnsi="Arial" w:cs="Arial"/>
                <w:b/>
                <w:color w:val="002C47"/>
                <w:sz w:val="36"/>
                <w:szCs w:val="36"/>
              </w:rPr>
              <w:t>Ju</w:t>
            </w:r>
            <w:r w:rsidR="007B63C6">
              <w:rPr>
                <w:rFonts w:ascii="Arial" w:hAnsi="Arial" w:cs="Arial"/>
                <w:b/>
                <w:color w:val="002C47"/>
                <w:sz w:val="36"/>
                <w:szCs w:val="36"/>
              </w:rPr>
              <w:t>ly</w:t>
            </w:r>
            <w:r>
              <w:rPr>
                <w:rFonts w:ascii="Arial" w:hAnsi="Arial" w:cs="Arial"/>
                <w:b/>
                <w:color w:val="002C47"/>
                <w:sz w:val="36"/>
                <w:szCs w:val="36"/>
              </w:rPr>
              <w:t xml:space="preserve"> 2020</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14:paraId="687FED90" w14:textId="77777777" w:rsidTr="0032583B">
        <w:trPr>
          <w:trHeight w:val="868"/>
        </w:trPr>
        <w:tc>
          <w:tcPr>
            <w:tcW w:w="9079" w:type="dxa"/>
          </w:tcPr>
          <w:p w14:paraId="36940B3D" w14:textId="5AC9073C" w:rsidR="0032583B" w:rsidRPr="00A964D1" w:rsidRDefault="0032583B" w:rsidP="00A964D1">
            <w:pPr>
              <w:pStyle w:val="Title"/>
              <w:rPr>
                <w:color w:val="FFFFFF" w:themeColor="background1"/>
              </w:rPr>
            </w:pPr>
            <w:r w:rsidRPr="00A964D1">
              <w:rPr>
                <w:color w:val="FFFFFF" w:themeColor="background1"/>
              </w:rPr>
              <w:t>Australian Pu</w:t>
            </w:r>
            <w:r w:rsidR="00D3158C">
              <w:rPr>
                <w:color w:val="FFFFFF" w:themeColor="background1"/>
              </w:rPr>
              <w:t xml:space="preserve">blic Assessment Report for Insulin </w:t>
            </w:r>
            <w:proofErr w:type="spellStart"/>
            <w:r w:rsidR="00D3158C">
              <w:rPr>
                <w:color w:val="FFFFFF" w:themeColor="background1"/>
              </w:rPr>
              <w:t>degludec</w:t>
            </w:r>
            <w:proofErr w:type="spellEnd"/>
            <w:r w:rsidR="00D3158C">
              <w:rPr>
                <w:color w:val="FFFFFF" w:themeColor="background1"/>
              </w:rPr>
              <w:t xml:space="preserve"> (</w:t>
            </w:r>
            <w:proofErr w:type="spellStart"/>
            <w:r w:rsidR="00D3158C">
              <w:rPr>
                <w:color w:val="FFFFFF" w:themeColor="background1"/>
              </w:rPr>
              <w:t>rys</w:t>
            </w:r>
            <w:proofErr w:type="spellEnd"/>
            <w:r w:rsidR="00D3158C">
              <w:rPr>
                <w:color w:val="FFFFFF" w:themeColor="background1"/>
              </w:rPr>
              <w:t xml:space="preserve">) and Insulin </w:t>
            </w:r>
            <w:proofErr w:type="spellStart"/>
            <w:r w:rsidR="00D3158C">
              <w:rPr>
                <w:color w:val="FFFFFF" w:themeColor="background1"/>
              </w:rPr>
              <w:t>aspart</w:t>
            </w:r>
            <w:proofErr w:type="spellEnd"/>
            <w:r w:rsidR="00D3158C">
              <w:rPr>
                <w:color w:val="FFFFFF" w:themeColor="background1"/>
              </w:rPr>
              <w:t xml:space="preserve"> (</w:t>
            </w:r>
            <w:proofErr w:type="spellStart"/>
            <w:r w:rsidR="00D3158C">
              <w:rPr>
                <w:color w:val="FFFFFF" w:themeColor="background1"/>
              </w:rPr>
              <w:t>rys</w:t>
            </w:r>
            <w:proofErr w:type="spellEnd"/>
            <w:r w:rsidR="00D3158C">
              <w:rPr>
                <w:color w:val="FFFFFF" w:themeColor="background1"/>
              </w:rPr>
              <w:t>)</w:t>
            </w:r>
          </w:p>
        </w:tc>
      </w:tr>
      <w:tr w:rsidR="0032583B" w:rsidRPr="00B64760" w14:paraId="6671FC65" w14:textId="77777777" w:rsidTr="0032583B">
        <w:tc>
          <w:tcPr>
            <w:tcW w:w="9079" w:type="dxa"/>
          </w:tcPr>
          <w:p w14:paraId="0EC99551" w14:textId="127C267F" w:rsidR="0032583B" w:rsidRPr="008E7846" w:rsidRDefault="00D3158C" w:rsidP="0032583B">
            <w:pPr>
              <w:pStyle w:val="Subtitle"/>
              <w:rPr>
                <w:color w:val="FFFFFF" w:themeColor="background1"/>
              </w:rPr>
            </w:pPr>
            <w:r>
              <w:rPr>
                <w:color w:val="FFFFFF" w:themeColor="background1"/>
              </w:rPr>
              <w:t>Propr</w:t>
            </w:r>
            <w:r w:rsidR="0033735A">
              <w:rPr>
                <w:color w:val="FFFFFF" w:themeColor="background1"/>
              </w:rPr>
              <w:t>ietary Product Name</w:t>
            </w:r>
            <w:r w:rsidR="00A77737">
              <w:rPr>
                <w:color w:val="FFFFFF" w:themeColor="background1"/>
              </w:rPr>
              <w:t>s</w:t>
            </w:r>
            <w:r w:rsidR="0033735A">
              <w:rPr>
                <w:color w:val="FFFFFF" w:themeColor="background1"/>
              </w:rPr>
              <w:t xml:space="preserve">: </w:t>
            </w:r>
            <w:proofErr w:type="spellStart"/>
            <w:r w:rsidR="0033735A">
              <w:rPr>
                <w:color w:val="FFFFFF" w:themeColor="background1"/>
              </w:rPr>
              <w:t>Ryzodeg</w:t>
            </w:r>
            <w:proofErr w:type="spellEnd"/>
            <w:r w:rsidR="0033735A">
              <w:rPr>
                <w:color w:val="FFFFFF" w:themeColor="background1"/>
              </w:rPr>
              <w:t xml:space="preserve"> 70/30 </w:t>
            </w:r>
            <w:r w:rsidR="00024A48">
              <w:rPr>
                <w:color w:val="FFFFFF" w:themeColor="background1"/>
              </w:rPr>
              <w:t>FlexTouch</w:t>
            </w:r>
            <w:r w:rsidR="0033735A">
              <w:rPr>
                <w:color w:val="FFFFFF" w:themeColor="background1"/>
              </w:rPr>
              <w:t xml:space="preserve">, </w:t>
            </w:r>
            <w:proofErr w:type="spellStart"/>
            <w:r w:rsidR="0033735A">
              <w:rPr>
                <w:color w:val="FFFFFF" w:themeColor="background1"/>
              </w:rPr>
              <w:t>Ryzodeg</w:t>
            </w:r>
            <w:proofErr w:type="spellEnd"/>
            <w:r w:rsidR="0033735A">
              <w:rPr>
                <w:color w:val="FFFFFF" w:themeColor="background1"/>
              </w:rPr>
              <w:t xml:space="preserve"> 70/30 </w:t>
            </w:r>
            <w:proofErr w:type="spellStart"/>
            <w:r w:rsidR="00024A48">
              <w:rPr>
                <w:color w:val="FFFFFF" w:themeColor="background1"/>
              </w:rPr>
              <w:t>Penfill</w:t>
            </w:r>
            <w:proofErr w:type="spellEnd"/>
          </w:p>
        </w:tc>
      </w:tr>
      <w:tr w:rsidR="0032583B" w:rsidRPr="00B64760" w14:paraId="3A2F8DAF" w14:textId="77777777" w:rsidTr="0032583B">
        <w:trPr>
          <w:trHeight w:val="486"/>
        </w:trPr>
        <w:tc>
          <w:tcPr>
            <w:tcW w:w="9079" w:type="dxa"/>
          </w:tcPr>
          <w:p w14:paraId="3DECA2D5" w14:textId="03EAC3D3" w:rsidR="0032583B" w:rsidRPr="0033735A" w:rsidRDefault="0033735A" w:rsidP="0033735A">
            <w:pPr>
              <w:pStyle w:val="Subtitle"/>
              <w:rPr>
                <w:color w:val="FFFFFF" w:themeColor="background1"/>
              </w:rPr>
            </w:pPr>
            <w:r w:rsidRPr="0033735A">
              <w:rPr>
                <w:color w:val="FFFFFF" w:themeColor="background1"/>
              </w:rPr>
              <w:t xml:space="preserve">Sponsor: </w:t>
            </w:r>
            <w:r w:rsidRPr="0033735A">
              <w:rPr>
                <w:rFonts w:eastAsiaTheme="minorHAnsi"/>
                <w:color w:val="FFFFFF" w:themeColor="background1"/>
              </w:rPr>
              <w:t>Novo Nordisk Pharmaceuticals Pty Ltd</w:t>
            </w:r>
          </w:p>
        </w:tc>
      </w:tr>
    </w:tbl>
    <w:p w14:paraId="4D5B5747" w14:textId="77777777" w:rsidR="008E7846" w:rsidRPr="0085156D" w:rsidRDefault="008E7846" w:rsidP="0085156D">
      <w:r w:rsidRPr="0085156D">
        <w:br w:type="page"/>
      </w:r>
    </w:p>
    <w:p w14:paraId="44301D6D" w14:textId="77777777" w:rsidR="008E7846" w:rsidRPr="001F6CBA" w:rsidRDefault="008E7846" w:rsidP="008E7846">
      <w:pPr>
        <w:pStyle w:val="NonTOCHeading2"/>
      </w:pPr>
      <w:r w:rsidRPr="001F6CBA">
        <w:lastRenderedPageBreak/>
        <w:t>About the Therapeutic Goods Administration (TGA)</w:t>
      </w:r>
    </w:p>
    <w:p w14:paraId="04E5C840" w14:textId="77777777" w:rsidR="008E7846" w:rsidRPr="00B05406" w:rsidRDefault="008E7846" w:rsidP="00B05406">
      <w:pPr>
        <w:pStyle w:val="ListBullet"/>
      </w:pPr>
      <w:r w:rsidRPr="00B05406">
        <w:t xml:space="preserve">The Therapeutic Goods Administration (TGA) is </w:t>
      </w:r>
      <w:r w:rsidR="00E624A5" w:rsidRPr="00B05406">
        <w:t xml:space="preserve">part </w:t>
      </w:r>
      <w:r w:rsidRPr="00B05406">
        <w:t>of the Australian Government Department of Health and is responsible for regulating medicines and medical devices.</w:t>
      </w:r>
    </w:p>
    <w:p w14:paraId="7E3FF711" w14:textId="77777777" w:rsidR="008E7846" w:rsidRPr="00B05406" w:rsidRDefault="00C80137" w:rsidP="00B05406">
      <w:pPr>
        <w:pStyle w:val="ListBullet"/>
      </w:pPr>
      <w:r w:rsidRPr="00B05406">
        <w:t xml:space="preserve">The </w:t>
      </w:r>
      <w:r w:rsidR="008E7846" w:rsidRPr="00B05406">
        <w:t>TGA administers the Therapeutic Goods Act 1989</w:t>
      </w:r>
      <w:r w:rsidR="00785717" w:rsidRPr="00B05406">
        <w:t xml:space="preserve"> (the Act)</w:t>
      </w:r>
      <w:r w:rsidR="008E7846" w:rsidRPr="00B05406">
        <w:t>, applying a risk management approach designed to ensure therapeutic goods supplied in Australia meet acceptable standards of quality, safety and efficacy (performance) when necessary.</w:t>
      </w:r>
    </w:p>
    <w:p w14:paraId="76F653BD" w14:textId="77777777" w:rsidR="008E7846" w:rsidRPr="00B05406" w:rsidRDefault="008E7846" w:rsidP="00B05406">
      <w:pPr>
        <w:pStyle w:val="ListBullet"/>
      </w:pPr>
      <w:r w:rsidRPr="00B05406">
        <w:t>The work of the TGA is based on applying scientific and clinical expertise to decision-making, to ensure that the benefits to consumers outweigh any risks associated with the use of medicines and medical devices.</w:t>
      </w:r>
    </w:p>
    <w:p w14:paraId="62F77092" w14:textId="77777777" w:rsidR="008E7846" w:rsidRPr="00B05406" w:rsidRDefault="008E7846" w:rsidP="00B05406">
      <w:pPr>
        <w:pStyle w:val="ListBullet"/>
      </w:pPr>
      <w:r w:rsidRPr="00B05406">
        <w:t>The TGA relies on the public, healthcare professionals and industry to report problems with medicines or medical devices. TGA investigates reports received by it to determine any necessary regulatory action.</w:t>
      </w:r>
    </w:p>
    <w:p w14:paraId="49A67511" w14:textId="77777777" w:rsidR="00441C3F" w:rsidRPr="00B05406" w:rsidRDefault="008E7846" w:rsidP="00B05406">
      <w:pPr>
        <w:pStyle w:val="ListBullet"/>
      </w:pPr>
      <w:r w:rsidRPr="00B05406">
        <w:t xml:space="preserve">To report a problem with a medicine or medical device, please see the information on </w:t>
      </w:r>
      <w:r w:rsidR="00441C3F" w:rsidRPr="00B05406">
        <w:t>the TGA website &lt;</w:t>
      </w:r>
      <w:hyperlink r:id="rId8" w:history="1">
        <w:r w:rsidR="00441C3F" w:rsidRPr="00B05406">
          <w:rPr>
            <w:rStyle w:val="Hyperlink"/>
            <w:color w:val="auto"/>
            <w:u w:val="none"/>
          </w:rPr>
          <w:t>https://www.tga.gov.au</w:t>
        </w:r>
      </w:hyperlink>
      <w:r w:rsidR="00441C3F" w:rsidRPr="00B05406">
        <w:t>&gt;.</w:t>
      </w:r>
    </w:p>
    <w:p w14:paraId="11E5F9D3" w14:textId="77777777" w:rsidR="008E7846" w:rsidRDefault="008E7846" w:rsidP="00875A6B">
      <w:pPr>
        <w:pStyle w:val="NonTOCHeading2"/>
      </w:pPr>
      <w:r>
        <w:t>About AusPARs</w:t>
      </w:r>
    </w:p>
    <w:p w14:paraId="3EADD5AA" w14:textId="77777777" w:rsidR="008E7846" w:rsidRPr="00B05406" w:rsidRDefault="008E7846" w:rsidP="00B05406">
      <w:pPr>
        <w:pStyle w:val="ListBullet"/>
      </w:pPr>
      <w:r w:rsidRPr="00B05406">
        <w:t>An Australian Public Assessment Re</w:t>
      </w:r>
      <w:r w:rsidR="00133A1B" w:rsidRPr="00B05406">
        <w:t>port</w:t>
      </w:r>
      <w:r w:rsidRPr="00B05406">
        <w:t xml:space="preserve"> (AusPAR) provides information about the evaluation of a prescription medicine and the considerations that led the TGA to approve or not approve a pr</w:t>
      </w:r>
      <w:r w:rsidR="00441C3F" w:rsidRPr="00B05406">
        <w:t>escription medicine submission.</w:t>
      </w:r>
    </w:p>
    <w:p w14:paraId="2DEAB593" w14:textId="77777777" w:rsidR="008E7846" w:rsidRPr="00B05406" w:rsidRDefault="008E7846" w:rsidP="00B05406">
      <w:pPr>
        <w:pStyle w:val="ListBullet"/>
      </w:pPr>
      <w:r w:rsidRPr="00B05406">
        <w:t>AusPARs are prepared and published by the TGA.</w:t>
      </w:r>
    </w:p>
    <w:p w14:paraId="20448193" w14:textId="77777777" w:rsidR="008E7846" w:rsidRPr="00B05406" w:rsidRDefault="008E7846" w:rsidP="00B05406">
      <w:pPr>
        <w:pStyle w:val="ListBullet"/>
      </w:pPr>
      <w:r w:rsidRPr="00B05406">
        <w:t>An AusPAR is prepared for submissions that relate to new chemical entities, generic medicines, major variations and extensions of indications.</w:t>
      </w:r>
    </w:p>
    <w:p w14:paraId="7F2BAE94" w14:textId="77777777" w:rsidR="008E7846" w:rsidRPr="00B05406" w:rsidRDefault="008E7846" w:rsidP="00B05406">
      <w:pPr>
        <w:pStyle w:val="ListBullet"/>
      </w:pPr>
      <w:r w:rsidRPr="00B05406">
        <w:t>An AusPAR is a static document</w:t>
      </w:r>
      <w:r w:rsidR="00133A1B" w:rsidRPr="00B05406">
        <w:t>;</w:t>
      </w:r>
      <w:r w:rsidRPr="00B05406">
        <w:t xml:space="preserve"> it provide</w:t>
      </w:r>
      <w:r w:rsidR="00133A1B" w:rsidRPr="00B05406">
        <w:t>s</w:t>
      </w:r>
      <w:r w:rsidRPr="00B05406">
        <w:t xml:space="preserve"> information that relates to a submission at a particular point in time.</w:t>
      </w:r>
    </w:p>
    <w:p w14:paraId="49D55D39" w14:textId="77777777" w:rsidR="00B452CE" w:rsidRPr="00B05406" w:rsidRDefault="008E7846" w:rsidP="00B05406">
      <w:pPr>
        <w:pStyle w:val="ListBullet"/>
      </w:pPr>
      <w:r w:rsidRPr="00B05406">
        <w:t>A new AusPAR will be developed to reflect changes to indications and/or major variations to a prescription medicine subject to evaluation by the TGA.</w:t>
      </w:r>
    </w:p>
    <w:p w14:paraId="19663E7C" w14:textId="77777777" w:rsidR="00924482" w:rsidRPr="00DF1D7F" w:rsidRDefault="00924482" w:rsidP="00F54B65">
      <w:pPr>
        <w:pStyle w:val="LegalSubheading"/>
        <w:spacing w:before="3120"/>
      </w:pPr>
      <w:r w:rsidRPr="00DF1D7F">
        <w:t>Copyright</w:t>
      </w:r>
    </w:p>
    <w:p w14:paraId="0277C84F" w14:textId="32364087" w:rsidR="00924482" w:rsidRDefault="00924482" w:rsidP="00924482">
      <w:pPr>
        <w:pStyle w:val="LegalCopy"/>
      </w:pPr>
      <w:r w:rsidRPr="00191B3B">
        <w:rPr>
          <w:rFonts w:cs="Arial"/>
          <w:lang w:val="en-GB"/>
        </w:rPr>
        <w:t>© Comm</w:t>
      </w:r>
      <w:r w:rsidR="00E0373B">
        <w:rPr>
          <w:rFonts w:cs="Arial"/>
          <w:lang w:val="en-GB"/>
        </w:rPr>
        <w:t>onwealth of Australia 2020</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9" w:history="1">
        <w:r w:rsidRPr="00191B3B">
          <w:rPr>
            <w:rStyle w:val="Hyperlink"/>
            <w:rFonts w:cs="Arial"/>
            <w:lang w:val="en-GB"/>
          </w:rPr>
          <w:t>tga.copyright@tga.gov.au</w:t>
        </w:r>
      </w:hyperlink>
      <w:r w:rsidRPr="00191B3B">
        <w:rPr>
          <w:rFonts w:cs="Arial"/>
        </w:rPr>
        <w:t>&gt;.</w:t>
      </w:r>
    </w:p>
    <w:p w14:paraId="484C2716" w14:textId="77777777" w:rsidR="00924482" w:rsidRDefault="00924482" w:rsidP="00924482">
      <w:pPr>
        <w:pStyle w:val="LegalCopy"/>
        <w:sectPr w:rsidR="00924482" w:rsidSect="003D1E62">
          <w:headerReference w:type="even" r:id="rId10"/>
          <w:headerReference w:type="default" r:id="rId11"/>
          <w:footerReference w:type="even" r:id="rId12"/>
          <w:footerReference w:type="default" r:id="rId13"/>
          <w:headerReference w:type="first" r:id="rId14"/>
          <w:footerReference w:type="first" r:id="rId15"/>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14:paraId="2C844D2A" w14:textId="77777777" w:rsidR="0089635C" w:rsidRPr="0089635C" w:rsidRDefault="0089635C" w:rsidP="0010788A">
          <w:pPr>
            <w:pStyle w:val="Contents"/>
          </w:pPr>
          <w:r w:rsidRPr="0010788A">
            <w:t>Co</w:t>
          </w:r>
          <w:bookmarkStart w:id="2" w:name="_GoBack"/>
          <w:bookmarkEnd w:id="2"/>
          <w:r w:rsidRPr="0010788A">
            <w:t>ntents</w:t>
          </w:r>
        </w:p>
        <w:p w14:paraId="4662A91B" w14:textId="3B91BEA6" w:rsidR="00C35C83" w:rsidRDefault="00960520">
          <w:pPr>
            <w:pStyle w:val="TOC2"/>
            <w:rPr>
              <w:rFonts w:asciiTheme="minorHAnsi" w:eastAsiaTheme="minorEastAsia" w:hAnsiTheme="minorHAnsi" w:cstheme="minorBidi"/>
              <w:b w:val="0"/>
              <w:noProof/>
              <w:sz w:val="22"/>
              <w:lang w:eastAsia="en-AU"/>
            </w:rPr>
          </w:pPr>
          <w:r>
            <w:fldChar w:fldCharType="begin"/>
          </w:r>
          <w:r>
            <w:instrText xml:space="preserve"> TOC \o "3-3" \h \z \t "Heading 1,1,Heading 2,2" </w:instrText>
          </w:r>
          <w:r>
            <w:fldChar w:fldCharType="separate"/>
          </w:r>
          <w:hyperlink w:anchor="_Toc47446833" w:history="1">
            <w:r w:rsidR="00C35C83" w:rsidRPr="00A35423">
              <w:rPr>
                <w:rStyle w:val="Hyperlink"/>
                <w:noProof/>
              </w:rPr>
              <w:t>Common abbreviations</w:t>
            </w:r>
            <w:r w:rsidR="00C35C83">
              <w:rPr>
                <w:noProof/>
                <w:webHidden/>
              </w:rPr>
              <w:tab/>
            </w:r>
            <w:r w:rsidR="00C35C83">
              <w:rPr>
                <w:noProof/>
                <w:webHidden/>
              </w:rPr>
              <w:fldChar w:fldCharType="begin"/>
            </w:r>
            <w:r w:rsidR="00C35C83">
              <w:rPr>
                <w:noProof/>
                <w:webHidden/>
              </w:rPr>
              <w:instrText xml:space="preserve"> PAGEREF _Toc47446833 \h </w:instrText>
            </w:r>
            <w:r w:rsidR="00C35C83">
              <w:rPr>
                <w:noProof/>
                <w:webHidden/>
              </w:rPr>
            </w:r>
            <w:r w:rsidR="00C35C83">
              <w:rPr>
                <w:noProof/>
                <w:webHidden/>
              </w:rPr>
              <w:fldChar w:fldCharType="separate"/>
            </w:r>
            <w:r w:rsidR="00C35C83">
              <w:rPr>
                <w:noProof/>
                <w:webHidden/>
              </w:rPr>
              <w:t>4</w:t>
            </w:r>
            <w:r w:rsidR="00C35C83">
              <w:rPr>
                <w:noProof/>
                <w:webHidden/>
              </w:rPr>
              <w:fldChar w:fldCharType="end"/>
            </w:r>
          </w:hyperlink>
        </w:p>
        <w:p w14:paraId="51FE3B70" w14:textId="68E2CA1D" w:rsidR="00C35C83" w:rsidRDefault="00C35C83">
          <w:pPr>
            <w:pStyle w:val="TOC2"/>
            <w:rPr>
              <w:rFonts w:asciiTheme="minorHAnsi" w:eastAsiaTheme="minorEastAsia" w:hAnsiTheme="minorHAnsi" w:cstheme="minorBidi"/>
              <w:b w:val="0"/>
              <w:noProof/>
              <w:sz w:val="22"/>
              <w:lang w:eastAsia="en-AU"/>
            </w:rPr>
          </w:pPr>
          <w:hyperlink w:anchor="_Toc47446834" w:history="1">
            <w:r w:rsidRPr="00A35423">
              <w:rPr>
                <w:rStyle w:val="Hyperlink"/>
                <w:noProof/>
              </w:rPr>
              <w:t>I. Introduction to product submission</w:t>
            </w:r>
            <w:r>
              <w:rPr>
                <w:noProof/>
                <w:webHidden/>
              </w:rPr>
              <w:tab/>
            </w:r>
            <w:r>
              <w:rPr>
                <w:noProof/>
                <w:webHidden/>
              </w:rPr>
              <w:fldChar w:fldCharType="begin"/>
            </w:r>
            <w:r>
              <w:rPr>
                <w:noProof/>
                <w:webHidden/>
              </w:rPr>
              <w:instrText xml:space="preserve"> PAGEREF _Toc47446834 \h </w:instrText>
            </w:r>
            <w:r>
              <w:rPr>
                <w:noProof/>
                <w:webHidden/>
              </w:rPr>
            </w:r>
            <w:r>
              <w:rPr>
                <w:noProof/>
                <w:webHidden/>
              </w:rPr>
              <w:fldChar w:fldCharType="separate"/>
            </w:r>
            <w:r>
              <w:rPr>
                <w:noProof/>
                <w:webHidden/>
              </w:rPr>
              <w:t>6</w:t>
            </w:r>
            <w:r>
              <w:rPr>
                <w:noProof/>
                <w:webHidden/>
              </w:rPr>
              <w:fldChar w:fldCharType="end"/>
            </w:r>
          </w:hyperlink>
        </w:p>
        <w:p w14:paraId="213B0E3B" w14:textId="6A20A3B2" w:rsidR="00C35C83" w:rsidRDefault="00C35C83">
          <w:pPr>
            <w:pStyle w:val="TOC3"/>
            <w:rPr>
              <w:rFonts w:asciiTheme="minorHAnsi" w:eastAsiaTheme="minorEastAsia" w:hAnsiTheme="minorHAnsi" w:cstheme="minorBidi"/>
              <w:noProof/>
              <w:lang w:eastAsia="en-AU"/>
            </w:rPr>
          </w:pPr>
          <w:hyperlink w:anchor="_Toc47446835" w:history="1">
            <w:r w:rsidRPr="00A35423">
              <w:rPr>
                <w:rStyle w:val="Hyperlink"/>
                <w:noProof/>
                <w:lang w:eastAsia="en-AU"/>
              </w:rPr>
              <w:t>Submission details</w:t>
            </w:r>
            <w:r>
              <w:rPr>
                <w:noProof/>
                <w:webHidden/>
              </w:rPr>
              <w:tab/>
            </w:r>
            <w:r>
              <w:rPr>
                <w:noProof/>
                <w:webHidden/>
              </w:rPr>
              <w:fldChar w:fldCharType="begin"/>
            </w:r>
            <w:r>
              <w:rPr>
                <w:noProof/>
                <w:webHidden/>
              </w:rPr>
              <w:instrText xml:space="preserve"> PAGEREF _Toc47446835 \h </w:instrText>
            </w:r>
            <w:r>
              <w:rPr>
                <w:noProof/>
                <w:webHidden/>
              </w:rPr>
            </w:r>
            <w:r>
              <w:rPr>
                <w:noProof/>
                <w:webHidden/>
              </w:rPr>
              <w:fldChar w:fldCharType="separate"/>
            </w:r>
            <w:r>
              <w:rPr>
                <w:noProof/>
                <w:webHidden/>
              </w:rPr>
              <w:t>6</w:t>
            </w:r>
            <w:r>
              <w:rPr>
                <w:noProof/>
                <w:webHidden/>
              </w:rPr>
              <w:fldChar w:fldCharType="end"/>
            </w:r>
          </w:hyperlink>
        </w:p>
        <w:p w14:paraId="719DBF67" w14:textId="56B9A845" w:rsidR="00C35C83" w:rsidRDefault="00C35C83">
          <w:pPr>
            <w:pStyle w:val="TOC3"/>
            <w:rPr>
              <w:rFonts w:asciiTheme="minorHAnsi" w:eastAsiaTheme="minorEastAsia" w:hAnsiTheme="minorHAnsi" w:cstheme="minorBidi"/>
              <w:noProof/>
              <w:lang w:eastAsia="en-AU"/>
            </w:rPr>
          </w:pPr>
          <w:hyperlink w:anchor="_Toc47446836" w:history="1">
            <w:r w:rsidRPr="00A35423">
              <w:rPr>
                <w:rStyle w:val="Hyperlink"/>
                <w:noProof/>
              </w:rPr>
              <w:t>Product background</w:t>
            </w:r>
            <w:r>
              <w:rPr>
                <w:noProof/>
                <w:webHidden/>
              </w:rPr>
              <w:tab/>
            </w:r>
            <w:r>
              <w:rPr>
                <w:noProof/>
                <w:webHidden/>
              </w:rPr>
              <w:fldChar w:fldCharType="begin"/>
            </w:r>
            <w:r>
              <w:rPr>
                <w:noProof/>
                <w:webHidden/>
              </w:rPr>
              <w:instrText xml:space="preserve"> PAGEREF _Toc47446836 \h </w:instrText>
            </w:r>
            <w:r>
              <w:rPr>
                <w:noProof/>
                <w:webHidden/>
              </w:rPr>
            </w:r>
            <w:r>
              <w:rPr>
                <w:noProof/>
                <w:webHidden/>
              </w:rPr>
              <w:fldChar w:fldCharType="separate"/>
            </w:r>
            <w:r>
              <w:rPr>
                <w:noProof/>
                <w:webHidden/>
              </w:rPr>
              <w:t>7</w:t>
            </w:r>
            <w:r>
              <w:rPr>
                <w:noProof/>
                <w:webHidden/>
              </w:rPr>
              <w:fldChar w:fldCharType="end"/>
            </w:r>
          </w:hyperlink>
        </w:p>
        <w:p w14:paraId="4BC4C7AE" w14:textId="4856006D" w:rsidR="00C35C83" w:rsidRDefault="00C35C83">
          <w:pPr>
            <w:pStyle w:val="TOC3"/>
            <w:rPr>
              <w:rFonts w:asciiTheme="minorHAnsi" w:eastAsiaTheme="minorEastAsia" w:hAnsiTheme="minorHAnsi" w:cstheme="minorBidi"/>
              <w:noProof/>
              <w:lang w:eastAsia="en-AU"/>
            </w:rPr>
          </w:pPr>
          <w:hyperlink w:anchor="_Toc47446837" w:history="1">
            <w:r w:rsidRPr="00A35423">
              <w:rPr>
                <w:rStyle w:val="Hyperlink"/>
                <w:noProof/>
              </w:rPr>
              <w:t>Regulatory status</w:t>
            </w:r>
            <w:r>
              <w:rPr>
                <w:noProof/>
                <w:webHidden/>
              </w:rPr>
              <w:tab/>
            </w:r>
            <w:r>
              <w:rPr>
                <w:noProof/>
                <w:webHidden/>
              </w:rPr>
              <w:fldChar w:fldCharType="begin"/>
            </w:r>
            <w:r>
              <w:rPr>
                <w:noProof/>
                <w:webHidden/>
              </w:rPr>
              <w:instrText xml:space="preserve"> PAGEREF _Toc47446837 \h </w:instrText>
            </w:r>
            <w:r>
              <w:rPr>
                <w:noProof/>
                <w:webHidden/>
              </w:rPr>
            </w:r>
            <w:r>
              <w:rPr>
                <w:noProof/>
                <w:webHidden/>
              </w:rPr>
              <w:fldChar w:fldCharType="separate"/>
            </w:r>
            <w:r>
              <w:rPr>
                <w:noProof/>
                <w:webHidden/>
              </w:rPr>
              <w:t>8</w:t>
            </w:r>
            <w:r>
              <w:rPr>
                <w:noProof/>
                <w:webHidden/>
              </w:rPr>
              <w:fldChar w:fldCharType="end"/>
            </w:r>
          </w:hyperlink>
        </w:p>
        <w:p w14:paraId="572D4264" w14:textId="1E596B24" w:rsidR="00C35C83" w:rsidRDefault="00C35C83">
          <w:pPr>
            <w:pStyle w:val="TOC3"/>
            <w:rPr>
              <w:rFonts w:asciiTheme="minorHAnsi" w:eastAsiaTheme="minorEastAsia" w:hAnsiTheme="minorHAnsi" w:cstheme="minorBidi"/>
              <w:noProof/>
              <w:lang w:eastAsia="en-AU"/>
            </w:rPr>
          </w:pPr>
          <w:hyperlink w:anchor="_Toc47446838" w:history="1">
            <w:r w:rsidRPr="00A35423">
              <w:rPr>
                <w:rStyle w:val="Hyperlink"/>
                <w:noProof/>
              </w:rPr>
              <w:t>Product Information</w:t>
            </w:r>
            <w:r>
              <w:rPr>
                <w:noProof/>
                <w:webHidden/>
              </w:rPr>
              <w:tab/>
            </w:r>
            <w:r>
              <w:rPr>
                <w:noProof/>
                <w:webHidden/>
              </w:rPr>
              <w:fldChar w:fldCharType="begin"/>
            </w:r>
            <w:r>
              <w:rPr>
                <w:noProof/>
                <w:webHidden/>
              </w:rPr>
              <w:instrText xml:space="preserve"> PAGEREF _Toc47446838 \h </w:instrText>
            </w:r>
            <w:r>
              <w:rPr>
                <w:noProof/>
                <w:webHidden/>
              </w:rPr>
            </w:r>
            <w:r>
              <w:rPr>
                <w:noProof/>
                <w:webHidden/>
              </w:rPr>
              <w:fldChar w:fldCharType="separate"/>
            </w:r>
            <w:r>
              <w:rPr>
                <w:noProof/>
                <w:webHidden/>
              </w:rPr>
              <w:t>9</w:t>
            </w:r>
            <w:r>
              <w:rPr>
                <w:noProof/>
                <w:webHidden/>
              </w:rPr>
              <w:fldChar w:fldCharType="end"/>
            </w:r>
          </w:hyperlink>
        </w:p>
        <w:p w14:paraId="7E58CA8B" w14:textId="4C2D5B44" w:rsidR="00C35C83" w:rsidRDefault="00C35C83">
          <w:pPr>
            <w:pStyle w:val="TOC2"/>
            <w:rPr>
              <w:rFonts w:asciiTheme="minorHAnsi" w:eastAsiaTheme="minorEastAsia" w:hAnsiTheme="minorHAnsi" w:cstheme="minorBidi"/>
              <w:b w:val="0"/>
              <w:noProof/>
              <w:sz w:val="22"/>
              <w:lang w:eastAsia="en-AU"/>
            </w:rPr>
          </w:pPr>
          <w:hyperlink w:anchor="_Toc47446839" w:history="1">
            <w:r w:rsidRPr="00A35423">
              <w:rPr>
                <w:rStyle w:val="Hyperlink"/>
                <w:noProof/>
              </w:rPr>
              <w:t>II. Registration timeline</w:t>
            </w:r>
            <w:r>
              <w:rPr>
                <w:noProof/>
                <w:webHidden/>
              </w:rPr>
              <w:tab/>
            </w:r>
            <w:r>
              <w:rPr>
                <w:noProof/>
                <w:webHidden/>
              </w:rPr>
              <w:fldChar w:fldCharType="begin"/>
            </w:r>
            <w:r>
              <w:rPr>
                <w:noProof/>
                <w:webHidden/>
              </w:rPr>
              <w:instrText xml:space="preserve"> PAGEREF _Toc47446839 \h </w:instrText>
            </w:r>
            <w:r>
              <w:rPr>
                <w:noProof/>
                <w:webHidden/>
              </w:rPr>
            </w:r>
            <w:r>
              <w:rPr>
                <w:noProof/>
                <w:webHidden/>
              </w:rPr>
              <w:fldChar w:fldCharType="separate"/>
            </w:r>
            <w:r>
              <w:rPr>
                <w:noProof/>
                <w:webHidden/>
              </w:rPr>
              <w:t>9</w:t>
            </w:r>
            <w:r>
              <w:rPr>
                <w:noProof/>
                <w:webHidden/>
              </w:rPr>
              <w:fldChar w:fldCharType="end"/>
            </w:r>
          </w:hyperlink>
        </w:p>
        <w:p w14:paraId="2F5F3CFE" w14:textId="636675CC" w:rsidR="00C35C83" w:rsidRDefault="00C35C83">
          <w:pPr>
            <w:pStyle w:val="TOC2"/>
            <w:rPr>
              <w:rFonts w:asciiTheme="minorHAnsi" w:eastAsiaTheme="minorEastAsia" w:hAnsiTheme="minorHAnsi" w:cstheme="minorBidi"/>
              <w:b w:val="0"/>
              <w:noProof/>
              <w:sz w:val="22"/>
              <w:lang w:eastAsia="en-AU"/>
            </w:rPr>
          </w:pPr>
          <w:hyperlink w:anchor="_Toc47446840" w:history="1">
            <w:r w:rsidRPr="00A35423">
              <w:rPr>
                <w:rStyle w:val="Hyperlink"/>
                <w:noProof/>
              </w:rPr>
              <w:t>III. Submission overview and risk/benefit assessment</w:t>
            </w:r>
            <w:r>
              <w:rPr>
                <w:noProof/>
                <w:webHidden/>
              </w:rPr>
              <w:tab/>
            </w:r>
            <w:r>
              <w:rPr>
                <w:noProof/>
                <w:webHidden/>
              </w:rPr>
              <w:fldChar w:fldCharType="begin"/>
            </w:r>
            <w:r>
              <w:rPr>
                <w:noProof/>
                <w:webHidden/>
              </w:rPr>
              <w:instrText xml:space="preserve"> PAGEREF _Toc47446840 \h </w:instrText>
            </w:r>
            <w:r>
              <w:rPr>
                <w:noProof/>
                <w:webHidden/>
              </w:rPr>
            </w:r>
            <w:r>
              <w:rPr>
                <w:noProof/>
                <w:webHidden/>
              </w:rPr>
              <w:fldChar w:fldCharType="separate"/>
            </w:r>
            <w:r>
              <w:rPr>
                <w:noProof/>
                <w:webHidden/>
              </w:rPr>
              <w:t>10</w:t>
            </w:r>
            <w:r>
              <w:rPr>
                <w:noProof/>
                <w:webHidden/>
              </w:rPr>
              <w:fldChar w:fldCharType="end"/>
            </w:r>
          </w:hyperlink>
        </w:p>
        <w:p w14:paraId="73B3B7E8" w14:textId="35836868" w:rsidR="00C35C83" w:rsidRDefault="00C35C83">
          <w:pPr>
            <w:pStyle w:val="TOC3"/>
            <w:rPr>
              <w:rFonts w:asciiTheme="minorHAnsi" w:eastAsiaTheme="minorEastAsia" w:hAnsiTheme="minorHAnsi" w:cstheme="minorBidi"/>
              <w:noProof/>
              <w:lang w:eastAsia="en-AU"/>
            </w:rPr>
          </w:pPr>
          <w:hyperlink w:anchor="_Toc47446841" w:history="1">
            <w:r w:rsidRPr="00A35423">
              <w:rPr>
                <w:rStyle w:val="Hyperlink"/>
                <w:noProof/>
              </w:rPr>
              <w:t>Quality</w:t>
            </w:r>
            <w:r>
              <w:rPr>
                <w:noProof/>
                <w:webHidden/>
              </w:rPr>
              <w:tab/>
            </w:r>
            <w:r>
              <w:rPr>
                <w:noProof/>
                <w:webHidden/>
              </w:rPr>
              <w:fldChar w:fldCharType="begin"/>
            </w:r>
            <w:r>
              <w:rPr>
                <w:noProof/>
                <w:webHidden/>
              </w:rPr>
              <w:instrText xml:space="preserve"> PAGEREF _Toc47446841 \h </w:instrText>
            </w:r>
            <w:r>
              <w:rPr>
                <w:noProof/>
                <w:webHidden/>
              </w:rPr>
            </w:r>
            <w:r>
              <w:rPr>
                <w:noProof/>
                <w:webHidden/>
              </w:rPr>
              <w:fldChar w:fldCharType="separate"/>
            </w:r>
            <w:r>
              <w:rPr>
                <w:noProof/>
                <w:webHidden/>
              </w:rPr>
              <w:t>10</w:t>
            </w:r>
            <w:r>
              <w:rPr>
                <w:noProof/>
                <w:webHidden/>
              </w:rPr>
              <w:fldChar w:fldCharType="end"/>
            </w:r>
          </w:hyperlink>
        </w:p>
        <w:p w14:paraId="50A3451A" w14:textId="12594256" w:rsidR="00C35C83" w:rsidRDefault="00C35C83">
          <w:pPr>
            <w:pStyle w:val="TOC3"/>
            <w:rPr>
              <w:rFonts w:asciiTheme="minorHAnsi" w:eastAsiaTheme="minorEastAsia" w:hAnsiTheme="minorHAnsi" w:cstheme="minorBidi"/>
              <w:noProof/>
              <w:lang w:eastAsia="en-AU"/>
            </w:rPr>
          </w:pPr>
          <w:hyperlink w:anchor="_Toc47446842" w:history="1">
            <w:r w:rsidRPr="00A35423">
              <w:rPr>
                <w:rStyle w:val="Hyperlink"/>
                <w:noProof/>
              </w:rPr>
              <w:t>Nonclinical</w:t>
            </w:r>
            <w:r>
              <w:rPr>
                <w:noProof/>
                <w:webHidden/>
              </w:rPr>
              <w:tab/>
            </w:r>
            <w:r>
              <w:rPr>
                <w:noProof/>
                <w:webHidden/>
              </w:rPr>
              <w:fldChar w:fldCharType="begin"/>
            </w:r>
            <w:r>
              <w:rPr>
                <w:noProof/>
                <w:webHidden/>
              </w:rPr>
              <w:instrText xml:space="preserve"> PAGEREF _Toc47446842 \h </w:instrText>
            </w:r>
            <w:r>
              <w:rPr>
                <w:noProof/>
                <w:webHidden/>
              </w:rPr>
            </w:r>
            <w:r>
              <w:rPr>
                <w:noProof/>
                <w:webHidden/>
              </w:rPr>
              <w:fldChar w:fldCharType="separate"/>
            </w:r>
            <w:r>
              <w:rPr>
                <w:noProof/>
                <w:webHidden/>
              </w:rPr>
              <w:t>10</w:t>
            </w:r>
            <w:r>
              <w:rPr>
                <w:noProof/>
                <w:webHidden/>
              </w:rPr>
              <w:fldChar w:fldCharType="end"/>
            </w:r>
          </w:hyperlink>
        </w:p>
        <w:p w14:paraId="229EE02C" w14:textId="428571B1" w:rsidR="00C35C83" w:rsidRDefault="00C35C83">
          <w:pPr>
            <w:pStyle w:val="TOC3"/>
            <w:rPr>
              <w:rFonts w:asciiTheme="minorHAnsi" w:eastAsiaTheme="minorEastAsia" w:hAnsiTheme="minorHAnsi" w:cstheme="minorBidi"/>
              <w:noProof/>
              <w:lang w:eastAsia="en-AU"/>
            </w:rPr>
          </w:pPr>
          <w:hyperlink w:anchor="_Toc47446843" w:history="1">
            <w:r w:rsidRPr="00A35423">
              <w:rPr>
                <w:rStyle w:val="Hyperlink"/>
                <w:noProof/>
              </w:rPr>
              <w:t>Clinical</w:t>
            </w:r>
            <w:r>
              <w:rPr>
                <w:noProof/>
                <w:webHidden/>
              </w:rPr>
              <w:tab/>
            </w:r>
            <w:r>
              <w:rPr>
                <w:noProof/>
                <w:webHidden/>
              </w:rPr>
              <w:fldChar w:fldCharType="begin"/>
            </w:r>
            <w:r>
              <w:rPr>
                <w:noProof/>
                <w:webHidden/>
              </w:rPr>
              <w:instrText xml:space="preserve"> PAGEREF _Toc47446843 \h </w:instrText>
            </w:r>
            <w:r>
              <w:rPr>
                <w:noProof/>
                <w:webHidden/>
              </w:rPr>
            </w:r>
            <w:r>
              <w:rPr>
                <w:noProof/>
                <w:webHidden/>
              </w:rPr>
              <w:fldChar w:fldCharType="separate"/>
            </w:r>
            <w:r>
              <w:rPr>
                <w:noProof/>
                <w:webHidden/>
              </w:rPr>
              <w:t>10</w:t>
            </w:r>
            <w:r>
              <w:rPr>
                <w:noProof/>
                <w:webHidden/>
              </w:rPr>
              <w:fldChar w:fldCharType="end"/>
            </w:r>
          </w:hyperlink>
        </w:p>
        <w:p w14:paraId="440AB6C6" w14:textId="4E89AA37" w:rsidR="00C35C83" w:rsidRDefault="00C35C83">
          <w:pPr>
            <w:pStyle w:val="TOC3"/>
            <w:rPr>
              <w:rFonts w:asciiTheme="minorHAnsi" w:eastAsiaTheme="minorEastAsia" w:hAnsiTheme="minorHAnsi" w:cstheme="minorBidi"/>
              <w:noProof/>
              <w:lang w:eastAsia="en-AU"/>
            </w:rPr>
          </w:pPr>
          <w:hyperlink w:anchor="_Toc47446844" w:history="1">
            <w:r w:rsidRPr="00A35423">
              <w:rPr>
                <w:rStyle w:val="Hyperlink"/>
                <w:noProof/>
                <w:lang w:eastAsia="en-AU"/>
              </w:rPr>
              <w:t>Risk management plan</w:t>
            </w:r>
            <w:r>
              <w:rPr>
                <w:noProof/>
                <w:webHidden/>
              </w:rPr>
              <w:tab/>
            </w:r>
            <w:r>
              <w:rPr>
                <w:noProof/>
                <w:webHidden/>
              </w:rPr>
              <w:fldChar w:fldCharType="begin"/>
            </w:r>
            <w:r>
              <w:rPr>
                <w:noProof/>
                <w:webHidden/>
              </w:rPr>
              <w:instrText xml:space="preserve"> PAGEREF _Toc47446844 \h </w:instrText>
            </w:r>
            <w:r>
              <w:rPr>
                <w:noProof/>
                <w:webHidden/>
              </w:rPr>
            </w:r>
            <w:r>
              <w:rPr>
                <w:noProof/>
                <w:webHidden/>
              </w:rPr>
              <w:fldChar w:fldCharType="separate"/>
            </w:r>
            <w:r>
              <w:rPr>
                <w:noProof/>
                <w:webHidden/>
              </w:rPr>
              <w:t>16</w:t>
            </w:r>
            <w:r>
              <w:rPr>
                <w:noProof/>
                <w:webHidden/>
              </w:rPr>
              <w:fldChar w:fldCharType="end"/>
            </w:r>
          </w:hyperlink>
        </w:p>
        <w:p w14:paraId="6A12AC02" w14:textId="5220EA15" w:rsidR="00C35C83" w:rsidRDefault="00C35C83">
          <w:pPr>
            <w:pStyle w:val="TOC3"/>
            <w:rPr>
              <w:rFonts w:asciiTheme="minorHAnsi" w:eastAsiaTheme="minorEastAsia" w:hAnsiTheme="minorHAnsi" w:cstheme="minorBidi"/>
              <w:noProof/>
              <w:lang w:eastAsia="en-AU"/>
            </w:rPr>
          </w:pPr>
          <w:hyperlink w:anchor="_Toc47446845" w:history="1">
            <w:r w:rsidRPr="00A35423">
              <w:rPr>
                <w:rStyle w:val="Hyperlink"/>
                <w:noProof/>
              </w:rPr>
              <w:t>Risk-benefit analysis</w:t>
            </w:r>
            <w:r>
              <w:rPr>
                <w:noProof/>
                <w:webHidden/>
              </w:rPr>
              <w:tab/>
            </w:r>
            <w:r>
              <w:rPr>
                <w:noProof/>
                <w:webHidden/>
              </w:rPr>
              <w:fldChar w:fldCharType="begin"/>
            </w:r>
            <w:r>
              <w:rPr>
                <w:noProof/>
                <w:webHidden/>
              </w:rPr>
              <w:instrText xml:space="preserve"> PAGEREF _Toc47446845 \h </w:instrText>
            </w:r>
            <w:r>
              <w:rPr>
                <w:noProof/>
                <w:webHidden/>
              </w:rPr>
            </w:r>
            <w:r>
              <w:rPr>
                <w:noProof/>
                <w:webHidden/>
              </w:rPr>
              <w:fldChar w:fldCharType="separate"/>
            </w:r>
            <w:r>
              <w:rPr>
                <w:noProof/>
                <w:webHidden/>
              </w:rPr>
              <w:t>17</w:t>
            </w:r>
            <w:r>
              <w:rPr>
                <w:noProof/>
                <w:webHidden/>
              </w:rPr>
              <w:fldChar w:fldCharType="end"/>
            </w:r>
          </w:hyperlink>
        </w:p>
        <w:p w14:paraId="695DC003" w14:textId="6211DA9C" w:rsidR="00C35C83" w:rsidRDefault="00C35C83">
          <w:pPr>
            <w:pStyle w:val="TOC3"/>
            <w:rPr>
              <w:rFonts w:asciiTheme="minorHAnsi" w:eastAsiaTheme="minorEastAsia" w:hAnsiTheme="minorHAnsi" w:cstheme="minorBidi"/>
              <w:noProof/>
              <w:lang w:eastAsia="en-AU"/>
            </w:rPr>
          </w:pPr>
          <w:hyperlink w:anchor="_Toc47446846" w:history="1">
            <w:r w:rsidRPr="00A35423">
              <w:rPr>
                <w:rStyle w:val="Hyperlink"/>
                <w:noProof/>
              </w:rPr>
              <w:t>Outcome</w:t>
            </w:r>
            <w:r>
              <w:rPr>
                <w:noProof/>
                <w:webHidden/>
              </w:rPr>
              <w:tab/>
            </w:r>
            <w:r>
              <w:rPr>
                <w:noProof/>
                <w:webHidden/>
              </w:rPr>
              <w:fldChar w:fldCharType="begin"/>
            </w:r>
            <w:r>
              <w:rPr>
                <w:noProof/>
                <w:webHidden/>
              </w:rPr>
              <w:instrText xml:space="preserve"> PAGEREF _Toc47446846 \h </w:instrText>
            </w:r>
            <w:r>
              <w:rPr>
                <w:noProof/>
                <w:webHidden/>
              </w:rPr>
            </w:r>
            <w:r>
              <w:rPr>
                <w:noProof/>
                <w:webHidden/>
              </w:rPr>
              <w:fldChar w:fldCharType="separate"/>
            </w:r>
            <w:r>
              <w:rPr>
                <w:noProof/>
                <w:webHidden/>
              </w:rPr>
              <w:t>19</w:t>
            </w:r>
            <w:r>
              <w:rPr>
                <w:noProof/>
                <w:webHidden/>
              </w:rPr>
              <w:fldChar w:fldCharType="end"/>
            </w:r>
          </w:hyperlink>
        </w:p>
        <w:p w14:paraId="4C9C1386" w14:textId="357FDFF1" w:rsidR="00C35C83" w:rsidRDefault="00C35C83">
          <w:pPr>
            <w:pStyle w:val="TOC2"/>
            <w:rPr>
              <w:rFonts w:asciiTheme="minorHAnsi" w:eastAsiaTheme="minorEastAsia" w:hAnsiTheme="minorHAnsi" w:cstheme="minorBidi"/>
              <w:b w:val="0"/>
              <w:noProof/>
              <w:sz w:val="22"/>
              <w:lang w:eastAsia="en-AU"/>
            </w:rPr>
          </w:pPr>
          <w:hyperlink w:anchor="_Toc47446847" w:history="1">
            <w:r w:rsidRPr="00A35423">
              <w:rPr>
                <w:rStyle w:val="Hyperlink"/>
                <w:noProof/>
              </w:rPr>
              <w:t>Attachment 1. Product Information</w:t>
            </w:r>
            <w:r>
              <w:rPr>
                <w:noProof/>
                <w:webHidden/>
              </w:rPr>
              <w:tab/>
            </w:r>
            <w:r>
              <w:rPr>
                <w:noProof/>
                <w:webHidden/>
              </w:rPr>
              <w:fldChar w:fldCharType="begin"/>
            </w:r>
            <w:r>
              <w:rPr>
                <w:noProof/>
                <w:webHidden/>
              </w:rPr>
              <w:instrText xml:space="preserve"> PAGEREF _Toc47446847 \h </w:instrText>
            </w:r>
            <w:r>
              <w:rPr>
                <w:noProof/>
                <w:webHidden/>
              </w:rPr>
            </w:r>
            <w:r>
              <w:rPr>
                <w:noProof/>
                <w:webHidden/>
              </w:rPr>
              <w:fldChar w:fldCharType="separate"/>
            </w:r>
            <w:r>
              <w:rPr>
                <w:noProof/>
                <w:webHidden/>
              </w:rPr>
              <w:t>20</w:t>
            </w:r>
            <w:r>
              <w:rPr>
                <w:noProof/>
                <w:webHidden/>
              </w:rPr>
              <w:fldChar w:fldCharType="end"/>
            </w:r>
          </w:hyperlink>
        </w:p>
        <w:p w14:paraId="2181D492" w14:textId="5A6A9854" w:rsidR="003A7F6C" w:rsidRPr="00B811C6" w:rsidRDefault="00960520" w:rsidP="00B811C6">
          <w:pPr>
            <w:pStyle w:val="TOC2"/>
          </w:pPr>
          <w:r>
            <w:fldChar w:fldCharType="end"/>
          </w:r>
        </w:p>
      </w:sdtContent>
    </w:sdt>
    <w:bookmarkStart w:id="3" w:name="_Toc314842482" w:displacedByCustomXml="prev"/>
    <w:p w14:paraId="0CC4A34F" w14:textId="77777777" w:rsidR="00FD119B" w:rsidRDefault="00FD119B">
      <w:pPr>
        <w:spacing w:before="0" w:after="200" w:line="0" w:lineRule="auto"/>
      </w:pPr>
      <w:r>
        <w:br w:type="page"/>
      </w:r>
    </w:p>
    <w:p w14:paraId="6EB9BF00" w14:textId="77777777" w:rsidR="00FD119B" w:rsidRDefault="00441C3F" w:rsidP="004F0C4A">
      <w:pPr>
        <w:pStyle w:val="Heading2"/>
      </w:pPr>
      <w:bookmarkStart w:id="4" w:name="_Toc351716269"/>
      <w:bookmarkStart w:id="5" w:name="_Toc351718881"/>
      <w:bookmarkStart w:id="6" w:name="_Toc355338616"/>
      <w:bookmarkStart w:id="7" w:name="_Toc356306144"/>
      <w:bookmarkStart w:id="8" w:name="_Toc47446833"/>
      <w:r>
        <w:lastRenderedPageBreak/>
        <w:t>Common</w:t>
      </w:r>
      <w:r w:rsidR="00FD119B" w:rsidRPr="00FD119B">
        <w:t xml:space="preserve"> abbreviations</w:t>
      </w:r>
      <w:bookmarkEnd w:id="4"/>
      <w:bookmarkEnd w:id="5"/>
      <w:bookmarkEnd w:id="6"/>
      <w:bookmarkEnd w:id="7"/>
      <w:bookmarkEnd w:id="8"/>
    </w:p>
    <w:tbl>
      <w:tblPr>
        <w:tblStyle w:val="TableTGAblue"/>
        <w:tblW w:w="8755" w:type="dxa"/>
        <w:tblLook w:val="04A0" w:firstRow="1" w:lastRow="0" w:firstColumn="1" w:lastColumn="0" w:noHBand="0" w:noVBand="1"/>
      </w:tblPr>
      <w:tblGrid>
        <w:gridCol w:w="1890"/>
        <w:gridCol w:w="6865"/>
      </w:tblGrid>
      <w:tr w:rsidR="00FE3DFE" w:rsidRPr="0005733C" w14:paraId="074A7D65" w14:textId="77777777" w:rsidTr="00907E9E">
        <w:trPr>
          <w:cnfStyle w:val="100000000000" w:firstRow="1" w:lastRow="0" w:firstColumn="0" w:lastColumn="0" w:oddVBand="0" w:evenVBand="0" w:oddHBand="0" w:evenHBand="0" w:firstRowFirstColumn="0" w:firstRowLastColumn="0" w:lastRowFirstColumn="0" w:lastRowLastColumn="0"/>
        </w:trPr>
        <w:tc>
          <w:tcPr>
            <w:tcW w:w="0" w:type="auto"/>
          </w:tcPr>
          <w:p w14:paraId="4E440739" w14:textId="77777777" w:rsidR="00FE3DFE" w:rsidRPr="0005733C" w:rsidRDefault="00FE3DFE" w:rsidP="00907E9E">
            <w:r w:rsidRPr="00FD119B">
              <w:rPr>
                <w:szCs w:val="22"/>
                <w:lang w:eastAsia="en-US"/>
              </w:rPr>
              <w:t>Abbreviation</w:t>
            </w:r>
          </w:p>
        </w:tc>
        <w:tc>
          <w:tcPr>
            <w:tcW w:w="6865" w:type="dxa"/>
          </w:tcPr>
          <w:p w14:paraId="22D60354" w14:textId="77777777" w:rsidR="00FE3DFE" w:rsidRPr="0005733C" w:rsidRDefault="00FE3DFE" w:rsidP="0005733C">
            <w:r w:rsidRPr="00FD119B">
              <w:rPr>
                <w:szCs w:val="22"/>
                <w:lang w:eastAsia="en-US"/>
              </w:rPr>
              <w:t>Meaning</w:t>
            </w:r>
          </w:p>
        </w:tc>
      </w:tr>
      <w:tr w:rsidR="00FE3DFE" w:rsidRPr="0005733C" w14:paraId="51BC4D69" w14:textId="77777777" w:rsidTr="00907E9E">
        <w:tc>
          <w:tcPr>
            <w:tcW w:w="0" w:type="auto"/>
          </w:tcPr>
          <w:p w14:paraId="4FB930EE" w14:textId="77777777" w:rsidR="00FE3DFE" w:rsidRPr="007873F7" w:rsidRDefault="00FE3DFE" w:rsidP="0005733C">
            <w:r>
              <w:t>ACM</w:t>
            </w:r>
          </w:p>
        </w:tc>
        <w:tc>
          <w:tcPr>
            <w:tcW w:w="6865" w:type="dxa"/>
          </w:tcPr>
          <w:p w14:paraId="0E96FEDE" w14:textId="21D95B12" w:rsidR="00FE3DFE" w:rsidRPr="007873F7" w:rsidRDefault="00FE3DFE" w:rsidP="00FF18EF">
            <w:r>
              <w:rPr>
                <w:bCs/>
              </w:rPr>
              <w:t>Advisory Committee on Medicines</w:t>
            </w:r>
          </w:p>
        </w:tc>
      </w:tr>
      <w:tr w:rsidR="00FE3DFE" w:rsidRPr="0005733C" w14:paraId="74D838E0" w14:textId="77777777" w:rsidTr="00907E9E">
        <w:tc>
          <w:tcPr>
            <w:tcW w:w="0" w:type="auto"/>
          </w:tcPr>
          <w:p w14:paraId="342D8619" w14:textId="77777777" w:rsidR="00FE3DFE" w:rsidRDefault="00FE3DFE" w:rsidP="0005733C">
            <w:pPr>
              <w:rPr>
                <w:lang w:eastAsia="ja-JP"/>
              </w:rPr>
            </w:pPr>
            <w:r>
              <w:rPr>
                <w:lang w:eastAsia="ja-JP"/>
              </w:rPr>
              <w:t>ARTG</w:t>
            </w:r>
          </w:p>
        </w:tc>
        <w:tc>
          <w:tcPr>
            <w:tcW w:w="6865" w:type="dxa"/>
          </w:tcPr>
          <w:p w14:paraId="517E498B" w14:textId="77777777" w:rsidR="00FE3DFE" w:rsidRDefault="00FE3DFE" w:rsidP="0005733C">
            <w:pPr>
              <w:rPr>
                <w:lang w:eastAsia="ja-JP"/>
              </w:rPr>
            </w:pPr>
            <w:r w:rsidRPr="00940A89">
              <w:t>Australian Register</w:t>
            </w:r>
            <w:r>
              <w:t xml:space="preserve"> of Therapeutic Goods</w:t>
            </w:r>
          </w:p>
        </w:tc>
      </w:tr>
      <w:tr w:rsidR="00FE3DFE" w:rsidRPr="0005733C" w14:paraId="52729B49" w14:textId="77777777" w:rsidTr="00907E9E">
        <w:tc>
          <w:tcPr>
            <w:tcW w:w="0" w:type="auto"/>
          </w:tcPr>
          <w:p w14:paraId="260AF259" w14:textId="77777777" w:rsidR="00FE3DFE" w:rsidRPr="007873F7" w:rsidRDefault="00FE3DFE" w:rsidP="0005733C">
            <w:r>
              <w:t>ASA</w:t>
            </w:r>
          </w:p>
        </w:tc>
        <w:tc>
          <w:tcPr>
            <w:tcW w:w="6865" w:type="dxa"/>
          </w:tcPr>
          <w:p w14:paraId="0CFFF54F" w14:textId="6ABB30B5" w:rsidR="00FE3DFE" w:rsidRPr="007873F7" w:rsidRDefault="00FE3DFE" w:rsidP="00FF18EF">
            <w:r>
              <w:t xml:space="preserve">Australian </w:t>
            </w:r>
            <w:r w:rsidR="00A77737">
              <w:t>s</w:t>
            </w:r>
            <w:r>
              <w:t>pecific Annex</w:t>
            </w:r>
          </w:p>
        </w:tc>
      </w:tr>
      <w:tr w:rsidR="00FE3DFE" w:rsidRPr="0005733C" w14:paraId="06537714" w14:textId="77777777" w:rsidTr="00907E9E">
        <w:tc>
          <w:tcPr>
            <w:tcW w:w="0" w:type="auto"/>
          </w:tcPr>
          <w:p w14:paraId="11BC1338" w14:textId="77777777" w:rsidR="00FE3DFE" w:rsidRDefault="00FE3DFE" w:rsidP="0005733C">
            <w:pPr>
              <w:rPr>
                <w:lang w:eastAsia="ja-JP"/>
              </w:rPr>
            </w:pPr>
            <w:r>
              <w:rPr>
                <w:lang w:eastAsia="ja-JP"/>
              </w:rPr>
              <w:t>AUC</w:t>
            </w:r>
          </w:p>
        </w:tc>
        <w:tc>
          <w:tcPr>
            <w:tcW w:w="6865" w:type="dxa"/>
          </w:tcPr>
          <w:p w14:paraId="7739FAB2" w14:textId="77777777" w:rsidR="00FE3DFE" w:rsidRDefault="00FE3DFE" w:rsidP="0005733C">
            <w:r>
              <w:t>Area under the curve</w:t>
            </w:r>
          </w:p>
        </w:tc>
      </w:tr>
      <w:tr w:rsidR="00FE3DFE" w:rsidRPr="0005733C" w14:paraId="412BFABD" w14:textId="77777777" w:rsidTr="00907E9E">
        <w:tc>
          <w:tcPr>
            <w:tcW w:w="0" w:type="auto"/>
          </w:tcPr>
          <w:p w14:paraId="4B0BE9D8" w14:textId="77777777" w:rsidR="00FE3DFE" w:rsidRPr="0005733C" w:rsidRDefault="00FE3DFE" w:rsidP="0005733C">
            <w:pPr>
              <w:rPr>
                <w:lang w:eastAsia="ja-JP"/>
              </w:rPr>
            </w:pPr>
            <w:r w:rsidRPr="0005733C">
              <w:rPr>
                <w:lang w:eastAsia="ja-JP"/>
              </w:rPr>
              <w:t>BMI</w:t>
            </w:r>
          </w:p>
        </w:tc>
        <w:tc>
          <w:tcPr>
            <w:tcW w:w="6865" w:type="dxa"/>
          </w:tcPr>
          <w:p w14:paraId="2316EA6C" w14:textId="77777777" w:rsidR="00FE3DFE" w:rsidRPr="0005733C" w:rsidRDefault="00FE3DFE" w:rsidP="0005733C">
            <w:pPr>
              <w:rPr>
                <w:lang w:eastAsia="ja-JP"/>
              </w:rPr>
            </w:pPr>
            <w:r w:rsidRPr="0005733C">
              <w:rPr>
                <w:lang w:eastAsia="ja-JP"/>
              </w:rPr>
              <w:t>Body mass index</w:t>
            </w:r>
          </w:p>
        </w:tc>
      </w:tr>
      <w:tr w:rsidR="00FE3DFE" w:rsidRPr="0005733C" w14:paraId="3A5CFEC5" w14:textId="77777777" w:rsidTr="00907E9E">
        <w:tc>
          <w:tcPr>
            <w:tcW w:w="0" w:type="auto"/>
          </w:tcPr>
          <w:p w14:paraId="4F3F05C4" w14:textId="77777777" w:rsidR="00FE3DFE" w:rsidRPr="0005733C" w:rsidRDefault="00FE3DFE" w:rsidP="0005733C">
            <w:pPr>
              <w:rPr>
                <w:lang w:eastAsia="ja-JP"/>
              </w:rPr>
            </w:pPr>
            <w:r w:rsidRPr="0005733C">
              <w:rPr>
                <w:lang w:eastAsia="ja-JP"/>
              </w:rPr>
              <w:t>CI</w:t>
            </w:r>
          </w:p>
        </w:tc>
        <w:tc>
          <w:tcPr>
            <w:tcW w:w="6865" w:type="dxa"/>
          </w:tcPr>
          <w:p w14:paraId="3FCD19A1" w14:textId="77777777" w:rsidR="00FE3DFE" w:rsidRPr="0005733C" w:rsidRDefault="00FE3DFE" w:rsidP="0005733C">
            <w:pPr>
              <w:rPr>
                <w:lang w:eastAsia="ja-JP"/>
              </w:rPr>
            </w:pPr>
            <w:r w:rsidRPr="0005733C">
              <w:rPr>
                <w:lang w:eastAsia="ja-JP"/>
              </w:rPr>
              <w:t>Confidence interval</w:t>
            </w:r>
          </w:p>
        </w:tc>
      </w:tr>
      <w:tr w:rsidR="00FE3DFE" w:rsidRPr="0005733C" w14:paraId="2117E564" w14:textId="77777777" w:rsidTr="00907E9E">
        <w:tc>
          <w:tcPr>
            <w:tcW w:w="0" w:type="auto"/>
          </w:tcPr>
          <w:p w14:paraId="731EB1BA" w14:textId="77777777" w:rsidR="00FE3DFE" w:rsidRDefault="00FE3DFE" w:rsidP="0005733C">
            <w:pPr>
              <w:rPr>
                <w:lang w:eastAsia="ja-JP"/>
              </w:rPr>
            </w:pPr>
            <w:proofErr w:type="spellStart"/>
            <w:r>
              <w:rPr>
                <w:lang w:eastAsia="ja-JP"/>
              </w:rPr>
              <w:t>C</w:t>
            </w:r>
            <w:r w:rsidRPr="001B768B">
              <w:rPr>
                <w:vertAlign w:val="subscript"/>
                <w:lang w:eastAsia="ja-JP"/>
              </w:rPr>
              <w:t>max</w:t>
            </w:r>
            <w:proofErr w:type="spellEnd"/>
          </w:p>
        </w:tc>
        <w:tc>
          <w:tcPr>
            <w:tcW w:w="6865" w:type="dxa"/>
          </w:tcPr>
          <w:p w14:paraId="7B951372" w14:textId="77777777" w:rsidR="00FE3DFE" w:rsidRDefault="00FE3DFE" w:rsidP="0005733C">
            <w:r>
              <w:t>Maximum observed concentration</w:t>
            </w:r>
          </w:p>
        </w:tc>
      </w:tr>
      <w:tr w:rsidR="00FE3DFE" w:rsidRPr="0005733C" w14:paraId="47C6A6C6" w14:textId="77777777" w:rsidTr="00907E9E">
        <w:tc>
          <w:tcPr>
            <w:tcW w:w="0" w:type="auto"/>
          </w:tcPr>
          <w:p w14:paraId="7AD4A180" w14:textId="77777777" w:rsidR="00FE3DFE" w:rsidRPr="0005733C" w:rsidRDefault="00FE3DFE" w:rsidP="0005733C">
            <w:pPr>
              <w:rPr>
                <w:lang w:eastAsia="ja-JP"/>
              </w:rPr>
            </w:pPr>
            <w:r>
              <w:rPr>
                <w:lang w:eastAsia="ja-JP"/>
              </w:rPr>
              <w:t>CMI</w:t>
            </w:r>
          </w:p>
        </w:tc>
        <w:tc>
          <w:tcPr>
            <w:tcW w:w="6865" w:type="dxa"/>
          </w:tcPr>
          <w:p w14:paraId="4A44ADA6" w14:textId="77777777" w:rsidR="00FE3DFE" w:rsidRPr="0005733C" w:rsidRDefault="00FE3DFE" w:rsidP="0005733C">
            <w:pPr>
              <w:rPr>
                <w:lang w:eastAsia="ja-JP"/>
              </w:rPr>
            </w:pPr>
            <w:r>
              <w:rPr>
                <w:lang w:eastAsia="ja-JP"/>
              </w:rPr>
              <w:t>Consumer Medicines Information</w:t>
            </w:r>
          </w:p>
        </w:tc>
      </w:tr>
      <w:tr w:rsidR="00FE3DFE" w:rsidRPr="0005733C" w14:paraId="439C1873" w14:textId="77777777" w:rsidTr="00907E9E">
        <w:tc>
          <w:tcPr>
            <w:tcW w:w="0" w:type="auto"/>
          </w:tcPr>
          <w:p w14:paraId="2AF8E23B" w14:textId="77777777" w:rsidR="00FE3DFE" w:rsidRPr="007873F7" w:rsidRDefault="00FE3DFE" w:rsidP="0005733C">
            <w:r>
              <w:t>DLP</w:t>
            </w:r>
          </w:p>
        </w:tc>
        <w:tc>
          <w:tcPr>
            <w:tcW w:w="6865" w:type="dxa"/>
          </w:tcPr>
          <w:p w14:paraId="290BC548" w14:textId="77777777" w:rsidR="00FE3DFE" w:rsidRPr="007873F7" w:rsidRDefault="00FE3DFE" w:rsidP="00FF18EF">
            <w:r>
              <w:t>Data lock point</w:t>
            </w:r>
          </w:p>
        </w:tc>
      </w:tr>
      <w:tr w:rsidR="00FE3DFE" w:rsidRPr="0005733C" w14:paraId="6B3B1F53" w14:textId="77777777" w:rsidTr="00907E9E">
        <w:tc>
          <w:tcPr>
            <w:tcW w:w="0" w:type="auto"/>
          </w:tcPr>
          <w:p w14:paraId="5662BD95" w14:textId="77777777" w:rsidR="00FE3DFE" w:rsidRPr="0005733C" w:rsidRDefault="00FE3DFE" w:rsidP="0005733C">
            <w:pPr>
              <w:rPr>
                <w:lang w:eastAsia="ja-JP"/>
              </w:rPr>
            </w:pPr>
            <w:r w:rsidRPr="0005733C">
              <w:rPr>
                <w:lang w:eastAsia="ja-JP"/>
              </w:rPr>
              <w:t>EMA</w:t>
            </w:r>
          </w:p>
        </w:tc>
        <w:tc>
          <w:tcPr>
            <w:tcW w:w="6865" w:type="dxa"/>
          </w:tcPr>
          <w:p w14:paraId="250FD3BF" w14:textId="6BFDD81A" w:rsidR="00FE3DFE" w:rsidRPr="0005733C" w:rsidRDefault="00FE3DFE" w:rsidP="0005733C">
            <w:pPr>
              <w:rPr>
                <w:lang w:eastAsia="ja-JP"/>
              </w:rPr>
            </w:pPr>
            <w:r w:rsidRPr="0005733C">
              <w:rPr>
                <w:lang w:eastAsia="ja-JP"/>
              </w:rPr>
              <w:t>European Medicines Agency</w:t>
            </w:r>
            <w:r w:rsidR="00A77737">
              <w:rPr>
                <w:lang w:eastAsia="ja-JP"/>
              </w:rPr>
              <w:t xml:space="preserve"> (European Union)</w:t>
            </w:r>
          </w:p>
        </w:tc>
      </w:tr>
      <w:tr w:rsidR="00FE3DFE" w:rsidRPr="0005733C" w14:paraId="3FC22A0B" w14:textId="77777777" w:rsidTr="00907E9E">
        <w:tc>
          <w:tcPr>
            <w:tcW w:w="0" w:type="auto"/>
          </w:tcPr>
          <w:p w14:paraId="562DA44B" w14:textId="77777777" w:rsidR="00FE3DFE" w:rsidRPr="0005733C" w:rsidRDefault="00FE3DFE" w:rsidP="0005733C">
            <w:pPr>
              <w:rPr>
                <w:lang w:eastAsia="ja-JP"/>
              </w:rPr>
            </w:pPr>
            <w:r w:rsidRPr="0005733C">
              <w:rPr>
                <w:lang w:eastAsia="ja-JP"/>
              </w:rPr>
              <w:t>EU</w:t>
            </w:r>
          </w:p>
        </w:tc>
        <w:tc>
          <w:tcPr>
            <w:tcW w:w="6865" w:type="dxa"/>
          </w:tcPr>
          <w:p w14:paraId="3004B5E0" w14:textId="77777777" w:rsidR="00FE3DFE" w:rsidRPr="0005733C" w:rsidRDefault="00FE3DFE" w:rsidP="0005733C">
            <w:pPr>
              <w:rPr>
                <w:lang w:eastAsia="ja-JP"/>
              </w:rPr>
            </w:pPr>
            <w:r w:rsidRPr="0005733C">
              <w:rPr>
                <w:lang w:eastAsia="ja-JP"/>
              </w:rPr>
              <w:t>European Union</w:t>
            </w:r>
          </w:p>
        </w:tc>
      </w:tr>
      <w:tr w:rsidR="00FE3DFE" w:rsidRPr="0005733C" w14:paraId="6D32FACB" w14:textId="77777777" w:rsidTr="00907E9E">
        <w:tc>
          <w:tcPr>
            <w:tcW w:w="0" w:type="auto"/>
          </w:tcPr>
          <w:p w14:paraId="16D3AF68" w14:textId="77777777" w:rsidR="00FE3DFE" w:rsidRPr="0005733C" w:rsidRDefault="00FE3DFE" w:rsidP="0005733C">
            <w:pPr>
              <w:rPr>
                <w:lang w:eastAsia="ja-JP"/>
              </w:rPr>
            </w:pPr>
            <w:r w:rsidRPr="0005733C">
              <w:rPr>
                <w:lang w:eastAsia="ja-JP"/>
              </w:rPr>
              <w:t>FAS</w:t>
            </w:r>
          </w:p>
        </w:tc>
        <w:tc>
          <w:tcPr>
            <w:tcW w:w="6865" w:type="dxa"/>
          </w:tcPr>
          <w:p w14:paraId="51FCE03A" w14:textId="77777777" w:rsidR="00FE3DFE" w:rsidRPr="0005733C" w:rsidRDefault="00FE3DFE" w:rsidP="0005733C">
            <w:pPr>
              <w:rPr>
                <w:lang w:eastAsia="ja-JP"/>
              </w:rPr>
            </w:pPr>
            <w:r w:rsidRPr="0005733C">
              <w:rPr>
                <w:lang w:eastAsia="ja-JP"/>
              </w:rPr>
              <w:t>Full analysis set</w:t>
            </w:r>
          </w:p>
        </w:tc>
      </w:tr>
      <w:tr w:rsidR="00FE3DFE" w:rsidRPr="0005733C" w14:paraId="04F504E2" w14:textId="77777777" w:rsidTr="00907E9E">
        <w:tc>
          <w:tcPr>
            <w:tcW w:w="0" w:type="auto"/>
          </w:tcPr>
          <w:p w14:paraId="57CC22E6" w14:textId="77777777" w:rsidR="00FE3DFE" w:rsidRPr="0005733C" w:rsidRDefault="00FE3DFE" w:rsidP="0005733C">
            <w:pPr>
              <w:rPr>
                <w:lang w:eastAsia="ja-JP"/>
              </w:rPr>
            </w:pPr>
            <w:r w:rsidRPr="0005733C">
              <w:rPr>
                <w:lang w:eastAsia="ja-JP"/>
              </w:rPr>
              <w:t>FPG</w:t>
            </w:r>
          </w:p>
        </w:tc>
        <w:tc>
          <w:tcPr>
            <w:tcW w:w="6865" w:type="dxa"/>
          </w:tcPr>
          <w:p w14:paraId="4D63B3C9" w14:textId="77777777" w:rsidR="00FE3DFE" w:rsidRPr="0005733C" w:rsidRDefault="00FE3DFE" w:rsidP="0005733C">
            <w:pPr>
              <w:rPr>
                <w:lang w:eastAsia="ja-JP"/>
              </w:rPr>
            </w:pPr>
            <w:r w:rsidRPr="0005733C">
              <w:rPr>
                <w:lang w:eastAsia="ja-JP"/>
              </w:rPr>
              <w:t>Fasting plasma glucose</w:t>
            </w:r>
          </w:p>
        </w:tc>
      </w:tr>
      <w:tr w:rsidR="00FE3DFE" w:rsidRPr="0005733C" w14:paraId="6627187B" w14:textId="77777777" w:rsidTr="00907E9E">
        <w:tc>
          <w:tcPr>
            <w:tcW w:w="0" w:type="auto"/>
          </w:tcPr>
          <w:p w14:paraId="46C903EE" w14:textId="77777777" w:rsidR="00FE3DFE" w:rsidRDefault="00FE3DFE" w:rsidP="0005733C">
            <w:pPr>
              <w:rPr>
                <w:lang w:eastAsia="ja-JP"/>
              </w:rPr>
            </w:pPr>
            <w:r>
              <w:rPr>
                <w:lang w:eastAsia="ja-JP"/>
              </w:rPr>
              <w:t>GLP-1</w:t>
            </w:r>
          </w:p>
        </w:tc>
        <w:tc>
          <w:tcPr>
            <w:tcW w:w="6865" w:type="dxa"/>
          </w:tcPr>
          <w:p w14:paraId="28A89349" w14:textId="77777777" w:rsidR="00FE3DFE" w:rsidRDefault="00FE3DFE" w:rsidP="0005733C">
            <w:pPr>
              <w:rPr>
                <w:lang w:eastAsia="ja-JP"/>
              </w:rPr>
            </w:pPr>
            <w:r>
              <w:t>G</w:t>
            </w:r>
            <w:r w:rsidRPr="006B1C68">
              <w:t>lucagon-like peptide 1</w:t>
            </w:r>
          </w:p>
        </w:tc>
      </w:tr>
      <w:tr w:rsidR="00FE3DFE" w:rsidRPr="0005733C" w14:paraId="2B5D0F15" w14:textId="77777777" w:rsidTr="00907E9E">
        <w:tc>
          <w:tcPr>
            <w:tcW w:w="0" w:type="auto"/>
          </w:tcPr>
          <w:p w14:paraId="04E31309" w14:textId="77777777" w:rsidR="00FE3DFE" w:rsidRPr="0005733C" w:rsidRDefault="00FE3DFE" w:rsidP="0005733C">
            <w:pPr>
              <w:rPr>
                <w:lang w:eastAsia="ja-JP"/>
              </w:rPr>
            </w:pPr>
            <w:r w:rsidRPr="0005733C">
              <w:rPr>
                <w:lang w:eastAsia="ja-JP"/>
              </w:rPr>
              <w:t>HbA1c</w:t>
            </w:r>
          </w:p>
        </w:tc>
        <w:tc>
          <w:tcPr>
            <w:tcW w:w="6865" w:type="dxa"/>
          </w:tcPr>
          <w:p w14:paraId="165DE669" w14:textId="77777777" w:rsidR="00FE3DFE" w:rsidRPr="0005733C" w:rsidRDefault="00FE3DFE" w:rsidP="0005733C">
            <w:pPr>
              <w:rPr>
                <w:lang w:eastAsia="ja-JP"/>
              </w:rPr>
            </w:pPr>
            <w:r w:rsidRPr="0005733C">
              <w:rPr>
                <w:lang w:eastAsia="ja-JP"/>
              </w:rPr>
              <w:t>Glycosylated haemoglobin</w:t>
            </w:r>
          </w:p>
        </w:tc>
      </w:tr>
      <w:tr w:rsidR="00FE3DFE" w:rsidRPr="0005733C" w14:paraId="53A466F3" w14:textId="77777777" w:rsidTr="00907E9E">
        <w:tc>
          <w:tcPr>
            <w:tcW w:w="0" w:type="auto"/>
          </w:tcPr>
          <w:p w14:paraId="2C18504D" w14:textId="77777777" w:rsidR="00FE3DFE" w:rsidRPr="0005733C" w:rsidRDefault="00FE3DFE" w:rsidP="0005733C">
            <w:pPr>
              <w:rPr>
                <w:lang w:eastAsia="ja-JP"/>
              </w:rPr>
            </w:pPr>
            <w:proofErr w:type="spellStart"/>
            <w:r w:rsidRPr="0005733C">
              <w:rPr>
                <w:lang w:eastAsia="ja-JP"/>
              </w:rPr>
              <w:t>IAsp</w:t>
            </w:r>
            <w:proofErr w:type="spellEnd"/>
          </w:p>
        </w:tc>
        <w:tc>
          <w:tcPr>
            <w:tcW w:w="6865" w:type="dxa"/>
          </w:tcPr>
          <w:p w14:paraId="3BCD723D" w14:textId="77777777" w:rsidR="00FE3DFE" w:rsidRPr="0005733C" w:rsidRDefault="00FE3DFE" w:rsidP="0005733C">
            <w:pPr>
              <w:rPr>
                <w:lang w:eastAsia="ja-JP"/>
              </w:rPr>
            </w:pPr>
            <w:r w:rsidRPr="0005733C">
              <w:rPr>
                <w:lang w:eastAsia="ja-JP"/>
              </w:rPr>
              <w:t xml:space="preserve">Insulin </w:t>
            </w:r>
            <w:proofErr w:type="spellStart"/>
            <w:r w:rsidRPr="0005733C">
              <w:rPr>
                <w:lang w:eastAsia="ja-JP"/>
              </w:rPr>
              <w:t>aspart</w:t>
            </w:r>
            <w:proofErr w:type="spellEnd"/>
          </w:p>
        </w:tc>
      </w:tr>
      <w:tr w:rsidR="00FE3DFE" w:rsidRPr="0005733C" w14:paraId="7376E0C2" w14:textId="77777777" w:rsidTr="00907E9E">
        <w:tc>
          <w:tcPr>
            <w:tcW w:w="0" w:type="auto"/>
          </w:tcPr>
          <w:p w14:paraId="650E5B7B" w14:textId="77777777" w:rsidR="00FE3DFE" w:rsidRPr="0005733C" w:rsidRDefault="00FE3DFE" w:rsidP="0005733C">
            <w:pPr>
              <w:rPr>
                <w:lang w:eastAsia="ja-JP"/>
              </w:rPr>
            </w:pPr>
            <w:proofErr w:type="spellStart"/>
            <w:r w:rsidRPr="0005733C">
              <w:rPr>
                <w:lang w:eastAsia="ja-JP"/>
              </w:rPr>
              <w:t>IDeg</w:t>
            </w:r>
            <w:proofErr w:type="spellEnd"/>
          </w:p>
        </w:tc>
        <w:tc>
          <w:tcPr>
            <w:tcW w:w="6865" w:type="dxa"/>
          </w:tcPr>
          <w:p w14:paraId="72D86A67" w14:textId="77777777" w:rsidR="00FE3DFE" w:rsidRPr="0005733C" w:rsidRDefault="00FE3DFE" w:rsidP="0005733C">
            <w:pPr>
              <w:rPr>
                <w:lang w:eastAsia="ja-JP"/>
              </w:rPr>
            </w:pPr>
            <w:r w:rsidRPr="0005733C">
              <w:rPr>
                <w:lang w:eastAsia="ja-JP"/>
              </w:rPr>
              <w:t xml:space="preserve">Insulin </w:t>
            </w:r>
            <w:proofErr w:type="spellStart"/>
            <w:r w:rsidRPr="0005733C">
              <w:rPr>
                <w:lang w:eastAsia="ja-JP"/>
              </w:rPr>
              <w:t>degludec</w:t>
            </w:r>
            <w:proofErr w:type="spellEnd"/>
          </w:p>
        </w:tc>
      </w:tr>
      <w:tr w:rsidR="00FE3DFE" w:rsidRPr="0005733C" w14:paraId="14CE61BD" w14:textId="77777777" w:rsidTr="00907E9E">
        <w:tc>
          <w:tcPr>
            <w:tcW w:w="0" w:type="auto"/>
          </w:tcPr>
          <w:p w14:paraId="32996FAF" w14:textId="77777777" w:rsidR="00FE3DFE" w:rsidRPr="0005733C" w:rsidRDefault="00FE3DFE" w:rsidP="0005733C">
            <w:pPr>
              <w:rPr>
                <w:lang w:eastAsia="ja-JP"/>
              </w:rPr>
            </w:pPr>
            <w:proofErr w:type="spellStart"/>
            <w:r w:rsidRPr="0005733C">
              <w:rPr>
                <w:lang w:eastAsia="ja-JP"/>
              </w:rPr>
              <w:t>IDegAsp</w:t>
            </w:r>
            <w:proofErr w:type="spellEnd"/>
          </w:p>
        </w:tc>
        <w:tc>
          <w:tcPr>
            <w:tcW w:w="6865" w:type="dxa"/>
          </w:tcPr>
          <w:p w14:paraId="435E5422" w14:textId="0AD8D864" w:rsidR="00FE3DFE" w:rsidRPr="0005733C" w:rsidRDefault="00FE3DFE" w:rsidP="0005733C">
            <w:pPr>
              <w:rPr>
                <w:lang w:eastAsia="ja-JP"/>
              </w:rPr>
            </w:pPr>
            <w:r>
              <w:rPr>
                <w:lang w:eastAsia="ja-JP"/>
              </w:rPr>
              <w:t xml:space="preserve">Insulin </w:t>
            </w:r>
            <w:proofErr w:type="spellStart"/>
            <w:r>
              <w:rPr>
                <w:lang w:eastAsia="ja-JP"/>
              </w:rPr>
              <w:t>degludec</w:t>
            </w:r>
            <w:proofErr w:type="spellEnd"/>
            <w:r w:rsidRPr="0005733C">
              <w:rPr>
                <w:lang w:eastAsia="ja-JP"/>
              </w:rPr>
              <w:t xml:space="preserve">/insulin </w:t>
            </w:r>
            <w:proofErr w:type="spellStart"/>
            <w:r w:rsidRPr="0005733C">
              <w:rPr>
                <w:lang w:eastAsia="ja-JP"/>
              </w:rPr>
              <w:t>aspart</w:t>
            </w:r>
            <w:proofErr w:type="spellEnd"/>
            <w:r w:rsidR="007E3894">
              <w:rPr>
                <w:lang w:eastAsia="ja-JP"/>
              </w:rPr>
              <w:t xml:space="preserve"> (co-formulation)</w:t>
            </w:r>
          </w:p>
        </w:tc>
      </w:tr>
      <w:tr w:rsidR="00FE3DFE" w:rsidRPr="0005733C" w14:paraId="3C8D4B34" w14:textId="77777777" w:rsidTr="00907E9E">
        <w:tc>
          <w:tcPr>
            <w:tcW w:w="0" w:type="auto"/>
          </w:tcPr>
          <w:p w14:paraId="4C884AC7" w14:textId="77777777" w:rsidR="00FE3DFE" w:rsidRPr="0005733C" w:rsidRDefault="00FE3DFE" w:rsidP="0005733C">
            <w:pPr>
              <w:rPr>
                <w:lang w:eastAsia="ja-JP"/>
              </w:rPr>
            </w:pPr>
            <w:proofErr w:type="spellStart"/>
            <w:r w:rsidRPr="0005733C">
              <w:rPr>
                <w:lang w:eastAsia="ja-JP"/>
              </w:rPr>
              <w:t>IDet</w:t>
            </w:r>
            <w:proofErr w:type="spellEnd"/>
          </w:p>
        </w:tc>
        <w:tc>
          <w:tcPr>
            <w:tcW w:w="6865" w:type="dxa"/>
          </w:tcPr>
          <w:p w14:paraId="23A99A33" w14:textId="77777777" w:rsidR="00FE3DFE" w:rsidRPr="0005733C" w:rsidRDefault="00FE3DFE" w:rsidP="0005733C">
            <w:pPr>
              <w:rPr>
                <w:lang w:eastAsia="ja-JP"/>
              </w:rPr>
            </w:pPr>
            <w:r w:rsidRPr="0005733C">
              <w:rPr>
                <w:lang w:eastAsia="ja-JP"/>
              </w:rPr>
              <w:t xml:space="preserve">Insulin </w:t>
            </w:r>
            <w:proofErr w:type="spellStart"/>
            <w:r w:rsidRPr="0005733C">
              <w:rPr>
                <w:lang w:eastAsia="ja-JP"/>
              </w:rPr>
              <w:t>detemir</w:t>
            </w:r>
            <w:proofErr w:type="spellEnd"/>
          </w:p>
        </w:tc>
      </w:tr>
      <w:tr w:rsidR="00FE3DFE" w:rsidRPr="0005733C" w14:paraId="265878DE" w14:textId="77777777" w:rsidTr="00907E9E">
        <w:tc>
          <w:tcPr>
            <w:tcW w:w="0" w:type="auto"/>
          </w:tcPr>
          <w:p w14:paraId="138AD7F8" w14:textId="77777777" w:rsidR="00FE3DFE" w:rsidRDefault="00FE3DFE" w:rsidP="0005733C">
            <w:pPr>
              <w:rPr>
                <w:lang w:eastAsia="ja-JP"/>
              </w:rPr>
            </w:pPr>
            <w:proofErr w:type="spellStart"/>
            <w:r w:rsidRPr="007873F7">
              <w:t>IGlarg</w:t>
            </w:r>
            <w:proofErr w:type="spellEnd"/>
          </w:p>
        </w:tc>
        <w:tc>
          <w:tcPr>
            <w:tcW w:w="6865" w:type="dxa"/>
          </w:tcPr>
          <w:p w14:paraId="508C02E9" w14:textId="77777777" w:rsidR="00FE3DFE" w:rsidRDefault="00FE3DFE" w:rsidP="00FF18EF">
            <w:r w:rsidRPr="007873F7">
              <w:t>insulin</w:t>
            </w:r>
            <w:r>
              <w:t xml:space="preserve"> glargine</w:t>
            </w:r>
          </w:p>
        </w:tc>
      </w:tr>
      <w:tr w:rsidR="00FE3DFE" w:rsidRPr="0005733C" w14:paraId="519114D0" w14:textId="77777777" w:rsidTr="00907E9E">
        <w:tc>
          <w:tcPr>
            <w:tcW w:w="0" w:type="auto"/>
          </w:tcPr>
          <w:p w14:paraId="2B21966B" w14:textId="77777777" w:rsidR="00FE3DFE" w:rsidRPr="0005733C" w:rsidRDefault="00FE3DFE" w:rsidP="0005733C">
            <w:pPr>
              <w:rPr>
                <w:lang w:eastAsia="ja-JP"/>
              </w:rPr>
            </w:pPr>
            <w:r w:rsidRPr="0005733C">
              <w:rPr>
                <w:lang w:eastAsia="ja-JP"/>
              </w:rPr>
              <w:t>ISPAD</w:t>
            </w:r>
          </w:p>
        </w:tc>
        <w:tc>
          <w:tcPr>
            <w:tcW w:w="6865" w:type="dxa"/>
          </w:tcPr>
          <w:p w14:paraId="4294626F" w14:textId="77777777" w:rsidR="00FE3DFE" w:rsidRPr="0005733C" w:rsidRDefault="00FE3DFE" w:rsidP="0005733C">
            <w:pPr>
              <w:rPr>
                <w:lang w:eastAsia="ja-JP"/>
              </w:rPr>
            </w:pPr>
            <w:r w:rsidRPr="0005733C">
              <w:rPr>
                <w:lang w:eastAsia="ja-JP"/>
              </w:rPr>
              <w:t>International Society for Paediatric and Adolescent Diabetes</w:t>
            </w:r>
          </w:p>
        </w:tc>
      </w:tr>
      <w:tr w:rsidR="00FE3DFE" w:rsidRPr="0005733C" w14:paraId="4893D6C5" w14:textId="77777777" w:rsidTr="00907E9E">
        <w:tc>
          <w:tcPr>
            <w:tcW w:w="0" w:type="auto"/>
          </w:tcPr>
          <w:p w14:paraId="45D85D42" w14:textId="77777777" w:rsidR="00FE3DFE" w:rsidRPr="007873F7" w:rsidRDefault="00FE3DFE" w:rsidP="0005733C">
            <w:r>
              <w:t>MESI</w:t>
            </w:r>
          </w:p>
        </w:tc>
        <w:tc>
          <w:tcPr>
            <w:tcW w:w="6865" w:type="dxa"/>
          </w:tcPr>
          <w:p w14:paraId="187E83D2" w14:textId="77777777" w:rsidR="00FE3DFE" w:rsidRPr="007873F7" w:rsidRDefault="00FE3DFE" w:rsidP="00FF18EF">
            <w:r>
              <w:t>Medical events of special interest</w:t>
            </w:r>
          </w:p>
        </w:tc>
      </w:tr>
      <w:tr w:rsidR="00FE3DFE" w:rsidRPr="0005733C" w14:paraId="595CCF91" w14:textId="77777777" w:rsidTr="00907E9E">
        <w:tc>
          <w:tcPr>
            <w:tcW w:w="0" w:type="auto"/>
          </w:tcPr>
          <w:p w14:paraId="6AA32858" w14:textId="77777777" w:rsidR="00FE3DFE" w:rsidRPr="0005733C" w:rsidRDefault="00FE3DFE" w:rsidP="0005733C">
            <w:pPr>
              <w:rPr>
                <w:lang w:eastAsia="ja-JP"/>
              </w:rPr>
            </w:pPr>
            <w:r w:rsidRPr="0005733C">
              <w:rPr>
                <w:lang w:eastAsia="ja-JP"/>
              </w:rPr>
              <w:t>OD</w:t>
            </w:r>
          </w:p>
        </w:tc>
        <w:tc>
          <w:tcPr>
            <w:tcW w:w="6865" w:type="dxa"/>
          </w:tcPr>
          <w:p w14:paraId="104F9D93" w14:textId="77777777" w:rsidR="00FE3DFE" w:rsidRPr="0005733C" w:rsidRDefault="00FE3DFE" w:rsidP="0005733C">
            <w:pPr>
              <w:rPr>
                <w:lang w:eastAsia="ja-JP"/>
              </w:rPr>
            </w:pPr>
            <w:r w:rsidRPr="0005733C">
              <w:rPr>
                <w:lang w:eastAsia="ja-JP"/>
              </w:rPr>
              <w:t>Once daily</w:t>
            </w:r>
          </w:p>
        </w:tc>
      </w:tr>
      <w:tr w:rsidR="00FE3DFE" w:rsidRPr="0005733C" w14:paraId="0EF8B6A1" w14:textId="77777777" w:rsidTr="00907E9E">
        <w:tc>
          <w:tcPr>
            <w:tcW w:w="0" w:type="auto"/>
          </w:tcPr>
          <w:p w14:paraId="5893CC3C" w14:textId="77777777" w:rsidR="00FE3DFE" w:rsidRPr="0005733C" w:rsidRDefault="00FE3DFE" w:rsidP="0005733C">
            <w:pPr>
              <w:rPr>
                <w:lang w:eastAsia="ja-JP"/>
              </w:rPr>
            </w:pPr>
            <w:r w:rsidRPr="0005733C">
              <w:rPr>
                <w:lang w:eastAsia="ja-JP"/>
              </w:rPr>
              <w:t>PD</w:t>
            </w:r>
          </w:p>
        </w:tc>
        <w:tc>
          <w:tcPr>
            <w:tcW w:w="6865" w:type="dxa"/>
          </w:tcPr>
          <w:p w14:paraId="390EFC7A" w14:textId="569E8C8F" w:rsidR="00FE3DFE" w:rsidRPr="0005733C" w:rsidRDefault="00FE3DFE" w:rsidP="0005733C">
            <w:pPr>
              <w:rPr>
                <w:lang w:eastAsia="ja-JP"/>
              </w:rPr>
            </w:pPr>
            <w:r w:rsidRPr="0005733C">
              <w:rPr>
                <w:lang w:eastAsia="ja-JP"/>
              </w:rPr>
              <w:t>Pharmacodynamic</w:t>
            </w:r>
            <w:r w:rsidR="0064212E">
              <w:rPr>
                <w:lang w:eastAsia="ja-JP"/>
              </w:rPr>
              <w:t>(s)</w:t>
            </w:r>
          </w:p>
        </w:tc>
      </w:tr>
      <w:tr w:rsidR="00FE3DFE" w:rsidRPr="0005733C" w14:paraId="55931176" w14:textId="77777777" w:rsidTr="00907E9E">
        <w:tc>
          <w:tcPr>
            <w:tcW w:w="0" w:type="auto"/>
          </w:tcPr>
          <w:p w14:paraId="7682FDF3" w14:textId="77777777" w:rsidR="00FE3DFE" w:rsidRPr="0005733C" w:rsidRDefault="00FE3DFE" w:rsidP="0005733C">
            <w:pPr>
              <w:rPr>
                <w:lang w:eastAsia="ja-JP"/>
              </w:rPr>
            </w:pPr>
            <w:r w:rsidRPr="0005733C">
              <w:rPr>
                <w:lang w:eastAsia="ja-JP"/>
              </w:rPr>
              <w:t>PDCO</w:t>
            </w:r>
          </w:p>
        </w:tc>
        <w:tc>
          <w:tcPr>
            <w:tcW w:w="6865" w:type="dxa"/>
          </w:tcPr>
          <w:p w14:paraId="1A554DB6" w14:textId="698AA37A" w:rsidR="00FE3DFE" w:rsidRPr="0005733C" w:rsidRDefault="00FE3DFE" w:rsidP="0005733C">
            <w:pPr>
              <w:rPr>
                <w:lang w:eastAsia="ja-JP"/>
              </w:rPr>
            </w:pPr>
            <w:r w:rsidRPr="0005733C">
              <w:rPr>
                <w:lang w:eastAsia="ja-JP"/>
              </w:rPr>
              <w:t>Paediatric Committee</w:t>
            </w:r>
            <w:r w:rsidR="007E3894">
              <w:rPr>
                <w:lang w:eastAsia="ja-JP"/>
              </w:rPr>
              <w:t xml:space="preserve"> (</w:t>
            </w:r>
            <w:r w:rsidRPr="0005733C">
              <w:rPr>
                <w:lang w:eastAsia="ja-JP"/>
              </w:rPr>
              <w:t>European Medicines Agency</w:t>
            </w:r>
            <w:r w:rsidR="007E3894">
              <w:rPr>
                <w:lang w:eastAsia="ja-JP"/>
              </w:rPr>
              <w:t>)</w:t>
            </w:r>
          </w:p>
        </w:tc>
      </w:tr>
      <w:tr w:rsidR="00FE3DFE" w:rsidRPr="0005733C" w14:paraId="31ABCC1C" w14:textId="77777777" w:rsidTr="00907E9E">
        <w:tc>
          <w:tcPr>
            <w:tcW w:w="0" w:type="auto"/>
          </w:tcPr>
          <w:p w14:paraId="0611CD9D" w14:textId="77777777" w:rsidR="00FE3DFE" w:rsidRPr="0005733C" w:rsidRDefault="00FE3DFE" w:rsidP="0005733C">
            <w:pPr>
              <w:rPr>
                <w:lang w:eastAsia="ja-JP"/>
              </w:rPr>
            </w:pPr>
            <w:r w:rsidRPr="0005733C">
              <w:rPr>
                <w:lang w:eastAsia="ja-JP"/>
              </w:rPr>
              <w:lastRenderedPageBreak/>
              <w:t>PG</w:t>
            </w:r>
          </w:p>
        </w:tc>
        <w:tc>
          <w:tcPr>
            <w:tcW w:w="6865" w:type="dxa"/>
          </w:tcPr>
          <w:p w14:paraId="7409A92B" w14:textId="77777777" w:rsidR="00FE3DFE" w:rsidRPr="0005733C" w:rsidRDefault="00FE3DFE" w:rsidP="0005733C">
            <w:pPr>
              <w:rPr>
                <w:lang w:eastAsia="ja-JP"/>
              </w:rPr>
            </w:pPr>
            <w:r w:rsidRPr="0005733C">
              <w:rPr>
                <w:lang w:eastAsia="ja-JP"/>
              </w:rPr>
              <w:t>Plasma glucose</w:t>
            </w:r>
          </w:p>
        </w:tc>
      </w:tr>
      <w:tr w:rsidR="00FE3DFE" w:rsidRPr="0005733C" w14:paraId="2AA578BA" w14:textId="77777777" w:rsidTr="00907E9E">
        <w:tc>
          <w:tcPr>
            <w:tcW w:w="0" w:type="auto"/>
          </w:tcPr>
          <w:p w14:paraId="26C220D2" w14:textId="77777777" w:rsidR="00FE3DFE" w:rsidRPr="0005733C" w:rsidRDefault="00FE3DFE" w:rsidP="0005733C">
            <w:pPr>
              <w:rPr>
                <w:lang w:eastAsia="ja-JP"/>
              </w:rPr>
            </w:pPr>
            <w:r>
              <w:rPr>
                <w:lang w:eastAsia="ja-JP"/>
              </w:rPr>
              <w:t>PI</w:t>
            </w:r>
          </w:p>
        </w:tc>
        <w:tc>
          <w:tcPr>
            <w:tcW w:w="6865" w:type="dxa"/>
          </w:tcPr>
          <w:p w14:paraId="0071D92E" w14:textId="77777777" w:rsidR="00FE3DFE" w:rsidRPr="0005733C" w:rsidRDefault="00FE3DFE" w:rsidP="0005733C">
            <w:pPr>
              <w:rPr>
                <w:lang w:eastAsia="ja-JP"/>
              </w:rPr>
            </w:pPr>
            <w:r>
              <w:rPr>
                <w:lang w:eastAsia="ja-JP"/>
              </w:rPr>
              <w:t>Product Information</w:t>
            </w:r>
          </w:p>
        </w:tc>
      </w:tr>
      <w:tr w:rsidR="00FE3DFE" w:rsidRPr="0005733C" w14:paraId="24E758EA" w14:textId="77777777" w:rsidTr="00907E9E">
        <w:tc>
          <w:tcPr>
            <w:tcW w:w="0" w:type="auto"/>
          </w:tcPr>
          <w:p w14:paraId="29154832" w14:textId="77777777" w:rsidR="00FE3DFE" w:rsidRPr="0005733C" w:rsidRDefault="00FE3DFE" w:rsidP="0005733C">
            <w:pPr>
              <w:rPr>
                <w:lang w:eastAsia="ja-JP"/>
              </w:rPr>
            </w:pPr>
            <w:r w:rsidRPr="0005733C">
              <w:rPr>
                <w:lang w:eastAsia="ja-JP"/>
              </w:rPr>
              <w:t>PK</w:t>
            </w:r>
          </w:p>
        </w:tc>
        <w:tc>
          <w:tcPr>
            <w:tcW w:w="6865" w:type="dxa"/>
          </w:tcPr>
          <w:p w14:paraId="307F763A" w14:textId="51954122" w:rsidR="00FE3DFE" w:rsidRPr="0005733C" w:rsidRDefault="00FE3DFE" w:rsidP="0005733C">
            <w:pPr>
              <w:rPr>
                <w:lang w:eastAsia="ja-JP"/>
              </w:rPr>
            </w:pPr>
            <w:r w:rsidRPr="0005733C">
              <w:rPr>
                <w:lang w:eastAsia="ja-JP"/>
              </w:rPr>
              <w:t>Pharmacokinetic</w:t>
            </w:r>
            <w:r w:rsidR="0064212E">
              <w:rPr>
                <w:lang w:eastAsia="ja-JP"/>
              </w:rPr>
              <w:t>(s)</w:t>
            </w:r>
          </w:p>
        </w:tc>
      </w:tr>
      <w:tr w:rsidR="00FE3DFE" w:rsidRPr="0005733C" w14:paraId="3C8E6CD3" w14:textId="77777777" w:rsidTr="00907E9E">
        <w:tc>
          <w:tcPr>
            <w:tcW w:w="0" w:type="auto"/>
          </w:tcPr>
          <w:p w14:paraId="5A4ACFED" w14:textId="77777777" w:rsidR="00FE3DFE" w:rsidRPr="0005733C" w:rsidRDefault="00FE3DFE" w:rsidP="0005733C">
            <w:pPr>
              <w:rPr>
                <w:lang w:eastAsia="ja-JP"/>
              </w:rPr>
            </w:pPr>
            <w:r w:rsidRPr="0005733C">
              <w:rPr>
                <w:lang w:eastAsia="ja-JP"/>
              </w:rPr>
              <w:t>PP</w:t>
            </w:r>
          </w:p>
        </w:tc>
        <w:tc>
          <w:tcPr>
            <w:tcW w:w="6865" w:type="dxa"/>
          </w:tcPr>
          <w:p w14:paraId="0317A12A" w14:textId="77777777" w:rsidR="00FE3DFE" w:rsidRPr="0005733C" w:rsidRDefault="00FE3DFE" w:rsidP="0005733C">
            <w:pPr>
              <w:rPr>
                <w:lang w:eastAsia="ja-JP"/>
              </w:rPr>
            </w:pPr>
            <w:r w:rsidRPr="0005733C">
              <w:rPr>
                <w:lang w:eastAsia="ja-JP"/>
              </w:rPr>
              <w:t>Per-protocol</w:t>
            </w:r>
          </w:p>
        </w:tc>
      </w:tr>
      <w:tr w:rsidR="00FE3DFE" w:rsidRPr="0005733C" w14:paraId="14B4A639" w14:textId="77777777" w:rsidTr="00907E9E">
        <w:tc>
          <w:tcPr>
            <w:tcW w:w="0" w:type="auto"/>
          </w:tcPr>
          <w:p w14:paraId="3EF1A6B5" w14:textId="77777777" w:rsidR="00FE3DFE" w:rsidRDefault="00FE3DFE" w:rsidP="0005733C">
            <w:r>
              <w:t>PSUR</w:t>
            </w:r>
          </w:p>
        </w:tc>
        <w:tc>
          <w:tcPr>
            <w:tcW w:w="6865" w:type="dxa"/>
          </w:tcPr>
          <w:p w14:paraId="5795463E" w14:textId="77777777" w:rsidR="00FE3DFE" w:rsidRDefault="00FE3DFE" w:rsidP="00FF18EF">
            <w:pPr>
              <w:rPr>
                <w:bCs/>
              </w:rPr>
            </w:pPr>
            <w:r>
              <w:rPr>
                <w:bCs/>
              </w:rPr>
              <w:t>Periodic safety update report</w:t>
            </w:r>
          </w:p>
        </w:tc>
      </w:tr>
      <w:tr w:rsidR="00FE3DFE" w:rsidRPr="0005733C" w14:paraId="38B2C54D" w14:textId="77777777" w:rsidTr="00907E9E">
        <w:tc>
          <w:tcPr>
            <w:tcW w:w="0" w:type="auto"/>
          </w:tcPr>
          <w:p w14:paraId="7159892F" w14:textId="77777777" w:rsidR="00FE3DFE" w:rsidRPr="0005733C" w:rsidRDefault="00FE3DFE" w:rsidP="0005733C">
            <w:pPr>
              <w:rPr>
                <w:lang w:eastAsia="ja-JP"/>
              </w:rPr>
            </w:pPr>
            <w:r w:rsidRPr="0005733C">
              <w:rPr>
                <w:lang w:eastAsia="ja-JP"/>
              </w:rPr>
              <w:t>PT</w:t>
            </w:r>
          </w:p>
        </w:tc>
        <w:tc>
          <w:tcPr>
            <w:tcW w:w="6865" w:type="dxa"/>
          </w:tcPr>
          <w:p w14:paraId="12F0BDEC" w14:textId="78E754FD" w:rsidR="00FE3DFE" w:rsidRPr="0005733C" w:rsidRDefault="00FE3DFE" w:rsidP="0005733C">
            <w:pPr>
              <w:rPr>
                <w:lang w:eastAsia="ja-JP"/>
              </w:rPr>
            </w:pPr>
            <w:r w:rsidRPr="0005733C">
              <w:rPr>
                <w:lang w:eastAsia="ja-JP"/>
              </w:rPr>
              <w:t xml:space="preserve">Preferred </w:t>
            </w:r>
            <w:r w:rsidR="000E40B5">
              <w:rPr>
                <w:lang w:eastAsia="ja-JP"/>
              </w:rPr>
              <w:t>T</w:t>
            </w:r>
            <w:r w:rsidRPr="0005733C">
              <w:rPr>
                <w:lang w:eastAsia="ja-JP"/>
              </w:rPr>
              <w:t>erm</w:t>
            </w:r>
          </w:p>
        </w:tc>
      </w:tr>
      <w:tr w:rsidR="00E81B8F" w:rsidRPr="0005733C" w14:paraId="6FA4F3BE" w14:textId="77777777" w:rsidTr="00907E9E">
        <w:tc>
          <w:tcPr>
            <w:tcW w:w="0" w:type="auto"/>
          </w:tcPr>
          <w:p w14:paraId="4835418A" w14:textId="6602FA56" w:rsidR="00E81B8F" w:rsidRPr="0005733C" w:rsidRDefault="00E81B8F" w:rsidP="0005733C">
            <w:pPr>
              <w:rPr>
                <w:lang w:eastAsia="ja-JP"/>
              </w:rPr>
            </w:pPr>
            <w:r>
              <w:rPr>
                <w:lang w:eastAsia="ja-JP"/>
              </w:rPr>
              <w:t>RA</w:t>
            </w:r>
          </w:p>
        </w:tc>
        <w:tc>
          <w:tcPr>
            <w:tcW w:w="6865" w:type="dxa"/>
          </w:tcPr>
          <w:p w14:paraId="3E2013D0" w14:textId="44ED948A" w:rsidR="00E81B8F" w:rsidRPr="0005733C" w:rsidRDefault="00E81B8F" w:rsidP="0005733C">
            <w:pPr>
              <w:rPr>
                <w:lang w:eastAsia="ja-JP"/>
              </w:rPr>
            </w:pPr>
            <w:r>
              <w:rPr>
                <w:lang w:eastAsia="ja-JP"/>
              </w:rPr>
              <w:t>Receptor agonist</w:t>
            </w:r>
          </w:p>
        </w:tc>
      </w:tr>
      <w:tr w:rsidR="00FE3DFE" w:rsidRPr="0005733C" w14:paraId="7DC56CA9" w14:textId="77777777" w:rsidTr="00907E9E">
        <w:tc>
          <w:tcPr>
            <w:tcW w:w="0" w:type="auto"/>
          </w:tcPr>
          <w:p w14:paraId="3D47E826" w14:textId="77777777" w:rsidR="00FE3DFE" w:rsidRPr="007873F7" w:rsidRDefault="00FE3DFE" w:rsidP="0005733C">
            <w:r>
              <w:t>RMP</w:t>
            </w:r>
          </w:p>
        </w:tc>
        <w:tc>
          <w:tcPr>
            <w:tcW w:w="6865" w:type="dxa"/>
          </w:tcPr>
          <w:p w14:paraId="0AA1D718" w14:textId="77777777" w:rsidR="00FE3DFE" w:rsidRPr="007873F7" w:rsidRDefault="00FE3DFE" w:rsidP="00FF18EF">
            <w:r>
              <w:t>Risk management plan</w:t>
            </w:r>
          </w:p>
        </w:tc>
      </w:tr>
      <w:tr w:rsidR="00D1412A" w:rsidRPr="0005733C" w14:paraId="14CC3757" w14:textId="77777777" w:rsidTr="00907E9E">
        <w:tc>
          <w:tcPr>
            <w:tcW w:w="0" w:type="auto"/>
          </w:tcPr>
          <w:p w14:paraId="565A86FB" w14:textId="71D5E63A" w:rsidR="00D1412A" w:rsidRDefault="00D1412A" w:rsidP="0005733C">
            <w:r>
              <w:t>SAE</w:t>
            </w:r>
          </w:p>
        </w:tc>
        <w:tc>
          <w:tcPr>
            <w:tcW w:w="6865" w:type="dxa"/>
          </w:tcPr>
          <w:p w14:paraId="69F91CA1" w14:textId="0CD722B6" w:rsidR="00D1412A" w:rsidRDefault="00D1412A" w:rsidP="00FF18EF">
            <w:r>
              <w:t>Serious adverse event(s)</w:t>
            </w:r>
          </w:p>
        </w:tc>
      </w:tr>
      <w:tr w:rsidR="00FE3DFE" w:rsidRPr="0005733C" w14:paraId="5AA30E3F" w14:textId="77777777" w:rsidTr="00907E9E">
        <w:tc>
          <w:tcPr>
            <w:tcW w:w="0" w:type="auto"/>
          </w:tcPr>
          <w:p w14:paraId="19E69166" w14:textId="77777777" w:rsidR="00FE3DFE" w:rsidRDefault="00FE3DFE" w:rsidP="0005733C">
            <w:pPr>
              <w:rPr>
                <w:lang w:eastAsia="ja-JP"/>
              </w:rPr>
            </w:pPr>
            <w:r>
              <w:rPr>
                <w:lang w:eastAsia="ja-JP"/>
              </w:rPr>
              <w:t>SC</w:t>
            </w:r>
          </w:p>
        </w:tc>
        <w:tc>
          <w:tcPr>
            <w:tcW w:w="6865" w:type="dxa"/>
          </w:tcPr>
          <w:p w14:paraId="3D64AF3A" w14:textId="77777777" w:rsidR="00FE3DFE" w:rsidRDefault="00FE3DFE" w:rsidP="0005733C">
            <w:pPr>
              <w:rPr>
                <w:lang w:eastAsia="ja-JP"/>
              </w:rPr>
            </w:pPr>
            <w:r>
              <w:rPr>
                <w:lang w:eastAsia="ja-JP"/>
              </w:rPr>
              <w:t>Subcutaneous</w:t>
            </w:r>
          </w:p>
        </w:tc>
      </w:tr>
      <w:tr w:rsidR="00FE3DFE" w:rsidRPr="0005733C" w14:paraId="6C785EC5" w14:textId="77777777" w:rsidTr="00907E9E">
        <w:tc>
          <w:tcPr>
            <w:tcW w:w="0" w:type="auto"/>
          </w:tcPr>
          <w:p w14:paraId="3C668059" w14:textId="77777777" w:rsidR="00FE3DFE" w:rsidRDefault="00FE3DFE" w:rsidP="0005733C">
            <w:pPr>
              <w:rPr>
                <w:lang w:eastAsia="ja-JP"/>
              </w:rPr>
            </w:pPr>
            <w:r>
              <w:rPr>
                <w:lang w:eastAsia="ja-JP"/>
              </w:rPr>
              <w:t>SD</w:t>
            </w:r>
          </w:p>
        </w:tc>
        <w:tc>
          <w:tcPr>
            <w:tcW w:w="6865" w:type="dxa"/>
          </w:tcPr>
          <w:p w14:paraId="43569AAB" w14:textId="77777777" w:rsidR="00FE3DFE" w:rsidRDefault="00FE3DFE" w:rsidP="0005733C">
            <w:r>
              <w:t>Single dose</w:t>
            </w:r>
          </w:p>
        </w:tc>
      </w:tr>
      <w:tr w:rsidR="00FE3DFE" w:rsidRPr="0005733C" w14:paraId="48302376" w14:textId="77777777" w:rsidTr="00907E9E">
        <w:tc>
          <w:tcPr>
            <w:tcW w:w="0" w:type="auto"/>
          </w:tcPr>
          <w:p w14:paraId="60D8A4CC" w14:textId="77777777" w:rsidR="00FE3DFE" w:rsidRPr="0005733C" w:rsidRDefault="00FE3DFE" w:rsidP="0005733C">
            <w:pPr>
              <w:rPr>
                <w:lang w:eastAsia="ja-JP"/>
              </w:rPr>
            </w:pPr>
            <w:r w:rsidRPr="0005733C">
              <w:rPr>
                <w:lang w:eastAsia="ja-JP"/>
              </w:rPr>
              <w:t>SMPG</w:t>
            </w:r>
          </w:p>
        </w:tc>
        <w:tc>
          <w:tcPr>
            <w:tcW w:w="6865" w:type="dxa"/>
          </w:tcPr>
          <w:p w14:paraId="7237226A" w14:textId="77777777" w:rsidR="00FE3DFE" w:rsidRPr="0005733C" w:rsidRDefault="00FE3DFE" w:rsidP="0005733C">
            <w:pPr>
              <w:rPr>
                <w:lang w:eastAsia="ja-JP"/>
              </w:rPr>
            </w:pPr>
            <w:r w:rsidRPr="0005733C">
              <w:rPr>
                <w:lang w:eastAsia="ja-JP"/>
              </w:rPr>
              <w:t>Self-measured plasma glucose</w:t>
            </w:r>
          </w:p>
        </w:tc>
      </w:tr>
      <w:tr w:rsidR="00FE3DFE" w:rsidRPr="0005733C" w14:paraId="05A5DAC2" w14:textId="77777777" w:rsidTr="00907E9E">
        <w:tc>
          <w:tcPr>
            <w:tcW w:w="0" w:type="auto"/>
          </w:tcPr>
          <w:p w14:paraId="79CD2F85" w14:textId="77777777" w:rsidR="00FE3DFE" w:rsidRPr="0005733C" w:rsidRDefault="00FE3DFE" w:rsidP="0005733C">
            <w:pPr>
              <w:rPr>
                <w:lang w:eastAsia="ja-JP"/>
              </w:rPr>
            </w:pPr>
            <w:r w:rsidRPr="0005733C">
              <w:rPr>
                <w:lang w:eastAsia="ja-JP"/>
              </w:rPr>
              <w:t>T1DM</w:t>
            </w:r>
          </w:p>
        </w:tc>
        <w:tc>
          <w:tcPr>
            <w:tcW w:w="6865" w:type="dxa"/>
          </w:tcPr>
          <w:p w14:paraId="4FA4F05C" w14:textId="77777777" w:rsidR="00FE3DFE" w:rsidRPr="0005733C" w:rsidRDefault="00FE3DFE" w:rsidP="0005733C">
            <w:pPr>
              <w:rPr>
                <w:lang w:eastAsia="ja-JP"/>
              </w:rPr>
            </w:pPr>
            <w:r w:rsidRPr="0005733C">
              <w:rPr>
                <w:lang w:eastAsia="ja-JP"/>
              </w:rPr>
              <w:t>Type 1 diabetes mellitus</w:t>
            </w:r>
          </w:p>
        </w:tc>
      </w:tr>
      <w:tr w:rsidR="00FE3DFE" w:rsidRPr="0005733C" w14:paraId="0D7F0830" w14:textId="77777777" w:rsidTr="00907E9E">
        <w:tc>
          <w:tcPr>
            <w:tcW w:w="0" w:type="auto"/>
          </w:tcPr>
          <w:p w14:paraId="46C5F614" w14:textId="77777777" w:rsidR="00FE3DFE" w:rsidRPr="0005733C" w:rsidRDefault="00FE3DFE" w:rsidP="0005733C">
            <w:pPr>
              <w:rPr>
                <w:lang w:eastAsia="ja-JP"/>
              </w:rPr>
            </w:pPr>
            <w:r w:rsidRPr="0005733C">
              <w:rPr>
                <w:lang w:eastAsia="ja-JP"/>
              </w:rPr>
              <w:t>T2DM</w:t>
            </w:r>
          </w:p>
        </w:tc>
        <w:tc>
          <w:tcPr>
            <w:tcW w:w="6865" w:type="dxa"/>
          </w:tcPr>
          <w:p w14:paraId="337E408C" w14:textId="77777777" w:rsidR="00FE3DFE" w:rsidRPr="0005733C" w:rsidRDefault="00FE3DFE" w:rsidP="0005733C">
            <w:pPr>
              <w:rPr>
                <w:lang w:eastAsia="ja-JP"/>
              </w:rPr>
            </w:pPr>
            <w:r w:rsidRPr="0005733C">
              <w:rPr>
                <w:lang w:eastAsia="ja-JP"/>
              </w:rPr>
              <w:t>Type 2 diabetes mellitus</w:t>
            </w:r>
          </w:p>
        </w:tc>
      </w:tr>
      <w:tr w:rsidR="00FE3DFE" w:rsidRPr="0005733C" w14:paraId="2E95293C" w14:textId="77777777" w:rsidTr="00907E9E">
        <w:tc>
          <w:tcPr>
            <w:tcW w:w="0" w:type="auto"/>
          </w:tcPr>
          <w:p w14:paraId="5D69DE4C" w14:textId="77777777" w:rsidR="00FE3DFE" w:rsidRDefault="00FE3DFE" w:rsidP="0005733C">
            <w:r>
              <w:rPr>
                <w:lang w:eastAsia="ja-JP"/>
              </w:rPr>
              <w:t>TEAE</w:t>
            </w:r>
          </w:p>
        </w:tc>
        <w:tc>
          <w:tcPr>
            <w:tcW w:w="6865" w:type="dxa"/>
          </w:tcPr>
          <w:p w14:paraId="4181E0AD" w14:textId="552FB0A2" w:rsidR="00FE3DFE" w:rsidRDefault="00FE3DFE" w:rsidP="00FF18EF">
            <w:pPr>
              <w:rPr>
                <w:bCs/>
              </w:rPr>
            </w:pPr>
            <w:r>
              <w:rPr>
                <w:lang w:eastAsia="ja-JP"/>
              </w:rPr>
              <w:t>Treatment-emergent adverse event</w:t>
            </w:r>
            <w:r w:rsidR="0064212E">
              <w:rPr>
                <w:lang w:eastAsia="ja-JP"/>
              </w:rPr>
              <w:t>(s)</w:t>
            </w:r>
          </w:p>
        </w:tc>
      </w:tr>
      <w:tr w:rsidR="00FE3DFE" w:rsidRPr="0005733C" w14:paraId="588323EE" w14:textId="77777777" w:rsidTr="00907E9E">
        <w:tc>
          <w:tcPr>
            <w:tcW w:w="0" w:type="auto"/>
          </w:tcPr>
          <w:p w14:paraId="2B5BBB37" w14:textId="77777777" w:rsidR="00FE3DFE" w:rsidRDefault="00FE3DFE" w:rsidP="0005733C">
            <w:pPr>
              <w:rPr>
                <w:lang w:eastAsia="ja-JP"/>
              </w:rPr>
            </w:pPr>
            <w:proofErr w:type="spellStart"/>
            <w:r>
              <w:rPr>
                <w:lang w:eastAsia="ja-JP"/>
              </w:rPr>
              <w:t>t</w:t>
            </w:r>
            <w:r w:rsidRPr="001B768B">
              <w:rPr>
                <w:vertAlign w:val="subscript"/>
                <w:lang w:eastAsia="ja-JP"/>
              </w:rPr>
              <w:t>max</w:t>
            </w:r>
            <w:proofErr w:type="spellEnd"/>
          </w:p>
        </w:tc>
        <w:tc>
          <w:tcPr>
            <w:tcW w:w="6865" w:type="dxa"/>
          </w:tcPr>
          <w:p w14:paraId="7929ED57" w14:textId="77777777" w:rsidR="00FE3DFE" w:rsidRDefault="00FE3DFE" w:rsidP="0005733C">
            <w:r>
              <w:t>T</w:t>
            </w:r>
            <w:r w:rsidRPr="001B768B">
              <w:t>ime to maximum observed</w:t>
            </w:r>
            <w:r>
              <w:t xml:space="preserve"> concentration</w:t>
            </w:r>
          </w:p>
        </w:tc>
      </w:tr>
      <w:tr w:rsidR="00FE3DFE" w:rsidRPr="0005733C" w14:paraId="76912877" w14:textId="77777777" w:rsidTr="00907E9E">
        <w:tc>
          <w:tcPr>
            <w:tcW w:w="0" w:type="auto"/>
          </w:tcPr>
          <w:p w14:paraId="3A064F15" w14:textId="77777777" w:rsidR="00FE3DFE" w:rsidRDefault="00FE3DFE" w:rsidP="0005733C">
            <w:pPr>
              <w:rPr>
                <w:lang w:eastAsia="ja-JP"/>
              </w:rPr>
            </w:pPr>
            <w:r>
              <w:rPr>
                <w:lang w:eastAsia="ja-JP"/>
              </w:rPr>
              <w:t>U</w:t>
            </w:r>
          </w:p>
        </w:tc>
        <w:tc>
          <w:tcPr>
            <w:tcW w:w="6865" w:type="dxa"/>
          </w:tcPr>
          <w:p w14:paraId="1F14A881" w14:textId="77777777" w:rsidR="00FE3DFE" w:rsidRDefault="00FE3DFE" w:rsidP="0005733C">
            <w:r>
              <w:t>Units</w:t>
            </w:r>
          </w:p>
        </w:tc>
      </w:tr>
      <w:tr w:rsidR="00FE3DFE" w:rsidRPr="0005733C" w14:paraId="2D786697" w14:textId="77777777" w:rsidTr="00907E9E">
        <w:tc>
          <w:tcPr>
            <w:tcW w:w="0" w:type="auto"/>
          </w:tcPr>
          <w:p w14:paraId="39CA41A3" w14:textId="77777777" w:rsidR="00FE3DFE" w:rsidRDefault="00FE3DFE" w:rsidP="0005733C">
            <w:pPr>
              <w:rPr>
                <w:lang w:eastAsia="ja-JP"/>
              </w:rPr>
            </w:pPr>
            <w:r>
              <w:rPr>
                <w:lang w:eastAsia="ja-JP"/>
              </w:rPr>
              <w:t>USA</w:t>
            </w:r>
          </w:p>
        </w:tc>
        <w:tc>
          <w:tcPr>
            <w:tcW w:w="6865" w:type="dxa"/>
          </w:tcPr>
          <w:p w14:paraId="1F44CCFA" w14:textId="77777777" w:rsidR="00FE3DFE" w:rsidRDefault="00FE3DFE" w:rsidP="0005733C">
            <w:pPr>
              <w:rPr>
                <w:lang w:eastAsia="ja-JP"/>
              </w:rPr>
            </w:pPr>
            <w:r>
              <w:t>United States of America</w:t>
            </w:r>
          </w:p>
        </w:tc>
      </w:tr>
      <w:tr w:rsidR="00FE3DFE" w:rsidRPr="0005733C" w14:paraId="3E91027A" w14:textId="77777777" w:rsidTr="00907E9E">
        <w:tc>
          <w:tcPr>
            <w:tcW w:w="0" w:type="auto"/>
          </w:tcPr>
          <w:p w14:paraId="7F048B8A" w14:textId="77777777" w:rsidR="00FE3DFE" w:rsidRDefault="00FE3DFE" w:rsidP="0005733C">
            <w:pPr>
              <w:rPr>
                <w:lang w:eastAsia="ja-JP"/>
              </w:rPr>
            </w:pPr>
            <w:r>
              <w:rPr>
                <w:lang w:eastAsia="ja-JP"/>
              </w:rPr>
              <w:t>vs</w:t>
            </w:r>
          </w:p>
        </w:tc>
        <w:tc>
          <w:tcPr>
            <w:tcW w:w="6865" w:type="dxa"/>
          </w:tcPr>
          <w:p w14:paraId="6C6A216B" w14:textId="77777777" w:rsidR="00FE3DFE" w:rsidRDefault="00FE3DFE" w:rsidP="0005733C">
            <w:r>
              <w:t>Versus</w:t>
            </w:r>
          </w:p>
        </w:tc>
      </w:tr>
    </w:tbl>
    <w:p w14:paraId="0BA39C35" w14:textId="5827F18F" w:rsidR="00FD119B" w:rsidRDefault="00FD119B" w:rsidP="0005733C"/>
    <w:p w14:paraId="1EAC5AB3" w14:textId="77777777" w:rsidR="00FD119B" w:rsidRPr="00FD119B" w:rsidRDefault="00FD119B" w:rsidP="00FD119B">
      <w:pPr>
        <w:spacing w:before="0" w:after="200" w:line="0" w:lineRule="auto"/>
        <w:rPr>
          <w:b/>
          <w:i/>
          <w:sz w:val="24"/>
          <w:szCs w:val="24"/>
        </w:rPr>
      </w:pPr>
      <w:r w:rsidRPr="00FD119B">
        <w:rPr>
          <w:b/>
          <w:i/>
          <w:sz w:val="24"/>
          <w:szCs w:val="24"/>
        </w:rPr>
        <w:br w:type="page"/>
      </w:r>
    </w:p>
    <w:p w14:paraId="4FD40228" w14:textId="77777777" w:rsidR="008E7846" w:rsidRDefault="00F53C07" w:rsidP="008E7846">
      <w:pPr>
        <w:pStyle w:val="Heading2"/>
      </w:pPr>
      <w:bookmarkStart w:id="9" w:name="_Toc47446834"/>
      <w:r>
        <w:lastRenderedPageBreak/>
        <w:t>I.</w:t>
      </w:r>
      <w:r w:rsidR="008E7846">
        <w:t xml:space="preserve"> Introduction to product submission</w:t>
      </w:r>
      <w:bookmarkEnd w:id="0"/>
      <w:bookmarkEnd w:id="3"/>
      <w:bookmarkEnd w:id="9"/>
    </w:p>
    <w:p w14:paraId="13639239" w14:textId="77777777" w:rsidR="008E7846" w:rsidRDefault="008E7846" w:rsidP="008E7846">
      <w:pPr>
        <w:pStyle w:val="Heading3"/>
        <w:rPr>
          <w:lang w:eastAsia="en-AU"/>
        </w:rPr>
      </w:pPr>
      <w:bookmarkStart w:id="10" w:name="_Toc247691502"/>
      <w:bookmarkStart w:id="11" w:name="_Toc314842483"/>
      <w:bookmarkStart w:id="12" w:name="_Toc47446835"/>
      <w:r>
        <w:rPr>
          <w:lang w:eastAsia="en-AU"/>
        </w:rPr>
        <w:t>Submission details</w:t>
      </w:r>
      <w:bookmarkEnd w:id="10"/>
      <w:bookmarkEnd w:id="11"/>
      <w:bookmarkEnd w:id="12"/>
    </w:p>
    <w:tbl>
      <w:tblPr>
        <w:tblW w:w="9214" w:type="dxa"/>
        <w:tblInd w:w="108" w:type="dxa"/>
        <w:tblLook w:val="01E0" w:firstRow="1" w:lastRow="1" w:firstColumn="1" w:lastColumn="1" w:noHBand="0" w:noVBand="0"/>
      </w:tblPr>
      <w:tblGrid>
        <w:gridCol w:w="2907"/>
        <w:gridCol w:w="6307"/>
      </w:tblGrid>
      <w:tr w:rsidR="008E7846" w:rsidRPr="003D1E62" w14:paraId="132DAF21" w14:textId="77777777" w:rsidTr="003735BC">
        <w:tc>
          <w:tcPr>
            <w:tcW w:w="2907" w:type="dxa"/>
          </w:tcPr>
          <w:p w14:paraId="6DED5871" w14:textId="77777777" w:rsidR="008E7846" w:rsidRPr="003D1E62" w:rsidRDefault="001B5C90" w:rsidP="001B5C90">
            <w:pPr>
              <w:rPr>
                <w:i/>
              </w:rPr>
            </w:pPr>
            <w:r>
              <w:rPr>
                <w:i/>
              </w:rPr>
              <w:t>Type of s</w:t>
            </w:r>
            <w:r w:rsidR="008E7846" w:rsidRPr="003D1E62">
              <w:rPr>
                <w:i/>
              </w:rPr>
              <w:t>ubmission</w:t>
            </w:r>
            <w:r>
              <w:rPr>
                <w:i/>
              </w:rPr>
              <w:t>:</w:t>
            </w:r>
          </w:p>
        </w:tc>
        <w:tc>
          <w:tcPr>
            <w:tcW w:w="6307" w:type="dxa"/>
          </w:tcPr>
          <w:p w14:paraId="4566C8AF" w14:textId="77777777" w:rsidR="008E7846" w:rsidRPr="003D1E62" w:rsidRDefault="00C20F25" w:rsidP="001B5C90">
            <w:r>
              <w:t>Extension of indication</w:t>
            </w:r>
          </w:p>
        </w:tc>
      </w:tr>
      <w:tr w:rsidR="008E7846" w:rsidRPr="003D1E62" w14:paraId="43F7536B" w14:textId="77777777" w:rsidTr="003735BC">
        <w:tc>
          <w:tcPr>
            <w:tcW w:w="2907" w:type="dxa"/>
          </w:tcPr>
          <w:p w14:paraId="5AA43863" w14:textId="77777777" w:rsidR="008E7846" w:rsidRPr="003D1E62" w:rsidRDefault="008E7846" w:rsidP="003D1E62">
            <w:r w:rsidRPr="003D1E62">
              <w:rPr>
                <w:i/>
              </w:rPr>
              <w:t>Decision</w:t>
            </w:r>
            <w:r w:rsidRPr="003D1E62">
              <w:t>:</w:t>
            </w:r>
          </w:p>
        </w:tc>
        <w:tc>
          <w:tcPr>
            <w:tcW w:w="6307" w:type="dxa"/>
          </w:tcPr>
          <w:p w14:paraId="69141F08" w14:textId="77777777" w:rsidR="008E7846" w:rsidRPr="003D1E62" w:rsidRDefault="00C20F25" w:rsidP="001B5C90">
            <w:r>
              <w:t>Approved</w:t>
            </w:r>
          </w:p>
        </w:tc>
      </w:tr>
      <w:tr w:rsidR="008E7846" w:rsidRPr="003D1E62" w14:paraId="30575C45" w14:textId="77777777" w:rsidTr="003735BC">
        <w:tc>
          <w:tcPr>
            <w:tcW w:w="2907" w:type="dxa"/>
          </w:tcPr>
          <w:p w14:paraId="0247FDBA" w14:textId="77777777" w:rsidR="008E7846" w:rsidRPr="003D1E62" w:rsidRDefault="008E7846" w:rsidP="001B5C90">
            <w:pPr>
              <w:rPr>
                <w:i/>
              </w:rPr>
            </w:pPr>
            <w:r w:rsidRPr="003D1E62">
              <w:rPr>
                <w:i/>
              </w:rPr>
              <w:t xml:space="preserve">Date of </w:t>
            </w:r>
            <w:r w:rsidR="001B5C90">
              <w:rPr>
                <w:i/>
              </w:rPr>
              <w:t>d</w:t>
            </w:r>
            <w:r w:rsidRPr="003D1E62">
              <w:rPr>
                <w:i/>
              </w:rPr>
              <w:t>ecision:</w:t>
            </w:r>
          </w:p>
        </w:tc>
        <w:tc>
          <w:tcPr>
            <w:tcW w:w="6307" w:type="dxa"/>
          </w:tcPr>
          <w:p w14:paraId="1EDD717C" w14:textId="77777777" w:rsidR="008E7846" w:rsidRPr="003D1E62" w:rsidRDefault="00C20F25" w:rsidP="001B5C90">
            <w:r>
              <w:t>10 March 2020</w:t>
            </w:r>
          </w:p>
        </w:tc>
      </w:tr>
      <w:tr w:rsidR="00ED2922" w:rsidRPr="003D1E62" w14:paraId="2F69C5E7" w14:textId="77777777" w:rsidTr="003735BC">
        <w:tc>
          <w:tcPr>
            <w:tcW w:w="2907" w:type="dxa"/>
          </w:tcPr>
          <w:p w14:paraId="227B92B8" w14:textId="77777777" w:rsidR="00ED2922" w:rsidRPr="00441C3F" w:rsidRDefault="00ED2922" w:rsidP="001B5C90">
            <w:pPr>
              <w:rPr>
                <w:i/>
              </w:rPr>
            </w:pPr>
            <w:r w:rsidRPr="00441C3F">
              <w:rPr>
                <w:i/>
              </w:rPr>
              <w:t>Date of entry onto ARTG</w:t>
            </w:r>
            <w:r w:rsidR="00500337">
              <w:rPr>
                <w:i/>
              </w:rPr>
              <w:t>:</w:t>
            </w:r>
          </w:p>
        </w:tc>
        <w:tc>
          <w:tcPr>
            <w:tcW w:w="6307" w:type="dxa"/>
          </w:tcPr>
          <w:p w14:paraId="79B8538A" w14:textId="7C9BC16A" w:rsidR="00ED2922" w:rsidRPr="00441C3F" w:rsidRDefault="00C20F25" w:rsidP="00E76CF5">
            <w:pPr>
              <w:rPr>
                <w:i/>
              </w:rPr>
            </w:pPr>
            <w:r>
              <w:t>11</w:t>
            </w:r>
            <w:r w:rsidR="00E76CF5" w:rsidRPr="0039626C">
              <w:t xml:space="preserve"> </w:t>
            </w:r>
            <w:r w:rsidRPr="0039626C">
              <w:t>Ma</w:t>
            </w:r>
            <w:r>
              <w:t>rch 2020</w:t>
            </w:r>
          </w:p>
        </w:tc>
      </w:tr>
      <w:tr w:rsidR="00500337" w:rsidRPr="003D1E62" w14:paraId="16A97667" w14:textId="77777777" w:rsidTr="003735BC">
        <w:tc>
          <w:tcPr>
            <w:tcW w:w="2907" w:type="dxa"/>
          </w:tcPr>
          <w:p w14:paraId="07D9F0A2" w14:textId="77777777" w:rsidR="00500337" w:rsidRPr="00441C3F" w:rsidRDefault="00C20F25" w:rsidP="001B5C90">
            <w:pPr>
              <w:rPr>
                <w:i/>
              </w:rPr>
            </w:pPr>
            <w:r>
              <w:rPr>
                <w:i/>
              </w:rPr>
              <w:t>ARTG numbers</w:t>
            </w:r>
            <w:r w:rsidR="00500337">
              <w:rPr>
                <w:i/>
              </w:rPr>
              <w:t>:</w:t>
            </w:r>
          </w:p>
        </w:tc>
        <w:tc>
          <w:tcPr>
            <w:tcW w:w="6307" w:type="dxa"/>
          </w:tcPr>
          <w:p w14:paraId="4EF135CA" w14:textId="4E49DEAC" w:rsidR="00500337" w:rsidRPr="0088132B" w:rsidRDefault="00C20F25" w:rsidP="0088132B">
            <w:r w:rsidRPr="0088132B">
              <w:t>280432, 280433</w:t>
            </w:r>
          </w:p>
        </w:tc>
      </w:tr>
      <w:tr w:rsidR="003735BC" w:rsidRPr="003D1E62" w14:paraId="6BEEB153" w14:textId="77777777" w:rsidTr="003735BC">
        <w:tc>
          <w:tcPr>
            <w:tcW w:w="2907" w:type="dxa"/>
          </w:tcPr>
          <w:p w14:paraId="7E301618" w14:textId="77777777" w:rsidR="003735BC" w:rsidRDefault="00FA5069" w:rsidP="001B5C90">
            <w:pPr>
              <w:rPr>
                <w:i/>
              </w:rPr>
            </w:pPr>
            <w:r>
              <w:rPr>
                <w:rFonts w:ascii="Wingdings 3" w:hAnsi="Wingdings 3"/>
                <w:sz w:val="34"/>
                <w:szCs w:val="34"/>
                <w:lang w:eastAsia="en-AU"/>
              </w:rPr>
              <w:t></w:t>
            </w:r>
            <w:r w:rsidR="003735BC" w:rsidRPr="003735BC">
              <w:rPr>
                <w:i/>
              </w:rPr>
              <w:t>Black Triangle Scheme</w:t>
            </w:r>
          </w:p>
        </w:tc>
        <w:tc>
          <w:tcPr>
            <w:tcW w:w="6307" w:type="dxa"/>
          </w:tcPr>
          <w:p w14:paraId="15CC9E44" w14:textId="77777777" w:rsidR="003735BC" w:rsidRDefault="00C20F25" w:rsidP="003735BC">
            <w:r>
              <w:t>Yes</w:t>
            </w:r>
          </w:p>
          <w:p w14:paraId="65E060CE" w14:textId="77777777" w:rsidR="003735BC" w:rsidRPr="00487162" w:rsidRDefault="003735BC" w:rsidP="003735BC">
            <w:r>
              <w:t>This product will remain in the scheme for 5 years, starting on the date the new indication was approved</w:t>
            </w:r>
          </w:p>
        </w:tc>
      </w:tr>
      <w:tr w:rsidR="008E7846" w:rsidRPr="00487162" w14:paraId="08CA5190" w14:textId="77777777" w:rsidTr="00BF1190">
        <w:tc>
          <w:tcPr>
            <w:tcW w:w="2907" w:type="dxa"/>
          </w:tcPr>
          <w:p w14:paraId="3F15ABF9" w14:textId="77777777" w:rsidR="008E7846" w:rsidRPr="00487162" w:rsidRDefault="00C20F25" w:rsidP="00E45619">
            <w:pPr>
              <w:rPr>
                <w:i/>
              </w:rPr>
            </w:pPr>
            <w:r>
              <w:rPr>
                <w:i/>
              </w:rPr>
              <w:t>Active ingredients</w:t>
            </w:r>
            <w:r w:rsidR="001B5C90">
              <w:rPr>
                <w:i/>
              </w:rPr>
              <w:t>:</w:t>
            </w:r>
          </w:p>
        </w:tc>
        <w:tc>
          <w:tcPr>
            <w:tcW w:w="6307" w:type="dxa"/>
          </w:tcPr>
          <w:p w14:paraId="3D733BCF" w14:textId="1F8086BA" w:rsidR="008E7846" w:rsidRPr="00487162" w:rsidRDefault="00C20F25" w:rsidP="0088132B">
            <w:r>
              <w:t xml:space="preserve">Insulin </w:t>
            </w:r>
            <w:proofErr w:type="spellStart"/>
            <w:r>
              <w:t>degludec</w:t>
            </w:r>
            <w:proofErr w:type="spellEnd"/>
            <w:r>
              <w:t xml:space="preserve"> (</w:t>
            </w:r>
            <w:proofErr w:type="spellStart"/>
            <w:r>
              <w:t>rys</w:t>
            </w:r>
            <w:proofErr w:type="spellEnd"/>
            <w:r>
              <w:t xml:space="preserve">), </w:t>
            </w:r>
            <w:r w:rsidR="007E3894">
              <w:t>i</w:t>
            </w:r>
            <w:r>
              <w:t xml:space="preserve">nsulin </w:t>
            </w:r>
            <w:proofErr w:type="spellStart"/>
            <w:r>
              <w:t>aspart</w:t>
            </w:r>
            <w:proofErr w:type="spellEnd"/>
            <w:r>
              <w:t xml:space="preserve"> (</w:t>
            </w:r>
            <w:proofErr w:type="spellStart"/>
            <w:r>
              <w:t>rys</w:t>
            </w:r>
            <w:proofErr w:type="spellEnd"/>
            <w:r>
              <w:t>)</w:t>
            </w:r>
          </w:p>
        </w:tc>
      </w:tr>
      <w:tr w:rsidR="008E7846" w:rsidRPr="00487162" w14:paraId="20AB9535" w14:textId="77777777" w:rsidTr="00BF1190">
        <w:tc>
          <w:tcPr>
            <w:tcW w:w="2907" w:type="dxa"/>
          </w:tcPr>
          <w:p w14:paraId="54A7C13A" w14:textId="09E123B2" w:rsidR="008E7846" w:rsidRPr="00487162" w:rsidRDefault="008E7846" w:rsidP="0088132B">
            <w:pPr>
              <w:rPr>
                <w:i/>
              </w:rPr>
            </w:pPr>
            <w:r w:rsidRPr="00487162">
              <w:rPr>
                <w:i/>
              </w:rPr>
              <w:t>Product</w:t>
            </w:r>
            <w:r w:rsidR="0088132B">
              <w:rPr>
                <w:i/>
              </w:rPr>
              <w:t xml:space="preserve"> names</w:t>
            </w:r>
            <w:r w:rsidR="001B5C90">
              <w:rPr>
                <w:i/>
              </w:rPr>
              <w:t>:</w:t>
            </w:r>
          </w:p>
        </w:tc>
        <w:tc>
          <w:tcPr>
            <w:tcW w:w="6307" w:type="dxa"/>
          </w:tcPr>
          <w:p w14:paraId="74594B53" w14:textId="7CC54F40" w:rsidR="00C20F25" w:rsidRPr="0088132B" w:rsidRDefault="0088132B" w:rsidP="00E45619">
            <w:pPr>
              <w:rPr>
                <w:rFonts w:eastAsiaTheme="minorHAnsi" w:cs="Cambria"/>
              </w:rPr>
            </w:pPr>
            <w:proofErr w:type="spellStart"/>
            <w:r>
              <w:rPr>
                <w:rFonts w:eastAsiaTheme="minorHAnsi" w:cs="Cambria"/>
              </w:rPr>
              <w:t>Ryzodeg</w:t>
            </w:r>
            <w:proofErr w:type="spellEnd"/>
            <w:r>
              <w:rPr>
                <w:rFonts w:eastAsiaTheme="minorHAnsi" w:cs="Cambria"/>
              </w:rPr>
              <w:t xml:space="preserve"> 70/30 </w:t>
            </w:r>
            <w:r w:rsidR="00024A48">
              <w:rPr>
                <w:rFonts w:eastAsiaTheme="minorHAnsi" w:cs="Cambria"/>
              </w:rPr>
              <w:t>FlexTouch</w:t>
            </w:r>
            <w:r>
              <w:rPr>
                <w:rFonts w:eastAsiaTheme="minorHAnsi" w:cs="Cambria"/>
              </w:rPr>
              <w:t xml:space="preserve"> and </w:t>
            </w:r>
            <w:proofErr w:type="spellStart"/>
            <w:r>
              <w:rPr>
                <w:rFonts w:eastAsiaTheme="minorHAnsi" w:cs="Cambria"/>
              </w:rPr>
              <w:t>Ryzodeg</w:t>
            </w:r>
            <w:proofErr w:type="spellEnd"/>
            <w:r>
              <w:rPr>
                <w:rFonts w:eastAsiaTheme="minorHAnsi" w:cs="Cambria"/>
              </w:rPr>
              <w:t xml:space="preserve"> 70/30 </w:t>
            </w:r>
            <w:proofErr w:type="spellStart"/>
            <w:r w:rsidR="00024A48">
              <w:rPr>
                <w:rFonts w:eastAsiaTheme="minorHAnsi" w:cs="Cambria"/>
              </w:rPr>
              <w:t>Penfill</w:t>
            </w:r>
            <w:proofErr w:type="spellEnd"/>
          </w:p>
        </w:tc>
      </w:tr>
      <w:tr w:rsidR="008E7846" w:rsidRPr="00487162" w14:paraId="7E44D95B" w14:textId="77777777" w:rsidTr="00BF1190">
        <w:tc>
          <w:tcPr>
            <w:tcW w:w="2907" w:type="dxa"/>
          </w:tcPr>
          <w:p w14:paraId="7187D503" w14:textId="77777777" w:rsidR="008E7846" w:rsidRPr="00487162" w:rsidRDefault="008E7846" w:rsidP="001B5C90">
            <w:pPr>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6307" w:type="dxa"/>
          </w:tcPr>
          <w:p w14:paraId="0303CE3A" w14:textId="77777777" w:rsidR="00C20F25" w:rsidRDefault="00C20F25" w:rsidP="0088132B">
            <w:r>
              <w:t>Novo Nordisk Pharmaceuticals Pty Ltd</w:t>
            </w:r>
          </w:p>
          <w:p w14:paraId="440B3D8B" w14:textId="5019A244" w:rsidR="008E7846" w:rsidRPr="00487162" w:rsidRDefault="00906730" w:rsidP="00906730">
            <w:r>
              <w:t>Level 3, 21 Solent Circuit, Baulkham Hills</w:t>
            </w:r>
            <w:r w:rsidR="00FE3DFE">
              <w:t>,</w:t>
            </w:r>
            <w:r>
              <w:t xml:space="preserve"> NSW 2153</w:t>
            </w:r>
          </w:p>
        </w:tc>
      </w:tr>
      <w:tr w:rsidR="008E7846" w:rsidRPr="00487162" w14:paraId="31201230" w14:textId="77777777" w:rsidTr="00BF1190">
        <w:tc>
          <w:tcPr>
            <w:tcW w:w="2907" w:type="dxa"/>
          </w:tcPr>
          <w:p w14:paraId="3253836D" w14:textId="3096ECE1" w:rsidR="008E7846" w:rsidRPr="00487162" w:rsidRDefault="0088132B" w:rsidP="00E45619">
            <w:pPr>
              <w:rPr>
                <w:i/>
              </w:rPr>
            </w:pPr>
            <w:r>
              <w:rPr>
                <w:i/>
              </w:rPr>
              <w:t>Dose form</w:t>
            </w:r>
            <w:r w:rsidR="001B5C90">
              <w:rPr>
                <w:i/>
              </w:rPr>
              <w:t>:</w:t>
            </w:r>
          </w:p>
        </w:tc>
        <w:tc>
          <w:tcPr>
            <w:tcW w:w="6307" w:type="dxa"/>
          </w:tcPr>
          <w:p w14:paraId="48E5C0BE" w14:textId="77777777" w:rsidR="008E7846" w:rsidRPr="00487162" w:rsidRDefault="005F5521" w:rsidP="00E45619">
            <w:r>
              <w:t>Solution for injection</w:t>
            </w:r>
          </w:p>
        </w:tc>
      </w:tr>
      <w:tr w:rsidR="008E7846" w:rsidRPr="00487162" w14:paraId="25027018" w14:textId="77777777" w:rsidTr="00BF1190">
        <w:tc>
          <w:tcPr>
            <w:tcW w:w="2907" w:type="dxa"/>
          </w:tcPr>
          <w:p w14:paraId="36669B1F" w14:textId="76740E96" w:rsidR="008E7846" w:rsidRPr="00487162" w:rsidRDefault="0088132B" w:rsidP="00E45619">
            <w:pPr>
              <w:rPr>
                <w:i/>
              </w:rPr>
            </w:pPr>
            <w:r>
              <w:rPr>
                <w:i/>
              </w:rPr>
              <w:t>Strength</w:t>
            </w:r>
            <w:r w:rsidR="008E7846" w:rsidRPr="00487162">
              <w:rPr>
                <w:i/>
              </w:rPr>
              <w:t xml:space="preserve">: </w:t>
            </w:r>
          </w:p>
        </w:tc>
        <w:tc>
          <w:tcPr>
            <w:tcW w:w="6307" w:type="dxa"/>
          </w:tcPr>
          <w:p w14:paraId="1959CC61" w14:textId="13C66A50" w:rsidR="008E7846" w:rsidRPr="00487162" w:rsidRDefault="005F5521" w:rsidP="00E45619">
            <w:r>
              <w:t>100</w:t>
            </w:r>
            <w:r w:rsidR="00FE3DFE">
              <w:t xml:space="preserve"> units</w:t>
            </w:r>
            <w:r>
              <w:t xml:space="preserve"> </w:t>
            </w:r>
            <w:r w:rsidR="00FE3DFE">
              <w:t>(</w:t>
            </w:r>
            <w:r>
              <w:t>U</w:t>
            </w:r>
            <w:r w:rsidR="00FE3DFE">
              <w:t>)</w:t>
            </w:r>
            <w:r>
              <w:t>/mL</w:t>
            </w:r>
          </w:p>
        </w:tc>
      </w:tr>
      <w:tr w:rsidR="008E7846" w:rsidRPr="00487162" w14:paraId="1C5EAE71" w14:textId="77777777" w:rsidTr="00BF1190">
        <w:tc>
          <w:tcPr>
            <w:tcW w:w="2907" w:type="dxa"/>
          </w:tcPr>
          <w:p w14:paraId="69930DCD" w14:textId="30BB746A" w:rsidR="008E7846" w:rsidRPr="00487162" w:rsidRDefault="0088132B" w:rsidP="00E45619">
            <w:pPr>
              <w:rPr>
                <w:i/>
              </w:rPr>
            </w:pPr>
            <w:r>
              <w:rPr>
                <w:i/>
              </w:rPr>
              <w:t>Container</w:t>
            </w:r>
            <w:r w:rsidR="008E7846" w:rsidRPr="00487162">
              <w:rPr>
                <w:i/>
              </w:rPr>
              <w:t>:</w:t>
            </w:r>
          </w:p>
        </w:tc>
        <w:tc>
          <w:tcPr>
            <w:tcW w:w="6307" w:type="dxa"/>
          </w:tcPr>
          <w:p w14:paraId="49855D72" w14:textId="3CB90724" w:rsidR="008E7846" w:rsidRPr="00487162" w:rsidRDefault="0088132B" w:rsidP="0088132B">
            <w:r>
              <w:t>Cartridge</w:t>
            </w:r>
            <w:r w:rsidR="00FE3DFE">
              <w:t>, prefilled pen</w:t>
            </w:r>
          </w:p>
        </w:tc>
      </w:tr>
      <w:tr w:rsidR="008E7846" w:rsidRPr="00487162" w14:paraId="3DC2DC38" w14:textId="77777777" w:rsidTr="00BF1190">
        <w:tc>
          <w:tcPr>
            <w:tcW w:w="2907" w:type="dxa"/>
          </w:tcPr>
          <w:p w14:paraId="7756D839" w14:textId="06098883" w:rsidR="008E7846" w:rsidRPr="00487162" w:rsidRDefault="0088132B" w:rsidP="00E45619">
            <w:pPr>
              <w:rPr>
                <w:i/>
              </w:rPr>
            </w:pPr>
            <w:r>
              <w:rPr>
                <w:i/>
              </w:rPr>
              <w:t>Pack size</w:t>
            </w:r>
            <w:r w:rsidR="008E7846" w:rsidRPr="00487162">
              <w:rPr>
                <w:i/>
              </w:rPr>
              <w:t>:</w:t>
            </w:r>
          </w:p>
        </w:tc>
        <w:tc>
          <w:tcPr>
            <w:tcW w:w="6307" w:type="dxa"/>
          </w:tcPr>
          <w:p w14:paraId="59B2053B" w14:textId="496A1603" w:rsidR="005F5521" w:rsidRDefault="0088132B" w:rsidP="0088132B">
            <w:pPr>
              <w:rPr>
                <w:rFonts w:cs="Cambria"/>
              </w:rPr>
            </w:pPr>
            <w:proofErr w:type="spellStart"/>
            <w:r>
              <w:rPr>
                <w:rFonts w:cs="Cambria"/>
              </w:rPr>
              <w:t>Ryzodeg</w:t>
            </w:r>
            <w:proofErr w:type="spellEnd"/>
            <w:r>
              <w:rPr>
                <w:rFonts w:cs="Cambria"/>
              </w:rPr>
              <w:t xml:space="preserve"> 70/30 </w:t>
            </w:r>
            <w:r w:rsidR="00024A48">
              <w:rPr>
                <w:rFonts w:cs="Cambria"/>
              </w:rPr>
              <w:t>FlexTouch</w:t>
            </w:r>
            <w:r w:rsidR="005F5521">
              <w:rPr>
                <w:rFonts w:cs="Cambria"/>
              </w:rPr>
              <w:t xml:space="preserve">: </w:t>
            </w:r>
            <w:r w:rsidR="005F5521">
              <w:t>1 x 3 mL, 5 x 3 mL</w:t>
            </w:r>
          </w:p>
          <w:p w14:paraId="42226D2B" w14:textId="3CB7BE7A" w:rsidR="005F5521" w:rsidRPr="0088132B" w:rsidRDefault="0088132B" w:rsidP="0088132B">
            <w:pPr>
              <w:rPr>
                <w:rFonts w:cs="Cambria"/>
              </w:rPr>
            </w:pPr>
            <w:proofErr w:type="spellStart"/>
            <w:r>
              <w:rPr>
                <w:rFonts w:cs="Cambria"/>
              </w:rPr>
              <w:t>Ryzodeg</w:t>
            </w:r>
            <w:proofErr w:type="spellEnd"/>
            <w:r>
              <w:rPr>
                <w:rFonts w:cs="Cambria"/>
              </w:rPr>
              <w:t xml:space="preserve"> 70/30 </w:t>
            </w:r>
            <w:proofErr w:type="spellStart"/>
            <w:r w:rsidR="00024A48">
              <w:rPr>
                <w:rFonts w:cs="Cambria"/>
              </w:rPr>
              <w:t>Penfill</w:t>
            </w:r>
            <w:proofErr w:type="spellEnd"/>
            <w:r w:rsidR="005F5521">
              <w:rPr>
                <w:rFonts w:cs="Cambria"/>
              </w:rPr>
              <w:t xml:space="preserve">: </w:t>
            </w:r>
            <w:r w:rsidR="005F5521">
              <w:t>5 x 3 mL</w:t>
            </w:r>
          </w:p>
        </w:tc>
      </w:tr>
      <w:tr w:rsidR="008E7846" w:rsidRPr="00487162" w14:paraId="37EF6BAD" w14:textId="77777777" w:rsidTr="00BF1190">
        <w:tc>
          <w:tcPr>
            <w:tcW w:w="2907" w:type="dxa"/>
          </w:tcPr>
          <w:p w14:paraId="778722C3" w14:textId="77777777" w:rsidR="008E7846" w:rsidRPr="00487162" w:rsidRDefault="008E7846" w:rsidP="001B5C90">
            <w:pPr>
              <w:rPr>
                <w:i/>
              </w:rPr>
            </w:pPr>
            <w:r w:rsidRPr="00487162">
              <w:rPr>
                <w:i/>
              </w:rPr>
              <w:t xml:space="preserve">Approved </w:t>
            </w:r>
            <w:r w:rsidR="001B5C90">
              <w:rPr>
                <w:i/>
              </w:rPr>
              <w:t>t</w:t>
            </w:r>
            <w:r w:rsidRPr="00487162">
              <w:rPr>
                <w:i/>
              </w:rPr>
              <w:t>herapeutic use:</w:t>
            </w:r>
          </w:p>
        </w:tc>
        <w:tc>
          <w:tcPr>
            <w:tcW w:w="6307" w:type="dxa"/>
          </w:tcPr>
          <w:p w14:paraId="164D8B8D" w14:textId="5E0947C2" w:rsidR="008E7846" w:rsidRPr="00B12813" w:rsidRDefault="005F5521" w:rsidP="0088132B">
            <w:pPr>
              <w:rPr>
                <w:rFonts w:eastAsia="MS Mincho"/>
                <w:i/>
                <w:lang w:eastAsia="ja-JP"/>
              </w:rPr>
            </w:pPr>
            <w:r w:rsidRPr="00B12813">
              <w:rPr>
                <w:i/>
              </w:rPr>
              <w:t>For use in diabetes mellitus in adolescents and children aged 6</w:t>
            </w:r>
            <w:r w:rsidR="007E3894">
              <w:rPr>
                <w:i/>
              </w:rPr>
              <w:t> </w:t>
            </w:r>
            <w:r w:rsidRPr="00B12813">
              <w:rPr>
                <w:i/>
              </w:rPr>
              <w:t>years and older</w:t>
            </w:r>
          </w:p>
        </w:tc>
      </w:tr>
      <w:tr w:rsidR="008E7846" w:rsidRPr="00487162" w14:paraId="672AF70E" w14:textId="77777777" w:rsidTr="00BF1190">
        <w:tc>
          <w:tcPr>
            <w:tcW w:w="2907" w:type="dxa"/>
          </w:tcPr>
          <w:p w14:paraId="7702A250" w14:textId="73AD3F7B" w:rsidR="008E7846" w:rsidRPr="00487162" w:rsidRDefault="008E7846" w:rsidP="00E45619">
            <w:pPr>
              <w:rPr>
                <w:i/>
              </w:rPr>
            </w:pPr>
            <w:r w:rsidRPr="00487162">
              <w:rPr>
                <w:i/>
              </w:rPr>
              <w:t>Routes of administration:</w:t>
            </w:r>
          </w:p>
        </w:tc>
        <w:tc>
          <w:tcPr>
            <w:tcW w:w="6307" w:type="dxa"/>
          </w:tcPr>
          <w:p w14:paraId="3B19C86E" w14:textId="77777777" w:rsidR="008E7846" w:rsidRPr="00487162" w:rsidRDefault="005F5521" w:rsidP="0088132B">
            <w:r>
              <w:t>Subcutaneous</w:t>
            </w:r>
          </w:p>
        </w:tc>
      </w:tr>
      <w:tr w:rsidR="008E7846" w:rsidRPr="00487162" w14:paraId="03DC8198" w14:textId="77777777" w:rsidTr="00BF1190">
        <w:tc>
          <w:tcPr>
            <w:tcW w:w="2907" w:type="dxa"/>
          </w:tcPr>
          <w:p w14:paraId="7654BEC8" w14:textId="77777777" w:rsidR="008E7846" w:rsidRPr="00487162" w:rsidRDefault="008E7846" w:rsidP="00E45619">
            <w:pPr>
              <w:rPr>
                <w:i/>
              </w:rPr>
            </w:pPr>
            <w:r w:rsidRPr="00487162">
              <w:rPr>
                <w:i/>
              </w:rPr>
              <w:t>Dosage:</w:t>
            </w:r>
          </w:p>
        </w:tc>
        <w:tc>
          <w:tcPr>
            <w:tcW w:w="6307" w:type="dxa"/>
          </w:tcPr>
          <w:p w14:paraId="136F266F" w14:textId="32A65062" w:rsidR="005F5521" w:rsidRPr="00FD2BA5" w:rsidRDefault="0005733C" w:rsidP="00FD2BA5">
            <w:proofErr w:type="spellStart"/>
            <w:r>
              <w:t>Ryzodeg</w:t>
            </w:r>
            <w:proofErr w:type="spellEnd"/>
            <w:r w:rsidR="005F5521" w:rsidRPr="00FD2BA5">
              <w:t xml:space="preserve"> 70/30 is a soluble insulin product consisting of the ultra-long acting basal insulin </w:t>
            </w:r>
            <w:proofErr w:type="spellStart"/>
            <w:r w:rsidR="005F5521" w:rsidRPr="00FD2BA5">
              <w:t>degludec</w:t>
            </w:r>
            <w:proofErr w:type="spellEnd"/>
            <w:r w:rsidR="005F5521" w:rsidRPr="00FD2BA5">
              <w:t xml:space="preserve"> and the rapid acting prandial insulin </w:t>
            </w:r>
            <w:proofErr w:type="spellStart"/>
            <w:r w:rsidR="005F5521" w:rsidRPr="00FD2BA5">
              <w:t>aspart</w:t>
            </w:r>
            <w:proofErr w:type="spellEnd"/>
            <w:r w:rsidR="005F5521" w:rsidRPr="00FD2BA5">
              <w:t xml:space="preserve"> in a ratio of 70:30.</w:t>
            </w:r>
          </w:p>
          <w:p w14:paraId="2A2226B9" w14:textId="44D5470D" w:rsidR="008E7846" w:rsidRDefault="0005733C" w:rsidP="00FD2BA5">
            <w:proofErr w:type="spellStart"/>
            <w:r>
              <w:t>Ryzodeg</w:t>
            </w:r>
            <w:proofErr w:type="spellEnd"/>
            <w:r w:rsidR="00FD2BA5">
              <w:t xml:space="preserve"> 70/30 can be administered once or twice </w:t>
            </w:r>
            <w:r w:rsidR="005F5521" w:rsidRPr="00FD2BA5">
              <w:t xml:space="preserve">daily with the main meal(s). However, if advised by a healthcare professional, when needed, the patient can change the time of administration as long as </w:t>
            </w:r>
            <w:proofErr w:type="spellStart"/>
            <w:r>
              <w:t>Ryzodeg</w:t>
            </w:r>
            <w:proofErr w:type="spellEnd"/>
            <w:r w:rsidR="005F5521" w:rsidRPr="00FD2BA5">
              <w:t xml:space="preserve"> 70/30 is dosed with the main meal when taken once daily.</w:t>
            </w:r>
          </w:p>
          <w:p w14:paraId="30B2B2FC" w14:textId="3B5588D1" w:rsidR="00B818EC" w:rsidRPr="00B818EC" w:rsidRDefault="0005733C" w:rsidP="00B818EC">
            <w:proofErr w:type="spellStart"/>
            <w:r>
              <w:t>Ryzodeg</w:t>
            </w:r>
            <w:proofErr w:type="spellEnd"/>
            <w:r w:rsidR="00B818EC">
              <w:t xml:space="preserve"> 70/30 is to be dosed in accordance with individual patient’s needs. Pre-meal plasma glucose levels should be used to evaluate the adequacy of the preceding dose.</w:t>
            </w:r>
          </w:p>
          <w:p w14:paraId="606042BB" w14:textId="77777777" w:rsidR="00D5167A" w:rsidRDefault="00D5167A" w:rsidP="00553D3B">
            <w:pPr>
              <w:keepNext/>
              <w:rPr>
                <w:b/>
              </w:rPr>
            </w:pPr>
          </w:p>
          <w:p w14:paraId="2B4A0AAA" w14:textId="6596AC63" w:rsidR="003602C6" w:rsidRPr="00FD2BA5" w:rsidRDefault="003602C6" w:rsidP="00553D3B">
            <w:pPr>
              <w:keepNext/>
              <w:rPr>
                <w:b/>
              </w:rPr>
            </w:pPr>
            <w:r w:rsidRPr="00FD2BA5">
              <w:rPr>
                <w:b/>
              </w:rPr>
              <w:lastRenderedPageBreak/>
              <w:t>Paediatric population</w:t>
            </w:r>
          </w:p>
          <w:p w14:paraId="6DFD0522" w14:textId="2F125537" w:rsidR="003602C6" w:rsidRPr="00FD2BA5" w:rsidRDefault="0005733C" w:rsidP="00FD2BA5">
            <w:proofErr w:type="spellStart"/>
            <w:r>
              <w:t>Ryzodeg</w:t>
            </w:r>
            <w:proofErr w:type="spellEnd"/>
            <w:r w:rsidR="003602C6" w:rsidRPr="00FD2BA5">
              <w:t xml:space="preserve"> 70/30 can be used in children and adolescen</w:t>
            </w:r>
            <w:r w:rsidR="00FD2BA5">
              <w:t>ts from the age of 6 years</w:t>
            </w:r>
            <w:r w:rsidR="003602C6" w:rsidRPr="00FD2BA5">
              <w:t xml:space="preserve">. When changing from another insulin regimen to </w:t>
            </w:r>
            <w:proofErr w:type="spellStart"/>
            <w:r>
              <w:t>Ryzodeg</w:t>
            </w:r>
            <w:proofErr w:type="spellEnd"/>
            <w:r w:rsidR="00FD2BA5">
              <w:t xml:space="preserve"> </w:t>
            </w:r>
            <w:r w:rsidR="003602C6" w:rsidRPr="00FD2BA5">
              <w:t xml:space="preserve">70/30, dose reduction of total insulin needs to be considered on </w:t>
            </w:r>
            <w:r w:rsidR="00FD2BA5">
              <w:t xml:space="preserve">an individual basis in order to </w:t>
            </w:r>
            <w:r w:rsidR="003602C6" w:rsidRPr="00FD2BA5">
              <w:t>minimise the risk of hypo</w:t>
            </w:r>
            <w:r w:rsidR="00FD2BA5">
              <w:t>glycaemia</w:t>
            </w:r>
            <w:r w:rsidR="003602C6" w:rsidRPr="00FD2BA5">
              <w:t>.</w:t>
            </w:r>
          </w:p>
          <w:p w14:paraId="6AE50B95" w14:textId="6653A1E0" w:rsidR="003602C6" w:rsidRDefault="0005733C" w:rsidP="00FD2BA5">
            <w:proofErr w:type="spellStart"/>
            <w:r>
              <w:t>Ryzodeg</w:t>
            </w:r>
            <w:proofErr w:type="spellEnd"/>
            <w:r w:rsidR="003602C6" w:rsidRPr="00FD2BA5">
              <w:t xml:space="preserve"> 70/30 should be used with special caution in paedia</w:t>
            </w:r>
            <w:r w:rsidR="00FD2BA5">
              <w:t xml:space="preserve">tric patients because data </w:t>
            </w:r>
            <w:r w:rsidR="003602C6" w:rsidRPr="00FD2BA5">
              <w:t>from the clinical trial indicate that there may be a higher ris</w:t>
            </w:r>
            <w:r w:rsidR="00FD2BA5">
              <w:t>k for severe hypoglycaemia</w:t>
            </w:r>
            <w:r w:rsidR="003602C6" w:rsidRPr="00FD2BA5">
              <w:t>.</w:t>
            </w:r>
          </w:p>
          <w:p w14:paraId="3871E149" w14:textId="55B1CC59" w:rsidR="00FD2BA5" w:rsidRPr="00FD2BA5" w:rsidRDefault="00FD2BA5" w:rsidP="00FD2BA5">
            <w:r>
              <w:t>For further details please see the Product Information.</w:t>
            </w:r>
          </w:p>
        </w:tc>
      </w:tr>
    </w:tbl>
    <w:p w14:paraId="3D64500D" w14:textId="77777777" w:rsidR="008E7846" w:rsidRDefault="008E7846" w:rsidP="008E7846">
      <w:pPr>
        <w:pStyle w:val="Heading3"/>
      </w:pPr>
      <w:bookmarkStart w:id="13" w:name="_Toc247691503"/>
      <w:bookmarkStart w:id="14" w:name="_Toc314842484"/>
      <w:bookmarkStart w:id="15" w:name="_Toc47446836"/>
      <w:r>
        <w:lastRenderedPageBreak/>
        <w:t>Product background</w:t>
      </w:r>
      <w:bookmarkEnd w:id="13"/>
      <w:bookmarkEnd w:id="14"/>
      <w:bookmarkEnd w:id="15"/>
    </w:p>
    <w:p w14:paraId="74FAB788" w14:textId="09092099" w:rsidR="009C3F13" w:rsidRDefault="00940A89" w:rsidP="00B818EC">
      <w:r w:rsidRPr="00940A89">
        <w:t xml:space="preserve">This AusPAR describes the application by </w:t>
      </w:r>
      <w:r w:rsidR="003602C6">
        <w:rPr>
          <w:rFonts w:eastAsiaTheme="minorHAnsi" w:cs="Cambria"/>
        </w:rPr>
        <w:t xml:space="preserve">Novo </w:t>
      </w:r>
      <w:r w:rsidR="00B818EC">
        <w:rPr>
          <w:rFonts w:eastAsiaTheme="minorHAnsi" w:cs="Cambria"/>
        </w:rPr>
        <w:t xml:space="preserve">Nordisk Pharmaceuticals Pty Ltd </w:t>
      </w:r>
      <w:r w:rsidR="003602C6">
        <w:t>(</w:t>
      </w:r>
      <w:r w:rsidRPr="00940A89">
        <w:t>the</w:t>
      </w:r>
      <w:r w:rsidR="007E3894">
        <w:t> </w:t>
      </w:r>
      <w:r w:rsidRPr="00940A89">
        <w:t>sponsor</w:t>
      </w:r>
      <w:r w:rsidR="003602C6">
        <w:t>) to register</w:t>
      </w:r>
      <w:r w:rsidR="009C3F13">
        <w:t>:</w:t>
      </w:r>
    </w:p>
    <w:p w14:paraId="40D67438" w14:textId="57AA6FB4" w:rsidR="009C3F13" w:rsidRPr="006742DE" w:rsidRDefault="003602C6" w:rsidP="006742DE">
      <w:pPr>
        <w:pStyle w:val="ListBullet"/>
        <w:rPr>
          <w:rFonts w:eastAsiaTheme="minorHAnsi" w:cs="Cambria"/>
        </w:rPr>
      </w:pPr>
      <w:proofErr w:type="spellStart"/>
      <w:r>
        <w:t>R</w:t>
      </w:r>
      <w:r w:rsidR="00B818EC">
        <w:t>yzodeg</w:t>
      </w:r>
      <w:proofErr w:type="spellEnd"/>
      <w:r w:rsidR="00B818EC">
        <w:t xml:space="preserve"> 70/30 </w:t>
      </w:r>
      <w:r w:rsidR="00024A48">
        <w:t>FlexTouch</w:t>
      </w:r>
      <w:r w:rsidR="00B818EC">
        <w:t xml:space="preserve"> </w:t>
      </w:r>
      <w:r>
        <w:t xml:space="preserve">70% insulin </w:t>
      </w:r>
      <w:proofErr w:type="spellStart"/>
      <w:r>
        <w:t>degludec</w:t>
      </w:r>
      <w:proofErr w:type="spellEnd"/>
      <w:r>
        <w:t xml:space="preserve"> (</w:t>
      </w:r>
      <w:proofErr w:type="spellStart"/>
      <w:r>
        <w:t>rys</w:t>
      </w:r>
      <w:proofErr w:type="spellEnd"/>
      <w:r>
        <w:t xml:space="preserve">) / 30% insulin </w:t>
      </w:r>
      <w:proofErr w:type="spellStart"/>
      <w:r>
        <w:t>aspart</w:t>
      </w:r>
      <w:proofErr w:type="spellEnd"/>
      <w:r>
        <w:t xml:space="preserve"> (</w:t>
      </w:r>
      <w:proofErr w:type="spellStart"/>
      <w:r>
        <w:t>rys</w:t>
      </w:r>
      <w:proofErr w:type="spellEnd"/>
      <w:r>
        <w:t>) 100</w:t>
      </w:r>
      <w:r w:rsidR="009C3F13">
        <w:t> </w:t>
      </w:r>
      <w:r>
        <w:t xml:space="preserve">U/mL </w:t>
      </w:r>
      <w:r w:rsidR="00B818EC">
        <w:t>solution for injection</w:t>
      </w:r>
      <w:r w:rsidR="009C3F13">
        <w:t>;</w:t>
      </w:r>
      <w:r>
        <w:t xml:space="preserve"> and</w:t>
      </w:r>
    </w:p>
    <w:p w14:paraId="161BA0C9" w14:textId="34016C66" w:rsidR="008E7846" w:rsidRPr="009C3F13" w:rsidRDefault="00442708" w:rsidP="006742DE">
      <w:pPr>
        <w:pStyle w:val="ListBullet"/>
        <w:rPr>
          <w:rFonts w:eastAsiaTheme="minorHAnsi" w:cs="Cambria"/>
        </w:rPr>
      </w:pPr>
      <w:proofErr w:type="spellStart"/>
      <w:r>
        <w:t>Ryzodeg</w:t>
      </w:r>
      <w:proofErr w:type="spellEnd"/>
      <w:r>
        <w:t xml:space="preserve"> 70/30 </w:t>
      </w:r>
      <w:proofErr w:type="spellStart"/>
      <w:r w:rsidR="00024A48">
        <w:t>Penfill</w:t>
      </w:r>
      <w:proofErr w:type="spellEnd"/>
      <w:r w:rsidR="003602C6">
        <w:t xml:space="preserve"> 70% insulin </w:t>
      </w:r>
      <w:proofErr w:type="spellStart"/>
      <w:r w:rsidR="003602C6">
        <w:t>degludec</w:t>
      </w:r>
      <w:proofErr w:type="spellEnd"/>
      <w:r w:rsidR="003602C6">
        <w:t xml:space="preserve"> (</w:t>
      </w:r>
      <w:proofErr w:type="spellStart"/>
      <w:r w:rsidR="003602C6">
        <w:t>rys</w:t>
      </w:r>
      <w:proofErr w:type="spellEnd"/>
      <w:r w:rsidR="003602C6">
        <w:t xml:space="preserve">) / 30% insulin </w:t>
      </w:r>
      <w:proofErr w:type="spellStart"/>
      <w:r w:rsidR="003602C6">
        <w:t>aspart</w:t>
      </w:r>
      <w:proofErr w:type="spellEnd"/>
      <w:r w:rsidR="003602C6">
        <w:t xml:space="preserve"> (</w:t>
      </w:r>
      <w:proofErr w:type="spellStart"/>
      <w:r w:rsidR="003602C6">
        <w:t>rys</w:t>
      </w:r>
      <w:proofErr w:type="spellEnd"/>
      <w:r w:rsidR="003602C6">
        <w:t>) 100</w:t>
      </w:r>
      <w:r w:rsidR="009C3F13">
        <w:t> </w:t>
      </w:r>
      <w:r w:rsidR="003602C6">
        <w:t xml:space="preserve">U/mL </w:t>
      </w:r>
      <w:r>
        <w:t>solution for injection</w:t>
      </w:r>
      <w:r w:rsidR="009C3F13">
        <w:t xml:space="preserve">; </w:t>
      </w:r>
      <w:r w:rsidR="00940A89" w:rsidRPr="00940A89">
        <w:t>f</w:t>
      </w:r>
      <w:r>
        <w:t xml:space="preserve">or the following proposed </w:t>
      </w:r>
      <w:r w:rsidR="00FE3DFE">
        <w:t xml:space="preserve">extension of </w:t>
      </w:r>
      <w:r>
        <w:t>indication</w:t>
      </w:r>
      <w:r w:rsidR="00FE3DFE">
        <w:t>s</w:t>
      </w:r>
      <w:r>
        <w:t>:</w:t>
      </w:r>
    </w:p>
    <w:p w14:paraId="3CF40D65" w14:textId="60A409D8" w:rsidR="00ED2922" w:rsidRPr="00442708" w:rsidRDefault="003602C6" w:rsidP="00442708">
      <w:pPr>
        <w:ind w:left="720"/>
        <w:rPr>
          <w:i/>
        </w:rPr>
      </w:pPr>
      <w:r w:rsidRPr="00442708">
        <w:rPr>
          <w:i/>
        </w:rPr>
        <w:t xml:space="preserve">To improve glycaemic control in adults, adolescents and children from the age of 2 years with diabetes mellitus requiring basal </w:t>
      </w:r>
      <w:r w:rsidR="00442708">
        <w:rPr>
          <w:i/>
        </w:rPr>
        <w:t>and prandial insulin.</w:t>
      </w:r>
    </w:p>
    <w:p w14:paraId="57E53456" w14:textId="602037D9" w:rsidR="003602C6" w:rsidRPr="008045E8" w:rsidRDefault="003602C6" w:rsidP="003602C6">
      <w:pPr>
        <w:rPr>
          <w:lang w:eastAsia="ja-JP"/>
        </w:rPr>
      </w:pPr>
      <w:r>
        <w:rPr>
          <w:lang w:eastAsia="ja-JP"/>
        </w:rPr>
        <w:t xml:space="preserve">Diabetes </w:t>
      </w:r>
      <w:r>
        <w:t xml:space="preserve">mellitus </w:t>
      </w:r>
      <w:r>
        <w:rPr>
          <w:lang w:eastAsia="ja-JP"/>
        </w:rPr>
        <w:t>is</w:t>
      </w:r>
      <w:r w:rsidRPr="00686684">
        <w:rPr>
          <w:lang w:val="en"/>
        </w:rPr>
        <w:t xml:space="preserve"> </w:t>
      </w:r>
      <w:r w:rsidRPr="00686684">
        <w:rPr>
          <w:lang w:val="en" w:eastAsia="ja-JP"/>
        </w:rPr>
        <w:t>chronic condition caused by</w:t>
      </w:r>
      <w:r>
        <w:rPr>
          <w:lang w:val="en" w:eastAsia="ja-JP"/>
        </w:rPr>
        <w:t xml:space="preserve"> absolute or </w:t>
      </w:r>
      <w:r w:rsidRPr="00686684">
        <w:rPr>
          <w:lang w:val="en" w:eastAsia="ja-JP"/>
        </w:rPr>
        <w:t xml:space="preserve">relative </w:t>
      </w:r>
      <w:r>
        <w:rPr>
          <w:lang w:val="en" w:eastAsia="ja-JP"/>
        </w:rPr>
        <w:t xml:space="preserve">insulin deficiency, resulting </w:t>
      </w:r>
      <w:r w:rsidRPr="00686684">
        <w:rPr>
          <w:lang w:val="en" w:eastAsia="ja-JP"/>
        </w:rPr>
        <w:t xml:space="preserve">in </w:t>
      </w:r>
      <w:proofErr w:type="spellStart"/>
      <w:r w:rsidRPr="00686684">
        <w:rPr>
          <w:lang w:val="en" w:eastAsia="ja-JP"/>
        </w:rPr>
        <w:t>hyperglycaemia</w:t>
      </w:r>
      <w:proofErr w:type="spellEnd"/>
      <w:r>
        <w:rPr>
          <w:lang w:eastAsia="ja-JP"/>
        </w:rPr>
        <w:t>.</w:t>
      </w:r>
      <w:bookmarkStart w:id="16" w:name="_Ref42159621"/>
      <w:r w:rsidR="00646C32">
        <w:rPr>
          <w:rStyle w:val="FootnoteReference"/>
          <w:lang w:val="en" w:eastAsia="ja-JP"/>
        </w:rPr>
        <w:footnoteReference w:id="1"/>
      </w:r>
      <w:bookmarkEnd w:id="16"/>
      <w:r>
        <w:rPr>
          <w:lang w:eastAsia="ja-JP"/>
        </w:rPr>
        <w:t xml:space="preserve"> </w:t>
      </w:r>
      <w:r w:rsidRPr="006F50C0">
        <w:t xml:space="preserve">Type 1 diabetes mellitus (T1DM) and </w:t>
      </w:r>
      <w:r>
        <w:t xml:space="preserve">type 2 diabetes mellitus (T2DM) are the main two </w:t>
      </w:r>
      <w:r w:rsidRPr="006F50C0">
        <w:rPr>
          <w:lang w:eastAsia="ja-JP"/>
        </w:rPr>
        <w:t xml:space="preserve">types of </w:t>
      </w:r>
      <w:r w:rsidRPr="006F50C0">
        <w:t>diabetes mellitus</w:t>
      </w:r>
      <w:r>
        <w:t>.</w:t>
      </w:r>
      <w:r>
        <w:rPr>
          <w:lang w:eastAsia="ja-JP"/>
        </w:rPr>
        <w:t xml:space="preserve"> </w:t>
      </w:r>
      <w:r w:rsidR="00A05E7F">
        <w:rPr>
          <w:lang w:eastAsia="ja-JP"/>
        </w:rPr>
        <w:t>T1DM</w:t>
      </w:r>
      <w:r>
        <w:rPr>
          <w:lang w:eastAsia="ja-JP"/>
        </w:rPr>
        <w:t xml:space="preserve"> is a </w:t>
      </w:r>
      <w:r w:rsidRPr="00976204">
        <w:rPr>
          <w:lang w:val="en" w:eastAsia="ja-JP"/>
        </w:rPr>
        <w:t>condition of insulin deficiency most commonly caused by immune-mediated destruction of the insulin</w:t>
      </w:r>
      <w:r w:rsidR="000E6A1D">
        <w:rPr>
          <w:lang w:val="en" w:eastAsia="ja-JP"/>
        </w:rPr>
        <w:noBreakHyphen/>
      </w:r>
      <w:r w:rsidRPr="00976204">
        <w:rPr>
          <w:lang w:val="en" w:eastAsia="ja-JP"/>
        </w:rPr>
        <w:t>producing pancreatic beta cells</w:t>
      </w:r>
      <w:r>
        <w:rPr>
          <w:lang w:val="en" w:eastAsia="ja-JP"/>
        </w:rPr>
        <w:t>. Diabetes in children and adolescents is predominantly type 1, with the incidence of T1DM peaking in adolescence and young adulthood.</w:t>
      </w:r>
      <w:r w:rsidR="00646C32" w:rsidRPr="00646C32">
        <w:rPr>
          <w:vertAlign w:val="superscript"/>
          <w:lang w:val="en" w:eastAsia="ja-JP"/>
        </w:rPr>
        <w:fldChar w:fldCharType="begin"/>
      </w:r>
      <w:r w:rsidR="00646C32" w:rsidRPr="00646C32">
        <w:rPr>
          <w:vertAlign w:val="superscript"/>
          <w:lang w:val="en" w:eastAsia="ja-JP"/>
        </w:rPr>
        <w:instrText xml:space="preserve"> NOTEREF _Ref42159621 \h  \* MERGEFORMAT </w:instrText>
      </w:r>
      <w:r w:rsidR="00646C32" w:rsidRPr="00646C32">
        <w:rPr>
          <w:vertAlign w:val="superscript"/>
          <w:lang w:val="en" w:eastAsia="ja-JP"/>
        </w:rPr>
      </w:r>
      <w:r w:rsidR="00646C32" w:rsidRPr="00646C32">
        <w:rPr>
          <w:vertAlign w:val="superscript"/>
          <w:lang w:val="en" w:eastAsia="ja-JP"/>
        </w:rPr>
        <w:fldChar w:fldCharType="separate"/>
      </w:r>
      <w:r w:rsidR="00066A82">
        <w:rPr>
          <w:vertAlign w:val="superscript"/>
          <w:lang w:val="en" w:eastAsia="ja-JP"/>
        </w:rPr>
        <w:t>1</w:t>
      </w:r>
      <w:r w:rsidR="00646C32" w:rsidRPr="00646C32">
        <w:rPr>
          <w:vertAlign w:val="superscript"/>
          <w:lang w:val="en" w:eastAsia="ja-JP"/>
        </w:rPr>
        <w:fldChar w:fldCharType="end"/>
      </w:r>
      <w:r>
        <w:rPr>
          <w:lang w:val="en" w:eastAsia="ja-JP"/>
        </w:rPr>
        <w:t xml:space="preserve"> In A</w:t>
      </w:r>
      <w:r w:rsidR="00A05E7F">
        <w:rPr>
          <w:lang w:val="en" w:eastAsia="ja-JP"/>
        </w:rPr>
        <w:t xml:space="preserve">ustralia, </w:t>
      </w:r>
      <w:r w:rsidR="00F936C6">
        <w:rPr>
          <w:lang w:val="en" w:eastAsia="ja-JP"/>
        </w:rPr>
        <w:t xml:space="preserve">over </w:t>
      </w:r>
      <w:r w:rsidR="00A05E7F">
        <w:rPr>
          <w:lang w:val="en" w:eastAsia="ja-JP"/>
        </w:rPr>
        <w:t>6,</w:t>
      </w:r>
      <w:r w:rsidR="00F936C6">
        <w:rPr>
          <w:lang w:val="en" w:eastAsia="ja-JP"/>
        </w:rPr>
        <w:t>500</w:t>
      </w:r>
      <w:r w:rsidR="00A05E7F">
        <w:rPr>
          <w:lang w:val="en" w:eastAsia="ja-JP"/>
        </w:rPr>
        <w:t xml:space="preserve"> children aged 0 to</w:t>
      </w:r>
      <w:r>
        <w:rPr>
          <w:lang w:val="en" w:eastAsia="ja-JP"/>
        </w:rPr>
        <w:t>14 years wer</w:t>
      </w:r>
      <w:r w:rsidR="00F936C6">
        <w:rPr>
          <w:lang w:val="en" w:eastAsia="ja-JP"/>
        </w:rPr>
        <w:t>e estimated to have T1DM in 2017</w:t>
      </w:r>
      <w:r>
        <w:rPr>
          <w:lang w:val="en" w:eastAsia="ja-JP"/>
        </w:rPr>
        <w:t>.</w:t>
      </w:r>
      <w:bookmarkStart w:id="17" w:name="_Ref42159795"/>
      <w:r w:rsidR="00646C32">
        <w:rPr>
          <w:rStyle w:val="FootnoteReference"/>
          <w:lang w:val="en" w:eastAsia="ja-JP"/>
        </w:rPr>
        <w:footnoteReference w:id="2"/>
      </w:r>
      <w:bookmarkEnd w:id="17"/>
      <w:r>
        <w:rPr>
          <w:lang w:val="en" w:eastAsia="ja-JP"/>
        </w:rPr>
        <w:t xml:space="preserve"> Patients with T1DM are insulin dependent.</w:t>
      </w:r>
    </w:p>
    <w:p w14:paraId="0F15A8E1" w14:textId="041F6EC5" w:rsidR="003602C6" w:rsidRPr="009C3F13" w:rsidRDefault="003602C6" w:rsidP="00A05E7F">
      <w:pPr>
        <w:rPr>
          <w:lang w:val="en" w:eastAsia="ja-JP"/>
        </w:rPr>
      </w:pPr>
      <w:r>
        <w:rPr>
          <w:lang w:val="en" w:eastAsia="ja-JP"/>
        </w:rPr>
        <w:t>In children and adolescents with T1DM, various insulin regimens are used</w:t>
      </w:r>
      <w:r w:rsidR="009C3F13">
        <w:rPr>
          <w:lang w:val="en" w:eastAsia="ja-JP"/>
        </w:rPr>
        <w:t>;</w:t>
      </w:r>
      <w:r w:rsidR="00A05E7F" w:rsidRPr="009C3F13">
        <w:rPr>
          <w:vertAlign w:val="superscript"/>
          <w:lang w:val="en" w:eastAsia="ja-JP"/>
        </w:rPr>
        <w:fldChar w:fldCharType="begin"/>
      </w:r>
      <w:r w:rsidR="00A05E7F" w:rsidRPr="009C3F13">
        <w:rPr>
          <w:vertAlign w:val="superscript"/>
          <w:lang w:val="en" w:eastAsia="ja-JP"/>
        </w:rPr>
        <w:instrText xml:space="preserve"> NOTEREF _Ref42159621 \h  \* MERGEFORMAT </w:instrText>
      </w:r>
      <w:r w:rsidR="00A05E7F" w:rsidRPr="009C3F13">
        <w:rPr>
          <w:vertAlign w:val="superscript"/>
          <w:lang w:val="en" w:eastAsia="ja-JP"/>
        </w:rPr>
      </w:r>
      <w:r w:rsidR="00A05E7F" w:rsidRPr="009C3F13">
        <w:rPr>
          <w:vertAlign w:val="superscript"/>
          <w:lang w:val="en" w:eastAsia="ja-JP"/>
        </w:rPr>
        <w:fldChar w:fldCharType="separate"/>
      </w:r>
      <w:r w:rsidR="00066A82">
        <w:rPr>
          <w:vertAlign w:val="superscript"/>
          <w:lang w:val="en" w:eastAsia="ja-JP"/>
        </w:rPr>
        <w:t>1</w:t>
      </w:r>
      <w:r w:rsidR="00A05E7F" w:rsidRPr="009C3F13">
        <w:rPr>
          <w:vertAlign w:val="superscript"/>
          <w:lang w:val="en" w:eastAsia="ja-JP"/>
        </w:rPr>
        <w:fldChar w:fldCharType="end"/>
      </w:r>
      <w:r w:rsidR="009C3F13">
        <w:rPr>
          <w:lang w:val="en" w:eastAsia="ja-JP"/>
        </w:rPr>
        <w:t xml:space="preserve"> </w:t>
      </w:r>
      <w:r w:rsidR="009C3F13" w:rsidRPr="009C3F13">
        <w:rPr>
          <w:lang w:val="en" w:eastAsia="ja-JP"/>
        </w:rPr>
        <w:t>including</w:t>
      </w:r>
      <w:r w:rsidR="009C3F13">
        <w:rPr>
          <w:lang w:val="en" w:eastAsia="ja-JP"/>
        </w:rPr>
        <w:t>:</w:t>
      </w:r>
    </w:p>
    <w:p w14:paraId="4798BC94" w14:textId="77777777" w:rsidR="00F92B65" w:rsidRDefault="003602C6" w:rsidP="002E50C7">
      <w:pPr>
        <w:pStyle w:val="ListBullet"/>
        <w:rPr>
          <w:lang w:val="en" w:eastAsia="ja-JP"/>
        </w:rPr>
      </w:pPr>
      <w:r w:rsidRPr="00F648B6">
        <w:rPr>
          <w:lang w:val="en" w:eastAsia="ja-JP"/>
        </w:rPr>
        <w:t>multiple daily injection (basal-bolus) regimen, usually with a long or intermediate acting insulin as basal insulin given once or twice daily, with rapid acting insulin as bolus insulin before meals</w:t>
      </w:r>
      <w:r w:rsidR="00F92B65">
        <w:rPr>
          <w:lang w:val="en" w:eastAsia="ja-JP"/>
        </w:rPr>
        <w:t>.</w:t>
      </w:r>
    </w:p>
    <w:p w14:paraId="0A028BFF" w14:textId="3144ACEA" w:rsidR="003602C6" w:rsidRDefault="002E50C7" w:rsidP="002E50C7">
      <w:pPr>
        <w:pStyle w:val="ListBullet"/>
        <w:rPr>
          <w:lang w:val="en" w:eastAsia="ja-JP"/>
        </w:rPr>
      </w:pPr>
      <w:r>
        <w:rPr>
          <w:lang w:val="en" w:eastAsia="ja-JP"/>
        </w:rPr>
        <w:t>c</w:t>
      </w:r>
      <w:r w:rsidR="003602C6">
        <w:rPr>
          <w:lang w:val="en" w:eastAsia="ja-JP"/>
        </w:rPr>
        <w:t>ontinuous subcutaneous</w:t>
      </w:r>
      <w:r w:rsidR="00DF057D">
        <w:rPr>
          <w:lang w:val="en" w:eastAsia="ja-JP"/>
        </w:rPr>
        <w:t xml:space="preserve"> (SC)</w:t>
      </w:r>
      <w:r w:rsidR="003602C6">
        <w:rPr>
          <w:lang w:val="en" w:eastAsia="ja-JP"/>
        </w:rPr>
        <w:t xml:space="preserve"> insulin infusion administered with an insulin pump</w:t>
      </w:r>
      <w:r w:rsidR="00A05E7F">
        <w:rPr>
          <w:lang w:val="en" w:eastAsia="ja-JP"/>
        </w:rPr>
        <w:t>.</w:t>
      </w:r>
    </w:p>
    <w:p w14:paraId="4470FAB3" w14:textId="71975C7D" w:rsidR="00F92B65" w:rsidRDefault="002E50C7" w:rsidP="002E50C7">
      <w:pPr>
        <w:pStyle w:val="ListBullet"/>
        <w:rPr>
          <w:lang w:val="en" w:eastAsia="ja-JP"/>
        </w:rPr>
      </w:pPr>
      <w:r>
        <w:rPr>
          <w:lang w:val="en" w:eastAsia="ja-JP"/>
        </w:rPr>
        <w:t>m</w:t>
      </w:r>
      <w:r w:rsidR="003602C6">
        <w:rPr>
          <w:lang w:val="en" w:eastAsia="ja-JP"/>
        </w:rPr>
        <w:t>ixed insulin regimen, using a mixture of rapid or short acting insulin and intermediate acting insulin, usually given twice daily</w:t>
      </w:r>
      <w:r w:rsidR="00F92B65">
        <w:rPr>
          <w:lang w:val="en" w:eastAsia="ja-JP"/>
        </w:rPr>
        <w:t>.</w:t>
      </w:r>
    </w:p>
    <w:p w14:paraId="7B43C237" w14:textId="3F45FB9C" w:rsidR="003602C6" w:rsidRPr="00232D24" w:rsidRDefault="003602C6" w:rsidP="003602C6">
      <w:pPr>
        <w:rPr>
          <w:lang w:val="en" w:eastAsia="ja-JP"/>
        </w:rPr>
      </w:pPr>
      <w:r>
        <w:rPr>
          <w:lang w:val="en" w:eastAsia="ja-JP"/>
        </w:rPr>
        <w:t>Current Australian therapeutic guidelines state ‘</w:t>
      </w:r>
      <w:r w:rsidRPr="00BD2841">
        <w:rPr>
          <w:lang w:val="en" w:eastAsia="ja-JP"/>
        </w:rPr>
        <w:t>if a multiple daily injection (basal–bolus) regimen is not feasible, a regimen requiring less frequent insulin injections (such as a mixed insulin regimen) can be considered for younger children.</w:t>
      </w:r>
      <w:r>
        <w:rPr>
          <w:lang w:val="en" w:eastAsia="ja-JP"/>
        </w:rPr>
        <w:t>’</w:t>
      </w:r>
      <w:r w:rsidR="00646C32" w:rsidRPr="00646C32">
        <w:rPr>
          <w:vertAlign w:val="superscript"/>
          <w:lang w:val="en" w:eastAsia="ja-JP"/>
        </w:rPr>
        <w:fldChar w:fldCharType="begin"/>
      </w:r>
      <w:r w:rsidR="00646C32" w:rsidRPr="00646C32">
        <w:rPr>
          <w:vertAlign w:val="superscript"/>
          <w:lang w:val="en" w:eastAsia="ja-JP"/>
        </w:rPr>
        <w:instrText xml:space="preserve"> NOTEREF _Ref42159621 \h </w:instrText>
      </w:r>
      <w:r w:rsidR="00646C32">
        <w:rPr>
          <w:vertAlign w:val="superscript"/>
          <w:lang w:val="en" w:eastAsia="ja-JP"/>
        </w:rPr>
        <w:instrText xml:space="preserve"> \* MERGEFORMAT </w:instrText>
      </w:r>
      <w:r w:rsidR="00646C32" w:rsidRPr="00646C32">
        <w:rPr>
          <w:vertAlign w:val="superscript"/>
          <w:lang w:val="en" w:eastAsia="ja-JP"/>
        </w:rPr>
      </w:r>
      <w:r w:rsidR="00646C32" w:rsidRPr="00646C32">
        <w:rPr>
          <w:vertAlign w:val="superscript"/>
          <w:lang w:val="en" w:eastAsia="ja-JP"/>
        </w:rPr>
        <w:fldChar w:fldCharType="separate"/>
      </w:r>
      <w:r w:rsidR="00066A82">
        <w:rPr>
          <w:vertAlign w:val="superscript"/>
          <w:lang w:val="en" w:eastAsia="ja-JP"/>
        </w:rPr>
        <w:t>1</w:t>
      </w:r>
      <w:r w:rsidR="00646C32" w:rsidRPr="00646C32">
        <w:rPr>
          <w:vertAlign w:val="superscript"/>
          <w:lang w:val="en" w:eastAsia="ja-JP"/>
        </w:rPr>
        <w:fldChar w:fldCharType="end"/>
      </w:r>
    </w:p>
    <w:p w14:paraId="73E34EDC" w14:textId="757FB440" w:rsidR="00F92B65" w:rsidRDefault="003602C6" w:rsidP="00D5167A">
      <w:pPr>
        <w:pageBreakBefore/>
        <w:rPr>
          <w:lang w:val="en" w:eastAsia="ja-JP"/>
        </w:rPr>
      </w:pPr>
      <w:r>
        <w:lastRenderedPageBreak/>
        <w:t xml:space="preserve">Type 2 diabetes mellitus (T2DM) is </w:t>
      </w:r>
      <w:r w:rsidRPr="00976204">
        <w:rPr>
          <w:lang w:val="en" w:eastAsia="ja-JP"/>
        </w:rPr>
        <w:t>a condition of relative insulin deficiency caused by progressive loss of pancreatic beta-cell insulin secretion on a background of insulin resistance</w:t>
      </w:r>
      <w:r>
        <w:rPr>
          <w:lang w:val="en" w:eastAsia="ja-JP"/>
        </w:rPr>
        <w:t>, with onset typically in adulthood. An estimated 1 million (5%) adults had T2DM in Australia in 2</w:t>
      </w:r>
      <w:r w:rsidR="00F936C6">
        <w:rPr>
          <w:lang w:val="en" w:eastAsia="ja-JP"/>
        </w:rPr>
        <w:t>017</w:t>
      </w:r>
      <w:r w:rsidR="009C3F13">
        <w:rPr>
          <w:lang w:val="en" w:eastAsia="ja-JP"/>
        </w:rPr>
        <w:t xml:space="preserve"> to </w:t>
      </w:r>
      <w:r w:rsidR="0028399A">
        <w:rPr>
          <w:lang w:val="en" w:eastAsia="ja-JP"/>
        </w:rPr>
        <w:t>20</w:t>
      </w:r>
      <w:r>
        <w:rPr>
          <w:lang w:val="en" w:eastAsia="ja-JP"/>
        </w:rPr>
        <w:t>1</w:t>
      </w:r>
      <w:r w:rsidR="00F936C6">
        <w:rPr>
          <w:lang w:val="en" w:eastAsia="ja-JP"/>
        </w:rPr>
        <w:t>8.</w:t>
      </w:r>
      <w:r w:rsidR="00646C32" w:rsidRPr="00646C32">
        <w:rPr>
          <w:vertAlign w:val="superscript"/>
          <w:lang w:val="en" w:eastAsia="ja-JP"/>
        </w:rPr>
        <w:fldChar w:fldCharType="begin"/>
      </w:r>
      <w:r w:rsidR="00646C32" w:rsidRPr="00646C32">
        <w:rPr>
          <w:vertAlign w:val="superscript"/>
          <w:lang w:val="en" w:eastAsia="ja-JP"/>
        </w:rPr>
        <w:instrText xml:space="preserve"> NOTEREF _Ref42159795 \h </w:instrText>
      </w:r>
      <w:r w:rsidR="00646C32">
        <w:rPr>
          <w:vertAlign w:val="superscript"/>
          <w:lang w:val="en" w:eastAsia="ja-JP"/>
        </w:rPr>
        <w:instrText xml:space="preserve"> \* MERGEFORMAT </w:instrText>
      </w:r>
      <w:r w:rsidR="00646C32" w:rsidRPr="00646C32">
        <w:rPr>
          <w:vertAlign w:val="superscript"/>
          <w:lang w:val="en" w:eastAsia="ja-JP"/>
        </w:rPr>
      </w:r>
      <w:r w:rsidR="00646C32" w:rsidRPr="00646C32">
        <w:rPr>
          <w:vertAlign w:val="superscript"/>
          <w:lang w:val="en" w:eastAsia="ja-JP"/>
        </w:rPr>
        <w:fldChar w:fldCharType="separate"/>
      </w:r>
      <w:r w:rsidR="00066A82">
        <w:rPr>
          <w:vertAlign w:val="superscript"/>
          <w:lang w:val="en" w:eastAsia="ja-JP"/>
        </w:rPr>
        <w:t>2</w:t>
      </w:r>
      <w:r w:rsidR="00646C32" w:rsidRPr="00646C32">
        <w:rPr>
          <w:vertAlign w:val="superscript"/>
          <w:lang w:val="en" w:eastAsia="ja-JP"/>
        </w:rPr>
        <w:fldChar w:fldCharType="end"/>
      </w:r>
    </w:p>
    <w:p w14:paraId="451BA28B" w14:textId="12C2A746" w:rsidR="00F92B65" w:rsidRDefault="003602C6" w:rsidP="003602C6">
      <w:r>
        <w:rPr>
          <w:lang w:val="en" w:eastAsia="ja-JP"/>
        </w:rPr>
        <w:t xml:space="preserve">In addition to lifestyle management strategies, </w:t>
      </w:r>
      <w:r>
        <w:t>patients with T2DM</w:t>
      </w:r>
      <w:r w:rsidRPr="00CB33A7">
        <w:t xml:space="preserve"> </w:t>
      </w:r>
      <w:r>
        <w:t>usually require treatment with antidiabetic agents, often in combination</w:t>
      </w:r>
      <w:r w:rsidR="00BD2841">
        <w:t>,</w:t>
      </w:r>
      <w:r>
        <w:t xml:space="preserve"> given the progressive decline in glycaemic control associated with the natural history of T2DM.</w:t>
      </w:r>
      <w:r>
        <w:rPr>
          <w:lang w:val="en" w:eastAsia="ja-JP"/>
        </w:rPr>
        <w:t xml:space="preserve"> </w:t>
      </w:r>
      <w:r>
        <w:t>There are multiple antidiabetic agents regi</w:t>
      </w:r>
      <w:r w:rsidRPr="00BD2841">
        <w:t xml:space="preserve">stered on the </w:t>
      </w:r>
      <w:r w:rsidR="00F936C6">
        <w:t>Australian Register of Therapeutic Goods (</w:t>
      </w:r>
      <w:r w:rsidRPr="00BD2841">
        <w:t>ARTG</w:t>
      </w:r>
      <w:r w:rsidR="00F936C6">
        <w:t>)</w:t>
      </w:r>
      <w:r w:rsidRPr="00BD2841">
        <w:t xml:space="preserve"> including metformin, </w:t>
      </w:r>
      <w:proofErr w:type="spellStart"/>
      <w:r w:rsidRPr="00BD2841">
        <w:t>sulphonylureas</w:t>
      </w:r>
      <w:proofErr w:type="spellEnd"/>
      <w:r w:rsidRPr="00BD2841">
        <w:t xml:space="preserve">, </w:t>
      </w:r>
      <w:r w:rsidR="00BD2841" w:rsidRPr="00BD2841">
        <w:t>dipeptidyl peptidase-4</w:t>
      </w:r>
      <w:r w:rsidRPr="00BD2841">
        <w:t xml:space="preserve"> inhibitors, </w:t>
      </w:r>
      <w:r w:rsidR="00BD2841">
        <w:t>s</w:t>
      </w:r>
      <w:r w:rsidR="00BD2841" w:rsidRPr="00BD2841">
        <w:t>odium-gluc</w:t>
      </w:r>
      <w:r w:rsidR="00BD2841" w:rsidRPr="006B1C68">
        <w:t xml:space="preserve">ose co-transporter-2 </w:t>
      </w:r>
      <w:r w:rsidRPr="006B1C68">
        <w:t xml:space="preserve">inhibitors, </w:t>
      </w:r>
      <w:proofErr w:type="spellStart"/>
      <w:r w:rsidRPr="006B1C68">
        <w:t>acarbose</w:t>
      </w:r>
      <w:proofErr w:type="spellEnd"/>
      <w:r w:rsidRPr="006B1C68">
        <w:t xml:space="preserve">, </w:t>
      </w:r>
      <w:proofErr w:type="spellStart"/>
      <w:r w:rsidRPr="006B1C68">
        <w:t>thiazolidinediones</w:t>
      </w:r>
      <w:proofErr w:type="spellEnd"/>
      <w:r w:rsidRPr="006B1C68">
        <w:t xml:space="preserve"> and </w:t>
      </w:r>
      <w:r w:rsidR="006B1C68">
        <w:t>g</w:t>
      </w:r>
      <w:r w:rsidR="006B1C68" w:rsidRPr="006B1C68">
        <w:t>lucagon-like peptide 1</w:t>
      </w:r>
      <w:r>
        <w:t xml:space="preserve"> </w:t>
      </w:r>
      <w:r w:rsidR="006B1C68">
        <w:t xml:space="preserve">(GLP-1) </w:t>
      </w:r>
      <w:r>
        <w:t>receptor agonists. Insulin therapy may be required in patients with T2DM, usually as add-on to antidiabetic agents when glycaemic control is suboptimal</w:t>
      </w:r>
      <w:r w:rsidR="00F92B65">
        <w:t>.</w:t>
      </w:r>
    </w:p>
    <w:p w14:paraId="294FDEF3" w14:textId="4585C473" w:rsidR="003602C6" w:rsidRPr="008045E8" w:rsidRDefault="003602C6" w:rsidP="003602C6">
      <w:r>
        <w:t>Of the 27,700 people in Australia who began to use insulin to treat diabetes in 2016, 9.5% had T1DM and 59% had T2DM.</w:t>
      </w:r>
      <w:r w:rsidR="00646C32">
        <w:rPr>
          <w:rStyle w:val="FootnoteReference"/>
        </w:rPr>
        <w:footnoteReference w:id="3"/>
      </w:r>
    </w:p>
    <w:p w14:paraId="2C45D813" w14:textId="4874B2F1" w:rsidR="00F92B65" w:rsidRDefault="00F11D9F" w:rsidP="00F11D9F">
      <w:pPr>
        <w:rPr>
          <w:lang w:eastAsia="ja-JP"/>
        </w:rPr>
      </w:pPr>
      <w:r>
        <w:rPr>
          <w:lang w:eastAsia="ja-JP"/>
        </w:rPr>
        <w:t>There are multiple b</w:t>
      </w:r>
      <w:r w:rsidR="00BA2079">
        <w:rPr>
          <w:lang w:eastAsia="ja-JP"/>
        </w:rPr>
        <w:t>asal (long-acting, intermediate-</w:t>
      </w:r>
      <w:r>
        <w:rPr>
          <w:lang w:eastAsia="ja-JP"/>
        </w:rPr>
        <w:t>acting), bolus (short-acting, rapid</w:t>
      </w:r>
      <w:r w:rsidR="009C3F13">
        <w:rPr>
          <w:lang w:eastAsia="ja-JP"/>
        </w:rPr>
        <w:noBreakHyphen/>
      </w:r>
      <w:r>
        <w:rPr>
          <w:lang w:eastAsia="ja-JP"/>
        </w:rPr>
        <w:t>acting) and mixed insulins registered in Australia for the treatment of diabetes mellitus.</w:t>
      </w:r>
      <w:r w:rsidR="006B1C68">
        <w:rPr>
          <w:lang w:eastAsia="ja-JP"/>
        </w:rPr>
        <w:t xml:space="preserve"> International Society for Paediatric and Adolescent Diabetes (</w:t>
      </w:r>
      <w:r w:rsidR="006B1C68" w:rsidRPr="003D5DAA">
        <w:rPr>
          <w:lang w:eastAsia="ja-JP"/>
        </w:rPr>
        <w:t>ISPAD</w:t>
      </w:r>
      <w:r w:rsidR="006B1C68">
        <w:rPr>
          <w:lang w:eastAsia="ja-JP"/>
        </w:rPr>
        <w:t>)</w:t>
      </w:r>
      <w:r w:rsidR="006B1C68" w:rsidRPr="003D5DAA">
        <w:rPr>
          <w:lang w:eastAsia="ja-JP"/>
        </w:rPr>
        <w:t xml:space="preserve"> guidelines </w:t>
      </w:r>
      <w:r w:rsidRPr="003D5DAA">
        <w:rPr>
          <w:lang w:eastAsia="ja-JP"/>
        </w:rPr>
        <w:t>acknowledge premixed insulins are available in some countries</w:t>
      </w:r>
      <w:r>
        <w:rPr>
          <w:lang w:eastAsia="ja-JP"/>
        </w:rPr>
        <w:t xml:space="preserve"> for paediatric use, </w:t>
      </w:r>
      <w:r w:rsidRPr="003D5DAA">
        <w:rPr>
          <w:lang w:eastAsia="ja-JP"/>
        </w:rPr>
        <w:t xml:space="preserve">can reduce potential errors in drawing up insulin, and may be useful to reduce the number of injections when compliance to the regimen is </w:t>
      </w:r>
      <w:r>
        <w:rPr>
          <w:lang w:eastAsia="ja-JP"/>
        </w:rPr>
        <w:t>a problem</w:t>
      </w:r>
      <w:r w:rsidR="00F92B65">
        <w:rPr>
          <w:lang w:eastAsia="ja-JP"/>
        </w:rPr>
        <w:t>.</w:t>
      </w:r>
      <w:r w:rsidR="00571343">
        <w:rPr>
          <w:rStyle w:val="FootnoteReference"/>
          <w:lang w:eastAsia="ja-JP"/>
        </w:rPr>
        <w:footnoteReference w:id="4"/>
      </w:r>
    </w:p>
    <w:p w14:paraId="4B8D83EC" w14:textId="08351735" w:rsidR="00A97BE3" w:rsidRDefault="009C3F13" w:rsidP="00FB010F">
      <w:r>
        <w:t xml:space="preserve">The </w:t>
      </w:r>
      <w:proofErr w:type="spellStart"/>
      <w:r w:rsidR="0041367B">
        <w:t>Ryzodeg</w:t>
      </w:r>
      <w:proofErr w:type="spellEnd"/>
      <w:r w:rsidR="0041367B">
        <w:t xml:space="preserve"> 70/30</w:t>
      </w:r>
      <w:r w:rsidR="00FB010F" w:rsidRPr="00113BDB">
        <w:t xml:space="preserve"> </w:t>
      </w:r>
      <w:r w:rsidR="00A2547C">
        <w:t>co-formulation consists of</w:t>
      </w:r>
      <w:r w:rsidR="00017A26">
        <w:t xml:space="preserve"> </w:t>
      </w:r>
      <w:r w:rsidR="00A2547C">
        <w:t>70%</w:t>
      </w:r>
      <w:r w:rsidR="00FB010F" w:rsidRPr="00113BDB">
        <w:t xml:space="preserve"> insulin </w:t>
      </w:r>
      <w:proofErr w:type="spellStart"/>
      <w:r w:rsidR="00FB010F" w:rsidRPr="00113BDB">
        <w:t>degludec</w:t>
      </w:r>
      <w:proofErr w:type="spellEnd"/>
      <w:r w:rsidR="00FB010F" w:rsidRPr="00113BDB">
        <w:t xml:space="preserve"> (</w:t>
      </w:r>
      <w:proofErr w:type="spellStart"/>
      <w:r w:rsidR="00FB010F" w:rsidRPr="00113BDB">
        <w:t>IDeg</w:t>
      </w:r>
      <w:proofErr w:type="spellEnd"/>
      <w:r w:rsidR="00FB010F" w:rsidRPr="00113BDB">
        <w:t xml:space="preserve">) and </w:t>
      </w:r>
      <w:r w:rsidR="00A2547C">
        <w:t xml:space="preserve">30% </w:t>
      </w:r>
      <w:r w:rsidR="00FB010F" w:rsidRPr="00113BDB">
        <w:t xml:space="preserve">insulin </w:t>
      </w:r>
      <w:proofErr w:type="spellStart"/>
      <w:r w:rsidR="00FB010F" w:rsidRPr="00113BDB">
        <w:t>aspart</w:t>
      </w:r>
      <w:proofErr w:type="spellEnd"/>
      <w:r w:rsidR="00FB010F" w:rsidRPr="00113BDB">
        <w:t xml:space="preserve"> (</w:t>
      </w:r>
      <w:proofErr w:type="spellStart"/>
      <w:r w:rsidR="00FB010F" w:rsidRPr="00113BDB">
        <w:t>IAsp</w:t>
      </w:r>
      <w:proofErr w:type="spellEnd"/>
      <w:r w:rsidR="00FB010F" w:rsidRPr="00113BDB">
        <w:t xml:space="preserve">). The combination of </w:t>
      </w:r>
      <w:proofErr w:type="spellStart"/>
      <w:r w:rsidR="00FB010F" w:rsidRPr="00113BDB">
        <w:t>IDeg</w:t>
      </w:r>
      <w:proofErr w:type="spellEnd"/>
      <w:r w:rsidR="00FB010F" w:rsidRPr="00113BDB">
        <w:t xml:space="preserve"> and </w:t>
      </w:r>
      <w:proofErr w:type="spellStart"/>
      <w:r w:rsidR="00FB010F" w:rsidRPr="00113BDB">
        <w:t>IAsp</w:t>
      </w:r>
      <w:proofErr w:type="spellEnd"/>
      <w:r w:rsidR="00FB010F" w:rsidRPr="00113BDB">
        <w:t xml:space="preserve"> may be referred to as </w:t>
      </w:r>
      <w:proofErr w:type="spellStart"/>
      <w:r w:rsidR="00FB010F" w:rsidRPr="00113BDB">
        <w:t>IDegAsp</w:t>
      </w:r>
      <w:proofErr w:type="spellEnd"/>
      <w:r w:rsidR="00FB010F" w:rsidRPr="00113BDB">
        <w:t>.</w:t>
      </w:r>
      <w:r w:rsidR="0041367B">
        <w:t xml:space="preserve"> </w:t>
      </w:r>
      <w:proofErr w:type="spellStart"/>
      <w:r w:rsidR="00DF057D">
        <w:t>IAsp</w:t>
      </w:r>
      <w:proofErr w:type="spellEnd"/>
      <w:r w:rsidR="00DF057D">
        <w:t xml:space="preserve"> is a rapid acting human insulin analogue and has been used as the </w:t>
      </w:r>
      <w:r w:rsidR="00FB010F" w:rsidRPr="00113BDB">
        <w:t xml:space="preserve">active component of </w:t>
      </w:r>
      <w:proofErr w:type="spellStart"/>
      <w:r w:rsidR="00FB010F" w:rsidRPr="00113BDB">
        <w:t>NovoRapid</w:t>
      </w:r>
      <w:proofErr w:type="spellEnd"/>
      <w:r w:rsidR="00FB010F" w:rsidRPr="00113BDB">
        <w:t xml:space="preserve"> and </w:t>
      </w:r>
      <w:proofErr w:type="spellStart"/>
      <w:r w:rsidR="00FB010F" w:rsidRPr="00113BDB">
        <w:t>NovoMix</w:t>
      </w:r>
      <w:proofErr w:type="spellEnd"/>
      <w:r w:rsidR="00DF057D">
        <w:t>,</w:t>
      </w:r>
      <w:r w:rsidR="00FB010F" w:rsidRPr="00113BDB">
        <w:t xml:space="preserve"> which are currently widely used in the treatment of diabetes in Australia</w:t>
      </w:r>
      <w:r w:rsidR="00A97BE3">
        <w:t xml:space="preserve">. </w:t>
      </w:r>
      <w:proofErr w:type="spellStart"/>
      <w:r w:rsidR="00FB010F" w:rsidRPr="00113BDB">
        <w:t>IDeg</w:t>
      </w:r>
      <w:proofErr w:type="spellEnd"/>
      <w:r w:rsidR="00FB010F" w:rsidRPr="00113BDB">
        <w:t xml:space="preserve"> differs from human insulin in that the amino acid threonine in position B30 has been omitted and a side chain consisting of glutamic acid and a C16 fatty acid has b</w:t>
      </w:r>
      <w:r w:rsidR="00FB010F" w:rsidRPr="00DF057D">
        <w:t xml:space="preserve">een attached. </w:t>
      </w:r>
      <w:proofErr w:type="spellStart"/>
      <w:r w:rsidR="00A97BE3" w:rsidRPr="00DF057D">
        <w:t>IDeg</w:t>
      </w:r>
      <w:proofErr w:type="spellEnd"/>
      <w:r w:rsidR="00A97BE3" w:rsidRPr="00DF057D">
        <w:t xml:space="preserve"> forms soluble and stable </w:t>
      </w:r>
      <w:proofErr w:type="spellStart"/>
      <w:r w:rsidR="00A97BE3" w:rsidRPr="00DF057D">
        <w:t>multi</w:t>
      </w:r>
      <w:r w:rsidR="00DF057D">
        <w:t>hexamer</w:t>
      </w:r>
      <w:proofErr w:type="spellEnd"/>
      <w:r w:rsidR="00DF057D">
        <w:t xml:space="preserve"> in the subcutaneous tissue after injection</w:t>
      </w:r>
      <w:r w:rsidR="00497498">
        <w:t xml:space="preserve"> and</w:t>
      </w:r>
      <w:r w:rsidR="00722AA7">
        <w:t xml:space="preserve"> </w:t>
      </w:r>
      <w:proofErr w:type="spellStart"/>
      <w:r w:rsidR="00722AA7">
        <w:t>IDeg</w:t>
      </w:r>
      <w:proofErr w:type="spellEnd"/>
      <w:r w:rsidR="00DF057D" w:rsidRPr="00DF057D">
        <w:t xml:space="preserve"> monomers</w:t>
      </w:r>
      <w:r w:rsidR="00DF057D">
        <w:t xml:space="preserve"> </w:t>
      </w:r>
      <w:r w:rsidR="00497498">
        <w:t>are</w:t>
      </w:r>
      <w:r w:rsidR="00DF057D" w:rsidRPr="00DF057D">
        <w:t xml:space="preserve"> </w:t>
      </w:r>
      <w:r w:rsidR="00DF057D">
        <w:t>slow</w:t>
      </w:r>
      <w:r w:rsidR="00497498">
        <w:t>ly</w:t>
      </w:r>
      <w:r w:rsidR="00DF057D">
        <w:t xml:space="preserve"> and continuous</w:t>
      </w:r>
      <w:r w:rsidR="00497498">
        <w:t>ly</w:t>
      </w:r>
      <w:r w:rsidR="00DF057D">
        <w:t xml:space="preserve"> deliver</w:t>
      </w:r>
      <w:r w:rsidR="00497498">
        <w:t>ed into circulation leading to an ultra-long acting effect.</w:t>
      </w:r>
    </w:p>
    <w:p w14:paraId="10381925" w14:textId="77777777" w:rsidR="008E7846" w:rsidRPr="003F31A2" w:rsidRDefault="00386150" w:rsidP="008E7846">
      <w:pPr>
        <w:pStyle w:val="Heading3"/>
      </w:pPr>
      <w:bookmarkStart w:id="18" w:name="_Toc314842485"/>
      <w:bookmarkStart w:id="19" w:name="_Toc247691504"/>
      <w:bookmarkStart w:id="20" w:name="_Toc47446837"/>
      <w:r>
        <w:t>Regulatory s</w:t>
      </w:r>
      <w:r w:rsidR="008E7846">
        <w:t>tatus</w:t>
      </w:r>
      <w:bookmarkEnd w:id="18"/>
      <w:bookmarkEnd w:id="19"/>
      <w:bookmarkEnd w:id="20"/>
    </w:p>
    <w:p w14:paraId="53295DBB" w14:textId="1BCF8601" w:rsidR="00940A89" w:rsidRDefault="00940A89" w:rsidP="00940A89">
      <w:bookmarkStart w:id="21" w:name="_Toc247691505"/>
      <w:bookmarkStart w:id="22" w:name="_Toc314842486"/>
      <w:r w:rsidRPr="00940A89">
        <w:t>The product</w:t>
      </w:r>
      <w:r w:rsidR="00A537A2">
        <w:t xml:space="preserve"> received initial registration i</w:t>
      </w:r>
      <w:r w:rsidRPr="00940A89">
        <w:t>n the Australian Register</w:t>
      </w:r>
      <w:r w:rsidR="00F11D9F">
        <w:t xml:space="preserve"> of Therapeutic Goods (ARTG) on 29 November 2017 for the indication:</w:t>
      </w:r>
    </w:p>
    <w:p w14:paraId="74FDBF19" w14:textId="3ED2BCF0" w:rsidR="00F11D9F" w:rsidRDefault="00442708" w:rsidP="00442708">
      <w:pPr>
        <w:ind w:left="720"/>
      </w:pPr>
      <w:r>
        <w:rPr>
          <w:i/>
          <w:lang w:eastAsia="ja-JP"/>
        </w:rPr>
        <w:t>T</w:t>
      </w:r>
      <w:r w:rsidR="00F11D9F" w:rsidRPr="00587F1F">
        <w:rPr>
          <w:i/>
          <w:lang w:eastAsia="ja-JP"/>
        </w:rPr>
        <w:t>o improve glycaemic control in adult patients with diabetes mellitus requi</w:t>
      </w:r>
      <w:r w:rsidR="00F11D9F">
        <w:rPr>
          <w:i/>
          <w:lang w:eastAsia="ja-JP"/>
        </w:rPr>
        <w:t>ring basal and prandial insulin</w:t>
      </w:r>
      <w:r w:rsidR="0028399A">
        <w:rPr>
          <w:i/>
          <w:lang w:eastAsia="ja-JP"/>
        </w:rPr>
        <w:t>.</w:t>
      </w:r>
    </w:p>
    <w:p w14:paraId="45991F10" w14:textId="25140757" w:rsidR="00940A89" w:rsidRDefault="00940A89" w:rsidP="00940A89">
      <w:r w:rsidRPr="00940A89">
        <w:t xml:space="preserve">At the time the TGA considered this application, a similar application had been approved </w:t>
      </w:r>
      <w:r w:rsidR="00C4684A">
        <w:t>in the European Union (EU) and the United States of America (USA) as described below.</w:t>
      </w:r>
    </w:p>
    <w:p w14:paraId="08D6CF70" w14:textId="51F802E1" w:rsidR="006F2E90" w:rsidRDefault="00842CCA" w:rsidP="00AE269A">
      <w:pPr>
        <w:tabs>
          <w:tab w:val="left" w:pos="1134"/>
        </w:tabs>
        <w:autoSpaceDE w:val="0"/>
        <w:autoSpaceDN w:val="0"/>
        <w:spacing w:line="240" w:lineRule="auto"/>
        <w:rPr>
          <w:rFonts w:eastAsiaTheme="minorHAnsi" w:cs="Cambria"/>
        </w:rPr>
      </w:pPr>
      <w:proofErr w:type="spellStart"/>
      <w:r>
        <w:rPr>
          <w:rFonts w:eastAsiaTheme="minorHAnsi" w:cs="Cambria"/>
        </w:rPr>
        <w:t>Ryzodeg</w:t>
      </w:r>
      <w:proofErr w:type="spellEnd"/>
      <w:r>
        <w:rPr>
          <w:rFonts w:eastAsiaTheme="minorHAnsi" w:cs="Cambria"/>
        </w:rPr>
        <w:t xml:space="preserve"> </w:t>
      </w:r>
      <w:r w:rsidR="001926A3">
        <w:rPr>
          <w:rFonts w:eastAsiaTheme="minorHAnsi" w:cs="Cambria"/>
        </w:rPr>
        <w:t>was</w:t>
      </w:r>
      <w:r w:rsidR="007B4365">
        <w:rPr>
          <w:rFonts w:eastAsiaTheme="minorHAnsi" w:cs="Cambria"/>
        </w:rPr>
        <w:t xml:space="preserve"> first registered in the EU</w:t>
      </w:r>
      <w:r>
        <w:rPr>
          <w:rFonts w:eastAsiaTheme="minorHAnsi" w:cs="Cambria"/>
        </w:rPr>
        <w:t xml:space="preserve"> </w:t>
      </w:r>
      <w:r w:rsidR="00965CF3">
        <w:rPr>
          <w:rFonts w:eastAsiaTheme="minorHAnsi" w:cs="Cambria"/>
        </w:rPr>
        <w:t xml:space="preserve">in 2013 for use in adults. </w:t>
      </w:r>
      <w:r w:rsidR="00A537A2">
        <w:rPr>
          <w:rFonts w:eastAsiaTheme="minorHAnsi" w:cs="Cambria"/>
        </w:rPr>
        <w:t>In July 2016, t</w:t>
      </w:r>
      <w:r w:rsidR="001926A3">
        <w:rPr>
          <w:rFonts w:eastAsiaTheme="minorHAnsi" w:cs="Cambria"/>
        </w:rPr>
        <w:t>he indication</w:t>
      </w:r>
      <w:r w:rsidR="00965CF3">
        <w:rPr>
          <w:rFonts w:eastAsiaTheme="minorHAnsi" w:cs="Cambria"/>
        </w:rPr>
        <w:t xml:space="preserve"> w</w:t>
      </w:r>
      <w:r w:rsidR="001926A3">
        <w:rPr>
          <w:rFonts w:eastAsiaTheme="minorHAnsi" w:cs="Cambria"/>
        </w:rPr>
        <w:t xml:space="preserve">as </w:t>
      </w:r>
      <w:r w:rsidR="00965CF3">
        <w:rPr>
          <w:rFonts w:eastAsiaTheme="minorHAnsi" w:cs="Cambria"/>
        </w:rPr>
        <w:t xml:space="preserve">extended to include </w:t>
      </w:r>
      <w:r w:rsidR="00AE269A">
        <w:rPr>
          <w:rFonts w:eastAsiaTheme="minorHAnsi" w:cs="Cambria"/>
        </w:rPr>
        <w:t>use in children ov</w:t>
      </w:r>
      <w:r w:rsidR="006F2E90">
        <w:rPr>
          <w:rFonts w:eastAsiaTheme="minorHAnsi" w:cs="Cambria"/>
        </w:rPr>
        <w:t>er 2 years of age</w:t>
      </w:r>
      <w:r w:rsidR="00965CF3">
        <w:rPr>
          <w:rFonts w:eastAsiaTheme="minorHAnsi" w:cs="Cambria"/>
        </w:rPr>
        <w:t>. The EU indication</w:t>
      </w:r>
      <w:r w:rsidR="000765E0">
        <w:rPr>
          <w:rFonts w:eastAsiaTheme="minorHAnsi" w:cs="Cambria"/>
        </w:rPr>
        <w:t xml:space="preserve"> </w:t>
      </w:r>
      <w:r w:rsidR="007D4EC9">
        <w:rPr>
          <w:rFonts w:eastAsiaTheme="minorHAnsi" w:cs="Cambria"/>
        </w:rPr>
        <w:t>is</w:t>
      </w:r>
      <w:r w:rsidR="00965CF3">
        <w:rPr>
          <w:rFonts w:eastAsiaTheme="minorHAnsi" w:cs="Cambria"/>
        </w:rPr>
        <w:t xml:space="preserve"> a</w:t>
      </w:r>
      <w:r w:rsidR="001926A3">
        <w:rPr>
          <w:rFonts w:eastAsiaTheme="minorHAnsi" w:cs="Cambria"/>
        </w:rPr>
        <w:t>t present</w:t>
      </w:r>
      <w:r w:rsidR="00965CF3">
        <w:rPr>
          <w:rFonts w:eastAsiaTheme="minorHAnsi" w:cs="Cambria"/>
        </w:rPr>
        <w:t>:</w:t>
      </w:r>
    </w:p>
    <w:p w14:paraId="6D592F8D" w14:textId="244B8DFC" w:rsidR="006F2E90" w:rsidRPr="006F2E90" w:rsidRDefault="006F2E90" w:rsidP="009F7FB0">
      <w:pPr>
        <w:ind w:left="720" w:right="-427"/>
        <w:rPr>
          <w:rFonts w:eastAsiaTheme="minorHAnsi" w:cs="Cambria"/>
          <w:i/>
        </w:rPr>
      </w:pPr>
      <w:r w:rsidRPr="006F2E90">
        <w:rPr>
          <w:i/>
        </w:rPr>
        <w:t>Treatment of diabetes mellitus in adults, adolescents and children from the age of 2</w:t>
      </w:r>
      <w:r w:rsidR="009F7FB0">
        <w:rPr>
          <w:i/>
        </w:rPr>
        <w:t xml:space="preserve"> </w:t>
      </w:r>
      <w:r w:rsidRPr="006F2E90">
        <w:rPr>
          <w:i/>
        </w:rPr>
        <w:t>years.</w:t>
      </w:r>
    </w:p>
    <w:p w14:paraId="39F071FD" w14:textId="34E8255E" w:rsidR="0059612E" w:rsidRDefault="0059612E" w:rsidP="00AE269A">
      <w:pPr>
        <w:tabs>
          <w:tab w:val="left" w:pos="1134"/>
        </w:tabs>
        <w:autoSpaceDE w:val="0"/>
        <w:autoSpaceDN w:val="0"/>
        <w:spacing w:line="240" w:lineRule="auto"/>
        <w:rPr>
          <w:rFonts w:eastAsiaTheme="minorHAnsi" w:cs="Cambria"/>
        </w:rPr>
      </w:pPr>
      <w:r>
        <w:rPr>
          <w:rFonts w:eastAsiaTheme="minorHAnsi" w:cs="Cambria"/>
        </w:rPr>
        <w:lastRenderedPageBreak/>
        <w:t>I</w:t>
      </w:r>
      <w:r w:rsidR="00AE269A">
        <w:rPr>
          <w:rFonts w:eastAsiaTheme="minorHAnsi" w:cs="Cambria"/>
        </w:rPr>
        <w:t>n the USA</w:t>
      </w:r>
      <w:r w:rsidR="00965CF3">
        <w:rPr>
          <w:rFonts w:eastAsiaTheme="minorHAnsi" w:cs="Cambria"/>
        </w:rPr>
        <w:t>,</w:t>
      </w:r>
      <w:r w:rsidR="001926A3">
        <w:rPr>
          <w:rFonts w:eastAsiaTheme="minorHAnsi" w:cs="Cambria"/>
        </w:rPr>
        <w:t xml:space="preserve"> </w:t>
      </w:r>
      <w:proofErr w:type="spellStart"/>
      <w:r w:rsidR="001926A3">
        <w:rPr>
          <w:rFonts w:eastAsiaTheme="minorHAnsi" w:cs="Cambria"/>
        </w:rPr>
        <w:t>Ryzodeg</w:t>
      </w:r>
      <w:proofErr w:type="spellEnd"/>
      <w:r w:rsidR="00965CF3">
        <w:rPr>
          <w:rFonts w:eastAsiaTheme="minorHAnsi" w:cs="Cambria"/>
        </w:rPr>
        <w:t xml:space="preserve"> </w:t>
      </w:r>
      <w:r w:rsidR="001926A3">
        <w:rPr>
          <w:rFonts w:eastAsiaTheme="minorHAnsi" w:cs="Cambria"/>
        </w:rPr>
        <w:t xml:space="preserve">was first approved </w:t>
      </w:r>
      <w:r w:rsidR="001926A3">
        <w:t>in 2015</w:t>
      </w:r>
      <w:r w:rsidR="001926A3">
        <w:rPr>
          <w:rFonts w:eastAsiaTheme="minorHAnsi" w:cs="Cambria"/>
        </w:rPr>
        <w:t xml:space="preserve"> </w:t>
      </w:r>
      <w:r w:rsidR="001926A3">
        <w:t>to improve glyc</w:t>
      </w:r>
      <w:r w:rsidR="007D4EC9">
        <w:t>a</w:t>
      </w:r>
      <w:r w:rsidR="001926A3">
        <w:t xml:space="preserve">emic control in adults with diabetes mellitus. </w:t>
      </w:r>
      <w:r w:rsidR="00A537A2">
        <w:rPr>
          <w:rFonts w:eastAsiaTheme="minorHAnsi" w:cs="Cambria"/>
        </w:rPr>
        <w:t xml:space="preserve">In December 2016, </w:t>
      </w:r>
      <w:r w:rsidR="00A537A2">
        <w:t>t</w:t>
      </w:r>
      <w:r w:rsidR="001926A3">
        <w:t>he indicatio</w:t>
      </w:r>
      <w:r w:rsidR="00A537A2">
        <w:t>n was</w:t>
      </w:r>
      <w:r w:rsidR="001926A3">
        <w:t xml:space="preserve"> extended to </w:t>
      </w:r>
      <w:r w:rsidR="00AE269A">
        <w:rPr>
          <w:rFonts w:eastAsiaTheme="minorHAnsi" w:cs="Cambria"/>
        </w:rPr>
        <w:t>use in children aged 1 year and older</w:t>
      </w:r>
      <w:r w:rsidR="000765E0">
        <w:rPr>
          <w:rFonts w:eastAsiaTheme="minorHAnsi" w:cs="Cambria"/>
        </w:rPr>
        <w:t>. The US indications are</w:t>
      </w:r>
      <w:r w:rsidR="001926A3">
        <w:rPr>
          <w:rFonts w:eastAsiaTheme="minorHAnsi" w:cs="Cambria"/>
        </w:rPr>
        <w:t xml:space="preserve"> at present</w:t>
      </w:r>
      <w:r>
        <w:rPr>
          <w:rFonts w:eastAsiaTheme="minorHAnsi" w:cs="Cambria"/>
        </w:rPr>
        <w:t>:</w:t>
      </w:r>
    </w:p>
    <w:p w14:paraId="66225006" w14:textId="4AC46E29" w:rsidR="0059612E" w:rsidRPr="004E0516" w:rsidRDefault="0005733C" w:rsidP="004E0516">
      <w:pPr>
        <w:tabs>
          <w:tab w:val="left" w:pos="1134"/>
        </w:tabs>
        <w:autoSpaceDE w:val="0"/>
        <w:autoSpaceDN w:val="0"/>
        <w:spacing w:line="240" w:lineRule="auto"/>
        <w:ind w:left="720"/>
        <w:rPr>
          <w:rFonts w:eastAsiaTheme="minorHAnsi" w:cs="Cambria"/>
          <w:i/>
        </w:rPr>
      </w:pPr>
      <w:proofErr w:type="spellStart"/>
      <w:r w:rsidRPr="0005733C">
        <w:rPr>
          <w:i/>
        </w:rPr>
        <w:t>Ryzodeg</w:t>
      </w:r>
      <w:proofErr w:type="spellEnd"/>
      <w:r w:rsidR="0059612E" w:rsidRPr="004E0516">
        <w:rPr>
          <w:i/>
        </w:rPr>
        <w:t xml:space="preserve"> 70/30 is indicated to improve </w:t>
      </w:r>
      <w:proofErr w:type="spellStart"/>
      <w:r w:rsidR="0059612E" w:rsidRPr="004E0516">
        <w:rPr>
          <w:i/>
        </w:rPr>
        <w:t>glycemic</w:t>
      </w:r>
      <w:proofErr w:type="spellEnd"/>
      <w:r w:rsidR="0059612E" w:rsidRPr="004E0516">
        <w:rPr>
          <w:i/>
        </w:rPr>
        <w:t xml:space="preserve"> control in patients 1 year of age and older with diabetes mellitus.</w:t>
      </w:r>
    </w:p>
    <w:p w14:paraId="3D6F455B" w14:textId="2F383870" w:rsidR="00AE269A" w:rsidRPr="007F3F56" w:rsidRDefault="007D4EC9" w:rsidP="00194A69">
      <w:pPr>
        <w:rPr>
          <w:rFonts w:eastAsiaTheme="minorHAnsi" w:cs="Cambria"/>
        </w:rPr>
      </w:pPr>
      <w:r>
        <w:rPr>
          <w:rFonts w:eastAsiaTheme="minorHAnsi" w:cs="Cambria"/>
        </w:rPr>
        <w:t xml:space="preserve">Furthermore, </w:t>
      </w:r>
      <w:proofErr w:type="spellStart"/>
      <w:r w:rsidR="00194A69">
        <w:rPr>
          <w:rFonts w:eastAsiaTheme="minorHAnsi" w:cs="Cambria"/>
        </w:rPr>
        <w:t>Ryzodeg</w:t>
      </w:r>
      <w:proofErr w:type="spellEnd"/>
      <w:r w:rsidR="00194A69">
        <w:rPr>
          <w:rFonts w:eastAsiaTheme="minorHAnsi" w:cs="Cambria"/>
        </w:rPr>
        <w:t xml:space="preserve"> </w:t>
      </w:r>
      <w:r w:rsidR="007F3F56">
        <w:rPr>
          <w:rFonts w:eastAsiaTheme="minorHAnsi" w:cs="Cambria"/>
        </w:rPr>
        <w:t>is registered</w:t>
      </w:r>
      <w:r w:rsidR="00194A69">
        <w:rPr>
          <w:rFonts w:eastAsiaTheme="minorHAnsi" w:cs="Cambria"/>
        </w:rPr>
        <w:t xml:space="preserve"> in Switzerland </w:t>
      </w:r>
      <w:r w:rsidR="007F3F56">
        <w:rPr>
          <w:rFonts w:eastAsiaTheme="minorHAnsi" w:cs="Cambria"/>
        </w:rPr>
        <w:t xml:space="preserve">for treatment of </w:t>
      </w:r>
      <w:r>
        <w:rPr>
          <w:rFonts w:eastAsiaTheme="minorHAnsi" w:cs="Cambria"/>
        </w:rPr>
        <w:t>T1DM</w:t>
      </w:r>
      <w:r w:rsidR="00194A69" w:rsidRPr="00194A69">
        <w:rPr>
          <w:rFonts w:eastAsiaTheme="minorHAnsi" w:cs="Cambria"/>
        </w:rPr>
        <w:t xml:space="preserve"> in adults, adolescents and c</w:t>
      </w:r>
      <w:r w:rsidR="007F3F56">
        <w:rPr>
          <w:rFonts w:eastAsiaTheme="minorHAnsi" w:cs="Cambria"/>
        </w:rPr>
        <w:t xml:space="preserve">hildren from the age of 2 years and </w:t>
      </w:r>
      <w:r>
        <w:rPr>
          <w:rFonts w:eastAsiaTheme="minorHAnsi" w:cs="Cambria"/>
        </w:rPr>
        <w:t>T2DM</w:t>
      </w:r>
      <w:r w:rsidR="00194A69" w:rsidRPr="00194A69">
        <w:rPr>
          <w:rFonts w:eastAsiaTheme="minorHAnsi" w:cs="Cambria"/>
        </w:rPr>
        <w:t xml:space="preserve"> in adults if insulin treatment is necessary.</w:t>
      </w:r>
    </w:p>
    <w:p w14:paraId="050393E5" w14:textId="77777777" w:rsidR="008E7846" w:rsidRDefault="008E7846" w:rsidP="00940A89">
      <w:pPr>
        <w:pStyle w:val="Heading3"/>
      </w:pPr>
      <w:bookmarkStart w:id="23" w:name="_Toc47446838"/>
      <w:r>
        <w:t>Product Information</w:t>
      </w:r>
      <w:bookmarkEnd w:id="21"/>
      <w:bookmarkEnd w:id="22"/>
      <w:bookmarkEnd w:id="23"/>
    </w:p>
    <w:p w14:paraId="754D764E" w14:textId="77777777" w:rsidR="00940A89" w:rsidRDefault="006136D7" w:rsidP="00940A89">
      <w:bookmarkStart w:id="24" w:name="_Toc247691506"/>
      <w:bookmarkStart w:id="25" w:name="_Toc314842487"/>
      <w:r w:rsidRPr="00940A89">
        <w:t xml:space="preserve">The Product Information (PI) </w:t>
      </w:r>
      <w:r>
        <w:t xml:space="preserve">approved with the submission which is described in </w:t>
      </w:r>
      <w:r w:rsidRPr="00940A89">
        <w:t xml:space="preserve">this AusPAR can be found as Attachment 1. For the most recent </w:t>
      </w:r>
      <w:r>
        <w:t>PI,</w:t>
      </w:r>
      <w:r w:rsidRPr="00940A89">
        <w:t xml:space="preserve"> ple</w:t>
      </w:r>
      <w:r>
        <w:t>ase refer to the TGA website</w:t>
      </w:r>
      <w:r w:rsidRPr="00441C3F">
        <w:t xml:space="preserve"> at </w:t>
      </w:r>
      <w:r w:rsidR="00441C3F" w:rsidRPr="00441C3F">
        <w:t>&lt;</w:t>
      </w:r>
      <w:hyperlink r:id="rId16" w:history="1">
        <w:r w:rsidR="00441C3F" w:rsidRPr="00441C3F">
          <w:rPr>
            <w:rStyle w:val="Hyperlink"/>
          </w:rPr>
          <w:t>https://www.tga.gov.au/product-information-pi</w:t>
        </w:r>
      </w:hyperlink>
      <w:r w:rsidR="00441C3F">
        <w:t>&gt;</w:t>
      </w:r>
      <w:r w:rsidR="00940A89" w:rsidRPr="00940A89">
        <w:t>.</w:t>
      </w:r>
    </w:p>
    <w:p w14:paraId="37C07E6E" w14:textId="44D2E538" w:rsidR="00500337" w:rsidRDefault="00500337" w:rsidP="00500337">
      <w:pPr>
        <w:pStyle w:val="Heading2"/>
      </w:pPr>
      <w:bookmarkStart w:id="26" w:name="_Toc504480011"/>
      <w:bookmarkStart w:id="27" w:name="_Toc47446839"/>
      <w:r>
        <w:t>II. Registration timeline</w:t>
      </w:r>
      <w:bookmarkEnd w:id="26"/>
      <w:bookmarkEnd w:id="27"/>
    </w:p>
    <w:p w14:paraId="6EBF119B" w14:textId="6D7829EF" w:rsidR="00500337" w:rsidRDefault="00500337" w:rsidP="00500337">
      <w:r>
        <w:t>The following table captures the key steps and dates for this application and which are detailed and discussed</w:t>
      </w:r>
      <w:r w:rsidR="007F3F56">
        <w:t xml:space="preserve"> in this AusPAR</w:t>
      </w:r>
      <w:r>
        <w:t>.</w:t>
      </w:r>
    </w:p>
    <w:p w14:paraId="131312C6" w14:textId="0CFE4DBA" w:rsidR="00500337" w:rsidRPr="00377BD4" w:rsidRDefault="00DC7476" w:rsidP="00DC7476">
      <w:pPr>
        <w:pStyle w:val="TableTitle"/>
      </w:pPr>
      <w:r>
        <w:t xml:space="preserve">Table </w:t>
      </w:r>
      <w:fldSimple w:instr=" SEQ Table \* ARABIC ">
        <w:r w:rsidR="00E61BCF">
          <w:rPr>
            <w:noProof/>
          </w:rPr>
          <w:t>1</w:t>
        </w:r>
      </w:fldSimple>
      <w:r>
        <w:t xml:space="preserve">: </w:t>
      </w:r>
      <w:r w:rsidR="006A58A8" w:rsidRPr="006A58A8">
        <w:t xml:space="preserve">Timeline </w:t>
      </w:r>
      <w:r w:rsidR="007F3F56">
        <w:t>for Submission PM-2018-04154-1-5</w:t>
      </w:r>
    </w:p>
    <w:tbl>
      <w:tblPr>
        <w:tblStyle w:val="TableTGAblue"/>
        <w:tblW w:w="0" w:type="auto"/>
        <w:tblLook w:val="04A0" w:firstRow="1" w:lastRow="0" w:firstColumn="1" w:lastColumn="0" w:noHBand="0" w:noVBand="1"/>
      </w:tblPr>
      <w:tblGrid>
        <w:gridCol w:w="4360"/>
        <w:gridCol w:w="4360"/>
      </w:tblGrid>
      <w:tr w:rsidR="00500337" w14:paraId="3ACFE8FF" w14:textId="77777777" w:rsidTr="00500337">
        <w:trPr>
          <w:cnfStyle w:val="100000000000" w:firstRow="1" w:lastRow="0" w:firstColumn="0" w:lastColumn="0" w:oddVBand="0" w:evenVBand="0" w:oddHBand="0" w:evenHBand="0" w:firstRowFirstColumn="0" w:firstRowLastColumn="0" w:lastRowFirstColumn="0" w:lastRowLastColumn="0"/>
          <w:cantSplit/>
        </w:trPr>
        <w:tc>
          <w:tcPr>
            <w:tcW w:w="4360" w:type="dxa"/>
          </w:tcPr>
          <w:p w14:paraId="5DC3E5A8" w14:textId="77777777" w:rsidR="00500337" w:rsidRDefault="00500337" w:rsidP="00500337">
            <w:pPr>
              <w:ind w:left="0" w:right="0"/>
            </w:pPr>
            <w:r>
              <w:t>Description</w:t>
            </w:r>
          </w:p>
        </w:tc>
        <w:tc>
          <w:tcPr>
            <w:tcW w:w="4360" w:type="dxa"/>
          </w:tcPr>
          <w:p w14:paraId="3F4E52EB" w14:textId="77777777" w:rsidR="00500337" w:rsidRDefault="00500337" w:rsidP="00500337">
            <w:pPr>
              <w:ind w:left="0" w:right="0"/>
            </w:pPr>
            <w:r>
              <w:t>Date</w:t>
            </w:r>
          </w:p>
        </w:tc>
      </w:tr>
      <w:tr w:rsidR="00500337" w14:paraId="73DA58F6" w14:textId="77777777" w:rsidTr="00500337">
        <w:tc>
          <w:tcPr>
            <w:tcW w:w="4360" w:type="dxa"/>
          </w:tcPr>
          <w:p w14:paraId="552A607E" w14:textId="77777777" w:rsidR="00500337" w:rsidRDefault="00500337" w:rsidP="00500337">
            <w:pPr>
              <w:ind w:left="0" w:right="0"/>
            </w:pPr>
            <w:r>
              <w:t>Submission dossier accepted and first round evaluation commenced</w:t>
            </w:r>
          </w:p>
        </w:tc>
        <w:tc>
          <w:tcPr>
            <w:tcW w:w="4360" w:type="dxa"/>
          </w:tcPr>
          <w:p w14:paraId="55C4A427" w14:textId="258250A7" w:rsidR="00500337" w:rsidRDefault="008734FC" w:rsidP="00500337">
            <w:pPr>
              <w:ind w:left="0" w:right="0"/>
            </w:pPr>
            <w:r>
              <w:t>2 January 2019</w:t>
            </w:r>
          </w:p>
        </w:tc>
      </w:tr>
      <w:tr w:rsidR="00500337" w14:paraId="2E364CD0" w14:textId="77777777" w:rsidTr="00500337">
        <w:tc>
          <w:tcPr>
            <w:tcW w:w="4360" w:type="dxa"/>
          </w:tcPr>
          <w:p w14:paraId="1A93CBAE" w14:textId="77777777" w:rsidR="00500337" w:rsidRDefault="00500337" w:rsidP="00500337">
            <w:pPr>
              <w:ind w:left="0" w:right="0"/>
            </w:pPr>
            <w:r>
              <w:t>First round evaluation completed</w:t>
            </w:r>
          </w:p>
        </w:tc>
        <w:tc>
          <w:tcPr>
            <w:tcW w:w="4360" w:type="dxa"/>
          </w:tcPr>
          <w:p w14:paraId="32F9A4DC" w14:textId="61467DC1" w:rsidR="00500337" w:rsidRDefault="008734FC" w:rsidP="00500337">
            <w:pPr>
              <w:ind w:left="0" w:right="0"/>
            </w:pPr>
            <w:r>
              <w:t>5 June 2019</w:t>
            </w:r>
          </w:p>
        </w:tc>
      </w:tr>
      <w:tr w:rsidR="00500337" w14:paraId="76323CE2" w14:textId="77777777" w:rsidTr="00500337">
        <w:tc>
          <w:tcPr>
            <w:tcW w:w="4360" w:type="dxa"/>
          </w:tcPr>
          <w:p w14:paraId="742D8693" w14:textId="77777777" w:rsidR="00500337" w:rsidRDefault="00500337" w:rsidP="00500337">
            <w:pPr>
              <w:ind w:left="0" w:right="0"/>
            </w:pPr>
            <w:r>
              <w:t>Sponsor provides responses on questions raised in first round evaluation</w:t>
            </w:r>
          </w:p>
        </w:tc>
        <w:tc>
          <w:tcPr>
            <w:tcW w:w="4360" w:type="dxa"/>
          </w:tcPr>
          <w:p w14:paraId="1190AC64" w14:textId="43B51304" w:rsidR="00500337" w:rsidRDefault="008734FC" w:rsidP="00500337">
            <w:pPr>
              <w:ind w:left="0" w:right="0"/>
            </w:pPr>
            <w:r>
              <w:t>6 August 2019</w:t>
            </w:r>
          </w:p>
        </w:tc>
      </w:tr>
      <w:tr w:rsidR="00500337" w14:paraId="0A28349A" w14:textId="77777777" w:rsidTr="00500337">
        <w:tc>
          <w:tcPr>
            <w:tcW w:w="4360" w:type="dxa"/>
          </w:tcPr>
          <w:p w14:paraId="0056B207" w14:textId="77777777" w:rsidR="00500337" w:rsidRDefault="00500337" w:rsidP="00500337">
            <w:pPr>
              <w:ind w:left="0" w:right="0"/>
            </w:pPr>
            <w:r>
              <w:t>Second round evaluation completed</w:t>
            </w:r>
          </w:p>
        </w:tc>
        <w:tc>
          <w:tcPr>
            <w:tcW w:w="4360" w:type="dxa"/>
          </w:tcPr>
          <w:p w14:paraId="18F856D7" w14:textId="053398B0" w:rsidR="00500337" w:rsidRDefault="008734FC" w:rsidP="00500337">
            <w:pPr>
              <w:ind w:left="0" w:right="0"/>
            </w:pPr>
            <w:r>
              <w:t>16 September 2019</w:t>
            </w:r>
          </w:p>
        </w:tc>
      </w:tr>
      <w:tr w:rsidR="00500337" w14:paraId="295151DF" w14:textId="77777777" w:rsidTr="00500337">
        <w:tc>
          <w:tcPr>
            <w:tcW w:w="4360" w:type="dxa"/>
          </w:tcPr>
          <w:p w14:paraId="4376A628" w14:textId="0181C981" w:rsidR="00500337" w:rsidRDefault="00500337" w:rsidP="00500337">
            <w:pPr>
              <w:ind w:left="0" w:right="0"/>
            </w:pPr>
            <w:r>
              <w:t xml:space="preserve">Delegate’s </w:t>
            </w:r>
            <w:r w:rsidR="00FA2F63">
              <w:t>Overall benefit-risk assessment</w:t>
            </w:r>
          </w:p>
        </w:tc>
        <w:tc>
          <w:tcPr>
            <w:tcW w:w="4360" w:type="dxa"/>
          </w:tcPr>
          <w:p w14:paraId="39D130FE" w14:textId="144F38F9" w:rsidR="00500337" w:rsidRDefault="00785638" w:rsidP="00500337">
            <w:pPr>
              <w:ind w:left="0" w:right="0"/>
            </w:pPr>
            <w:r>
              <w:t>19 December 2019</w:t>
            </w:r>
          </w:p>
        </w:tc>
      </w:tr>
      <w:tr w:rsidR="00500337" w14:paraId="6A472FDC" w14:textId="77777777" w:rsidTr="00500337">
        <w:tc>
          <w:tcPr>
            <w:tcW w:w="4360" w:type="dxa"/>
          </w:tcPr>
          <w:p w14:paraId="2FBEAA6F" w14:textId="77777777" w:rsidR="00500337" w:rsidRDefault="00500337" w:rsidP="00500337">
            <w:pPr>
              <w:ind w:left="0" w:right="0"/>
            </w:pPr>
            <w:r>
              <w:t>Sponsor’s pre-Advisory Committee response</w:t>
            </w:r>
          </w:p>
        </w:tc>
        <w:tc>
          <w:tcPr>
            <w:tcW w:w="4360" w:type="dxa"/>
          </w:tcPr>
          <w:p w14:paraId="409D36AC" w14:textId="6166EF24" w:rsidR="00500337" w:rsidRDefault="00785638" w:rsidP="00500337">
            <w:pPr>
              <w:ind w:left="0" w:right="0"/>
            </w:pPr>
            <w:r>
              <w:t>Not applicable</w:t>
            </w:r>
          </w:p>
        </w:tc>
      </w:tr>
      <w:tr w:rsidR="00500337" w14:paraId="5822D416" w14:textId="77777777" w:rsidTr="00500337">
        <w:tc>
          <w:tcPr>
            <w:tcW w:w="4360" w:type="dxa"/>
          </w:tcPr>
          <w:p w14:paraId="480400C9" w14:textId="77777777" w:rsidR="00500337" w:rsidRDefault="00500337" w:rsidP="00500337">
            <w:pPr>
              <w:ind w:left="0" w:right="0"/>
            </w:pPr>
            <w:r>
              <w:t>Advisory Committee meeting</w:t>
            </w:r>
          </w:p>
        </w:tc>
        <w:tc>
          <w:tcPr>
            <w:tcW w:w="4360" w:type="dxa"/>
          </w:tcPr>
          <w:p w14:paraId="5C9EEE24" w14:textId="4818EDE2" w:rsidR="00500337" w:rsidRDefault="00785638" w:rsidP="00500337">
            <w:pPr>
              <w:ind w:left="0" w:right="0"/>
            </w:pPr>
            <w:r>
              <w:t>Not applicable</w:t>
            </w:r>
          </w:p>
        </w:tc>
      </w:tr>
      <w:tr w:rsidR="00500337" w14:paraId="29E5B08B" w14:textId="77777777" w:rsidTr="00500337">
        <w:tc>
          <w:tcPr>
            <w:tcW w:w="4360" w:type="dxa"/>
          </w:tcPr>
          <w:p w14:paraId="4B2F373E" w14:textId="77777777" w:rsidR="00500337" w:rsidRDefault="00500337" w:rsidP="00500337">
            <w:pPr>
              <w:ind w:left="0" w:right="0"/>
            </w:pPr>
            <w:r>
              <w:t>Registration decision (Outcome)</w:t>
            </w:r>
          </w:p>
        </w:tc>
        <w:tc>
          <w:tcPr>
            <w:tcW w:w="4360" w:type="dxa"/>
          </w:tcPr>
          <w:p w14:paraId="6D672AE6" w14:textId="40F6CD14" w:rsidR="00500337" w:rsidRDefault="008734FC" w:rsidP="00500337">
            <w:pPr>
              <w:ind w:left="0" w:right="0"/>
            </w:pPr>
            <w:r>
              <w:t>10 March 2020</w:t>
            </w:r>
          </w:p>
        </w:tc>
      </w:tr>
      <w:tr w:rsidR="00500337" w14:paraId="3E04E399" w14:textId="77777777" w:rsidTr="00500337">
        <w:tc>
          <w:tcPr>
            <w:tcW w:w="4360" w:type="dxa"/>
          </w:tcPr>
          <w:p w14:paraId="6BB2890E" w14:textId="4717EC23" w:rsidR="00500337" w:rsidRDefault="00500337" w:rsidP="00500337">
            <w:pPr>
              <w:ind w:left="0" w:right="0"/>
            </w:pPr>
            <w:r>
              <w:t xml:space="preserve">Completion of administrative activities and registration on </w:t>
            </w:r>
            <w:r w:rsidR="007D4EC9">
              <w:t xml:space="preserve">the </w:t>
            </w:r>
            <w:r>
              <w:t>ARTG</w:t>
            </w:r>
          </w:p>
        </w:tc>
        <w:tc>
          <w:tcPr>
            <w:tcW w:w="4360" w:type="dxa"/>
          </w:tcPr>
          <w:p w14:paraId="3B40BFA5" w14:textId="6A44F65A" w:rsidR="00500337" w:rsidRDefault="0028399A" w:rsidP="00500337">
            <w:pPr>
              <w:ind w:left="0" w:right="0"/>
            </w:pPr>
            <w:r w:rsidRPr="0028399A">
              <w:rPr>
                <w:color w:val="auto"/>
              </w:rPr>
              <w:t>1</w:t>
            </w:r>
            <w:r w:rsidR="00957671">
              <w:rPr>
                <w:color w:val="auto"/>
              </w:rPr>
              <w:t>1</w:t>
            </w:r>
            <w:r w:rsidR="00785638">
              <w:t xml:space="preserve"> March 2020</w:t>
            </w:r>
          </w:p>
        </w:tc>
      </w:tr>
      <w:tr w:rsidR="00500337" w14:paraId="679A1999" w14:textId="77777777" w:rsidTr="00500337">
        <w:tc>
          <w:tcPr>
            <w:tcW w:w="4360" w:type="dxa"/>
          </w:tcPr>
          <w:p w14:paraId="5C9C496F" w14:textId="77777777" w:rsidR="00500337" w:rsidRDefault="00500337" w:rsidP="00500337">
            <w:pPr>
              <w:ind w:left="0" w:right="0"/>
            </w:pPr>
            <w:r>
              <w:t>Number of working days from submission dossier acceptance to registration decision*</w:t>
            </w:r>
          </w:p>
        </w:tc>
        <w:tc>
          <w:tcPr>
            <w:tcW w:w="4360" w:type="dxa"/>
          </w:tcPr>
          <w:p w14:paraId="72BA13E4" w14:textId="6E0F6A2B" w:rsidR="00500337" w:rsidRDefault="008734FC" w:rsidP="00500337">
            <w:pPr>
              <w:ind w:left="0" w:right="0"/>
            </w:pPr>
            <w:r>
              <w:t>250</w:t>
            </w:r>
          </w:p>
        </w:tc>
      </w:tr>
    </w:tbl>
    <w:p w14:paraId="1DD4E185" w14:textId="77777777" w:rsidR="00500337" w:rsidRDefault="00500337" w:rsidP="00500337">
      <w:pPr>
        <w:pStyle w:val="TableDescription"/>
      </w:pPr>
      <w:r>
        <w:t>*</w:t>
      </w:r>
      <w:r w:rsidR="00BF3774" w:rsidRPr="00BF3774">
        <w:t xml:space="preserve">Statutory </w:t>
      </w:r>
      <w:r>
        <w:t>timeframe for standard applications is 2</w:t>
      </w:r>
      <w:r w:rsidR="00BF3774">
        <w:t>55</w:t>
      </w:r>
      <w:r>
        <w:t xml:space="preserve"> working days</w:t>
      </w:r>
    </w:p>
    <w:p w14:paraId="4B2DE85A" w14:textId="4C19EE2E" w:rsidR="008E7846" w:rsidRPr="00792A32" w:rsidRDefault="00456765" w:rsidP="008E7846">
      <w:pPr>
        <w:pStyle w:val="Heading2"/>
      </w:pPr>
      <w:bookmarkStart w:id="28" w:name="_Toc196046504"/>
      <w:bookmarkStart w:id="29" w:name="_Toc247691527"/>
      <w:bookmarkStart w:id="30" w:name="_Toc314842510"/>
      <w:bookmarkStart w:id="31" w:name="_Toc163441390"/>
      <w:bookmarkStart w:id="32" w:name="_Toc47446840"/>
      <w:bookmarkEnd w:id="1"/>
      <w:bookmarkEnd w:id="24"/>
      <w:bookmarkEnd w:id="25"/>
      <w:r>
        <w:lastRenderedPageBreak/>
        <w:t>I</w:t>
      </w:r>
      <w:r w:rsidR="00DA64CB">
        <w:t>I</w:t>
      </w:r>
      <w:r w:rsidR="008E7846">
        <w:t xml:space="preserve">I. </w:t>
      </w:r>
      <w:r w:rsidR="00FA2F63">
        <w:t>Submission overview</w:t>
      </w:r>
      <w:r w:rsidR="008E7846" w:rsidRPr="00792A32">
        <w:t xml:space="preserve"> and </w:t>
      </w:r>
      <w:r w:rsidR="008E7846">
        <w:t>r</w:t>
      </w:r>
      <w:r w:rsidR="008E7846" w:rsidRPr="00792A32">
        <w:t>isk/</w:t>
      </w:r>
      <w:r w:rsidR="008E7846">
        <w:t>b</w:t>
      </w:r>
      <w:r w:rsidR="008E7846" w:rsidRPr="00792A32">
        <w:t xml:space="preserve">enefit </w:t>
      </w:r>
      <w:r w:rsidR="008E7846">
        <w:t>a</w:t>
      </w:r>
      <w:r w:rsidR="008E7846" w:rsidRPr="00792A32">
        <w:t>ssessment</w:t>
      </w:r>
      <w:bookmarkEnd w:id="28"/>
      <w:bookmarkEnd w:id="29"/>
      <w:bookmarkEnd w:id="30"/>
      <w:bookmarkEnd w:id="32"/>
    </w:p>
    <w:p w14:paraId="3B379A0A" w14:textId="72209937" w:rsidR="008E7846" w:rsidRDefault="008E7846" w:rsidP="008E7846">
      <w:bookmarkStart w:id="33" w:name="_Toc247691528"/>
      <w:r>
        <w:t xml:space="preserve">The submission was summarised in the following </w:t>
      </w:r>
      <w:r w:rsidRPr="00EF5C48">
        <w:t xml:space="preserve">Delegate’s </w:t>
      </w:r>
      <w:r>
        <w:t>overview</w:t>
      </w:r>
      <w:r w:rsidRPr="00EF5C48">
        <w:t xml:space="preserve"> and recommendation</w:t>
      </w:r>
      <w:r w:rsidR="00FA2F63">
        <w:t>s.</w:t>
      </w:r>
    </w:p>
    <w:p w14:paraId="4326901C" w14:textId="089B9073" w:rsidR="008E7846" w:rsidRPr="00FC1FCA" w:rsidRDefault="008E7846" w:rsidP="00785638">
      <w:pPr>
        <w:pStyle w:val="Heading3"/>
      </w:pPr>
      <w:bookmarkStart w:id="34" w:name="_Toc314842511"/>
      <w:bookmarkStart w:id="35" w:name="_Toc47446841"/>
      <w:r>
        <w:t>Quality</w:t>
      </w:r>
      <w:bookmarkEnd w:id="33"/>
      <w:bookmarkEnd w:id="34"/>
      <w:bookmarkEnd w:id="35"/>
    </w:p>
    <w:p w14:paraId="39736168" w14:textId="77777777" w:rsidR="00E45619" w:rsidRDefault="008E7846" w:rsidP="003A7F6C">
      <w:r>
        <w:t>There was no requirement for a quality evaluation in a submission of this type.</w:t>
      </w:r>
    </w:p>
    <w:p w14:paraId="65553787" w14:textId="1CC9112A" w:rsidR="008E7846" w:rsidRPr="00FC1FCA" w:rsidRDefault="008E7846" w:rsidP="00785638">
      <w:pPr>
        <w:pStyle w:val="Heading3"/>
      </w:pPr>
      <w:bookmarkStart w:id="36" w:name="_Toc314842512"/>
      <w:bookmarkStart w:id="37" w:name="_Toc47446842"/>
      <w:r>
        <w:t>Nonclinical</w:t>
      </w:r>
      <w:bookmarkEnd w:id="36"/>
      <w:bookmarkEnd w:id="37"/>
    </w:p>
    <w:p w14:paraId="114023BE" w14:textId="77777777" w:rsidR="008E7846" w:rsidRDefault="008E7846" w:rsidP="008E7846">
      <w:r>
        <w:t>There was no requirement for a nonclinical evaluation in a submission of this type.</w:t>
      </w:r>
    </w:p>
    <w:p w14:paraId="64A7E080" w14:textId="1537DFD8" w:rsidR="008E7846" w:rsidRPr="0055297A" w:rsidRDefault="008E7846" w:rsidP="008E7846">
      <w:pPr>
        <w:pStyle w:val="Heading3"/>
      </w:pPr>
      <w:bookmarkStart w:id="38" w:name="_Toc247691530"/>
      <w:bookmarkStart w:id="39" w:name="_Toc314842513"/>
      <w:bookmarkStart w:id="40" w:name="_Toc47446843"/>
      <w:r>
        <w:t>Clinical</w:t>
      </w:r>
      <w:bookmarkEnd w:id="38"/>
      <w:bookmarkEnd w:id="39"/>
      <w:bookmarkEnd w:id="40"/>
    </w:p>
    <w:p w14:paraId="195384B4" w14:textId="4E701646" w:rsidR="0055297A" w:rsidRDefault="0055297A" w:rsidP="0055297A">
      <w:pPr>
        <w:rPr>
          <w:rFonts w:ascii="TimesNewRoman" w:eastAsia="TimesNewRoman" w:hAnsiTheme="minorHAnsi" w:cs="TimesNewRoman"/>
          <w:color w:val="000000"/>
          <w:sz w:val="24"/>
          <w:szCs w:val="24"/>
        </w:rPr>
      </w:pPr>
      <w:r>
        <w:rPr>
          <w:lang w:eastAsia="ja-JP"/>
        </w:rPr>
        <w:t>The dossier included the following paediatr</w:t>
      </w:r>
      <w:r w:rsidR="000A2AF2">
        <w:rPr>
          <w:lang w:eastAsia="ja-JP"/>
        </w:rPr>
        <w:t>ic pharmacokinetics</w:t>
      </w:r>
      <w:r>
        <w:rPr>
          <w:lang w:eastAsia="ja-JP"/>
        </w:rPr>
        <w:t>, efficacy and safety data:</w:t>
      </w:r>
    </w:p>
    <w:p w14:paraId="65FC476D" w14:textId="26D402CC" w:rsidR="0055297A" w:rsidRDefault="0055297A" w:rsidP="0055297A">
      <w:pPr>
        <w:pStyle w:val="ListBullet"/>
      </w:pPr>
      <w:r>
        <w:t xml:space="preserve">Study NN5401-3816: Phase </w:t>
      </w:r>
      <w:proofErr w:type="spellStart"/>
      <w:r>
        <w:t>IIIb</w:t>
      </w:r>
      <w:proofErr w:type="spellEnd"/>
      <w:r>
        <w:t xml:space="preserve"> study to </w:t>
      </w:r>
      <w:r w:rsidRPr="001402E2">
        <w:t xml:space="preserve">evaluate the </w:t>
      </w:r>
      <w:r>
        <w:t xml:space="preserve">efficacy and </w:t>
      </w:r>
      <w:r w:rsidRPr="001402E2">
        <w:t>safety of</w:t>
      </w:r>
      <w:r>
        <w:t xml:space="preserve"> </w:t>
      </w:r>
      <w:proofErr w:type="spellStart"/>
      <w:r>
        <w:t>IDegAsp</w:t>
      </w:r>
      <w:proofErr w:type="spellEnd"/>
      <w:r>
        <w:t xml:space="preserve"> once daily plus insulin </w:t>
      </w:r>
      <w:proofErr w:type="spellStart"/>
      <w:r>
        <w:t>aspart</w:t>
      </w:r>
      <w:proofErr w:type="spellEnd"/>
      <w:r>
        <w:t xml:space="preserve"> for remaining meals versus insulin </w:t>
      </w:r>
      <w:proofErr w:type="spellStart"/>
      <w:r>
        <w:t>detemir</w:t>
      </w:r>
      <w:proofErr w:type="spellEnd"/>
      <w:r>
        <w:t xml:space="preserve"> once or twice weekly with bolus insulin </w:t>
      </w:r>
      <w:proofErr w:type="spellStart"/>
      <w:r>
        <w:t>aspart</w:t>
      </w:r>
      <w:proofErr w:type="spellEnd"/>
      <w:r>
        <w:t xml:space="preserve"> in children and adolescents with T1DM.</w:t>
      </w:r>
    </w:p>
    <w:p w14:paraId="1A4D04B4" w14:textId="7C402D7F" w:rsidR="0055297A" w:rsidRDefault="0055297A" w:rsidP="0055297A">
      <w:pPr>
        <w:pStyle w:val="ListBullet"/>
      </w:pPr>
      <w:r>
        <w:t xml:space="preserve">Study NN1250-3561: Phase III study to </w:t>
      </w:r>
      <w:r w:rsidRPr="001402E2">
        <w:t xml:space="preserve">evaluate the </w:t>
      </w:r>
      <w:r>
        <w:t xml:space="preserve">efficacy and </w:t>
      </w:r>
      <w:r w:rsidRPr="001402E2">
        <w:t>safety of</w:t>
      </w:r>
      <w:r>
        <w:t xml:space="preserve"> insulin </w:t>
      </w:r>
      <w:proofErr w:type="spellStart"/>
      <w:r>
        <w:t>degludec</w:t>
      </w:r>
      <w:proofErr w:type="spellEnd"/>
      <w:r>
        <w:t xml:space="preserve"> and insulin </w:t>
      </w:r>
      <w:proofErr w:type="spellStart"/>
      <w:r>
        <w:t>detemir</w:t>
      </w:r>
      <w:proofErr w:type="spellEnd"/>
      <w:r>
        <w:t xml:space="preserve"> in children 1 to &lt; 18 years with T1DM on a basal-bolus regimen with insulin </w:t>
      </w:r>
      <w:proofErr w:type="spellStart"/>
      <w:r>
        <w:t>aspart</w:t>
      </w:r>
      <w:proofErr w:type="spellEnd"/>
      <w:r>
        <w:t xml:space="preserve"> as bolus insulin.</w:t>
      </w:r>
    </w:p>
    <w:p w14:paraId="17BA3AA5" w14:textId="0CC5DD6A" w:rsidR="0055297A" w:rsidRDefault="0055297A" w:rsidP="0055297A">
      <w:pPr>
        <w:pStyle w:val="ListBullet"/>
      </w:pPr>
      <w:r>
        <w:t>Study NN1250-3561 extension: 26 week extension of Study NN1250-3561.</w:t>
      </w:r>
    </w:p>
    <w:p w14:paraId="5E6889D5" w14:textId="7E33D924" w:rsidR="0055297A" w:rsidRDefault="0055297A" w:rsidP="0055297A">
      <w:pPr>
        <w:pStyle w:val="ListBullet"/>
      </w:pPr>
      <w:r>
        <w:t>Study EX1250-4080 (DEVOTE</w:t>
      </w:r>
      <w:r w:rsidR="0027366A">
        <w:t xml:space="preserve"> trial</w:t>
      </w:r>
      <w:r>
        <w:t xml:space="preserve">): Phase </w:t>
      </w:r>
      <w:proofErr w:type="spellStart"/>
      <w:r>
        <w:t>IIIb</w:t>
      </w:r>
      <w:proofErr w:type="spellEnd"/>
      <w:r>
        <w:t xml:space="preserve"> study comparing cardiovascular safety of insulin </w:t>
      </w:r>
      <w:proofErr w:type="spellStart"/>
      <w:r>
        <w:t>degludec</w:t>
      </w:r>
      <w:proofErr w:type="spellEnd"/>
      <w:r>
        <w:t xml:space="preserve"> versus insulin glargine in subjects with T2DM at high risk of cardiovascular events.</w:t>
      </w:r>
    </w:p>
    <w:p w14:paraId="6B7C8B90" w14:textId="22D42FB7" w:rsidR="0055297A" w:rsidRDefault="002748F2" w:rsidP="0055297A">
      <w:pPr>
        <w:pStyle w:val="ListBullet"/>
      </w:pPr>
      <w:r>
        <w:t>Pharmacokinetics (PK)/pharmacodynamics (PD)</w:t>
      </w:r>
      <w:r w:rsidR="0055297A">
        <w:t xml:space="preserve"> modelling study in children from 1</w:t>
      </w:r>
      <w:r>
        <w:t> </w:t>
      </w:r>
      <w:r w:rsidR="0055297A">
        <w:t>to</w:t>
      </w:r>
      <w:r>
        <w:t> </w:t>
      </w:r>
      <w:r w:rsidR="0055297A">
        <w:t>&lt; 18 years of age compared to adults, all with T1DM.</w:t>
      </w:r>
    </w:p>
    <w:p w14:paraId="2B2C35E2" w14:textId="4D52E9F8" w:rsidR="00785638" w:rsidRDefault="00785638" w:rsidP="00FA2F63">
      <w:pPr>
        <w:pStyle w:val="Heading4"/>
      </w:pPr>
      <w:bookmarkStart w:id="41" w:name="_Toc314842514"/>
      <w:r w:rsidRPr="00F47669">
        <w:t>Pharmacology</w:t>
      </w:r>
    </w:p>
    <w:p w14:paraId="00E6AA6F" w14:textId="68249165" w:rsidR="00FA2F63" w:rsidRPr="00FA2F63" w:rsidRDefault="00FA2F63" w:rsidP="00FA2F63">
      <w:pPr>
        <w:pStyle w:val="Heading5"/>
      </w:pPr>
      <w:r w:rsidRPr="00755912">
        <w:t>Study NN5401-1982</w:t>
      </w:r>
    </w:p>
    <w:p w14:paraId="48065C25" w14:textId="322371EB" w:rsidR="00F92B65" w:rsidRDefault="00785638" w:rsidP="00FA2F63">
      <w:r w:rsidRPr="00FA2F63">
        <w:t xml:space="preserve">Study NN5401-1982 was submitted as part of the initial application for </w:t>
      </w:r>
      <w:proofErr w:type="spellStart"/>
      <w:r w:rsidR="00721F94">
        <w:t>IDeg</w:t>
      </w:r>
      <w:r w:rsidRPr="00FA2F63">
        <w:t>Asp</w:t>
      </w:r>
      <w:proofErr w:type="spellEnd"/>
      <w:r w:rsidRPr="00FA2F63">
        <w:t>.</w:t>
      </w:r>
      <w:bookmarkStart w:id="42" w:name="_Ref45790099"/>
      <w:r w:rsidR="007D4EC9">
        <w:rPr>
          <w:rStyle w:val="FootnoteReference"/>
        </w:rPr>
        <w:footnoteReference w:id="5"/>
      </w:r>
      <w:bookmarkEnd w:id="42"/>
      <w:r w:rsidRPr="00FA2F63">
        <w:t xml:space="preserve"> It enrolled </w:t>
      </w:r>
      <w:r w:rsidR="00FA2F63">
        <w:t xml:space="preserve">38 patients with T1DM: </w:t>
      </w:r>
      <w:r w:rsidR="00151E77">
        <w:t xml:space="preserve">twelve </w:t>
      </w:r>
      <w:r w:rsidR="00FA2F63">
        <w:t>age</w:t>
      </w:r>
      <w:r w:rsidR="00151E77">
        <w:t>d</w:t>
      </w:r>
      <w:r w:rsidR="00FA2F63">
        <w:t xml:space="preserve"> 6 to </w:t>
      </w:r>
      <w:r w:rsidRPr="00FA2F63">
        <w:t xml:space="preserve">11 years and </w:t>
      </w:r>
      <w:r w:rsidR="00151E77">
        <w:t>thirteen</w:t>
      </w:r>
      <w:r w:rsidR="00151E77" w:rsidRPr="00FA2F63">
        <w:t xml:space="preserve"> </w:t>
      </w:r>
      <w:r w:rsidRPr="00FA2F63">
        <w:t>aged 12</w:t>
      </w:r>
      <w:r w:rsidR="00FA2F63">
        <w:t xml:space="preserve"> to </w:t>
      </w:r>
      <w:r w:rsidRPr="00FA2F63">
        <w:t>17 years. Patients were given a single dose of 0.5</w:t>
      </w:r>
      <w:r w:rsidR="00AE4A68">
        <w:t xml:space="preserve"> </w:t>
      </w:r>
      <w:r w:rsidRPr="00FA2F63">
        <w:t xml:space="preserve">units/kg. The exposure of both </w:t>
      </w:r>
      <w:proofErr w:type="spellStart"/>
      <w:r w:rsidR="007D4EC9">
        <w:t>IDeg</w:t>
      </w:r>
      <w:proofErr w:type="spellEnd"/>
      <w:r w:rsidR="007D4EC9">
        <w:t xml:space="preserve"> and </w:t>
      </w:r>
      <w:proofErr w:type="spellStart"/>
      <w:r w:rsidR="007D4EC9">
        <w:t>IAsp</w:t>
      </w:r>
      <w:proofErr w:type="spellEnd"/>
      <w:r>
        <w:t xml:space="preserve"> were higher in children and adolescents than in adults</w:t>
      </w:r>
      <w:r w:rsidR="00DC7476">
        <w:t xml:space="preserve"> (</w:t>
      </w:r>
      <w:r w:rsidR="00DC7476">
        <w:fldChar w:fldCharType="begin"/>
      </w:r>
      <w:r w:rsidR="00DC7476">
        <w:instrText xml:space="preserve"> REF _Ref42085410 \h </w:instrText>
      </w:r>
      <w:r w:rsidR="00DC7476">
        <w:fldChar w:fldCharType="separate"/>
      </w:r>
      <w:r w:rsidR="00DC7476">
        <w:t xml:space="preserve">Table </w:t>
      </w:r>
      <w:r w:rsidR="00DC7476">
        <w:rPr>
          <w:noProof/>
        </w:rPr>
        <w:t>2</w:t>
      </w:r>
      <w:r w:rsidR="00DC7476">
        <w:fldChar w:fldCharType="end"/>
      </w:r>
      <w:r w:rsidR="00DC7476">
        <w:t xml:space="preserve"> and </w:t>
      </w:r>
      <w:r w:rsidR="00DC7476">
        <w:fldChar w:fldCharType="begin"/>
      </w:r>
      <w:r w:rsidR="00DC7476">
        <w:instrText xml:space="preserve"> REF _Ref42085421 \h  \* MERGEFORMAT </w:instrText>
      </w:r>
      <w:r w:rsidR="00DC7476">
        <w:fldChar w:fldCharType="separate"/>
      </w:r>
      <w:r w:rsidR="00DC7476" w:rsidRPr="00DC7476">
        <w:t xml:space="preserve">Table </w:t>
      </w:r>
      <w:r w:rsidR="00DC7476">
        <w:rPr>
          <w:noProof/>
        </w:rPr>
        <w:t>3</w:t>
      </w:r>
      <w:r w:rsidR="00DC7476">
        <w:fldChar w:fldCharType="end"/>
      </w:r>
      <w:r w:rsidR="00DC7476">
        <w:t>)</w:t>
      </w:r>
      <w:r w:rsidR="00F92B65">
        <w:t>.</w:t>
      </w:r>
    </w:p>
    <w:p w14:paraId="72A19DAE" w14:textId="0C4607E1" w:rsidR="00785638" w:rsidRPr="00AE4A68" w:rsidRDefault="00785638" w:rsidP="00D5167A">
      <w:pPr>
        <w:pStyle w:val="TableTitle"/>
        <w:pageBreakBefore/>
      </w:pPr>
      <w:bookmarkStart w:id="43" w:name="_Ref42085410"/>
      <w:bookmarkStart w:id="44" w:name="_Toc10025775"/>
      <w:r>
        <w:lastRenderedPageBreak/>
        <w:t xml:space="preserve">Table </w:t>
      </w:r>
      <w:fldSimple w:instr=" SEQ Table \* ARABIC ">
        <w:r w:rsidR="00E61BCF">
          <w:rPr>
            <w:noProof/>
          </w:rPr>
          <w:t>2</w:t>
        </w:r>
      </w:fldSimple>
      <w:bookmarkEnd w:id="43"/>
      <w:r>
        <w:t xml:space="preserve">: </w:t>
      </w:r>
      <w:r w:rsidR="007D4EC9" w:rsidRPr="00FA2F63">
        <w:t xml:space="preserve">Study NN5401-1982 </w:t>
      </w:r>
      <w:r>
        <w:t xml:space="preserve">Pair-wise comparison of pharmacokinetic endpoints for </w:t>
      </w:r>
      <w:r w:rsidR="00AE4A68" w:rsidRPr="00FA2F63">
        <w:t>insulin</w:t>
      </w:r>
      <w:r w:rsidR="00AE4A68">
        <w:t> </w:t>
      </w:r>
      <w:proofErr w:type="spellStart"/>
      <w:r w:rsidR="00AE4A68" w:rsidRPr="00FA2F63">
        <w:t>degludec</w:t>
      </w:r>
      <w:proofErr w:type="spellEnd"/>
      <w:r>
        <w:t xml:space="preserve"> in </w:t>
      </w:r>
      <w:r w:rsidR="00AE4A68" w:rsidRPr="00FA2F63">
        <w:t>insulin</w:t>
      </w:r>
      <w:r w:rsidR="00AE4A68">
        <w:t> </w:t>
      </w:r>
      <w:proofErr w:type="spellStart"/>
      <w:r w:rsidR="00AE4A68" w:rsidRPr="00FA2F63">
        <w:t>degludec</w:t>
      </w:r>
      <w:proofErr w:type="spellEnd"/>
      <w:r w:rsidR="00AE4A68" w:rsidRPr="00FA2F63">
        <w:t xml:space="preserve">/insulin </w:t>
      </w:r>
      <w:proofErr w:type="spellStart"/>
      <w:r w:rsidR="00AE4A68" w:rsidRPr="00FA2F63">
        <w:t>aspart</w:t>
      </w:r>
      <w:proofErr w:type="spellEnd"/>
      <w:r>
        <w:t xml:space="preserve"> after single-dose ad</w:t>
      </w:r>
      <w:r w:rsidRPr="00AE4A68">
        <w:t xml:space="preserve">ministration between children, adolescents and adults with </w:t>
      </w:r>
      <w:bookmarkEnd w:id="44"/>
      <w:r w:rsidR="00AE4A68" w:rsidRPr="00AE4A68">
        <w:t>type 1 diabetes mellitus</w:t>
      </w:r>
    </w:p>
    <w:p w14:paraId="3D2B1DEA" w14:textId="6122E5B8" w:rsidR="00785638" w:rsidRDefault="00DC7476" w:rsidP="00785638">
      <w:pPr>
        <w:rPr>
          <w:i/>
        </w:rPr>
      </w:pPr>
      <w:r>
        <w:rPr>
          <w:noProof/>
          <w:lang w:eastAsia="en-AU"/>
        </w:rPr>
        <w:drawing>
          <wp:inline distT="0" distB="0" distL="0" distR="0" wp14:anchorId="12D3AB8C" wp14:editId="68369EFF">
            <wp:extent cx="5400040" cy="923290"/>
            <wp:effectExtent l="0" t="0" r="0" b="0"/>
            <wp:docPr id="1" name="Picture 1" descr="Study NN5401-1982 Pair-wise comparison of pharmacokinetic endpoints for insulin degludec in insulin degludec/insulin aspart after single-dose administration between children, adolescents and adults with type 1 diabetes melli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00040" cy="923290"/>
                    </a:xfrm>
                    <a:prstGeom prst="rect">
                      <a:avLst/>
                    </a:prstGeom>
                  </pic:spPr>
                </pic:pic>
              </a:graphicData>
            </a:graphic>
          </wp:inline>
        </w:drawing>
      </w:r>
    </w:p>
    <w:p w14:paraId="789CA989" w14:textId="49880B29" w:rsidR="00CF4F79" w:rsidRPr="00CF4F79" w:rsidRDefault="00CF4F79" w:rsidP="00CF4F79">
      <w:pPr>
        <w:pStyle w:val="TableDescription"/>
      </w:pPr>
      <w:proofErr w:type="spellStart"/>
      <w:r w:rsidRPr="00CF4F79">
        <w:t>IDegAsp</w:t>
      </w:r>
      <w:proofErr w:type="spellEnd"/>
      <w:r w:rsidRPr="00CF4F79">
        <w:t xml:space="preserve"> = insulin </w:t>
      </w:r>
      <w:proofErr w:type="spellStart"/>
      <w:r w:rsidRPr="00CF4F79">
        <w:t>degludec</w:t>
      </w:r>
      <w:proofErr w:type="spellEnd"/>
      <w:r w:rsidRPr="00CF4F79">
        <w:t xml:space="preserve">/insulin </w:t>
      </w:r>
      <w:proofErr w:type="spellStart"/>
      <w:r w:rsidRPr="00CF4F79">
        <w:t>aspart</w:t>
      </w:r>
      <w:proofErr w:type="spellEnd"/>
      <w:r w:rsidRPr="00CF4F79">
        <w:t xml:space="preserve">; </w:t>
      </w:r>
      <w:proofErr w:type="spellStart"/>
      <w:r w:rsidRPr="00CF4F79">
        <w:t>IDeg</w:t>
      </w:r>
      <w:proofErr w:type="spellEnd"/>
      <w:r w:rsidRPr="00CF4F79">
        <w:t xml:space="preserve"> = insulin </w:t>
      </w:r>
      <w:proofErr w:type="spellStart"/>
      <w:r w:rsidRPr="00CF4F79">
        <w:t>degludec</w:t>
      </w:r>
      <w:proofErr w:type="spellEnd"/>
      <w:r w:rsidRPr="00CF4F79">
        <w:t xml:space="preserve">; </w:t>
      </w:r>
      <w:proofErr w:type="spellStart"/>
      <w:r w:rsidRPr="00CF4F79">
        <w:t>IAsp</w:t>
      </w:r>
      <w:proofErr w:type="spellEnd"/>
      <w:r w:rsidRPr="00CF4F79">
        <w:t xml:space="preserve"> = insulin </w:t>
      </w:r>
      <w:proofErr w:type="spellStart"/>
      <w:r w:rsidRPr="00CF4F79">
        <w:t>aspart</w:t>
      </w:r>
      <w:proofErr w:type="spellEnd"/>
      <w:r w:rsidRPr="00CF4F79">
        <w:t xml:space="preserve">; </w:t>
      </w:r>
      <w:r w:rsidR="001B768B">
        <w:t xml:space="preserve">AUC = Area under the curve; </w:t>
      </w:r>
      <w:proofErr w:type="spellStart"/>
      <w:r w:rsidRPr="00CF4F79">
        <w:t>AUC</w:t>
      </w:r>
      <w:r w:rsidRPr="00440364">
        <w:rPr>
          <w:vertAlign w:val="subscript"/>
        </w:rPr>
        <w:t>IDeg</w:t>
      </w:r>
      <w:proofErr w:type="spellEnd"/>
      <w:r w:rsidRPr="00440364">
        <w:rPr>
          <w:vertAlign w:val="subscript"/>
        </w:rPr>
        <w:t>, 0−∞</w:t>
      </w:r>
      <w:r w:rsidR="00721F94">
        <w:rPr>
          <w:vertAlign w:val="subscript"/>
        </w:rPr>
        <w:t>, SD</w:t>
      </w:r>
      <w:r w:rsidR="00721F94" w:rsidRPr="00721F94">
        <w:t xml:space="preserve"> =</w:t>
      </w:r>
      <w:r w:rsidR="00721F94">
        <w:t xml:space="preserve"> total exposure of </w:t>
      </w:r>
      <w:proofErr w:type="spellStart"/>
      <w:r w:rsidR="00721F94">
        <w:t>IDeg</w:t>
      </w:r>
      <w:proofErr w:type="spellEnd"/>
      <w:r w:rsidR="00721F94">
        <w:t xml:space="preserve"> after a single dose</w:t>
      </w:r>
      <w:r w:rsidRPr="00CF4F79">
        <w:t>; SD = single dose;</w:t>
      </w:r>
      <w:r w:rsidR="00DC7476">
        <w:t xml:space="preserve"> CI = confidence interval;</w:t>
      </w:r>
      <w:r w:rsidRPr="00CF4F79">
        <w:t xml:space="preserve"> </w:t>
      </w:r>
      <w:proofErr w:type="spellStart"/>
      <w:r w:rsidRPr="00CF4F79">
        <w:t>C</w:t>
      </w:r>
      <w:r w:rsidRPr="00440364">
        <w:rPr>
          <w:vertAlign w:val="subscript"/>
        </w:rPr>
        <w:t>max</w:t>
      </w:r>
      <w:proofErr w:type="spellEnd"/>
      <w:r w:rsidRPr="00CF4F79">
        <w:t xml:space="preserve"> = maximum observed concentration</w:t>
      </w:r>
      <w:r w:rsidR="00DC7476">
        <w:t>; vs = versus</w:t>
      </w:r>
    </w:p>
    <w:p w14:paraId="3A275DAB" w14:textId="78B2A624" w:rsidR="00785638" w:rsidRDefault="00CF4F79" w:rsidP="00CF4F79">
      <w:pPr>
        <w:pStyle w:val="TableDescription"/>
      </w:pPr>
      <w:r>
        <w:t>Study NN5401-1982</w:t>
      </w:r>
      <w:r w:rsidR="00785638">
        <w:t xml:space="preserve">: </w:t>
      </w:r>
      <w:proofErr w:type="spellStart"/>
      <w:r w:rsidR="00785638">
        <w:t>IDegAsp</w:t>
      </w:r>
      <w:proofErr w:type="spellEnd"/>
      <w:r w:rsidR="00785638">
        <w:t xml:space="preserve"> 0.5 units/kg (0.35 units/kg </w:t>
      </w:r>
      <w:proofErr w:type="spellStart"/>
      <w:r w:rsidR="00785638">
        <w:t>IDeg</w:t>
      </w:r>
      <w:proofErr w:type="spellEnd"/>
      <w:r w:rsidR="00785638">
        <w:t xml:space="preserve">; 0.15 units/kg of </w:t>
      </w:r>
      <w:proofErr w:type="spellStart"/>
      <w:r w:rsidR="00785638">
        <w:t>IAsp</w:t>
      </w:r>
      <w:proofErr w:type="spellEnd"/>
      <w:r w:rsidR="00785638">
        <w:t xml:space="preserve">). Statistical analyses were based on 11 children, 13 adolescents and 13 adults for </w:t>
      </w:r>
      <w:proofErr w:type="spellStart"/>
      <w:r w:rsidR="00785638">
        <w:t>AUC</w:t>
      </w:r>
      <w:r w:rsidR="00785638">
        <w:rPr>
          <w:vertAlign w:val="subscript"/>
        </w:rPr>
        <w:t>IDeg</w:t>
      </w:r>
      <w:proofErr w:type="spellEnd"/>
      <w:r w:rsidR="00785638">
        <w:rPr>
          <w:vertAlign w:val="subscript"/>
        </w:rPr>
        <w:t>,</w:t>
      </w:r>
      <w:r>
        <w:rPr>
          <w:vertAlign w:val="subscript"/>
        </w:rPr>
        <w:t xml:space="preserve"> </w:t>
      </w:r>
      <w:r w:rsidR="00785638">
        <w:rPr>
          <w:vertAlign w:val="subscript"/>
        </w:rPr>
        <w:t>0−∞,</w:t>
      </w:r>
      <w:r>
        <w:rPr>
          <w:vertAlign w:val="subscript"/>
        </w:rPr>
        <w:t xml:space="preserve"> </w:t>
      </w:r>
      <w:r w:rsidR="00785638">
        <w:rPr>
          <w:vertAlign w:val="subscript"/>
        </w:rPr>
        <w:t>SD</w:t>
      </w:r>
      <w:r w:rsidR="00785638">
        <w:t xml:space="preserve"> and on 12 children, 13 adolescents and 13 adults for </w:t>
      </w:r>
      <w:proofErr w:type="spellStart"/>
      <w:r w:rsidR="00785638">
        <w:t>C</w:t>
      </w:r>
      <w:r w:rsidR="00785638">
        <w:rPr>
          <w:vertAlign w:val="subscript"/>
        </w:rPr>
        <w:t>max</w:t>
      </w:r>
      <w:proofErr w:type="spellEnd"/>
      <w:r w:rsidR="00785638">
        <w:rPr>
          <w:vertAlign w:val="subscript"/>
        </w:rPr>
        <w:t>,</w:t>
      </w:r>
      <w:r>
        <w:rPr>
          <w:vertAlign w:val="subscript"/>
        </w:rPr>
        <w:t xml:space="preserve"> </w:t>
      </w:r>
      <w:proofErr w:type="spellStart"/>
      <w:r w:rsidR="00785638">
        <w:rPr>
          <w:vertAlign w:val="subscript"/>
        </w:rPr>
        <w:t>IDeg</w:t>
      </w:r>
      <w:proofErr w:type="spellEnd"/>
      <w:r w:rsidR="00785638">
        <w:rPr>
          <w:vertAlign w:val="subscript"/>
        </w:rPr>
        <w:t>,</w:t>
      </w:r>
      <w:r>
        <w:rPr>
          <w:vertAlign w:val="subscript"/>
        </w:rPr>
        <w:t xml:space="preserve"> </w:t>
      </w:r>
      <w:r w:rsidR="00785638">
        <w:rPr>
          <w:vertAlign w:val="subscript"/>
        </w:rPr>
        <w:t>SD</w:t>
      </w:r>
      <w:r w:rsidR="00785638">
        <w:t>.</w:t>
      </w:r>
    </w:p>
    <w:p w14:paraId="134143CA" w14:textId="6C422F8D" w:rsidR="00785638" w:rsidRDefault="00785638" w:rsidP="00CF4F79">
      <w:pPr>
        <w:pStyle w:val="TableTitle"/>
      </w:pPr>
      <w:bookmarkStart w:id="45" w:name="_Ref42085421"/>
      <w:bookmarkStart w:id="46" w:name="_Toc10025776"/>
      <w:r>
        <w:t xml:space="preserve">Table </w:t>
      </w:r>
      <w:fldSimple w:instr=" SEQ Table \* ARABIC ">
        <w:r w:rsidR="00E61BCF">
          <w:rPr>
            <w:noProof/>
          </w:rPr>
          <w:t>3</w:t>
        </w:r>
      </w:fldSimple>
      <w:bookmarkEnd w:id="45"/>
      <w:r>
        <w:t xml:space="preserve">: </w:t>
      </w:r>
      <w:r w:rsidR="007D4EC9" w:rsidRPr="00FA2F63">
        <w:t xml:space="preserve">Study NN5401-1982 </w:t>
      </w:r>
      <w:r>
        <w:t xml:space="preserve">Pair-wise comparison of pharmacokinetic endpoints for </w:t>
      </w:r>
      <w:r w:rsidR="00DC7476" w:rsidRPr="00CF4F79">
        <w:t xml:space="preserve">insulin </w:t>
      </w:r>
      <w:proofErr w:type="spellStart"/>
      <w:r w:rsidR="00DC7476" w:rsidRPr="00CF4F79">
        <w:t>aspart</w:t>
      </w:r>
      <w:proofErr w:type="spellEnd"/>
      <w:r>
        <w:t xml:space="preserve"> in </w:t>
      </w:r>
      <w:r w:rsidR="00DC7476" w:rsidRPr="00CF4F79">
        <w:t>insulin </w:t>
      </w:r>
      <w:proofErr w:type="spellStart"/>
      <w:r w:rsidR="00DC7476" w:rsidRPr="00CF4F79">
        <w:t>degludec</w:t>
      </w:r>
      <w:proofErr w:type="spellEnd"/>
      <w:r w:rsidR="00DC7476" w:rsidRPr="00CF4F79">
        <w:t xml:space="preserve">/insulin </w:t>
      </w:r>
      <w:proofErr w:type="spellStart"/>
      <w:r w:rsidR="00DC7476" w:rsidRPr="00CF4F79">
        <w:t>aspart</w:t>
      </w:r>
      <w:proofErr w:type="spellEnd"/>
      <w:r>
        <w:t xml:space="preserve"> after single-dose administration between children, adolescents and adults with </w:t>
      </w:r>
      <w:bookmarkEnd w:id="46"/>
      <w:r w:rsidR="00DC7476" w:rsidRPr="00AE4A68">
        <w:t>type 1 diabetes mellitus</w:t>
      </w:r>
    </w:p>
    <w:p w14:paraId="49D2479E" w14:textId="54FBF8A3" w:rsidR="00785638" w:rsidRDefault="00DC7476" w:rsidP="00785638">
      <w:r>
        <w:rPr>
          <w:noProof/>
          <w:lang w:eastAsia="en-AU"/>
        </w:rPr>
        <w:drawing>
          <wp:inline distT="0" distB="0" distL="0" distR="0" wp14:anchorId="617E78C1" wp14:editId="7C3A80A6">
            <wp:extent cx="5400040" cy="872490"/>
            <wp:effectExtent l="0" t="0" r="0" b="3810"/>
            <wp:docPr id="24" name="Picture 24" descr="Study NN5401-1982 Pair-wise comparison of pharmacokinetic endpoints for insulin aspart in insulin degludec/insulin aspart after single-dose administration between children, adolescents and adults with type 1 diabetes melli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00040" cy="872490"/>
                    </a:xfrm>
                    <a:prstGeom prst="rect">
                      <a:avLst/>
                    </a:prstGeom>
                  </pic:spPr>
                </pic:pic>
              </a:graphicData>
            </a:graphic>
          </wp:inline>
        </w:drawing>
      </w:r>
    </w:p>
    <w:p w14:paraId="6CC149B5" w14:textId="435CCAD2" w:rsidR="00CF4F79" w:rsidRPr="00F2450E" w:rsidRDefault="00CF4F79" w:rsidP="00F2450E">
      <w:pPr>
        <w:pStyle w:val="TableDescription"/>
        <w:rPr>
          <w:vertAlign w:val="subscript"/>
        </w:rPr>
      </w:pPr>
      <w:proofErr w:type="spellStart"/>
      <w:r w:rsidRPr="00CF4F79">
        <w:t>IAsp</w:t>
      </w:r>
      <w:proofErr w:type="spellEnd"/>
      <w:r w:rsidRPr="00CF4F79">
        <w:t xml:space="preserve"> = insulin </w:t>
      </w:r>
      <w:proofErr w:type="spellStart"/>
      <w:r w:rsidRPr="00CF4F79">
        <w:t>aspart</w:t>
      </w:r>
      <w:proofErr w:type="spellEnd"/>
      <w:r w:rsidRPr="00CF4F79">
        <w:t xml:space="preserve">; </w:t>
      </w:r>
      <w:proofErr w:type="spellStart"/>
      <w:r w:rsidRPr="00CF4F79">
        <w:t>AUC</w:t>
      </w:r>
      <w:r w:rsidR="00440364" w:rsidRPr="00440364">
        <w:rPr>
          <w:vertAlign w:val="subscript"/>
        </w:rPr>
        <w:t>IAsp</w:t>
      </w:r>
      <w:proofErr w:type="spellEnd"/>
      <w:r w:rsidRPr="00440364">
        <w:rPr>
          <w:vertAlign w:val="subscript"/>
        </w:rPr>
        <w:t xml:space="preserve">, </w:t>
      </w:r>
      <w:r w:rsidR="00F2450E">
        <w:rPr>
          <w:vertAlign w:val="subscript"/>
        </w:rPr>
        <w:t>0−12</w:t>
      </w:r>
      <w:r w:rsidR="00F2450E" w:rsidRPr="00F2450E">
        <w:t xml:space="preserve"> </w:t>
      </w:r>
      <w:r w:rsidR="00F2450E">
        <w:t xml:space="preserve">= the area under the </w:t>
      </w:r>
      <w:proofErr w:type="spellStart"/>
      <w:r w:rsidR="00F2450E">
        <w:t>IAsp</w:t>
      </w:r>
      <w:proofErr w:type="spellEnd"/>
      <w:r w:rsidR="00F2450E">
        <w:rPr>
          <w:vertAlign w:val="subscript"/>
        </w:rPr>
        <w:t xml:space="preserve"> </w:t>
      </w:r>
      <w:r w:rsidR="00F2450E" w:rsidRPr="00F2450E">
        <w:t>concentration-time curve during the first 12 hours of one dosing interval</w:t>
      </w:r>
      <w:r w:rsidRPr="00CF4F79">
        <w:t xml:space="preserve">; SD = single dose; </w:t>
      </w:r>
      <w:proofErr w:type="spellStart"/>
      <w:r w:rsidRPr="00CF4F79">
        <w:t>C</w:t>
      </w:r>
      <w:r w:rsidRPr="001B768B">
        <w:rPr>
          <w:vertAlign w:val="subscript"/>
        </w:rPr>
        <w:t>max</w:t>
      </w:r>
      <w:proofErr w:type="spellEnd"/>
      <w:r w:rsidRPr="00CF4F79">
        <w:t xml:space="preserve"> = maximum observed concentration</w:t>
      </w:r>
      <w:r w:rsidR="00440364">
        <w:t>;</w:t>
      </w:r>
      <w:r w:rsidR="00DC7476">
        <w:t xml:space="preserve"> CI = confidence interval; vs</w:t>
      </w:r>
      <w:r w:rsidR="00440364">
        <w:t xml:space="preserve"> = versus</w:t>
      </w:r>
    </w:p>
    <w:p w14:paraId="23124AD2" w14:textId="7A9D3526" w:rsidR="00785638" w:rsidRPr="00F47669" w:rsidRDefault="00CF4F79" w:rsidP="00CF4F79">
      <w:pPr>
        <w:pStyle w:val="TableDescription"/>
      </w:pPr>
      <w:r>
        <w:t>Study NN5401-1982</w:t>
      </w:r>
      <w:r w:rsidR="00785638">
        <w:t xml:space="preserve">: </w:t>
      </w:r>
      <w:proofErr w:type="spellStart"/>
      <w:r w:rsidR="00785638">
        <w:t>IDegAsp</w:t>
      </w:r>
      <w:proofErr w:type="spellEnd"/>
      <w:r w:rsidR="00785638">
        <w:t xml:space="preserve"> 0.5 units/kg (0.35 units/kg </w:t>
      </w:r>
      <w:proofErr w:type="spellStart"/>
      <w:r w:rsidR="00785638">
        <w:t>IDeg</w:t>
      </w:r>
      <w:proofErr w:type="spellEnd"/>
      <w:r w:rsidR="00785638">
        <w:t xml:space="preserve">; 0.15 units/kg of </w:t>
      </w:r>
      <w:proofErr w:type="spellStart"/>
      <w:r w:rsidR="00785638">
        <w:t>IAsp</w:t>
      </w:r>
      <w:proofErr w:type="spellEnd"/>
      <w:r w:rsidR="00785638">
        <w:t>). Statistical analyses were based on 12 children, 13 adolescents and 13 adults.</w:t>
      </w:r>
    </w:p>
    <w:p w14:paraId="0FCD2CA3" w14:textId="49A1E507" w:rsidR="00785638" w:rsidRPr="00F47669" w:rsidRDefault="00785638" w:rsidP="00785638">
      <w:r>
        <w:rPr>
          <w:rFonts w:asciiTheme="minorHAnsi" w:hAnsiTheme="minorHAnsi"/>
        </w:rPr>
        <w:t xml:space="preserve">A meal test was performed to study the PD effects by age. </w:t>
      </w:r>
      <w:r>
        <w:t xml:space="preserve">The shape of the mean plasma glucose profile over 6 hours following administration of single dose </w:t>
      </w:r>
      <w:proofErr w:type="spellStart"/>
      <w:r>
        <w:t>IDegAsp</w:t>
      </w:r>
      <w:proofErr w:type="spellEnd"/>
      <w:r>
        <w:t xml:space="preserve"> and standard meal was similar for children (6</w:t>
      </w:r>
      <w:r w:rsidR="00FA2F63">
        <w:t xml:space="preserve"> to </w:t>
      </w:r>
      <w:r>
        <w:t>11 years), adolescents (12</w:t>
      </w:r>
      <w:r w:rsidR="00FA2F63">
        <w:t xml:space="preserve"> to </w:t>
      </w:r>
      <w:r w:rsidR="00DC7476">
        <w:t xml:space="preserve">17 years) and adults </w:t>
      </w:r>
      <w:r w:rsidR="00DC7476" w:rsidRPr="00DC7476">
        <w:t>(</w:t>
      </w:r>
      <w:r w:rsidR="00DC7476" w:rsidRPr="00DC7476">
        <w:fldChar w:fldCharType="begin"/>
      </w:r>
      <w:r w:rsidR="00DC7476" w:rsidRPr="00DC7476">
        <w:instrText xml:space="preserve"> REF _Ref42085492 \h  \* MERGEFORMAT </w:instrText>
      </w:r>
      <w:r w:rsidR="00DC7476" w:rsidRPr="00DC7476">
        <w:fldChar w:fldCharType="separate"/>
      </w:r>
      <w:r w:rsidR="00DC7476" w:rsidRPr="00DC7476">
        <w:t xml:space="preserve">Figure </w:t>
      </w:r>
      <w:r w:rsidR="00DC7476" w:rsidRPr="00DC7476">
        <w:rPr>
          <w:noProof/>
        </w:rPr>
        <w:t>1</w:t>
      </w:r>
      <w:r w:rsidR="00DC7476" w:rsidRPr="00DC7476">
        <w:fldChar w:fldCharType="end"/>
      </w:r>
      <w:r w:rsidR="00DC7476" w:rsidRPr="00DC7476">
        <w:t>)</w:t>
      </w:r>
      <w:r w:rsidR="00DC7476">
        <w:t>.</w:t>
      </w:r>
    </w:p>
    <w:p w14:paraId="4D363498" w14:textId="33A87431" w:rsidR="00785638" w:rsidRDefault="00785638" w:rsidP="00DC7476">
      <w:pPr>
        <w:pStyle w:val="FigureTitle"/>
      </w:pPr>
      <w:bookmarkStart w:id="47" w:name="_Ref42085492"/>
      <w:bookmarkStart w:id="48" w:name="_Toc10027518"/>
      <w:r>
        <w:lastRenderedPageBreak/>
        <w:t xml:space="preserve">Figure </w:t>
      </w:r>
      <w:fldSimple w:instr=" SEQ Figure \* ARABIC ">
        <w:r>
          <w:rPr>
            <w:noProof/>
          </w:rPr>
          <w:t>1</w:t>
        </w:r>
      </w:fldSimple>
      <w:bookmarkEnd w:id="47"/>
      <w:r>
        <w:t xml:space="preserve">: </w:t>
      </w:r>
      <w:r w:rsidR="007D4EC9" w:rsidRPr="00FA2F63">
        <w:t xml:space="preserve">Study NN5401-1982 </w:t>
      </w:r>
      <w:r>
        <w:t>Mean plasma glucose profile</w:t>
      </w:r>
      <w:r w:rsidR="00DC7476">
        <w:t xml:space="preserve">s, 0 to </w:t>
      </w:r>
      <w:r>
        <w:t>6 hours for children (6</w:t>
      </w:r>
      <w:r w:rsidR="006306C7">
        <w:t xml:space="preserve"> to </w:t>
      </w:r>
      <w:r>
        <w:t>11 years), adolescents (12</w:t>
      </w:r>
      <w:r w:rsidR="006306C7">
        <w:t xml:space="preserve"> to </w:t>
      </w:r>
      <w:r>
        <w:t xml:space="preserve">17 years) and adults following single dose </w:t>
      </w:r>
      <w:bookmarkEnd w:id="48"/>
      <w:r w:rsidR="006306C7">
        <w:t>insulin </w:t>
      </w:r>
      <w:proofErr w:type="spellStart"/>
      <w:r w:rsidR="006306C7">
        <w:t>degludec</w:t>
      </w:r>
      <w:proofErr w:type="spellEnd"/>
      <w:r w:rsidR="006306C7">
        <w:t xml:space="preserve">/insulin </w:t>
      </w:r>
      <w:proofErr w:type="spellStart"/>
      <w:r w:rsidR="006306C7">
        <w:t>aspart</w:t>
      </w:r>
      <w:proofErr w:type="spellEnd"/>
    </w:p>
    <w:p w14:paraId="338C7AB8" w14:textId="746E7050" w:rsidR="00785638" w:rsidRDefault="006306C7" w:rsidP="00785638">
      <w:r>
        <w:rPr>
          <w:noProof/>
          <w:lang w:eastAsia="en-AU"/>
        </w:rPr>
        <w:drawing>
          <wp:inline distT="0" distB="0" distL="0" distR="0" wp14:anchorId="4BD7ACE4" wp14:editId="6671FEAA">
            <wp:extent cx="4627660" cy="2948881"/>
            <wp:effectExtent l="0" t="0" r="1905" b="4445"/>
            <wp:docPr id="25" name="Picture 25" descr="Study NN5401-1982 Mean plasma glucose profiles, 0 to 6 hours for children (6 to 11 years), adolescents (12 to 17 years) and adults following single dose insulin degludec/insulin as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27660" cy="2948881"/>
                    </a:xfrm>
                    <a:prstGeom prst="rect">
                      <a:avLst/>
                    </a:prstGeom>
                  </pic:spPr>
                </pic:pic>
              </a:graphicData>
            </a:graphic>
          </wp:inline>
        </w:drawing>
      </w:r>
    </w:p>
    <w:p w14:paraId="003C16CF" w14:textId="40261D6E" w:rsidR="00785638" w:rsidRPr="00AE0FF9" w:rsidRDefault="006306C7" w:rsidP="006306C7">
      <w:pPr>
        <w:pStyle w:val="Heading5"/>
      </w:pPr>
      <w:r w:rsidRPr="00755912">
        <w:t>Study NN1250-1995</w:t>
      </w:r>
    </w:p>
    <w:p w14:paraId="1C43A166" w14:textId="03C4F62E" w:rsidR="00785638" w:rsidRDefault="00785638" w:rsidP="00A61D90">
      <w:pPr>
        <w:rPr>
          <w:rFonts w:asciiTheme="minorHAnsi" w:hAnsiTheme="minorHAnsi"/>
        </w:rPr>
      </w:pPr>
      <w:r w:rsidRPr="007873F7">
        <w:t>Study NN1250-1995 was also submitted as part of the initial registration of I</w:t>
      </w:r>
      <w:r w:rsidR="00FA2F63" w:rsidRPr="007873F7">
        <w:t>Deg.</w:t>
      </w:r>
      <w:r w:rsidR="00723872" w:rsidRPr="006742DE">
        <w:rPr>
          <w:vertAlign w:val="superscript"/>
        </w:rPr>
        <w:fldChar w:fldCharType="begin"/>
      </w:r>
      <w:r w:rsidR="00723872" w:rsidRPr="006742DE">
        <w:rPr>
          <w:vertAlign w:val="superscript"/>
        </w:rPr>
        <w:instrText xml:space="preserve"> NOTEREF _Ref45790099 \h </w:instrText>
      </w:r>
      <w:r w:rsidR="00723872">
        <w:rPr>
          <w:vertAlign w:val="superscript"/>
        </w:rPr>
        <w:instrText xml:space="preserve"> \* MERGEFORMAT </w:instrText>
      </w:r>
      <w:r w:rsidR="00723872" w:rsidRPr="006742DE">
        <w:rPr>
          <w:vertAlign w:val="superscript"/>
        </w:rPr>
      </w:r>
      <w:r w:rsidR="00723872" w:rsidRPr="006742DE">
        <w:rPr>
          <w:vertAlign w:val="superscript"/>
        </w:rPr>
        <w:fldChar w:fldCharType="separate"/>
      </w:r>
      <w:r w:rsidR="00066A82">
        <w:rPr>
          <w:vertAlign w:val="superscript"/>
        </w:rPr>
        <w:t>5</w:t>
      </w:r>
      <w:r w:rsidR="00723872" w:rsidRPr="006742DE">
        <w:rPr>
          <w:vertAlign w:val="superscript"/>
        </w:rPr>
        <w:fldChar w:fldCharType="end"/>
      </w:r>
      <w:r w:rsidR="00FA2F63" w:rsidRPr="007873F7">
        <w:t xml:space="preserve"> It studied subjects aged 6 to </w:t>
      </w:r>
      <w:r w:rsidRPr="007873F7">
        <w:t>65 years with T1DM. Patients were given 0.4</w:t>
      </w:r>
      <w:r w:rsidR="006306C7" w:rsidRPr="007873F7">
        <w:t xml:space="preserve"> </w:t>
      </w:r>
      <w:r w:rsidR="00A13FD3">
        <w:t>U</w:t>
      </w:r>
      <w:r w:rsidRPr="007873F7">
        <w:t xml:space="preserve">/kg of </w:t>
      </w:r>
      <w:proofErr w:type="spellStart"/>
      <w:r w:rsidRPr="007873F7">
        <w:t>IDeg</w:t>
      </w:r>
      <w:proofErr w:type="spellEnd"/>
      <w:r w:rsidRPr="007873F7">
        <w:t xml:space="preserve"> or </w:t>
      </w:r>
      <w:r w:rsidR="006306C7" w:rsidRPr="007873F7">
        <w:t>insulin</w:t>
      </w:r>
      <w:r w:rsidR="006306C7" w:rsidRPr="006306C7">
        <w:t xml:space="preserve"> glargine </w:t>
      </w:r>
      <w:r w:rsidR="007873F7">
        <w:t>(</w:t>
      </w:r>
      <w:proofErr w:type="spellStart"/>
      <w:r w:rsidRPr="007873F7">
        <w:t>IGlarg</w:t>
      </w:r>
      <w:proofErr w:type="spellEnd"/>
      <w:r w:rsidR="006306C7">
        <w:rPr>
          <w:rFonts w:asciiTheme="minorHAnsi" w:hAnsiTheme="minorHAnsi"/>
        </w:rPr>
        <w:t>)</w:t>
      </w:r>
      <w:r w:rsidR="00A13FD3">
        <w:rPr>
          <w:rFonts w:asciiTheme="minorHAnsi" w:hAnsiTheme="minorHAnsi"/>
        </w:rPr>
        <w:t>.</w:t>
      </w:r>
      <w:r w:rsidR="007873F7">
        <w:rPr>
          <w:rStyle w:val="FootnoteReference"/>
          <w:rFonts w:asciiTheme="minorHAnsi" w:hAnsiTheme="minorHAnsi"/>
        </w:rPr>
        <w:footnoteReference w:id="6"/>
      </w:r>
    </w:p>
    <w:p w14:paraId="769177C6" w14:textId="6DBD5DB2" w:rsidR="00F92B65" w:rsidRDefault="00785638" w:rsidP="00151E77">
      <w:r>
        <w:t xml:space="preserve">Following single dose administration of </w:t>
      </w:r>
      <w:proofErr w:type="spellStart"/>
      <w:r>
        <w:t>IDeg</w:t>
      </w:r>
      <w:proofErr w:type="spellEnd"/>
      <w:r>
        <w:t xml:space="preserve">, total </w:t>
      </w:r>
      <w:proofErr w:type="spellStart"/>
      <w:r>
        <w:t>IDeg</w:t>
      </w:r>
      <w:proofErr w:type="spellEnd"/>
      <w:r>
        <w:t xml:space="preserve"> exposure (AUC</w:t>
      </w:r>
      <w:r>
        <w:rPr>
          <w:vertAlign w:val="subscript"/>
        </w:rPr>
        <w:t>IDeg,0-∞,SD</w:t>
      </w:r>
      <w:r>
        <w:t>) was higher in children compared to adults (estima</w:t>
      </w:r>
      <w:r w:rsidR="007873F7">
        <w:t>ted ratio children/adults 1.48 (</w:t>
      </w:r>
      <w:r>
        <w:t>95%</w:t>
      </w:r>
      <w:r w:rsidR="00723872">
        <w:t> </w:t>
      </w:r>
      <w:r w:rsidR="007873F7">
        <w:t>confidence interval</w:t>
      </w:r>
      <w:r>
        <w:t xml:space="preserve"> </w:t>
      </w:r>
      <w:r w:rsidR="007873F7">
        <w:t>(</w:t>
      </w:r>
      <w:r>
        <w:t>CI</w:t>
      </w:r>
      <w:r w:rsidR="007873F7">
        <w:t>): 0.98, 2.24)</w:t>
      </w:r>
      <w:r>
        <w:t>) and higher in adolescents compared to adults (estimated</w:t>
      </w:r>
      <w:r w:rsidR="007873F7">
        <w:t xml:space="preserve"> ratio adolescents/adults 1.33 (95% CI: 1.08, 1.64)</w:t>
      </w:r>
      <w:r>
        <w:t xml:space="preserve">). There were no statistically significant differences in </w:t>
      </w:r>
      <w:proofErr w:type="spellStart"/>
      <w:r>
        <w:t>C</w:t>
      </w:r>
      <w:r>
        <w:rPr>
          <w:vertAlign w:val="subscript"/>
        </w:rPr>
        <w:t>max</w:t>
      </w:r>
      <w:proofErr w:type="spellEnd"/>
      <w:r>
        <w:rPr>
          <w:vertAlign w:val="subscript"/>
        </w:rPr>
        <w:t>,</w:t>
      </w:r>
      <w:r w:rsidR="008727F5">
        <w:rPr>
          <w:vertAlign w:val="subscript"/>
        </w:rPr>
        <w:t xml:space="preserve"> </w:t>
      </w:r>
      <w:proofErr w:type="spellStart"/>
      <w:r>
        <w:rPr>
          <w:vertAlign w:val="subscript"/>
        </w:rPr>
        <w:t>IDeg</w:t>
      </w:r>
      <w:proofErr w:type="spellEnd"/>
      <w:r>
        <w:rPr>
          <w:vertAlign w:val="subscript"/>
        </w:rPr>
        <w:t>,</w:t>
      </w:r>
      <w:r w:rsidR="008727F5">
        <w:rPr>
          <w:vertAlign w:val="subscript"/>
        </w:rPr>
        <w:t xml:space="preserve"> </w:t>
      </w:r>
      <w:r>
        <w:rPr>
          <w:vertAlign w:val="subscript"/>
        </w:rPr>
        <w:t>SD</w:t>
      </w:r>
      <w:r>
        <w:t xml:space="preserve"> between children and adults (estimated ratio children/adults 1.20 </w:t>
      </w:r>
      <w:r w:rsidR="007873F7">
        <w:t>(</w:t>
      </w:r>
      <w:r>
        <w:t>95% CI: 0.90, 1.60</w:t>
      </w:r>
      <w:r w:rsidR="007873F7">
        <w:t>)</w:t>
      </w:r>
      <w:r>
        <w:t>)</w:t>
      </w:r>
      <w:r w:rsidR="008727F5">
        <w:t xml:space="preserve"> </w:t>
      </w:r>
      <w:r>
        <w:t xml:space="preserve">or between adolescents and adults (estimated ratio adolescents/adults 1.23 </w:t>
      </w:r>
      <w:r w:rsidR="007873F7">
        <w:t>(</w:t>
      </w:r>
      <w:r>
        <w:t>95% CI: 1.00, 1.51</w:t>
      </w:r>
      <w:r w:rsidR="007873F7">
        <w:t>)</w:t>
      </w:r>
      <w:r>
        <w:t>).</w:t>
      </w:r>
      <w:r w:rsidRPr="007873F7">
        <w:t xml:space="preserve"> Median </w:t>
      </w:r>
      <w:r w:rsidR="007873F7" w:rsidRPr="007873F7">
        <w:t>time to maximum observed concentration (</w:t>
      </w:r>
      <w:proofErr w:type="spellStart"/>
      <w:r w:rsidRPr="007873F7">
        <w:t>t</w:t>
      </w:r>
      <w:r w:rsidRPr="007873F7">
        <w:rPr>
          <w:vertAlign w:val="subscript"/>
        </w:rPr>
        <w:t>max</w:t>
      </w:r>
      <w:proofErr w:type="spellEnd"/>
      <w:r w:rsidR="007873F7" w:rsidRPr="007873F7">
        <w:t>)</w:t>
      </w:r>
      <w:r w:rsidRPr="007873F7">
        <w:t xml:space="preserve"> was similar across the three ag</w:t>
      </w:r>
      <w:r>
        <w:t>e groups (11</w:t>
      </w:r>
      <w:r w:rsidR="00FA2F63">
        <w:t xml:space="preserve"> to </w:t>
      </w:r>
      <w:r>
        <w:t>15 hours)</w:t>
      </w:r>
      <w:r w:rsidR="00F92B65">
        <w:t>.</w:t>
      </w:r>
    </w:p>
    <w:p w14:paraId="6D740AF3" w14:textId="1CC58E3A" w:rsidR="007873F7" w:rsidRDefault="007873F7" w:rsidP="007873F7">
      <w:pPr>
        <w:pStyle w:val="Heading5"/>
      </w:pPr>
      <w:r>
        <w:t>P</w:t>
      </w:r>
      <w:r w:rsidRPr="00755912">
        <w:t>op</w:t>
      </w:r>
      <w:r>
        <w:t>ulation pharmacokinetic</w:t>
      </w:r>
      <w:r w:rsidRPr="00755912">
        <w:t xml:space="preserve"> analysis</w:t>
      </w:r>
    </w:p>
    <w:p w14:paraId="504CE290" w14:textId="0B3820C0" w:rsidR="00785638" w:rsidRDefault="00785638" w:rsidP="00A61D90">
      <w:pPr>
        <w:rPr>
          <w:rFonts w:eastAsiaTheme="minorHAnsi" w:cs="TimesNewRoman"/>
        </w:rPr>
      </w:pPr>
      <w:r w:rsidRPr="007873F7">
        <w:rPr>
          <w:rFonts w:asciiTheme="minorHAnsi" w:hAnsiTheme="minorHAnsi"/>
        </w:rPr>
        <w:t xml:space="preserve">A </w:t>
      </w:r>
      <w:r w:rsidR="007873F7">
        <w:rPr>
          <w:rFonts w:asciiTheme="minorHAnsi" w:hAnsiTheme="minorHAnsi"/>
        </w:rPr>
        <w:t>population pharmacokinetic (</w:t>
      </w:r>
      <w:r w:rsidRPr="007873F7">
        <w:rPr>
          <w:rFonts w:asciiTheme="minorHAnsi" w:hAnsiTheme="minorHAnsi"/>
        </w:rPr>
        <w:t>pop PK</w:t>
      </w:r>
      <w:r w:rsidR="007873F7">
        <w:rPr>
          <w:rFonts w:asciiTheme="minorHAnsi" w:hAnsiTheme="minorHAnsi"/>
        </w:rPr>
        <w:t>)</w:t>
      </w:r>
      <w:r w:rsidRPr="007873F7">
        <w:rPr>
          <w:rFonts w:asciiTheme="minorHAnsi" w:hAnsiTheme="minorHAnsi"/>
        </w:rPr>
        <w:t xml:space="preserve"> analysis was performed using the pooled results of</w:t>
      </w:r>
      <w:r w:rsidR="007873F7">
        <w:rPr>
          <w:rFonts w:asciiTheme="minorHAnsi" w:hAnsiTheme="minorHAnsi"/>
        </w:rPr>
        <w:t xml:space="preserve"> Studies</w:t>
      </w:r>
      <w:r w:rsidRPr="007873F7">
        <w:rPr>
          <w:rFonts w:asciiTheme="minorHAnsi" w:hAnsiTheme="minorHAnsi"/>
        </w:rPr>
        <w:t xml:space="preserve"> NN1250-3561</w:t>
      </w:r>
      <w:r w:rsidRPr="007D4357">
        <w:t xml:space="preserve">, NN5401-1982, </w:t>
      </w:r>
      <w:r w:rsidR="00723872">
        <w:t xml:space="preserve">and </w:t>
      </w:r>
      <w:r w:rsidRPr="007D4357">
        <w:t xml:space="preserve">NN1250-1995. Pre-breakfast </w:t>
      </w:r>
      <w:r w:rsidR="007D4357" w:rsidRPr="007D4357">
        <w:t>self-measured plasma glucose (</w:t>
      </w:r>
      <w:r w:rsidRPr="007D4357">
        <w:t>SMPG</w:t>
      </w:r>
      <w:r w:rsidR="007D4357" w:rsidRPr="007D4357">
        <w:t>)</w:t>
      </w:r>
      <w:r>
        <w:rPr>
          <w:rFonts w:eastAsiaTheme="minorHAnsi" w:cs="TimesNewRoman"/>
        </w:rPr>
        <w:t xml:space="preserve"> data from Study NN1250-3561 was used to develop an exposure</w:t>
      </w:r>
      <w:r w:rsidR="001B768B">
        <w:rPr>
          <w:rFonts w:eastAsiaTheme="minorHAnsi" w:cs="TimesNewRoman"/>
        </w:rPr>
        <w:noBreakHyphen/>
      </w:r>
      <w:r>
        <w:rPr>
          <w:rFonts w:eastAsiaTheme="minorHAnsi" w:cs="TimesNewRoman"/>
        </w:rPr>
        <w:t>response model, which was used to attempt to predict pre-breakfast SMPG in children younger than 6 years. NONMEM version 7.1.2 soft</w:t>
      </w:r>
      <w:r w:rsidR="001B768B">
        <w:rPr>
          <w:rFonts w:eastAsiaTheme="minorHAnsi" w:cs="TimesNewRoman"/>
        </w:rPr>
        <w:t>ware was used for the pop </w:t>
      </w:r>
      <w:r>
        <w:rPr>
          <w:rFonts w:eastAsiaTheme="minorHAnsi" w:cs="TimesNewRoman"/>
        </w:rPr>
        <w:t>PK and exposure-response analyses and for simulation.</w:t>
      </w:r>
    </w:p>
    <w:p w14:paraId="2E6ABCA4" w14:textId="099E5B5F" w:rsidR="00F92B65" w:rsidRDefault="001B768B" w:rsidP="00A61D90">
      <w:pPr>
        <w:rPr>
          <w:rFonts w:eastAsiaTheme="minorHAnsi" w:cs="TimesNewRoman"/>
        </w:rPr>
      </w:pPr>
      <w:r>
        <w:rPr>
          <w:rFonts w:eastAsiaTheme="minorHAnsi" w:cs="TimesNewRoman"/>
        </w:rPr>
        <w:t>The final pop</w:t>
      </w:r>
      <w:r w:rsidR="00785638">
        <w:rPr>
          <w:rFonts w:eastAsiaTheme="minorHAnsi" w:cs="TimesNewRoman"/>
        </w:rPr>
        <w:t xml:space="preserve"> PK model consisted of the base model (a one-compartment model with first</w:t>
      </w:r>
      <w:r>
        <w:rPr>
          <w:rFonts w:eastAsiaTheme="minorHAnsi" w:cs="TimesNewRoman"/>
        </w:rPr>
        <w:noBreakHyphen/>
      </w:r>
      <w:r w:rsidR="00785638">
        <w:rPr>
          <w:rFonts w:eastAsiaTheme="minorHAnsi" w:cs="TimesNewRoman"/>
        </w:rPr>
        <w:t>order absorption through a single transit compartmen</w:t>
      </w:r>
      <w:r w:rsidR="00C153FE">
        <w:rPr>
          <w:rFonts w:eastAsiaTheme="minorHAnsi" w:cs="TimesNewRoman"/>
        </w:rPr>
        <w:t>t and with first</w:t>
      </w:r>
      <w:r w:rsidR="00C153FE">
        <w:rPr>
          <w:rFonts w:eastAsiaTheme="minorHAnsi" w:cs="TimesNewRoman"/>
        </w:rPr>
        <w:noBreakHyphen/>
      </w:r>
      <w:r w:rsidR="00785638">
        <w:rPr>
          <w:rFonts w:eastAsiaTheme="minorHAnsi" w:cs="TimesNewRoman"/>
        </w:rPr>
        <w:t xml:space="preserve">order elimination) with body weight as a covariate for clearance and volume of distribution, and race as a covariate for clearance (mainly driven by lower exposure in Asian subjects). Age group, </w:t>
      </w:r>
      <w:r w:rsidR="007D4357">
        <w:rPr>
          <w:rFonts w:eastAsiaTheme="minorHAnsi" w:cs="TimesNewRoman"/>
        </w:rPr>
        <w:t>body mass index (</w:t>
      </w:r>
      <w:r w:rsidR="00785638">
        <w:rPr>
          <w:rFonts w:eastAsiaTheme="minorHAnsi" w:cs="TimesNewRoman"/>
        </w:rPr>
        <w:t>BMI</w:t>
      </w:r>
      <w:r w:rsidR="007D4357">
        <w:rPr>
          <w:rFonts w:eastAsiaTheme="minorHAnsi" w:cs="TimesNewRoman"/>
        </w:rPr>
        <w:t>)</w:t>
      </w:r>
      <w:r w:rsidR="00785638">
        <w:rPr>
          <w:rFonts w:eastAsiaTheme="minorHAnsi" w:cs="TimesNewRoman"/>
        </w:rPr>
        <w:t xml:space="preserve"> and gender were not significant covariates for clearance, and only the effect of body weight was investigated for volume of distribution</w:t>
      </w:r>
      <w:r w:rsidR="00F92B65">
        <w:rPr>
          <w:rFonts w:eastAsiaTheme="minorHAnsi" w:cs="TimesNewRoman"/>
        </w:rPr>
        <w:t>.</w:t>
      </w:r>
    </w:p>
    <w:p w14:paraId="00930CAC" w14:textId="53A32B70" w:rsidR="00785638" w:rsidRDefault="00785638" w:rsidP="00151E77">
      <w:pPr>
        <w:rPr>
          <w:rFonts w:eastAsiaTheme="minorHAnsi" w:cs="TimesNewRoman"/>
        </w:rPr>
      </w:pPr>
      <w:r>
        <w:t xml:space="preserve">The steady-state </w:t>
      </w:r>
      <w:proofErr w:type="spellStart"/>
      <w:r>
        <w:t>I</w:t>
      </w:r>
      <w:r w:rsidR="007D4357">
        <w:t>Deg</w:t>
      </w:r>
      <w:proofErr w:type="spellEnd"/>
      <w:r w:rsidR="007D4357">
        <w:t xml:space="preserve"> exposure from the pop</w:t>
      </w:r>
      <w:r>
        <w:t xml:space="preserve"> PK analysis was found to be independent of age and the (</w:t>
      </w:r>
      <w:proofErr w:type="spellStart"/>
      <w:r>
        <w:t>IDeg</w:t>
      </w:r>
      <w:proofErr w:type="spellEnd"/>
      <w:r>
        <w:t>) concentration-</w:t>
      </w:r>
      <w:r w:rsidR="00FA2F63">
        <w:t>time profile in children aged 1</w:t>
      </w:r>
      <w:r w:rsidR="009B1F82">
        <w:t xml:space="preserve"> </w:t>
      </w:r>
      <w:r w:rsidR="00FA2F63">
        <w:t xml:space="preserve">to </w:t>
      </w:r>
      <w:r>
        <w:t xml:space="preserve">5 years was similar to </w:t>
      </w:r>
      <w:r>
        <w:lastRenderedPageBreak/>
        <w:t>the concentration</w:t>
      </w:r>
      <w:r w:rsidR="007D4357">
        <w:t>-</w:t>
      </w:r>
      <w:r>
        <w:t>time profiles in children aged 6</w:t>
      </w:r>
      <w:r w:rsidR="006306C7">
        <w:t xml:space="preserve"> to </w:t>
      </w:r>
      <w:r>
        <w:t>11 years, adolescents (12</w:t>
      </w:r>
      <w:r w:rsidR="006306C7">
        <w:t xml:space="preserve"> to </w:t>
      </w:r>
      <w:r>
        <w:t>17 years) and adults (18</w:t>
      </w:r>
      <w:r w:rsidR="006306C7">
        <w:t xml:space="preserve"> to </w:t>
      </w:r>
      <w:r>
        <w:t xml:space="preserve">65 years) </w:t>
      </w:r>
      <w:r>
        <w:rPr>
          <w:rFonts w:eastAsiaTheme="minorHAnsi" w:cs="TimesNewRoman"/>
        </w:rPr>
        <w:t xml:space="preserve">when </w:t>
      </w:r>
      <w:proofErr w:type="spellStart"/>
      <w:r>
        <w:rPr>
          <w:rFonts w:eastAsiaTheme="minorHAnsi" w:cs="TimesNewRoman"/>
        </w:rPr>
        <w:t>IDeg</w:t>
      </w:r>
      <w:proofErr w:type="spellEnd"/>
      <w:r>
        <w:rPr>
          <w:rFonts w:eastAsiaTheme="minorHAnsi" w:cs="TimesNewRoman"/>
        </w:rPr>
        <w:t xml:space="preserve"> is dosed per kg body weight.</w:t>
      </w:r>
    </w:p>
    <w:p w14:paraId="2459CA20" w14:textId="174D59F9" w:rsidR="00785638" w:rsidRDefault="000A2AF2">
      <w:r>
        <w:rPr>
          <w:rFonts w:eastAsiaTheme="minorHAnsi" w:cs="TimesNewRoman"/>
        </w:rPr>
        <w:t>There was no PK</w:t>
      </w:r>
      <w:r w:rsidR="00785638">
        <w:rPr>
          <w:rFonts w:eastAsiaTheme="minorHAnsi" w:cs="TimesNewRoman"/>
        </w:rPr>
        <w:t xml:space="preserve"> data for children 1</w:t>
      </w:r>
      <w:r w:rsidR="00FA2F63">
        <w:rPr>
          <w:rFonts w:eastAsiaTheme="minorHAnsi" w:cs="TimesNewRoman"/>
        </w:rPr>
        <w:t xml:space="preserve"> to </w:t>
      </w:r>
      <w:r w:rsidR="00785638">
        <w:rPr>
          <w:rFonts w:eastAsiaTheme="minorHAnsi" w:cs="TimesNewRoman"/>
        </w:rPr>
        <w:t>5 years.</w:t>
      </w:r>
    </w:p>
    <w:p w14:paraId="23ABE47A" w14:textId="2BF0AF9F" w:rsidR="00785638" w:rsidRDefault="00785638" w:rsidP="00785638">
      <w:pPr>
        <w:autoSpaceDE w:val="0"/>
        <w:autoSpaceDN w:val="0"/>
        <w:spacing w:before="0" w:after="0" w:line="240" w:lineRule="auto"/>
      </w:pPr>
      <w:r>
        <w:t>The exposure-response relationship for pre-breakfast SMPG appeared to be similar across the paediatric age groups children 1</w:t>
      </w:r>
      <w:r w:rsidR="00FA2F63">
        <w:t xml:space="preserve"> to </w:t>
      </w:r>
      <w:r>
        <w:t>5 years, children 6</w:t>
      </w:r>
      <w:r w:rsidR="00FA2F63">
        <w:t xml:space="preserve"> to </w:t>
      </w:r>
      <w:r>
        <w:t>11 years and adolescents (12</w:t>
      </w:r>
      <w:r w:rsidR="0071692B">
        <w:t> </w:t>
      </w:r>
      <w:r w:rsidR="00FA2F63">
        <w:t xml:space="preserve">to </w:t>
      </w:r>
      <w:r w:rsidR="007D4357">
        <w:t>17 years)</w:t>
      </w:r>
      <w:r w:rsidRPr="00E569B9">
        <w:t xml:space="preserve"> </w:t>
      </w:r>
      <w:r>
        <w:t>given the small changes in dose levels during the 26 weeks of dose titration</w:t>
      </w:r>
      <w:r w:rsidR="00401C8E">
        <w:rPr>
          <w:lang w:eastAsia="ja-JP"/>
        </w:rPr>
        <w:t xml:space="preserve">. </w:t>
      </w:r>
      <w:r w:rsidRPr="00A61D90">
        <w:t>However,</w:t>
      </w:r>
      <w:r w:rsidR="00401C8E" w:rsidRPr="00A61D90">
        <w:t xml:space="preserve"> the large</w:t>
      </w:r>
      <w:r w:rsidRPr="00A61D90">
        <w:t xml:space="preserve"> va</w:t>
      </w:r>
      <w:r w:rsidR="00401C8E" w:rsidRPr="00A61D90">
        <w:t>riability in pre-breakfast SMPG shows that</w:t>
      </w:r>
      <w:r w:rsidRPr="00A61D90">
        <w:rPr>
          <w:rFonts w:ascii="TimesNewRoman" w:eastAsiaTheme="minorHAnsi" w:hAnsi="TimesNewRoman" w:cs="TimesNewRoman" w:hint="eastAsia"/>
          <w:sz w:val="24"/>
          <w:szCs w:val="24"/>
        </w:rPr>
        <w:t xml:space="preserve"> </w:t>
      </w:r>
      <w:r w:rsidRPr="00A61D90">
        <w:t xml:space="preserve">the robustness of the analysis was limited. Further, the analysis findings are in contrast to the usual observed differences </w:t>
      </w:r>
      <w:r w:rsidR="007D4357" w:rsidRPr="00A61D90">
        <w:t>in insulin</w:t>
      </w:r>
      <w:r w:rsidR="007D4357">
        <w:t xml:space="preserve"> requirements of the three</w:t>
      </w:r>
      <w:r>
        <w:t xml:space="preserve"> age groups (as insulin resistance increases during puberty).</w:t>
      </w:r>
    </w:p>
    <w:p w14:paraId="15785585" w14:textId="0F59319D" w:rsidR="00785638" w:rsidRPr="00F47669" w:rsidRDefault="00785638" w:rsidP="007D4357">
      <w:pPr>
        <w:pStyle w:val="Heading4"/>
      </w:pPr>
      <w:r w:rsidRPr="00F47669">
        <w:t>Efficacy</w:t>
      </w:r>
    </w:p>
    <w:p w14:paraId="6C007DA7" w14:textId="797C2191" w:rsidR="00785638" w:rsidRPr="007D4357" w:rsidRDefault="00785638" w:rsidP="007D4357">
      <w:r>
        <w:t>The data in suppor</w:t>
      </w:r>
      <w:r w:rsidR="007D4357">
        <w:t xml:space="preserve">t of this application included Study NN5401-3816, </w:t>
      </w:r>
      <w:r w:rsidR="00DE4632">
        <w:t xml:space="preserve">which evaluated the use of </w:t>
      </w:r>
      <w:proofErr w:type="spellStart"/>
      <w:r w:rsidR="00DE4632">
        <w:t>IDeg</w:t>
      </w:r>
      <w:r w:rsidR="0028399A">
        <w:t>Asp</w:t>
      </w:r>
      <w:proofErr w:type="spellEnd"/>
      <w:r w:rsidR="0028399A">
        <w:t xml:space="preserve"> and S</w:t>
      </w:r>
      <w:r>
        <w:t>tudy NN1250-3561</w:t>
      </w:r>
      <w:r w:rsidR="007D4357">
        <w:t xml:space="preserve">, </w:t>
      </w:r>
      <w:r w:rsidR="007D4357" w:rsidRPr="00A61D90">
        <w:t xml:space="preserve">which studied </w:t>
      </w:r>
      <w:proofErr w:type="spellStart"/>
      <w:r w:rsidR="007D4357" w:rsidRPr="00A61D90">
        <w:t>I</w:t>
      </w:r>
      <w:r w:rsidRPr="00A61D90">
        <w:t>Deg</w:t>
      </w:r>
      <w:proofErr w:type="spellEnd"/>
      <w:r w:rsidRPr="00A61D90">
        <w:t xml:space="preserve"> and was evaluated in </w:t>
      </w:r>
      <w:r w:rsidR="008A3055">
        <w:t xml:space="preserve">the </w:t>
      </w:r>
      <w:r w:rsidRPr="00A61D90">
        <w:t>submission for extension of indication</w:t>
      </w:r>
      <w:r w:rsidR="008A3055">
        <w:t>s</w:t>
      </w:r>
      <w:r w:rsidRPr="00A61D90">
        <w:t xml:space="preserve"> </w:t>
      </w:r>
      <w:r w:rsidR="008A3055">
        <w:t>for</w:t>
      </w:r>
      <w:r w:rsidRPr="00A61D90">
        <w:t xml:space="preserve"> </w:t>
      </w:r>
      <w:proofErr w:type="spellStart"/>
      <w:r w:rsidRPr="00A61D90">
        <w:t>IDeg</w:t>
      </w:r>
      <w:proofErr w:type="spellEnd"/>
      <w:r w:rsidR="00F92B65" w:rsidRPr="00A61D90">
        <w:t>.</w:t>
      </w:r>
      <w:r w:rsidR="008A3055">
        <w:rPr>
          <w:rStyle w:val="FootnoteReference"/>
        </w:rPr>
        <w:footnoteReference w:id="7"/>
      </w:r>
    </w:p>
    <w:p w14:paraId="7EF19724" w14:textId="74CB60A1" w:rsidR="007D4357" w:rsidRPr="007D4357" w:rsidRDefault="007D4357" w:rsidP="007D4357">
      <w:pPr>
        <w:pStyle w:val="Heading5"/>
        <w:rPr>
          <w:b w:val="0"/>
        </w:rPr>
      </w:pPr>
      <w:r w:rsidRPr="00F47669">
        <w:t>Study NN5401-3816</w:t>
      </w:r>
    </w:p>
    <w:p w14:paraId="5AB25488" w14:textId="129984A0" w:rsidR="00F92B65" w:rsidRDefault="007D4357" w:rsidP="00785638">
      <w:pPr>
        <w:spacing w:before="0" w:after="0" w:line="240" w:lineRule="auto"/>
        <w:rPr>
          <w:rFonts w:asciiTheme="minorHAnsi" w:hAnsiTheme="minorHAnsi"/>
        </w:rPr>
      </w:pPr>
      <w:r>
        <w:rPr>
          <w:rFonts w:asciiTheme="minorHAnsi" w:hAnsiTheme="minorHAnsi"/>
        </w:rPr>
        <w:t>S</w:t>
      </w:r>
      <w:r w:rsidR="00785638" w:rsidRPr="007D4357">
        <w:rPr>
          <w:rFonts w:asciiTheme="minorHAnsi" w:hAnsiTheme="minorHAnsi"/>
        </w:rPr>
        <w:t>tudy NN5401-3816</w:t>
      </w:r>
      <w:r w:rsidR="00785638">
        <w:rPr>
          <w:rFonts w:asciiTheme="minorHAnsi" w:hAnsiTheme="minorHAnsi"/>
        </w:rPr>
        <w:t xml:space="preserve"> was a 16 week randomised, open label m</w:t>
      </w:r>
      <w:r w:rsidR="0077526E">
        <w:rPr>
          <w:rFonts w:asciiTheme="minorHAnsi" w:hAnsiTheme="minorHAnsi"/>
        </w:rPr>
        <w:t>ultinational, multicentre treat-to-</w:t>
      </w:r>
      <w:r w:rsidR="00785638">
        <w:rPr>
          <w:rFonts w:asciiTheme="minorHAnsi" w:hAnsiTheme="minorHAnsi"/>
        </w:rPr>
        <w:t xml:space="preserve">target study comparing the efficacy and safety of </w:t>
      </w:r>
      <w:proofErr w:type="spellStart"/>
      <w:r w:rsidR="00785638">
        <w:rPr>
          <w:rFonts w:asciiTheme="minorHAnsi" w:hAnsiTheme="minorHAnsi"/>
        </w:rPr>
        <w:t>IDegAsp</w:t>
      </w:r>
      <w:proofErr w:type="spellEnd"/>
      <w:r w:rsidR="00785638">
        <w:rPr>
          <w:rFonts w:asciiTheme="minorHAnsi" w:hAnsiTheme="minorHAnsi"/>
        </w:rPr>
        <w:t xml:space="preserve"> once daily with a main meal plus </w:t>
      </w:r>
      <w:proofErr w:type="spellStart"/>
      <w:r w:rsidR="00785638">
        <w:rPr>
          <w:rFonts w:asciiTheme="minorHAnsi" w:hAnsiTheme="minorHAnsi"/>
        </w:rPr>
        <w:t>IAsp</w:t>
      </w:r>
      <w:proofErr w:type="spellEnd"/>
      <w:r w:rsidR="00181A90">
        <w:rPr>
          <w:rFonts w:asciiTheme="minorHAnsi" w:hAnsiTheme="minorHAnsi"/>
        </w:rPr>
        <w:t xml:space="preserve"> with the remaining meals, and insulin</w:t>
      </w:r>
      <w:r w:rsidR="00785638">
        <w:rPr>
          <w:rFonts w:asciiTheme="minorHAnsi" w:hAnsiTheme="minorHAnsi"/>
        </w:rPr>
        <w:t xml:space="preserve"> </w:t>
      </w:r>
      <w:proofErr w:type="spellStart"/>
      <w:r w:rsidR="008A3055">
        <w:rPr>
          <w:rFonts w:asciiTheme="minorHAnsi" w:hAnsiTheme="minorHAnsi"/>
        </w:rPr>
        <w:t>d</w:t>
      </w:r>
      <w:r w:rsidR="00785638">
        <w:rPr>
          <w:rFonts w:asciiTheme="minorHAnsi" w:hAnsiTheme="minorHAnsi"/>
        </w:rPr>
        <w:t>etemir</w:t>
      </w:r>
      <w:proofErr w:type="spellEnd"/>
      <w:r w:rsidR="007046BA">
        <w:rPr>
          <w:rFonts w:asciiTheme="minorHAnsi" w:hAnsiTheme="minorHAnsi"/>
        </w:rPr>
        <w:t xml:space="preserve"> (</w:t>
      </w:r>
      <w:proofErr w:type="spellStart"/>
      <w:r w:rsidR="007046BA">
        <w:rPr>
          <w:rFonts w:asciiTheme="minorHAnsi" w:hAnsiTheme="minorHAnsi"/>
        </w:rPr>
        <w:t>IDet</w:t>
      </w:r>
      <w:proofErr w:type="spellEnd"/>
      <w:r w:rsidR="007046BA">
        <w:rPr>
          <w:rFonts w:asciiTheme="minorHAnsi" w:hAnsiTheme="minorHAnsi"/>
        </w:rPr>
        <w:t>);</w:t>
      </w:r>
      <w:r w:rsidR="007046BA">
        <w:rPr>
          <w:rStyle w:val="FootnoteReference"/>
          <w:rFonts w:asciiTheme="minorHAnsi" w:hAnsiTheme="minorHAnsi"/>
        </w:rPr>
        <w:footnoteReference w:id="8"/>
      </w:r>
      <w:r w:rsidR="00785638">
        <w:rPr>
          <w:rFonts w:asciiTheme="minorHAnsi" w:hAnsiTheme="minorHAnsi"/>
        </w:rPr>
        <w:t xml:space="preserve"> once daily or twice daily with </w:t>
      </w:r>
      <w:proofErr w:type="spellStart"/>
      <w:r w:rsidR="00785638">
        <w:rPr>
          <w:rFonts w:asciiTheme="minorHAnsi" w:hAnsiTheme="minorHAnsi"/>
        </w:rPr>
        <w:t>IAsp</w:t>
      </w:r>
      <w:proofErr w:type="spellEnd"/>
      <w:r w:rsidR="00785638">
        <w:rPr>
          <w:rFonts w:asciiTheme="minorHAnsi" w:hAnsiTheme="minorHAnsi"/>
        </w:rPr>
        <w:t xml:space="preserve"> at meal time in children and adolescents 1</w:t>
      </w:r>
      <w:r w:rsidR="00FA2F63">
        <w:rPr>
          <w:rFonts w:asciiTheme="minorHAnsi" w:hAnsiTheme="minorHAnsi"/>
        </w:rPr>
        <w:t xml:space="preserve"> to </w:t>
      </w:r>
      <w:r w:rsidR="00785638">
        <w:rPr>
          <w:rFonts w:asciiTheme="minorHAnsi" w:hAnsiTheme="minorHAnsi"/>
        </w:rPr>
        <w:t>18 years</w:t>
      </w:r>
      <w:r w:rsidR="00F92B65">
        <w:rPr>
          <w:rFonts w:asciiTheme="minorHAnsi" w:hAnsiTheme="minorHAnsi"/>
        </w:rPr>
        <w:t>.</w:t>
      </w:r>
    </w:p>
    <w:p w14:paraId="501012D7" w14:textId="741B41A2" w:rsidR="00785638" w:rsidRDefault="00785638" w:rsidP="00181A90">
      <w:r>
        <w:t>It was designed as a non-inferiority study, with a non-inferiority limit of 0.4% (</w:t>
      </w:r>
      <w:r w:rsidR="00181A90">
        <w:t>European Medicines Agency (</w:t>
      </w:r>
      <w:r>
        <w:t>EMA</w:t>
      </w:r>
      <w:r w:rsidR="00181A90">
        <w:t>)</w:t>
      </w:r>
      <w:r>
        <w:t xml:space="preserve"> guidelines recommend 0.3%)</w:t>
      </w:r>
      <w:r w:rsidR="0077526E">
        <w:t>.</w:t>
      </w:r>
      <w:r w:rsidR="0077526E">
        <w:rPr>
          <w:rStyle w:val="FootnoteReference"/>
        </w:rPr>
        <w:footnoteReference w:id="9"/>
      </w:r>
    </w:p>
    <w:p w14:paraId="34ECF2BB" w14:textId="419E2461" w:rsidR="00F92B65" w:rsidRDefault="00785638" w:rsidP="00D5167A">
      <w:pPr>
        <w:ind w:right="-427"/>
      </w:pPr>
      <w:r>
        <w:t>Patients were stratified by age (1</w:t>
      </w:r>
      <w:r w:rsidR="00FA2F63">
        <w:t xml:space="preserve"> to </w:t>
      </w:r>
      <w:r>
        <w:t>6 years, 6</w:t>
      </w:r>
      <w:r w:rsidR="00FA2F63">
        <w:t xml:space="preserve"> to </w:t>
      </w:r>
      <w:r w:rsidR="00181A90">
        <w:t>12 years and</w:t>
      </w:r>
      <w:r>
        <w:t xml:space="preserve"> 12</w:t>
      </w:r>
      <w:r w:rsidR="00FA2F63">
        <w:t xml:space="preserve"> to </w:t>
      </w:r>
      <w:r>
        <w:t>18 years). Patients discontinued the</w:t>
      </w:r>
      <w:r w:rsidR="00181A90">
        <w:t>ir usual diabetes treatment at B</w:t>
      </w:r>
      <w:r>
        <w:t>aseline. Study visits occurred every 4</w:t>
      </w:r>
      <w:r w:rsidR="00D5167A">
        <w:t xml:space="preserve"> </w:t>
      </w:r>
      <w:r>
        <w:t>weeks. The study was conducted from October 2013</w:t>
      </w:r>
      <w:r w:rsidR="00FA2F63">
        <w:t xml:space="preserve"> to </w:t>
      </w:r>
      <w:r>
        <w:t>November 2014 at 63 sites in 14</w:t>
      </w:r>
      <w:r w:rsidR="008A3055">
        <w:t> </w:t>
      </w:r>
      <w:r>
        <w:t>countries in Europe, South Africa and the USA</w:t>
      </w:r>
      <w:r w:rsidR="00F92B65">
        <w:t>.</w:t>
      </w:r>
    </w:p>
    <w:p w14:paraId="625CEB4C" w14:textId="5EFCA749" w:rsidR="00785638" w:rsidRDefault="00785638" w:rsidP="00181A90">
      <w:r>
        <w:rPr>
          <w:rFonts w:asciiTheme="minorHAnsi" w:hAnsiTheme="minorHAnsi"/>
        </w:rPr>
        <w:t xml:space="preserve">Devices using 0.5 dose increments were used for all participants. </w:t>
      </w:r>
      <w:r>
        <w:t xml:space="preserve">The study was conducted with a treat-to-target principle. Insulin was individually titrated on a continuous basis in accordance with pre-specified plasma glucose (PG) target range </w:t>
      </w:r>
      <w:r>
        <w:rPr>
          <w:rFonts w:eastAsiaTheme="minorHAnsi" w:cs="TimesNewRoman"/>
          <w:color w:val="000000"/>
        </w:rPr>
        <w:t>adopted from the ISPAD guidelines (2009).</w:t>
      </w:r>
      <w:r w:rsidR="00A570FD">
        <w:rPr>
          <w:rStyle w:val="FootnoteReference"/>
          <w:rFonts w:eastAsiaTheme="minorHAnsi" w:cs="TimesNewRoman"/>
          <w:color w:val="000000"/>
        </w:rPr>
        <w:footnoteReference w:id="10"/>
      </w:r>
      <w:r w:rsidRPr="00FF18EF">
        <w:rPr>
          <w:rFonts w:eastAsiaTheme="minorHAnsi" w:cs="TimesNewRoman"/>
        </w:rPr>
        <w:t xml:space="preserve"> </w:t>
      </w:r>
      <w:r>
        <w:rPr>
          <w:rFonts w:eastAsiaTheme="minorHAnsi" w:cs="TimesNewRoman"/>
          <w:color w:val="000000"/>
        </w:rPr>
        <w:t>The fasting, pre-meal and bedtime PG target was 5.0</w:t>
      </w:r>
      <w:r w:rsidR="006306C7">
        <w:rPr>
          <w:rFonts w:eastAsiaTheme="minorHAnsi" w:cs="TimesNewRoman"/>
          <w:color w:val="000000"/>
        </w:rPr>
        <w:t xml:space="preserve"> to </w:t>
      </w:r>
      <w:r>
        <w:rPr>
          <w:rFonts w:eastAsiaTheme="minorHAnsi" w:cs="TimesNewRoman"/>
          <w:color w:val="000000"/>
        </w:rPr>
        <w:t xml:space="preserve">8.0 </w:t>
      </w:r>
      <w:proofErr w:type="spellStart"/>
      <w:r>
        <w:rPr>
          <w:rFonts w:eastAsiaTheme="minorHAnsi" w:cs="TimesNewRoman"/>
          <w:color w:val="000000"/>
        </w:rPr>
        <w:t>mmol</w:t>
      </w:r>
      <w:proofErr w:type="spellEnd"/>
      <w:r>
        <w:rPr>
          <w:rFonts w:eastAsiaTheme="minorHAnsi" w:cs="TimesNewRoman"/>
          <w:color w:val="000000"/>
        </w:rPr>
        <w:t>/L. Titration algorithms for basal and bolus insulin specified the PG target and the recommended insulin dose adjustments at different PG levels. At randomisation</w:t>
      </w:r>
      <w:r w:rsidR="00C67B02">
        <w:rPr>
          <w:rFonts w:eastAsiaTheme="minorHAnsi" w:cs="TimesNewRoman"/>
          <w:color w:val="000000"/>
        </w:rPr>
        <w:t>,</w:t>
      </w:r>
      <w:r>
        <w:rPr>
          <w:rFonts w:eastAsiaTheme="minorHAnsi" w:cs="TimesNewRoman"/>
          <w:color w:val="000000"/>
        </w:rPr>
        <w:t xml:space="preserve"> all basal insulin doses were redu</w:t>
      </w:r>
      <w:r w:rsidR="00181A90">
        <w:rPr>
          <w:rFonts w:eastAsiaTheme="minorHAnsi" w:cs="TimesNewRoman"/>
          <w:color w:val="000000"/>
        </w:rPr>
        <w:t xml:space="preserve">ced by 20%. </w:t>
      </w:r>
      <w:proofErr w:type="spellStart"/>
      <w:r w:rsidR="00181A90">
        <w:rPr>
          <w:rFonts w:eastAsiaTheme="minorHAnsi" w:cs="TimesNewRoman"/>
          <w:color w:val="000000"/>
        </w:rPr>
        <w:t>I</w:t>
      </w:r>
      <w:r>
        <w:rPr>
          <w:rFonts w:eastAsiaTheme="minorHAnsi" w:cs="TimesNewRoman"/>
          <w:color w:val="000000"/>
        </w:rPr>
        <w:t>Asp</w:t>
      </w:r>
      <w:proofErr w:type="spellEnd"/>
      <w:r>
        <w:rPr>
          <w:rFonts w:eastAsiaTheme="minorHAnsi" w:cs="TimesNewRoman"/>
          <w:color w:val="000000"/>
        </w:rPr>
        <w:t xml:space="preserve"> doses were titrated by sliding scale based on the post prandial </w:t>
      </w:r>
      <w:r w:rsidR="0028399A">
        <w:rPr>
          <w:rFonts w:eastAsiaTheme="minorHAnsi" w:cs="TimesNewRoman"/>
          <w:color w:val="000000"/>
        </w:rPr>
        <w:t>blood glucose level</w:t>
      </w:r>
      <w:r>
        <w:rPr>
          <w:rFonts w:eastAsiaTheme="minorHAnsi" w:cs="TimesNewRoman"/>
          <w:color w:val="000000"/>
        </w:rPr>
        <w:t xml:space="preserve"> or according to an insulin/carb</w:t>
      </w:r>
      <w:r w:rsidR="00181A90">
        <w:rPr>
          <w:rFonts w:eastAsiaTheme="minorHAnsi" w:cs="TimesNewRoman"/>
          <w:color w:val="000000"/>
        </w:rPr>
        <w:t>ohydrate</w:t>
      </w:r>
      <w:r>
        <w:rPr>
          <w:rFonts w:eastAsiaTheme="minorHAnsi" w:cs="TimesNewRoman"/>
          <w:color w:val="000000"/>
        </w:rPr>
        <w:t xml:space="preserve"> ratio in patients familiar with that method.</w:t>
      </w:r>
    </w:p>
    <w:p w14:paraId="21BBB3C1" w14:textId="1AC7F6E7" w:rsidR="00785638" w:rsidRDefault="00785638" w:rsidP="00181A90">
      <w:r>
        <w:t>The main outcome var</w:t>
      </w:r>
      <w:r w:rsidR="00181A90">
        <w:t xml:space="preserve">iable was change in </w:t>
      </w:r>
      <w:r w:rsidR="007046BA" w:rsidRPr="007046BA">
        <w:t>glycosylated haemoglobin</w:t>
      </w:r>
      <w:r w:rsidR="007046BA">
        <w:t xml:space="preserve"> A1c</w:t>
      </w:r>
      <w:r w:rsidR="007046BA" w:rsidRPr="007046BA">
        <w:t xml:space="preserve"> (</w:t>
      </w:r>
      <w:r w:rsidR="00181A90" w:rsidRPr="007046BA">
        <w:t>HbA1c</w:t>
      </w:r>
      <w:r w:rsidR="007046BA" w:rsidRPr="007046BA">
        <w:t>)</w:t>
      </w:r>
      <w:r w:rsidR="004E21D3">
        <w:t>;</w:t>
      </w:r>
      <w:r w:rsidR="004E21D3">
        <w:rPr>
          <w:rStyle w:val="FootnoteReference"/>
        </w:rPr>
        <w:footnoteReference w:id="11"/>
      </w:r>
      <w:r w:rsidR="00181A90" w:rsidRPr="007046BA">
        <w:t xml:space="preserve"> from B</w:t>
      </w:r>
      <w:r w:rsidRPr="007046BA">
        <w:t>aseline. Secondary endpoints included ch</w:t>
      </w:r>
      <w:r>
        <w:t>a</w:t>
      </w:r>
      <w:r w:rsidR="00181A90">
        <w:t>nge from B</w:t>
      </w:r>
      <w:r>
        <w:t>aseline in fasting BGL, SMPG 4 point profiles and within subject variability, SMPG 8 point profile mean.</w:t>
      </w:r>
    </w:p>
    <w:p w14:paraId="44FAEE2A" w14:textId="0E92DFF0" w:rsidR="00785638" w:rsidRPr="00181A90" w:rsidRDefault="00785638" w:rsidP="00181A90">
      <w:r w:rsidRPr="00181A90">
        <w:lastRenderedPageBreak/>
        <w:t>All observed HbA1c measurements available post randomisation at scheduled measurement times were analysed with a mixed model for repeated measures analysis. The model inclu</w:t>
      </w:r>
      <w:r w:rsidR="007046BA">
        <w:t xml:space="preserve">ded treatment, sex, region, age </w:t>
      </w:r>
      <w:r w:rsidRPr="00181A90">
        <w:t xml:space="preserve">group and visit as factors and </w:t>
      </w:r>
      <w:r w:rsidR="007046BA">
        <w:t>b</w:t>
      </w:r>
      <w:r w:rsidR="00181A90" w:rsidRPr="00181A90">
        <w:t>a</w:t>
      </w:r>
      <w:r w:rsidRPr="00181A90">
        <w:t>seline HbA1c as covariate.</w:t>
      </w:r>
    </w:p>
    <w:p w14:paraId="43B6F158" w14:textId="08F5D489" w:rsidR="00785638" w:rsidRDefault="007046BA" w:rsidP="007046BA">
      <w:pPr>
        <w:pStyle w:val="Heading6"/>
      </w:pPr>
      <w:r>
        <w:t>Results</w:t>
      </w:r>
    </w:p>
    <w:p w14:paraId="5C55875F" w14:textId="559D1005" w:rsidR="00785638" w:rsidRDefault="00785638" w:rsidP="007046BA">
      <w:r>
        <w:t>Of the 387 patients screened, 362 were randomised and 342 completed the study. Of the 362 subjects randomised, 82 were aged 1</w:t>
      </w:r>
      <w:r w:rsidR="00FA2F63">
        <w:t xml:space="preserve"> to </w:t>
      </w:r>
      <w:r>
        <w:t>5 years, 122 were aged 6</w:t>
      </w:r>
      <w:r w:rsidR="00FA2F63">
        <w:t xml:space="preserve"> to </w:t>
      </w:r>
      <w:r>
        <w:t>11 years and 158 aged 12</w:t>
      </w:r>
      <w:r w:rsidR="00FA2F63">
        <w:t xml:space="preserve"> to </w:t>
      </w:r>
      <w:r>
        <w:t>17 years. The majority of subjects (92.0%) were using ba</w:t>
      </w:r>
      <w:r w:rsidR="007046BA">
        <w:t>sal plus</w:t>
      </w:r>
      <w:r w:rsidR="00181A90">
        <w:t xml:space="preserve"> bolus insulin therapy at B</w:t>
      </w:r>
      <w:r w:rsidR="00CB16FB">
        <w:t xml:space="preserve">aseline </w:t>
      </w:r>
      <w:r>
        <w:t xml:space="preserve">with </w:t>
      </w:r>
      <w:proofErr w:type="spellStart"/>
      <w:r>
        <w:t>IDet</w:t>
      </w:r>
      <w:proofErr w:type="spellEnd"/>
      <w:r>
        <w:t xml:space="preserve"> and </w:t>
      </w:r>
      <w:proofErr w:type="spellStart"/>
      <w:r w:rsidR="007046BA">
        <w:t>IGlarg</w:t>
      </w:r>
      <w:proofErr w:type="spellEnd"/>
      <w:r w:rsidR="00CB16FB">
        <w:t>,</w:t>
      </w:r>
      <w:r w:rsidR="007046BA">
        <w:t xml:space="preserve"> </w:t>
      </w:r>
      <w:r>
        <w:t xml:space="preserve">the most common basal insulin (45.3% and 40.6% respectively) and </w:t>
      </w:r>
      <w:proofErr w:type="spellStart"/>
      <w:r>
        <w:t>IAsp</w:t>
      </w:r>
      <w:proofErr w:type="spellEnd"/>
      <w:r w:rsidR="00CB16FB">
        <w:t>,</w:t>
      </w:r>
      <w:r>
        <w:t xml:space="preserve"> the most common bolus insulin (58.6%) used at screening.</w:t>
      </w:r>
    </w:p>
    <w:p w14:paraId="58372F83" w14:textId="3D794E4E" w:rsidR="00785638" w:rsidRDefault="00785638" w:rsidP="007046BA">
      <w:r>
        <w:t xml:space="preserve">After 16 weeks of </w:t>
      </w:r>
      <w:r w:rsidR="00181A90">
        <w:t>treatment</w:t>
      </w:r>
      <w:r w:rsidR="00CB16FB">
        <w:t>,</w:t>
      </w:r>
      <w:r w:rsidR="00181A90">
        <w:t xml:space="preserve"> the mean change from B</w:t>
      </w:r>
      <w:r>
        <w:t xml:space="preserve">aseline in HbA1c was </w:t>
      </w:r>
      <w:r w:rsidR="00C21436">
        <w:noBreakHyphen/>
      </w:r>
      <w:r>
        <w:t xml:space="preserve">0.27% and </w:t>
      </w:r>
      <w:r w:rsidR="008727F5">
        <w:noBreakHyphen/>
      </w:r>
      <w:r>
        <w:t xml:space="preserve">0.23% for the </w:t>
      </w:r>
      <w:proofErr w:type="spellStart"/>
      <w:r>
        <w:t>IDegAsp</w:t>
      </w:r>
      <w:proofErr w:type="spellEnd"/>
      <w:r>
        <w:t xml:space="preserve"> and </w:t>
      </w:r>
      <w:proofErr w:type="spellStart"/>
      <w:r>
        <w:t>IDet</w:t>
      </w:r>
      <w:proofErr w:type="spellEnd"/>
      <w:r>
        <w:t xml:space="preserve"> groups</w:t>
      </w:r>
      <w:r w:rsidR="00CB16FB">
        <w:t>,</w:t>
      </w:r>
      <w:r>
        <w:t xml:space="preserve"> respectively. The mean</w:t>
      </w:r>
      <w:r w:rsidR="008727F5">
        <w:t xml:space="preserve"> treatment difference (</w:t>
      </w:r>
      <w:proofErr w:type="spellStart"/>
      <w:r w:rsidR="008727F5">
        <w:t>IDegAsp</w:t>
      </w:r>
      <w:proofErr w:type="spellEnd"/>
      <w:r w:rsidR="008727F5">
        <w:t xml:space="preserve"> minus</w:t>
      </w:r>
      <w:r>
        <w:t xml:space="preserve"> </w:t>
      </w:r>
      <w:proofErr w:type="spellStart"/>
      <w:r>
        <w:t>IDet</w:t>
      </w:r>
      <w:proofErr w:type="spellEnd"/>
      <w:r>
        <w:t>) was -0.04% (95% CI: -0.23, 0.15), w</w:t>
      </w:r>
      <w:r w:rsidR="00CB16FB">
        <w:t>ell within the criteria for non</w:t>
      </w:r>
      <w:r w:rsidR="00CB16FB">
        <w:noBreakHyphen/>
      </w:r>
      <w:r>
        <w:t>inferiority but not reaching superiority.</w:t>
      </w:r>
    </w:p>
    <w:p w14:paraId="582692EC" w14:textId="643CCE7E" w:rsidR="00785638" w:rsidRDefault="00785638" w:rsidP="007046BA">
      <w:r>
        <w:t xml:space="preserve">At Week 16, mean </w:t>
      </w:r>
      <w:r w:rsidR="00CB16FB">
        <w:t>fasting plasma glucose (</w:t>
      </w:r>
      <w:r>
        <w:t>FPG</w:t>
      </w:r>
      <w:r w:rsidR="00CB16FB">
        <w:t>)</w:t>
      </w:r>
      <w:r>
        <w:t xml:space="preserve"> was 8.4 </w:t>
      </w:r>
      <w:proofErr w:type="spellStart"/>
      <w:r>
        <w:t>mmol</w:t>
      </w:r>
      <w:proofErr w:type="spellEnd"/>
      <w:r>
        <w:t xml:space="preserve">/L in the </w:t>
      </w:r>
      <w:proofErr w:type="spellStart"/>
      <w:r>
        <w:t>IDegAsp</w:t>
      </w:r>
      <w:proofErr w:type="spellEnd"/>
      <w:r>
        <w:t xml:space="preserve"> group and 8.3 </w:t>
      </w:r>
      <w:proofErr w:type="spellStart"/>
      <w:r>
        <w:t>mmol</w:t>
      </w:r>
      <w:proofErr w:type="spellEnd"/>
      <w:r>
        <w:t xml:space="preserve">/L in the </w:t>
      </w:r>
      <w:proofErr w:type="spellStart"/>
      <w:r>
        <w:t>IDet</w:t>
      </w:r>
      <w:proofErr w:type="spellEnd"/>
      <w:r>
        <w:t xml:space="preserve"> group. The ob</w:t>
      </w:r>
      <w:r w:rsidR="00181A90">
        <w:t>served mean change in FPG from B</w:t>
      </w:r>
      <w:r>
        <w:t>aseline at Week</w:t>
      </w:r>
      <w:r w:rsidR="00CB16FB">
        <w:t> </w:t>
      </w:r>
      <w:r>
        <w:t xml:space="preserve">16 was -0.3 </w:t>
      </w:r>
      <w:proofErr w:type="spellStart"/>
      <w:r>
        <w:t>mmol</w:t>
      </w:r>
      <w:proofErr w:type="spellEnd"/>
      <w:r>
        <w:t xml:space="preserve">/L and -0.1 </w:t>
      </w:r>
      <w:proofErr w:type="spellStart"/>
      <w:r>
        <w:t>mmol</w:t>
      </w:r>
      <w:proofErr w:type="spellEnd"/>
      <w:r>
        <w:t xml:space="preserve">/L in the </w:t>
      </w:r>
      <w:proofErr w:type="spellStart"/>
      <w:r>
        <w:t>IDegAsp</w:t>
      </w:r>
      <w:proofErr w:type="spellEnd"/>
      <w:r>
        <w:t xml:space="preserve"> and </w:t>
      </w:r>
      <w:proofErr w:type="spellStart"/>
      <w:r>
        <w:t>IDet</w:t>
      </w:r>
      <w:proofErr w:type="spellEnd"/>
      <w:r>
        <w:t xml:space="preserve"> groups</w:t>
      </w:r>
      <w:r w:rsidR="008727F5">
        <w:t>,</w:t>
      </w:r>
      <w:r>
        <w:t xml:space="preserve"> respectively. There was no significant difference in the trend in 8 point SMPG.</w:t>
      </w:r>
    </w:p>
    <w:p w14:paraId="010CDB5B" w14:textId="5DFE2642" w:rsidR="00785638" w:rsidRPr="006742DE" w:rsidRDefault="00785638" w:rsidP="006742DE">
      <w:pPr>
        <w:pStyle w:val="Heading5"/>
        <w:rPr>
          <w:b w:val="0"/>
        </w:rPr>
      </w:pPr>
      <w:bookmarkStart w:id="49" w:name="_Toc10027521"/>
      <w:r w:rsidRPr="006742DE">
        <w:rPr>
          <w:i w:val="0"/>
        </w:rPr>
        <w:t xml:space="preserve">Figure </w:t>
      </w:r>
      <w:r w:rsidR="007B63C6" w:rsidRPr="006742DE">
        <w:rPr>
          <w:i w:val="0"/>
        </w:rPr>
        <w:fldChar w:fldCharType="begin"/>
      </w:r>
      <w:r w:rsidR="007B63C6" w:rsidRPr="006742DE">
        <w:rPr>
          <w:i w:val="0"/>
        </w:rPr>
        <w:instrText xml:space="preserve"> SEQ Figure \* ARABIC </w:instrText>
      </w:r>
      <w:r w:rsidR="007B63C6" w:rsidRPr="006742DE">
        <w:rPr>
          <w:i w:val="0"/>
        </w:rPr>
        <w:fldChar w:fldCharType="separate"/>
      </w:r>
      <w:r w:rsidRPr="006742DE">
        <w:rPr>
          <w:i w:val="0"/>
          <w:noProof/>
        </w:rPr>
        <w:t>2</w:t>
      </w:r>
      <w:r w:rsidR="007B63C6" w:rsidRPr="006742DE">
        <w:rPr>
          <w:i w:val="0"/>
          <w:noProof/>
        </w:rPr>
        <w:fldChar w:fldCharType="end"/>
      </w:r>
      <w:r w:rsidRPr="006742DE">
        <w:rPr>
          <w:i w:val="0"/>
        </w:rPr>
        <w:t xml:space="preserve">: </w:t>
      </w:r>
      <w:r w:rsidR="004E21D3" w:rsidRPr="006742DE">
        <w:rPr>
          <w:i w:val="0"/>
        </w:rPr>
        <w:t xml:space="preserve">Study NN5401-3816 </w:t>
      </w:r>
      <w:r w:rsidR="00E4152E" w:rsidRPr="006742DE">
        <w:rPr>
          <w:i w:val="0"/>
        </w:rPr>
        <w:t>Glycosylated h</w:t>
      </w:r>
      <w:r w:rsidR="00CB16FB" w:rsidRPr="006742DE">
        <w:rPr>
          <w:i w:val="0"/>
        </w:rPr>
        <w:t xml:space="preserve">aemoglobin </w:t>
      </w:r>
      <w:r w:rsidR="00E4152E" w:rsidRPr="006742DE">
        <w:rPr>
          <w:i w:val="0"/>
        </w:rPr>
        <w:t>A1c</w:t>
      </w:r>
      <w:r w:rsidRPr="006742DE">
        <w:rPr>
          <w:i w:val="0"/>
        </w:rPr>
        <w:t xml:space="preserve"> (%) by treatment week - mean plots</w:t>
      </w:r>
      <w:bookmarkEnd w:id="49"/>
    </w:p>
    <w:p w14:paraId="6547D93F" w14:textId="0817B003" w:rsidR="00785638" w:rsidRDefault="00E4152E" w:rsidP="00D5167A">
      <w:r>
        <w:rPr>
          <w:noProof/>
          <w:lang w:eastAsia="en-AU"/>
        </w:rPr>
        <w:drawing>
          <wp:inline distT="0" distB="0" distL="0" distR="0" wp14:anchorId="0FC8125F" wp14:editId="018C2BBC">
            <wp:extent cx="5274436" cy="4127500"/>
            <wp:effectExtent l="0" t="0" r="2540" b="6350"/>
            <wp:docPr id="26" name="Picture 26" descr="Study NN5401-3816 Glycosylated haemoglobin A1c (%) by treatment week - mean pl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2326"/>
                    <a:stretch/>
                  </pic:blipFill>
                  <pic:spPr bwMode="auto">
                    <a:xfrm>
                      <a:off x="0" y="0"/>
                      <a:ext cx="5274436" cy="4127500"/>
                    </a:xfrm>
                    <a:prstGeom prst="rect">
                      <a:avLst/>
                    </a:prstGeom>
                    <a:ln>
                      <a:noFill/>
                    </a:ln>
                    <a:extLst>
                      <a:ext uri="{53640926-AAD7-44D8-BBD7-CCE9431645EC}">
                        <a14:shadowObscured xmlns:a14="http://schemas.microsoft.com/office/drawing/2010/main"/>
                      </a:ext>
                    </a:extLst>
                  </pic:spPr>
                </pic:pic>
              </a:graphicData>
            </a:graphic>
          </wp:inline>
        </w:drawing>
      </w:r>
    </w:p>
    <w:p w14:paraId="552ABA20" w14:textId="0E9EB772" w:rsidR="009813AC" w:rsidRPr="00987946" w:rsidRDefault="009813AC" w:rsidP="009B1F82">
      <w:pPr>
        <w:pStyle w:val="TableDescription"/>
      </w:pPr>
      <w:r w:rsidRPr="00987946">
        <w:t xml:space="preserve">HbA1c = glycosylated haemoglobin A1c; </w:t>
      </w:r>
      <w:proofErr w:type="spellStart"/>
      <w:r w:rsidRPr="00987946">
        <w:t>IDegAsp</w:t>
      </w:r>
      <w:proofErr w:type="spellEnd"/>
      <w:r w:rsidRPr="00987946">
        <w:t xml:space="preserve"> = insulin </w:t>
      </w:r>
      <w:proofErr w:type="spellStart"/>
      <w:r w:rsidRPr="00987946">
        <w:t>degludec</w:t>
      </w:r>
      <w:proofErr w:type="spellEnd"/>
      <w:r w:rsidRPr="00987946">
        <w:t xml:space="preserve">/insulin </w:t>
      </w:r>
      <w:proofErr w:type="spellStart"/>
      <w:r w:rsidRPr="00987946">
        <w:t>aspart</w:t>
      </w:r>
      <w:proofErr w:type="spellEnd"/>
      <w:r w:rsidRPr="00987946">
        <w:t xml:space="preserve">; </w:t>
      </w:r>
      <w:proofErr w:type="spellStart"/>
      <w:r w:rsidRPr="00987946">
        <w:t>IDet</w:t>
      </w:r>
      <w:proofErr w:type="spellEnd"/>
      <w:r w:rsidRPr="00987946">
        <w:t xml:space="preserve"> = insulin </w:t>
      </w:r>
      <w:proofErr w:type="spellStart"/>
      <w:r w:rsidRPr="00987946">
        <w:t>detemir</w:t>
      </w:r>
      <w:proofErr w:type="spellEnd"/>
      <w:r w:rsidRPr="00987946">
        <w:t>; OD = once daily</w:t>
      </w:r>
    </w:p>
    <w:p w14:paraId="10661FA8" w14:textId="0733005A" w:rsidR="00785638" w:rsidRDefault="00785638" w:rsidP="009B1F82">
      <w:pPr>
        <w:pStyle w:val="TableDescription"/>
      </w:pPr>
      <w:r>
        <w:t>F</w:t>
      </w:r>
      <w:r w:rsidR="00F2567E">
        <w:t>ull analysis set</w:t>
      </w:r>
      <w:r w:rsidR="008727F5">
        <w:t>: Observed data, Error bars +/</w:t>
      </w:r>
      <w:r>
        <w:t>- standard error (mean). Numbers of subjects contributing to the data points are provided in the bottom section of each plot. In the lower panel, the age groups are presented from top to bottom: children 1</w:t>
      </w:r>
      <w:r w:rsidR="006306C7">
        <w:t xml:space="preserve"> to </w:t>
      </w:r>
      <w:r>
        <w:t>5 years, children 6</w:t>
      </w:r>
      <w:r w:rsidR="006306C7">
        <w:t xml:space="preserve"> to </w:t>
      </w:r>
      <w:r w:rsidR="008727F5">
        <w:t>11 years and</w:t>
      </w:r>
      <w:r>
        <w:t xml:space="preserve"> adolescents 12</w:t>
      </w:r>
      <w:r w:rsidR="006306C7">
        <w:t xml:space="preserve"> to </w:t>
      </w:r>
      <w:r>
        <w:t>17 years.</w:t>
      </w:r>
    </w:p>
    <w:p w14:paraId="38D91FD6" w14:textId="22D95ED7" w:rsidR="00785638" w:rsidRDefault="00785638" w:rsidP="005D2D21">
      <w:pPr>
        <w:pStyle w:val="Heading5"/>
      </w:pPr>
      <w:r w:rsidRPr="0052366F">
        <w:lastRenderedPageBreak/>
        <w:t>Study NN1250-3561</w:t>
      </w:r>
    </w:p>
    <w:p w14:paraId="340C234D" w14:textId="341AC983" w:rsidR="00785638" w:rsidRDefault="00785638" w:rsidP="005D2D21">
      <w:r>
        <w:t xml:space="preserve">This was a 26 week, </w:t>
      </w:r>
      <w:r w:rsidR="0077526E">
        <w:t>randomised, treat-to-</w:t>
      </w:r>
      <w:r w:rsidR="005D2D21">
        <w:t>target non-</w:t>
      </w:r>
      <w:r>
        <w:t xml:space="preserve">inferiority study comparing the efficacy and safety of </w:t>
      </w:r>
      <w:proofErr w:type="spellStart"/>
      <w:r>
        <w:t>IDeg</w:t>
      </w:r>
      <w:proofErr w:type="spellEnd"/>
      <w:r>
        <w:t xml:space="preserve"> and </w:t>
      </w:r>
      <w:proofErr w:type="spellStart"/>
      <w:r>
        <w:t>IDet</w:t>
      </w:r>
      <w:proofErr w:type="spellEnd"/>
      <w:r>
        <w:t xml:space="preserve"> basal insulin in </w:t>
      </w:r>
      <w:r w:rsidR="00FA2F63">
        <w:t xml:space="preserve">children and adolescents aged 1 to </w:t>
      </w:r>
      <w:r>
        <w:t xml:space="preserve">18 years with T1DM and </w:t>
      </w:r>
      <w:proofErr w:type="spellStart"/>
      <w:r>
        <w:t>IAsp</w:t>
      </w:r>
      <w:proofErr w:type="spellEnd"/>
      <w:r>
        <w:t xml:space="preserve"> as a basal insulin.</w:t>
      </w:r>
      <w:r w:rsidRPr="000436B6">
        <w:t xml:space="preserve"> </w:t>
      </w:r>
      <w:r>
        <w:t>For th</w:t>
      </w:r>
      <w:r w:rsidR="005D2D21">
        <w:t xml:space="preserve">e primary endpoint, </w:t>
      </w:r>
      <w:proofErr w:type="spellStart"/>
      <w:r w:rsidR="005D2D21">
        <w:t>IDeg</w:t>
      </w:r>
      <w:proofErr w:type="spellEnd"/>
      <w:r w:rsidR="005D2D21">
        <w:t xml:space="preserve"> daily plus </w:t>
      </w:r>
      <w:proofErr w:type="spellStart"/>
      <w:r w:rsidR="005D2D21">
        <w:t>IAsp</w:t>
      </w:r>
      <w:proofErr w:type="spellEnd"/>
      <w:r w:rsidR="005D2D21">
        <w:t xml:space="preserve"> was non-inferior to </w:t>
      </w:r>
      <w:proofErr w:type="spellStart"/>
      <w:r w:rsidR="005D2D21">
        <w:t>IDet</w:t>
      </w:r>
      <w:proofErr w:type="spellEnd"/>
      <w:r w:rsidR="005D2D21">
        <w:t xml:space="preserve"> plus</w:t>
      </w:r>
      <w:r>
        <w:t xml:space="preserve"> </w:t>
      </w:r>
      <w:proofErr w:type="spellStart"/>
      <w:r>
        <w:t>IAsp</w:t>
      </w:r>
      <w:proofErr w:type="spellEnd"/>
      <w:r>
        <w:t xml:space="preserve"> in terms of reducing HbA1c after 26 weeks of treatment, with an estimated treatment di</w:t>
      </w:r>
      <w:r w:rsidR="00C21436">
        <w:t>fference (</w:t>
      </w:r>
      <w:proofErr w:type="spellStart"/>
      <w:r w:rsidR="00C21436">
        <w:t>IDeg</w:t>
      </w:r>
      <w:proofErr w:type="spellEnd"/>
      <w:r w:rsidR="00C21436">
        <w:t xml:space="preserve"> minus</w:t>
      </w:r>
      <w:r>
        <w:t xml:space="preserve"> </w:t>
      </w:r>
      <w:proofErr w:type="spellStart"/>
      <w:r>
        <w:t>IDet</w:t>
      </w:r>
      <w:proofErr w:type="spellEnd"/>
      <w:r>
        <w:t xml:space="preserve">) of 0.15% (95% CI: </w:t>
      </w:r>
      <w:r w:rsidR="00C21436">
        <w:noBreakHyphen/>
      </w:r>
      <w:r>
        <w:t xml:space="preserve">0.03, 0.32). After 26 weeks </w:t>
      </w:r>
      <w:r w:rsidR="00181A90">
        <w:t>of treatment, mean change from B</w:t>
      </w:r>
      <w:r>
        <w:t xml:space="preserve">aseline in FPG was </w:t>
      </w:r>
      <w:r w:rsidR="00C21436">
        <w:noBreakHyphen/>
      </w:r>
      <w:r>
        <w:t>0.67</w:t>
      </w:r>
      <w:r w:rsidR="00C21436">
        <w:t> </w:t>
      </w:r>
      <w:proofErr w:type="spellStart"/>
      <w:r>
        <w:t>mmol</w:t>
      </w:r>
      <w:proofErr w:type="spellEnd"/>
      <w:r>
        <w:t xml:space="preserve">/L in the </w:t>
      </w:r>
      <w:proofErr w:type="spellStart"/>
      <w:r>
        <w:t>IDeg</w:t>
      </w:r>
      <w:proofErr w:type="spellEnd"/>
      <w:r>
        <w:t xml:space="preserve"> group and +0.50 </w:t>
      </w:r>
      <w:proofErr w:type="spellStart"/>
      <w:r>
        <w:t>mmol</w:t>
      </w:r>
      <w:proofErr w:type="spellEnd"/>
      <w:r>
        <w:t xml:space="preserve">/L in the </w:t>
      </w:r>
      <w:proofErr w:type="spellStart"/>
      <w:r>
        <w:t>IDet</w:t>
      </w:r>
      <w:proofErr w:type="spellEnd"/>
      <w:r>
        <w:t xml:space="preserve"> group, with no statistically significant difference between groups (estimated treatment difference </w:t>
      </w:r>
      <w:r w:rsidR="007873F7">
        <w:t>(</w:t>
      </w:r>
      <w:proofErr w:type="spellStart"/>
      <w:r w:rsidR="00C21436">
        <w:t>IDeg</w:t>
      </w:r>
      <w:proofErr w:type="spellEnd"/>
      <w:r w:rsidR="00C21436">
        <w:t xml:space="preserve"> minus</w:t>
      </w:r>
      <w:r>
        <w:t xml:space="preserve"> </w:t>
      </w:r>
      <w:proofErr w:type="spellStart"/>
      <w:r>
        <w:t>IDet</w:t>
      </w:r>
      <w:proofErr w:type="spellEnd"/>
      <w:r w:rsidR="007873F7">
        <w:t>)</w:t>
      </w:r>
      <w:r>
        <w:t xml:space="preserve"> = </w:t>
      </w:r>
      <w:r w:rsidR="00C21436">
        <w:noBreakHyphen/>
      </w:r>
      <w:r>
        <w:t xml:space="preserve">0.42 </w:t>
      </w:r>
      <w:proofErr w:type="spellStart"/>
      <w:r>
        <w:t>mmol</w:t>
      </w:r>
      <w:proofErr w:type="spellEnd"/>
      <w:r>
        <w:t xml:space="preserve">/L </w:t>
      </w:r>
      <w:r w:rsidR="007873F7">
        <w:t>(</w:t>
      </w:r>
      <w:r>
        <w:t xml:space="preserve">95% CI: </w:t>
      </w:r>
      <w:r w:rsidR="00C21436">
        <w:noBreakHyphen/>
      </w:r>
      <w:r>
        <w:t>1.65, 0</w:t>
      </w:r>
      <w:r w:rsidR="00FA2F63">
        <w:t>.81</w:t>
      </w:r>
      <w:r w:rsidR="007873F7">
        <w:t>)</w:t>
      </w:r>
      <w:r w:rsidR="00FA2F63">
        <w:t>).</w:t>
      </w:r>
    </w:p>
    <w:p w14:paraId="50B32334" w14:textId="77777777" w:rsidR="00785638" w:rsidRPr="0052366F" w:rsidRDefault="00785638" w:rsidP="005D2D21">
      <w:pPr>
        <w:pStyle w:val="Heading4"/>
      </w:pPr>
      <w:r w:rsidRPr="0052366F">
        <w:t>Safety</w:t>
      </w:r>
    </w:p>
    <w:p w14:paraId="6D6B3AF7" w14:textId="2475E50E" w:rsidR="00F92B65" w:rsidRDefault="00785638" w:rsidP="005D2D21">
      <w:r>
        <w:t xml:space="preserve">Evaluable safety data were provided in Study NN5401-3816. Safety assessments </w:t>
      </w:r>
      <w:r w:rsidR="005D2D21">
        <w:t xml:space="preserve">included incidence of treatment </w:t>
      </w:r>
      <w:r>
        <w:t>emergent adverse events (TEAE) during 16 weeks of treatment and 1 week of follow-up, hypoglycaemia, hyperglycaemia, vital signs, laboratory assessments (haematology, biochemistry, lipid profile), insulin dose, b</w:t>
      </w:r>
      <w:r w:rsidR="005D2D21">
        <w:t>ody weight and BMI</w:t>
      </w:r>
      <w:r w:rsidR="00F92B65">
        <w:t>.</w:t>
      </w:r>
    </w:p>
    <w:p w14:paraId="3D3E7DF1" w14:textId="0820CD28" w:rsidR="00785638" w:rsidRDefault="00785638" w:rsidP="00785638">
      <w:r>
        <w:t>Medical events of special interest (MESI) in the study were medication errors concerning trial products, neoplasm and severe hypoglycaemia.</w:t>
      </w:r>
    </w:p>
    <w:p w14:paraId="2455A897" w14:textId="670987FD" w:rsidR="00F92B65" w:rsidRDefault="00785638" w:rsidP="00785638">
      <w:r>
        <w:t xml:space="preserve">The mean total daily insulin dose increased slightly during the study for both treatment groups, remaining slightly lower in </w:t>
      </w:r>
      <w:r w:rsidR="00FA2F63">
        <w:t xml:space="preserve">the </w:t>
      </w:r>
      <w:proofErr w:type="spellStart"/>
      <w:r w:rsidR="00FA2F63">
        <w:t>IDegAsp</w:t>
      </w:r>
      <w:proofErr w:type="spellEnd"/>
      <w:r w:rsidR="00FA2F63">
        <w:t xml:space="preserve"> group during the 16 </w:t>
      </w:r>
      <w:r>
        <w:t xml:space="preserve">week treatment period. The mean total daily insulin doses were 0.88 </w:t>
      </w:r>
      <w:r w:rsidR="006821CE">
        <w:t>U</w:t>
      </w:r>
      <w:r w:rsidR="009B1F82">
        <w:t>/kg and 1.01 U</w:t>
      </w:r>
      <w:r>
        <w:t xml:space="preserve">/kg in the </w:t>
      </w:r>
      <w:proofErr w:type="spellStart"/>
      <w:r>
        <w:t>IDegAsp</w:t>
      </w:r>
      <w:proofErr w:type="spellEnd"/>
      <w:r>
        <w:t xml:space="preserve"> and </w:t>
      </w:r>
      <w:proofErr w:type="spellStart"/>
      <w:r>
        <w:t>IDet</w:t>
      </w:r>
      <w:proofErr w:type="spellEnd"/>
      <w:r>
        <w:t xml:space="preserve"> groups</w:t>
      </w:r>
      <w:r w:rsidR="005D2D21">
        <w:t>,</w:t>
      </w:r>
      <w:r>
        <w:t xml:space="preserve"> respectively at Week 16. In both treatment groups, the mean total daily insulin dose increased slightly from Week 1 to Week 16 in all age groups</w:t>
      </w:r>
      <w:r w:rsidR="00F92B65">
        <w:t>.</w:t>
      </w:r>
    </w:p>
    <w:p w14:paraId="3AB51BD7" w14:textId="1526BFBF" w:rsidR="00785638" w:rsidRDefault="00785638" w:rsidP="00785638">
      <w:pPr>
        <w:spacing w:before="0" w:after="0" w:line="240" w:lineRule="auto"/>
      </w:pPr>
      <w:r>
        <w:t xml:space="preserve">At Week 16, the mean total number </w:t>
      </w:r>
      <w:r w:rsidR="005D2D21">
        <w:t>of injections per day (</w:t>
      </w:r>
      <w:proofErr w:type="spellStart"/>
      <w:r w:rsidR="005D2D21">
        <w:t>IDegAsp</w:t>
      </w:r>
      <w:proofErr w:type="spellEnd"/>
      <w:r w:rsidR="005D2D21">
        <w:t xml:space="preserve"> plus</w:t>
      </w:r>
      <w:r>
        <w:t xml:space="preserve"> </w:t>
      </w:r>
      <w:proofErr w:type="spellStart"/>
      <w:r>
        <w:t>IAsp</w:t>
      </w:r>
      <w:proofErr w:type="spellEnd"/>
      <w:r>
        <w:t xml:space="preserve"> and </w:t>
      </w:r>
      <w:proofErr w:type="spellStart"/>
      <w:r>
        <w:t>IDe</w:t>
      </w:r>
      <w:r w:rsidR="005D2D21">
        <w:t>t</w:t>
      </w:r>
      <w:proofErr w:type="spellEnd"/>
      <w:r w:rsidR="005D2D21">
        <w:t xml:space="preserve"> plus</w:t>
      </w:r>
      <w:r>
        <w:t xml:space="preserve"> </w:t>
      </w:r>
      <w:proofErr w:type="spellStart"/>
      <w:r>
        <w:t>IAsp</w:t>
      </w:r>
      <w:proofErr w:type="spellEnd"/>
      <w:r>
        <w:t xml:space="preserve">) was 3.6 in the </w:t>
      </w:r>
      <w:proofErr w:type="spellStart"/>
      <w:r>
        <w:t>IDegAsp</w:t>
      </w:r>
      <w:proofErr w:type="spellEnd"/>
      <w:r>
        <w:t xml:space="preserve"> group and 4.9 in the </w:t>
      </w:r>
      <w:proofErr w:type="spellStart"/>
      <w:r>
        <w:t>IDet</w:t>
      </w:r>
      <w:proofErr w:type="spellEnd"/>
      <w:r>
        <w:t xml:space="preserve"> group.</w:t>
      </w:r>
    </w:p>
    <w:p w14:paraId="617A4701" w14:textId="441E82AA" w:rsidR="00F92B65" w:rsidRDefault="00785638" w:rsidP="005D2D21">
      <w:r>
        <w:t xml:space="preserve">The event rate for serious </w:t>
      </w:r>
      <w:r w:rsidR="001915B6">
        <w:t>adverse event</w:t>
      </w:r>
      <w:r w:rsidR="00D1412A">
        <w:t>s</w:t>
      </w:r>
      <w:r w:rsidR="001915B6">
        <w:t xml:space="preserve"> (</w:t>
      </w:r>
      <w:r w:rsidR="00D1412A">
        <w:t>S</w:t>
      </w:r>
      <w:r>
        <w:t>AE</w:t>
      </w:r>
      <w:r w:rsidR="001915B6">
        <w:t>)</w:t>
      </w:r>
      <w:r>
        <w:t xml:space="preserve"> </w:t>
      </w:r>
      <w:r w:rsidR="005D2D21">
        <w:t xml:space="preserve">was higher with </w:t>
      </w:r>
      <w:proofErr w:type="spellStart"/>
      <w:r w:rsidR="005D2D21">
        <w:t>IDeg</w:t>
      </w:r>
      <w:proofErr w:type="spellEnd"/>
      <w:r w:rsidR="005D2D21">
        <w:t xml:space="preserve"> Asp than </w:t>
      </w:r>
      <w:proofErr w:type="spellStart"/>
      <w:r w:rsidR="005D2D21">
        <w:t>I</w:t>
      </w:r>
      <w:r>
        <w:t>Det</w:t>
      </w:r>
      <w:proofErr w:type="spellEnd"/>
      <w:r>
        <w:t xml:space="preserve"> (26 versus 13 events per 100 patient years). The majority of AEs were mild in severity (70.8%). Severe AEs were reported by 12 (6.6%)</w:t>
      </w:r>
      <w:r w:rsidR="005D2D21">
        <w:t xml:space="preserve"> </w:t>
      </w:r>
      <w:r>
        <w:t>or 2</w:t>
      </w:r>
      <w:r w:rsidR="00BE3EAB">
        <w:t>6</w:t>
      </w:r>
      <w:r>
        <w:t xml:space="preserve"> events per 100 exposure years subjects in the </w:t>
      </w:r>
      <w:proofErr w:type="spellStart"/>
      <w:r>
        <w:t>IDegAsp</w:t>
      </w:r>
      <w:proofErr w:type="spellEnd"/>
      <w:r>
        <w:t xml:space="preserve"> group and 5 (2.8%) </w:t>
      </w:r>
      <w:r w:rsidR="000D67E9">
        <w:t xml:space="preserve">events </w:t>
      </w:r>
      <w:r>
        <w:t xml:space="preserve">or </w:t>
      </w:r>
      <w:r w:rsidR="00BE3EAB">
        <w:t>9</w:t>
      </w:r>
      <w:r>
        <w:t xml:space="preserve"> events per 100 exposure years subjects in the </w:t>
      </w:r>
      <w:proofErr w:type="spellStart"/>
      <w:r>
        <w:t>IDet</w:t>
      </w:r>
      <w:proofErr w:type="spellEnd"/>
      <w:r>
        <w:t xml:space="preserve"> group. The difference between the two groups was driven by hypoglycaemia related AEs; 9 events in 9 subjects in</w:t>
      </w:r>
      <w:r w:rsidR="005D2D21">
        <w:t xml:space="preserve"> the </w:t>
      </w:r>
      <w:proofErr w:type="spellStart"/>
      <w:r w:rsidR="005D2D21">
        <w:t>IDegAsp</w:t>
      </w:r>
      <w:proofErr w:type="spellEnd"/>
      <w:r w:rsidR="005D2D21">
        <w:t xml:space="preserve"> groups versus</w:t>
      </w:r>
      <w:r>
        <w:t xml:space="preserve"> 2 events in 2 subjects in the </w:t>
      </w:r>
      <w:proofErr w:type="spellStart"/>
      <w:r>
        <w:t>IDeg</w:t>
      </w:r>
      <w:proofErr w:type="spellEnd"/>
      <w:r>
        <w:t xml:space="preserve"> group. All subjects with severe AEs were recovered or were recovering at end of study</w:t>
      </w:r>
      <w:r w:rsidR="00F92B65">
        <w:t>.</w:t>
      </w:r>
    </w:p>
    <w:p w14:paraId="702829A5" w14:textId="77777777" w:rsidR="00F92B65" w:rsidRDefault="00785638" w:rsidP="005D2D21">
      <w:r>
        <w:t xml:space="preserve">A hypoglycaemic episode was reported as an AE if it fulfilled the definition of an SAE or MESI (severe hypoglycaemia as per ISPAD definition). Hypoglycaemia was reported as an AE for 11 (6.1%) subjects in the </w:t>
      </w:r>
      <w:proofErr w:type="spellStart"/>
      <w:r>
        <w:t>IDegAsp</w:t>
      </w:r>
      <w:proofErr w:type="spellEnd"/>
      <w:r>
        <w:t xml:space="preserve"> group and 3 (1.7%) subjects in the </w:t>
      </w:r>
      <w:proofErr w:type="spellStart"/>
      <w:r>
        <w:t>IDet</w:t>
      </w:r>
      <w:proofErr w:type="spellEnd"/>
      <w:r>
        <w:t xml:space="preserve"> group. Further, hypoglycaemia seizure was reported as an AE for 2 (1.1%) subjects in the </w:t>
      </w:r>
      <w:proofErr w:type="spellStart"/>
      <w:r>
        <w:t>IDegAsp</w:t>
      </w:r>
      <w:proofErr w:type="spellEnd"/>
      <w:r>
        <w:t xml:space="preserve"> group</w:t>
      </w:r>
      <w:r w:rsidR="00F92B65">
        <w:t>.</w:t>
      </w:r>
    </w:p>
    <w:p w14:paraId="216E67C2" w14:textId="682E84AB" w:rsidR="00F92B65" w:rsidRDefault="00785638" w:rsidP="00785638">
      <w:pPr>
        <w:spacing w:before="0" w:after="0" w:line="240" w:lineRule="auto"/>
        <w:rPr>
          <w:rFonts w:asciiTheme="minorHAnsi" w:hAnsiTheme="minorHAnsi"/>
        </w:rPr>
      </w:pPr>
      <w:r>
        <w:rPr>
          <w:rFonts w:asciiTheme="minorHAnsi" w:hAnsiTheme="minorHAnsi"/>
        </w:rPr>
        <w:t>The age group 1</w:t>
      </w:r>
      <w:r w:rsidR="00FA2F63">
        <w:rPr>
          <w:rFonts w:asciiTheme="minorHAnsi" w:hAnsiTheme="minorHAnsi"/>
        </w:rPr>
        <w:t xml:space="preserve"> to </w:t>
      </w:r>
      <w:r>
        <w:rPr>
          <w:rFonts w:asciiTheme="minorHAnsi" w:hAnsiTheme="minorHAnsi"/>
        </w:rPr>
        <w:t>5 years was at particularly high risk of severe hypoglycaemia</w:t>
      </w:r>
      <w:r w:rsidR="00F92B65">
        <w:rPr>
          <w:rFonts w:asciiTheme="minorHAnsi" w:hAnsiTheme="minorHAnsi"/>
        </w:rPr>
        <w:t>.</w:t>
      </w:r>
    </w:p>
    <w:p w14:paraId="4F8CE0E1" w14:textId="77777777" w:rsidR="00C35C83" w:rsidRDefault="00785638" w:rsidP="00D5167A">
      <w:pPr>
        <w:ind w:right="-285"/>
      </w:pPr>
      <w:r>
        <w:t xml:space="preserve">For both treatment groups, the majority of severe hypoglycaemia episodes occurred in the daytime and were mostly single events in individual subjects. Three subjects in the </w:t>
      </w:r>
      <w:proofErr w:type="spellStart"/>
      <w:r>
        <w:t>IDegAsp</w:t>
      </w:r>
      <w:proofErr w:type="spellEnd"/>
      <w:r>
        <w:t xml:space="preserve"> groups reported 2 severe episodes each and 1 subject in the </w:t>
      </w:r>
      <w:proofErr w:type="spellStart"/>
      <w:r>
        <w:t>IDet</w:t>
      </w:r>
      <w:proofErr w:type="spellEnd"/>
      <w:r>
        <w:t xml:space="preserve"> group reported 2 episodes of severe hypoglycaemia. Two of the episodes in the </w:t>
      </w:r>
      <w:proofErr w:type="spellStart"/>
      <w:r>
        <w:t>IDegAsp</w:t>
      </w:r>
      <w:proofErr w:type="spellEnd"/>
      <w:r>
        <w:t xml:space="preserve"> group and 1 in the </w:t>
      </w:r>
      <w:proofErr w:type="spellStart"/>
      <w:r>
        <w:t>IDet</w:t>
      </w:r>
      <w:proofErr w:type="spellEnd"/>
      <w:r>
        <w:t xml:space="preserve"> group appeared to be related to exercise.</w:t>
      </w:r>
      <w:r w:rsidR="00052765" w:rsidRPr="00052765">
        <w:rPr>
          <w:smallCaps/>
        </w:rPr>
        <w:t xml:space="preserve"> </w:t>
      </w:r>
      <w:r>
        <w:t>For all cases of severe hypoglycaemia where plasma glucose levels were recorded, plasma glucose levels ranged from 1.5</w:t>
      </w:r>
      <w:r w:rsidR="00D5167A">
        <w:t xml:space="preserve"> </w:t>
      </w:r>
      <w:proofErr w:type="spellStart"/>
      <w:r>
        <w:t>mmol</w:t>
      </w:r>
      <w:proofErr w:type="spellEnd"/>
      <w:r>
        <w:t xml:space="preserve">/L to 3.1 </w:t>
      </w:r>
      <w:proofErr w:type="spellStart"/>
      <w:r>
        <w:t>mmol</w:t>
      </w:r>
      <w:proofErr w:type="spellEnd"/>
      <w:r>
        <w:t xml:space="preserve">/L. There was no information regarding possible skipped meals or inadequate carbohydrate intake. </w:t>
      </w:r>
    </w:p>
    <w:p w14:paraId="7AB97997" w14:textId="092AF1DA" w:rsidR="00F92B65" w:rsidRDefault="00785638" w:rsidP="00D5167A">
      <w:pPr>
        <w:ind w:right="-285"/>
      </w:pPr>
      <w:r>
        <w:t>There did not seem to be any trends in terms of treatment administration time (breakfast, lunch or dinner) or timing of the study</w:t>
      </w:r>
      <w:r w:rsidR="00913A22">
        <w:t>.</w:t>
      </w:r>
      <w:r>
        <w:t xml:space="preserve"> </w:t>
      </w:r>
      <w:proofErr w:type="spellStart"/>
      <w:r>
        <w:t>IDegAsp</w:t>
      </w:r>
      <w:proofErr w:type="spellEnd"/>
      <w:r>
        <w:t xml:space="preserve"> and </w:t>
      </w:r>
      <w:proofErr w:type="spellStart"/>
      <w:r>
        <w:t>IAsp</w:t>
      </w:r>
      <w:proofErr w:type="spellEnd"/>
      <w:r>
        <w:t xml:space="preserve"> were administered concomitantly </w:t>
      </w:r>
      <w:r>
        <w:lastRenderedPageBreak/>
        <w:t xml:space="preserve">at the same meal for 3 events of severe hypoglycaemia in the </w:t>
      </w:r>
      <w:proofErr w:type="spellStart"/>
      <w:r>
        <w:t>IDegAsp</w:t>
      </w:r>
      <w:proofErr w:type="spellEnd"/>
      <w:r>
        <w:t xml:space="preserve"> group (in the delegate’s opinion this represent a medication error)</w:t>
      </w:r>
      <w:r w:rsidR="00F92B65">
        <w:t>.</w:t>
      </w:r>
    </w:p>
    <w:p w14:paraId="7F2D226A" w14:textId="7D841FE2" w:rsidR="00785638" w:rsidRDefault="00785638" w:rsidP="00785638">
      <w:pPr>
        <w:spacing w:before="0" w:after="0" w:line="240" w:lineRule="auto"/>
        <w:rPr>
          <w:rFonts w:asciiTheme="minorHAnsi" w:hAnsiTheme="minorHAnsi"/>
        </w:rPr>
      </w:pPr>
      <w:r>
        <w:t xml:space="preserve">The rate of </w:t>
      </w:r>
      <w:r>
        <w:rPr>
          <w:rFonts w:asciiTheme="minorHAnsi" w:hAnsiTheme="minorHAnsi"/>
        </w:rPr>
        <w:t xml:space="preserve">nocturnal hypoglycaemia was similar between </w:t>
      </w:r>
      <w:proofErr w:type="spellStart"/>
      <w:r>
        <w:rPr>
          <w:rFonts w:asciiTheme="minorHAnsi" w:hAnsiTheme="minorHAnsi"/>
        </w:rPr>
        <w:t>IDegAsp</w:t>
      </w:r>
      <w:proofErr w:type="spellEnd"/>
      <w:r>
        <w:rPr>
          <w:rFonts w:asciiTheme="minorHAnsi" w:hAnsiTheme="minorHAnsi"/>
        </w:rPr>
        <w:t xml:space="preserve"> and </w:t>
      </w:r>
      <w:proofErr w:type="spellStart"/>
      <w:r>
        <w:rPr>
          <w:rFonts w:asciiTheme="minorHAnsi" w:hAnsiTheme="minorHAnsi"/>
        </w:rPr>
        <w:t>IDet</w:t>
      </w:r>
      <w:proofErr w:type="spellEnd"/>
      <w:r w:rsidR="00913A22">
        <w:rPr>
          <w:rFonts w:asciiTheme="minorHAnsi" w:hAnsiTheme="minorHAnsi"/>
        </w:rPr>
        <w:t>.</w:t>
      </w:r>
    </w:p>
    <w:p w14:paraId="018E2C9B" w14:textId="28776AA7" w:rsidR="00785638" w:rsidRDefault="00785638" w:rsidP="00913A22">
      <w:r>
        <w:t>There were more episo</w:t>
      </w:r>
      <w:r w:rsidR="00052765">
        <w:t xml:space="preserve">des of hyperglycaemia with </w:t>
      </w:r>
      <w:proofErr w:type="spellStart"/>
      <w:r w:rsidR="00052765">
        <w:t>IDeg</w:t>
      </w:r>
      <w:r>
        <w:t>Asp</w:t>
      </w:r>
      <w:proofErr w:type="spellEnd"/>
      <w:r>
        <w:t xml:space="preserve"> but more episodes of hyperglycaemia with ketosis with </w:t>
      </w:r>
      <w:proofErr w:type="spellStart"/>
      <w:r>
        <w:t>IDet</w:t>
      </w:r>
      <w:proofErr w:type="spellEnd"/>
      <w:r>
        <w:t>.</w:t>
      </w:r>
    </w:p>
    <w:p w14:paraId="4DFBA748" w14:textId="7C5B0E8B" w:rsidR="00785638" w:rsidRDefault="00785638" w:rsidP="00913A22">
      <w:r>
        <w:t>There were similar numbers of reported medication errors in both groups. Also</w:t>
      </w:r>
      <w:r w:rsidR="00052765">
        <w:t>,</w:t>
      </w:r>
      <w:r>
        <w:t xml:space="preserve"> similar number of injection site problems.</w:t>
      </w:r>
    </w:p>
    <w:p w14:paraId="2CD43245" w14:textId="2A314FCB" w:rsidR="00F92B65" w:rsidRDefault="00785638" w:rsidP="00913A22">
      <w:r>
        <w:t>The clinical evaluator considered th</w:t>
      </w:r>
      <w:r w:rsidR="00FA2F63">
        <w:t xml:space="preserve">at </w:t>
      </w:r>
      <w:proofErr w:type="spellStart"/>
      <w:r w:rsidR="00FA2F63">
        <w:t>Ryzodeg</w:t>
      </w:r>
      <w:proofErr w:type="spellEnd"/>
      <w:r w:rsidR="00FA2F63">
        <w:t xml:space="preserve"> has a positive risk-</w:t>
      </w:r>
      <w:r>
        <w:t>benefit ratio in patients over 6 years of age, but was concerned about the risk of severe hypoglycaemia in patients 1</w:t>
      </w:r>
      <w:r w:rsidR="00FA2F63">
        <w:t xml:space="preserve"> to </w:t>
      </w:r>
      <w:r w:rsidR="00AE74E1">
        <w:t xml:space="preserve">5 years. In the post round 2 </w:t>
      </w:r>
      <w:r>
        <w:t>response, the sponsor amended the indication to include patients over 6 years for T1DM and over 10 years for T2DM</w:t>
      </w:r>
      <w:r w:rsidR="00F92B65">
        <w:t>.</w:t>
      </w:r>
    </w:p>
    <w:p w14:paraId="00CBE371" w14:textId="77777777" w:rsidR="008E7846" w:rsidRDefault="00386150" w:rsidP="007B6132">
      <w:pPr>
        <w:pStyle w:val="Heading3"/>
        <w:rPr>
          <w:lang w:eastAsia="en-AU"/>
        </w:rPr>
      </w:pPr>
      <w:bookmarkStart w:id="50" w:name="_Toc47446844"/>
      <w:r>
        <w:rPr>
          <w:lang w:eastAsia="en-AU"/>
        </w:rPr>
        <w:t>Risk m</w:t>
      </w:r>
      <w:r w:rsidR="008E7846">
        <w:rPr>
          <w:lang w:eastAsia="en-AU"/>
        </w:rPr>
        <w:t xml:space="preserve">anagement </w:t>
      </w:r>
      <w:r>
        <w:rPr>
          <w:lang w:eastAsia="en-AU"/>
        </w:rPr>
        <w:t>p</w:t>
      </w:r>
      <w:r w:rsidR="008E7846">
        <w:rPr>
          <w:lang w:eastAsia="en-AU"/>
        </w:rPr>
        <w:t>lan</w:t>
      </w:r>
      <w:bookmarkEnd w:id="41"/>
      <w:bookmarkEnd w:id="50"/>
    </w:p>
    <w:p w14:paraId="1CA571B1" w14:textId="2180F454" w:rsidR="00785638" w:rsidRDefault="00785638" w:rsidP="00D5167A">
      <w:r>
        <w:t>The most recently evaluated EU-</w:t>
      </w:r>
      <w:r w:rsidR="00562B2A">
        <w:t>risk management plan (</w:t>
      </w:r>
      <w:r>
        <w:t>RMP</w:t>
      </w:r>
      <w:r w:rsidR="00562B2A">
        <w:t>)</w:t>
      </w:r>
      <w:r>
        <w:t xml:space="preserve"> was version </w:t>
      </w:r>
      <w:r w:rsidR="00913A22">
        <w:t xml:space="preserve">5.2 (dated 1 August 2016; data lock point (DLP) 1 </w:t>
      </w:r>
      <w:r>
        <w:t xml:space="preserve">June 2015) and </w:t>
      </w:r>
      <w:r w:rsidR="00500CE0">
        <w:t>the Australian s</w:t>
      </w:r>
      <w:r w:rsidR="00562B2A">
        <w:t>pecific Annex (</w:t>
      </w:r>
      <w:r>
        <w:t>ASA</w:t>
      </w:r>
      <w:r w:rsidR="00562B2A">
        <w:t>)</w:t>
      </w:r>
      <w:r>
        <w:t xml:space="preserve"> version 1.1 (dated 29 May 2017). In support of the extended indication, the sponsor has submitted EU-RMP version 7.0 (dated 4 September 2018; DLP 31 January 2018) and ASA version 1.2 (dated 11 October 2018). At </w:t>
      </w:r>
      <w:r w:rsidR="00C67B02">
        <w:t>the second round of evaluation</w:t>
      </w:r>
      <w:r>
        <w:t>, the ASA was updated to version 1.3 (dated 21 June 2019).</w:t>
      </w:r>
    </w:p>
    <w:p w14:paraId="52594762" w14:textId="7D83CC3B" w:rsidR="00E61BCF" w:rsidRDefault="005A61B6" w:rsidP="00A61D90">
      <w:r>
        <w:t>The proposed summary of safety concerns and their associated risk monitoring and mitigation strategies are summarised below (</w:t>
      </w:r>
      <w:r>
        <w:fldChar w:fldCharType="begin"/>
      </w:r>
      <w:r>
        <w:instrText xml:space="preserve"> REF _Ref42096674 \h </w:instrText>
      </w:r>
      <w:r w:rsidR="00C67B02">
        <w:instrText xml:space="preserve"> \* MERGEFORMAT </w:instrText>
      </w:r>
      <w:r>
        <w:fldChar w:fldCharType="separate"/>
      </w:r>
      <w:r w:rsidR="00500CE0">
        <w:t xml:space="preserve">Table </w:t>
      </w:r>
      <w:r w:rsidR="00500CE0">
        <w:rPr>
          <w:noProof/>
        </w:rPr>
        <w:t>4</w:t>
      </w:r>
      <w:r>
        <w:fldChar w:fldCharType="end"/>
      </w:r>
      <w:r>
        <w:t>). Compared to the summary of safety concerns at the time of approval for adult use, the sponsor removed important identified risks (allergic reactions) and areas of missing information (children and adolescents under 18 years; hepatic impairment; moderate and severe renal impairment; elderly patients over 75 years with type 1 diabetes mellitus; co-administration of GLP-1 receptor agonists) from the summary of safety concerns. The RMP evaluator has stated that changes were consistent with EU guidelines.</w:t>
      </w:r>
    </w:p>
    <w:p w14:paraId="12074A9A" w14:textId="3AC86BFC" w:rsidR="00785638" w:rsidRDefault="00E61BCF" w:rsidP="00E61BCF">
      <w:pPr>
        <w:pStyle w:val="TableTitle"/>
        <w:rPr>
          <w:rFonts w:eastAsiaTheme="minorHAnsi" w:cs="Cambria"/>
        </w:rPr>
      </w:pPr>
      <w:bookmarkStart w:id="51" w:name="_Ref42096674"/>
      <w:r>
        <w:t xml:space="preserve">Table </w:t>
      </w:r>
      <w:fldSimple w:instr=" SEQ Table \* ARABIC ">
        <w:r>
          <w:rPr>
            <w:noProof/>
          </w:rPr>
          <w:t>4</w:t>
        </w:r>
      </w:fldSimple>
      <w:bookmarkEnd w:id="51"/>
      <w:r>
        <w:t>: Summary of safety concerns</w:t>
      </w:r>
      <w:r w:rsidR="00E05D13">
        <w:rPr>
          <w:rStyle w:val="FootnoteReference"/>
        </w:rPr>
        <w:footnoteReference w:id="12"/>
      </w:r>
    </w:p>
    <w:tbl>
      <w:tblPr>
        <w:tblW w:w="0" w:type="auto"/>
        <w:tblInd w:w="-1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000" w:firstRow="0" w:lastRow="0" w:firstColumn="0" w:lastColumn="0" w:noHBand="0" w:noVBand="0"/>
      </w:tblPr>
      <w:tblGrid>
        <w:gridCol w:w="1296"/>
        <w:gridCol w:w="2415"/>
        <w:gridCol w:w="1134"/>
        <w:gridCol w:w="1276"/>
        <w:gridCol w:w="1129"/>
        <w:gridCol w:w="1279"/>
      </w:tblGrid>
      <w:tr w:rsidR="00E61BCF" w:rsidRPr="00E61BCF" w14:paraId="7C2A0FFA" w14:textId="77777777" w:rsidTr="00D5167A">
        <w:trPr>
          <w:tblHeader/>
        </w:trPr>
        <w:tc>
          <w:tcPr>
            <w:tcW w:w="3711" w:type="dxa"/>
            <w:gridSpan w:val="2"/>
            <w:vMerge w:val="restart"/>
            <w:tcBorders>
              <w:right w:val="nil"/>
            </w:tcBorders>
            <w:shd w:val="clear" w:color="auto" w:fill="006DA7"/>
          </w:tcPr>
          <w:p w14:paraId="3CC5AB5F" w14:textId="619B4208" w:rsidR="00086E92" w:rsidRPr="00E61BCF" w:rsidRDefault="00086E92" w:rsidP="00E61BCF">
            <w:pPr>
              <w:ind w:left="170" w:right="170"/>
              <w:rPr>
                <w:rFonts w:asciiTheme="minorHAnsi" w:hAnsiTheme="minorHAnsi"/>
                <w:b/>
                <w:sz w:val="18"/>
                <w:szCs w:val="18"/>
              </w:rPr>
            </w:pPr>
            <w:r w:rsidRPr="00E61BCF">
              <w:rPr>
                <w:rFonts w:asciiTheme="minorHAnsi" w:hAnsiTheme="minorHAnsi"/>
                <w:b/>
                <w:color w:val="FFFFFF" w:themeColor="background1"/>
                <w:sz w:val="18"/>
                <w:szCs w:val="18"/>
              </w:rPr>
              <w:t>Summary of safety concerns</w:t>
            </w:r>
          </w:p>
        </w:tc>
        <w:tc>
          <w:tcPr>
            <w:tcW w:w="2410" w:type="dxa"/>
            <w:gridSpan w:val="2"/>
            <w:tcBorders>
              <w:top w:val="single" w:sz="8" w:space="0" w:color="000000" w:themeColor="text1"/>
              <w:left w:val="nil"/>
              <w:bottom w:val="single" w:sz="8" w:space="0" w:color="000000" w:themeColor="text1"/>
              <w:right w:val="nil"/>
            </w:tcBorders>
            <w:shd w:val="clear" w:color="auto" w:fill="006DA7"/>
          </w:tcPr>
          <w:p w14:paraId="064C228C" w14:textId="77777777" w:rsidR="00086E92" w:rsidRPr="00E61BCF" w:rsidRDefault="00086E92" w:rsidP="00E61BCF">
            <w:pPr>
              <w:ind w:left="170" w:right="170"/>
              <w:rPr>
                <w:rFonts w:asciiTheme="minorHAnsi" w:hAnsiTheme="minorHAnsi"/>
                <w:b/>
                <w:color w:val="FFFFFF" w:themeColor="background1"/>
                <w:sz w:val="18"/>
                <w:szCs w:val="18"/>
              </w:rPr>
            </w:pPr>
            <w:r w:rsidRPr="00E61BCF">
              <w:rPr>
                <w:rFonts w:asciiTheme="minorHAnsi" w:hAnsiTheme="minorHAnsi"/>
                <w:b/>
                <w:color w:val="FFFFFF" w:themeColor="background1"/>
                <w:sz w:val="18"/>
                <w:szCs w:val="18"/>
              </w:rPr>
              <w:t xml:space="preserve">Pharmacovigilance </w:t>
            </w:r>
          </w:p>
        </w:tc>
        <w:tc>
          <w:tcPr>
            <w:tcW w:w="2408" w:type="dxa"/>
            <w:gridSpan w:val="2"/>
            <w:tcBorders>
              <w:top w:val="single" w:sz="8" w:space="0" w:color="000000" w:themeColor="text1"/>
              <w:left w:val="nil"/>
              <w:bottom w:val="single" w:sz="8" w:space="0" w:color="000000" w:themeColor="text1"/>
              <w:right w:val="single" w:sz="8" w:space="0" w:color="000000" w:themeColor="text1"/>
            </w:tcBorders>
            <w:shd w:val="clear" w:color="auto" w:fill="006DA7"/>
          </w:tcPr>
          <w:p w14:paraId="31D60FD4" w14:textId="06A79AD5" w:rsidR="00086E92" w:rsidRPr="00E61BCF" w:rsidRDefault="00086E92" w:rsidP="00E61BCF">
            <w:pPr>
              <w:ind w:left="170" w:right="170"/>
              <w:rPr>
                <w:rFonts w:asciiTheme="minorHAnsi" w:hAnsiTheme="minorHAnsi"/>
                <w:b/>
                <w:color w:val="FFFFFF" w:themeColor="background1"/>
                <w:sz w:val="18"/>
                <w:szCs w:val="18"/>
              </w:rPr>
            </w:pPr>
            <w:r w:rsidRPr="00E61BCF">
              <w:rPr>
                <w:rFonts w:asciiTheme="minorHAnsi" w:hAnsiTheme="minorHAnsi"/>
                <w:b/>
                <w:color w:val="FFFFFF" w:themeColor="background1"/>
                <w:sz w:val="18"/>
                <w:szCs w:val="18"/>
              </w:rPr>
              <w:t>Risk Minimisation</w:t>
            </w:r>
          </w:p>
        </w:tc>
      </w:tr>
      <w:tr w:rsidR="00533D46" w:rsidRPr="00E61BCF" w14:paraId="4A1E1A58" w14:textId="77777777" w:rsidTr="00E61BCF">
        <w:tc>
          <w:tcPr>
            <w:tcW w:w="3711" w:type="dxa"/>
            <w:gridSpan w:val="2"/>
            <w:vMerge/>
            <w:shd w:val="clear" w:color="auto" w:fill="006DA7"/>
          </w:tcPr>
          <w:p w14:paraId="74B3F376" w14:textId="04FAE236" w:rsidR="00086E92" w:rsidRPr="00E61BCF" w:rsidRDefault="00086E92" w:rsidP="00E61BCF">
            <w:pPr>
              <w:ind w:left="170" w:right="170"/>
              <w:rPr>
                <w:rFonts w:asciiTheme="minorHAnsi" w:hAnsiTheme="minorHAnsi"/>
                <w:sz w:val="18"/>
                <w:szCs w:val="18"/>
              </w:rPr>
            </w:pPr>
          </w:p>
        </w:tc>
        <w:tc>
          <w:tcPr>
            <w:tcW w:w="1134" w:type="dxa"/>
            <w:tcBorders>
              <w:top w:val="single" w:sz="8" w:space="0" w:color="000000" w:themeColor="text1"/>
            </w:tcBorders>
            <w:shd w:val="clear" w:color="auto" w:fill="auto"/>
          </w:tcPr>
          <w:p w14:paraId="368FE9A2" w14:textId="77777777" w:rsidR="00086E92" w:rsidRPr="00E61BCF" w:rsidRDefault="00086E92" w:rsidP="00E61BCF">
            <w:pPr>
              <w:ind w:left="170" w:right="170"/>
              <w:rPr>
                <w:rFonts w:asciiTheme="minorHAnsi" w:hAnsiTheme="minorHAnsi"/>
                <w:b/>
                <w:sz w:val="18"/>
                <w:szCs w:val="18"/>
              </w:rPr>
            </w:pPr>
            <w:r w:rsidRPr="00E61BCF">
              <w:rPr>
                <w:rFonts w:asciiTheme="minorHAnsi" w:hAnsiTheme="minorHAnsi"/>
                <w:b/>
                <w:sz w:val="18"/>
                <w:szCs w:val="18"/>
              </w:rPr>
              <w:t>Routine</w:t>
            </w:r>
          </w:p>
        </w:tc>
        <w:tc>
          <w:tcPr>
            <w:tcW w:w="1276" w:type="dxa"/>
            <w:tcBorders>
              <w:top w:val="single" w:sz="8" w:space="0" w:color="000000" w:themeColor="text1"/>
            </w:tcBorders>
            <w:shd w:val="clear" w:color="auto" w:fill="auto"/>
          </w:tcPr>
          <w:p w14:paraId="4A02B7C1" w14:textId="77777777" w:rsidR="00086E92" w:rsidRPr="00E61BCF" w:rsidRDefault="00086E92" w:rsidP="00E61BCF">
            <w:pPr>
              <w:ind w:left="170" w:right="170"/>
              <w:rPr>
                <w:rFonts w:asciiTheme="minorHAnsi" w:hAnsiTheme="minorHAnsi"/>
                <w:b/>
                <w:sz w:val="18"/>
                <w:szCs w:val="18"/>
              </w:rPr>
            </w:pPr>
            <w:r w:rsidRPr="00E61BCF">
              <w:rPr>
                <w:rFonts w:asciiTheme="minorHAnsi" w:hAnsiTheme="minorHAnsi"/>
                <w:b/>
                <w:sz w:val="18"/>
                <w:szCs w:val="18"/>
              </w:rPr>
              <w:t>Additional</w:t>
            </w:r>
          </w:p>
        </w:tc>
        <w:tc>
          <w:tcPr>
            <w:tcW w:w="1129" w:type="dxa"/>
            <w:tcBorders>
              <w:top w:val="single" w:sz="8" w:space="0" w:color="000000" w:themeColor="text1"/>
            </w:tcBorders>
            <w:shd w:val="clear" w:color="auto" w:fill="auto"/>
          </w:tcPr>
          <w:p w14:paraId="65504106" w14:textId="77777777" w:rsidR="00086E92" w:rsidRPr="00E61BCF" w:rsidRDefault="00086E92" w:rsidP="00E61BCF">
            <w:pPr>
              <w:ind w:left="170" w:right="170"/>
              <w:rPr>
                <w:rFonts w:asciiTheme="minorHAnsi" w:hAnsiTheme="minorHAnsi"/>
                <w:b/>
                <w:sz w:val="18"/>
                <w:szCs w:val="18"/>
              </w:rPr>
            </w:pPr>
            <w:r w:rsidRPr="00E61BCF">
              <w:rPr>
                <w:rFonts w:asciiTheme="minorHAnsi" w:hAnsiTheme="minorHAnsi"/>
                <w:b/>
                <w:sz w:val="18"/>
                <w:szCs w:val="18"/>
              </w:rPr>
              <w:t>Routine</w:t>
            </w:r>
          </w:p>
        </w:tc>
        <w:tc>
          <w:tcPr>
            <w:tcW w:w="1279" w:type="dxa"/>
            <w:tcBorders>
              <w:top w:val="single" w:sz="8" w:space="0" w:color="000000" w:themeColor="text1"/>
            </w:tcBorders>
            <w:shd w:val="clear" w:color="auto" w:fill="auto"/>
          </w:tcPr>
          <w:p w14:paraId="52DB822F" w14:textId="77777777" w:rsidR="00086E92" w:rsidRPr="00E61BCF" w:rsidRDefault="00086E92" w:rsidP="00E61BCF">
            <w:pPr>
              <w:ind w:left="170" w:right="170"/>
              <w:rPr>
                <w:rFonts w:asciiTheme="minorHAnsi" w:hAnsiTheme="minorHAnsi"/>
                <w:b/>
                <w:sz w:val="18"/>
                <w:szCs w:val="18"/>
              </w:rPr>
            </w:pPr>
            <w:r w:rsidRPr="00E61BCF">
              <w:rPr>
                <w:rFonts w:asciiTheme="minorHAnsi" w:hAnsiTheme="minorHAnsi"/>
                <w:b/>
                <w:sz w:val="18"/>
                <w:szCs w:val="18"/>
              </w:rPr>
              <w:t>Additional</w:t>
            </w:r>
          </w:p>
        </w:tc>
      </w:tr>
      <w:tr w:rsidR="00533D46" w:rsidRPr="00E61BCF" w14:paraId="4CA2E921" w14:textId="77777777" w:rsidTr="00E61BCF">
        <w:tc>
          <w:tcPr>
            <w:tcW w:w="1296" w:type="dxa"/>
            <w:vMerge w:val="restart"/>
          </w:tcPr>
          <w:p w14:paraId="3127EE38" w14:textId="037012A1" w:rsidR="00533D46" w:rsidRPr="00E61BCF" w:rsidRDefault="00E05D13" w:rsidP="00E05D13">
            <w:pPr>
              <w:ind w:left="170" w:right="170"/>
              <w:rPr>
                <w:rFonts w:asciiTheme="minorHAnsi" w:hAnsiTheme="minorHAnsi"/>
                <w:sz w:val="18"/>
                <w:szCs w:val="18"/>
              </w:rPr>
            </w:pPr>
            <w:r>
              <w:rPr>
                <w:rFonts w:asciiTheme="minorHAnsi" w:hAnsiTheme="minorHAnsi"/>
                <w:sz w:val="18"/>
                <w:szCs w:val="18"/>
              </w:rPr>
              <w:t>Important potential risks</w:t>
            </w:r>
          </w:p>
        </w:tc>
        <w:tc>
          <w:tcPr>
            <w:tcW w:w="2415" w:type="dxa"/>
          </w:tcPr>
          <w:p w14:paraId="63EAA2DF" w14:textId="77777777" w:rsidR="00533D46" w:rsidRPr="00E61BCF" w:rsidRDefault="00533D46" w:rsidP="00E61BCF">
            <w:pPr>
              <w:ind w:left="170" w:right="170"/>
              <w:rPr>
                <w:rFonts w:asciiTheme="minorHAnsi" w:hAnsiTheme="minorHAnsi"/>
                <w:sz w:val="18"/>
                <w:szCs w:val="18"/>
              </w:rPr>
            </w:pPr>
            <w:r w:rsidRPr="00E61BCF">
              <w:rPr>
                <w:rFonts w:asciiTheme="minorHAnsi" w:hAnsiTheme="minorHAnsi"/>
                <w:sz w:val="18"/>
                <w:szCs w:val="18"/>
              </w:rPr>
              <w:t xml:space="preserve">Medication errors due to mix-up between </w:t>
            </w:r>
            <w:proofErr w:type="spellStart"/>
            <w:r w:rsidRPr="00E61BCF">
              <w:rPr>
                <w:rFonts w:asciiTheme="minorHAnsi" w:hAnsiTheme="minorHAnsi"/>
                <w:sz w:val="18"/>
                <w:szCs w:val="18"/>
              </w:rPr>
              <w:t>Ryzodeg</w:t>
            </w:r>
            <w:proofErr w:type="spellEnd"/>
            <w:r w:rsidRPr="00E61BCF">
              <w:rPr>
                <w:rFonts w:asciiTheme="minorHAnsi" w:hAnsiTheme="minorHAnsi"/>
                <w:sz w:val="18"/>
                <w:szCs w:val="18"/>
              </w:rPr>
              <w:t xml:space="preserve"> and bolus insulin</w:t>
            </w:r>
          </w:p>
        </w:tc>
        <w:tc>
          <w:tcPr>
            <w:tcW w:w="1134" w:type="dxa"/>
          </w:tcPr>
          <w:p w14:paraId="3B773E9F" w14:textId="4BC9075F" w:rsidR="00533D46" w:rsidRPr="00E61BCF" w:rsidRDefault="00533D46" w:rsidP="00E61BCF">
            <w:pPr>
              <w:ind w:left="170" w:right="170"/>
              <w:rPr>
                <w:rFonts w:asciiTheme="minorHAnsi" w:hAnsiTheme="minorHAnsi" w:cs="Calibri"/>
                <w:sz w:val="18"/>
                <w:szCs w:val="18"/>
              </w:rPr>
            </w:pPr>
            <w:r w:rsidRPr="00E61BCF">
              <w:rPr>
                <w:sz w:val="18"/>
                <w:szCs w:val="18"/>
              </w:rPr>
              <w:sym w:font="Wingdings" w:char="F0FC"/>
            </w:r>
            <w:r w:rsidRPr="00E61BCF">
              <w:rPr>
                <w:rFonts w:asciiTheme="minorHAnsi" w:hAnsiTheme="minorHAnsi" w:cs="Calibri"/>
                <w:sz w:val="18"/>
                <w:szCs w:val="18"/>
              </w:rPr>
              <w:t>*</w:t>
            </w:r>
          </w:p>
        </w:tc>
        <w:tc>
          <w:tcPr>
            <w:tcW w:w="1276" w:type="dxa"/>
          </w:tcPr>
          <w:p w14:paraId="68AA2C08" w14:textId="77777777" w:rsidR="00533D46" w:rsidRPr="00E61BCF" w:rsidRDefault="00533D46" w:rsidP="00E61BCF">
            <w:pPr>
              <w:ind w:left="170" w:right="170"/>
              <w:rPr>
                <w:rFonts w:asciiTheme="minorHAnsi" w:hAnsiTheme="minorHAnsi"/>
                <w:sz w:val="18"/>
                <w:szCs w:val="18"/>
              </w:rPr>
            </w:pPr>
            <w:r w:rsidRPr="00E61BCF">
              <w:rPr>
                <w:rFonts w:asciiTheme="minorHAnsi" w:hAnsiTheme="minorHAnsi"/>
                <w:sz w:val="18"/>
                <w:szCs w:val="18"/>
              </w:rPr>
              <w:t>–</w:t>
            </w:r>
          </w:p>
        </w:tc>
        <w:tc>
          <w:tcPr>
            <w:tcW w:w="1129" w:type="dxa"/>
          </w:tcPr>
          <w:p w14:paraId="636819AD" w14:textId="763927A6" w:rsidR="00533D46" w:rsidRPr="00E61BCF" w:rsidRDefault="00533D46" w:rsidP="00E61BCF">
            <w:pPr>
              <w:ind w:left="170" w:right="170"/>
              <w:rPr>
                <w:rFonts w:asciiTheme="minorHAnsi" w:hAnsiTheme="minorHAnsi" w:cs="Wingdings"/>
                <w:sz w:val="18"/>
                <w:szCs w:val="18"/>
              </w:rPr>
            </w:pPr>
            <w:r w:rsidRPr="00E61BCF">
              <w:rPr>
                <w:sz w:val="18"/>
                <w:szCs w:val="18"/>
              </w:rPr>
              <w:sym w:font="Wingdings" w:char="F0FC"/>
            </w:r>
          </w:p>
        </w:tc>
        <w:tc>
          <w:tcPr>
            <w:tcW w:w="1279" w:type="dxa"/>
          </w:tcPr>
          <w:p w14:paraId="2BADFBD5" w14:textId="77777777" w:rsidR="00533D46" w:rsidRPr="00E61BCF" w:rsidRDefault="00533D46" w:rsidP="00E61BCF">
            <w:pPr>
              <w:ind w:left="170" w:right="170"/>
              <w:rPr>
                <w:rFonts w:asciiTheme="minorHAnsi" w:hAnsiTheme="minorHAnsi"/>
                <w:sz w:val="18"/>
                <w:szCs w:val="18"/>
              </w:rPr>
            </w:pPr>
            <w:r w:rsidRPr="00E61BCF">
              <w:rPr>
                <w:rFonts w:asciiTheme="minorHAnsi" w:hAnsiTheme="minorHAnsi"/>
                <w:sz w:val="18"/>
                <w:szCs w:val="18"/>
              </w:rPr>
              <w:t>–</w:t>
            </w:r>
          </w:p>
        </w:tc>
      </w:tr>
      <w:tr w:rsidR="00533D46" w:rsidRPr="00E61BCF" w14:paraId="1B9B8562" w14:textId="77777777" w:rsidTr="00E61BCF">
        <w:tc>
          <w:tcPr>
            <w:tcW w:w="1296" w:type="dxa"/>
            <w:vMerge/>
          </w:tcPr>
          <w:p w14:paraId="20D66D28" w14:textId="70B18378" w:rsidR="00533D46" w:rsidRPr="00E61BCF" w:rsidRDefault="00533D46" w:rsidP="00E61BCF">
            <w:pPr>
              <w:ind w:left="170" w:right="170"/>
              <w:rPr>
                <w:rFonts w:asciiTheme="minorHAnsi" w:hAnsiTheme="minorHAnsi"/>
                <w:sz w:val="18"/>
                <w:szCs w:val="18"/>
              </w:rPr>
            </w:pPr>
          </w:p>
        </w:tc>
        <w:tc>
          <w:tcPr>
            <w:tcW w:w="2415" w:type="dxa"/>
          </w:tcPr>
          <w:p w14:paraId="5D266D06" w14:textId="77777777" w:rsidR="00533D46" w:rsidRPr="00E61BCF" w:rsidRDefault="00533D46" w:rsidP="00E61BCF">
            <w:pPr>
              <w:ind w:left="170" w:right="170"/>
              <w:rPr>
                <w:rFonts w:asciiTheme="minorHAnsi" w:hAnsiTheme="minorHAnsi"/>
                <w:sz w:val="18"/>
                <w:szCs w:val="18"/>
              </w:rPr>
            </w:pPr>
            <w:r w:rsidRPr="00E61BCF">
              <w:rPr>
                <w:rFonts w:asciiTheme="minorHAnsi" w:hAnsiTheme="minorHAnsi"/>
                <w:sz w:val="18"/>
                <w:szCs w:val="18"/>
              </w:rPr>
              <w:t>Immunological events – formation of neutralising insulin antibodies</w:t>
            </w:r>
          </w:p>
        </w:tc>
        <w:tc>
          <w:tcPr>
            <w:tcW w:w="1134" w:type="dxa"/>
          </w:tcPr>
          <w:p w14:paraId="263162B0" w14:textId="7A4E11CE" w:rsidR="00533D46" w:rsidRPr="00E61BCF" w:rsidRDefault="00533D46" w:rsidP="00E61BCF">
            <w:pPr>
              <w:ind w:left="170" w:right="170"/>
              <w:rPr>
                <w:rFonts w:asciiTheme="minorHAnsi" w:hAnsiTheme="minorHAnsi" w:cs="Wingdings"/>
                <w:sz w:val="18"/>
                <w:szCs w:val="18"/>
              </w:rPr>
            </w:pPr>
            <w:r w:rsidRPr="00E61BCF">
              <w:rPr>
                <w:sz w:val="18"/>
                <w:szCs w:val="18"/>
              </w:rPr>
              <w:sym w:font="Wingdings" w:char="F0FC"/>
            </w:r>
          </w:p>
        </w:tc>
        <w:tc>
          <w:tcPr>
            <w:tcW w:w="1276" w:type="dxa"/>
          </w:tcPr>
          <w:p w14:paraId="4FA3B5CE" w14:textId="77777777" w:rsidR="00533D46" w:rsidRPr="00E61BCF" w:rsidRDefault="00533D46" w:rsidP="00E61BCF">
            <w:pPr>
              <w:ind w:left="170" w:right="170"/>
              <w:rPr>
                <w:rFonts w:asciiTheme="minorHAnsi" w:hAnsiTheme="minorHAnsi"/>
                <w:sz w:val="18"/>
                <w:szCs w:val="18"/>
              </w:rPr>
            </w:pPr>
            <w:r w:rsidRPr="00E61BCF">
              <w:rPr>
                <w:rFonts w:asciiTheme="minorHAnsi" w:hAnsiTheme="minorHAnsi"/>
                <w:sz w:val="18"/>
                <w:szCs w:val="18"/>
              </w:rPr>
              <w:t>–</w:t>
            </w:r>
          </w:p>
        </w:tc>
        <w:tc>
          <w:tcPr>
            <w:tcW w:w="1129" w:type="dxa"/>
          </w:tcPr>
          <w:p w14:paraId="56827EB2" w14:textId="40A97F85" w:rsidR="00533D46" w:rsidRPr="00E61BCF" w:rsidRDefault="00533D46" w:rsidP="00E61BCF">
            <w:pPr>
              <w:ind w:left="170" w:right="170"/>
              <w:rPr>
                <w:rFonts w:asciiTheme="minorHAnsi" w:hAnsiTheme="minorHAnsi" w:cs="Wingdings"/>
                <w:sz w:val="18"/>
                <w:szCs w:val="18"/>
              </w:rPr>
            </w:pPr>
            <w:r w:rsidRPr="00E61BCF">
              <w:rPr>
                <w:sz w:val="18"/>
                <w:szCs w:val="18"/>
              </w:rPr>
              <w:sym w:font="Wingdings" w:char="F0FC"/>
            </w:r>
          </w:p>
        </w:tc>
        <w:tc>
          <w:tcPr>
            <w:tcW w:w="1279" w:type="dxa"/>
          </w:tcPr>
          <w:p w14:paraId="67434ADA" w14:textId="77777777" w:rsidR="00533D46" w:rsidRPr="00E61BCF" w:rsidRDefault="00533D46" w:rsidP="00E61BCF">
            <w:pPr>
              <w:ind w:left="170" w:right="170"/>
              <w:rPr>
                <w:rFonts w:asciiTheme="minorHAnsi" w:hAnsiTheme="minorHAnsi"/>
                <w:sz w:val="18"/>
                <w:szCs w:val="18"/>
              </w:rPr>
            </w:pPr>
            <w:r w:rsidRPr="00E61BCF">
              <w:rPr>
                <w:rFonts w:asciiTheme="minorHAnsi" w:hAnsiTheme="minorHAnsi"/>
                <w:sz w:val="18"/>
                <w:szCs w:val="18"/>
              </w:rPr>
              <w:t>–</w:t>
            </w:r>
          </w:p>
        </w:tc>
      </w:tr>
      <w:tr w:rsidR="00E61BCF" w:rsidRPr="00E61BCF" w14:paraId="47C7FA00" w14:textId="77777777" w:rsidTr="00E61BCF">
        <w:tc>
          <w:tcPr>
            <w:tcW w:w="1296" w:type="dxa"/>
          </w:tcPr>
          <w:p w14:paraId="3858C191" w14:textId="77777777" w:rsidR="00785638" w:rsidRPr="00E61BCF" w:rsidRDefault="00785638" w:rsidP="00E61BCF">
            <w:pPr>
              <w:ind w:left="170" w:right="170"/>
              <w:rPr>
                <w:rFonts w:asciiTheme="minorHAnsi" w:hAnsiTheme="minorHAnsi"/>
                <w:sz w:val="18"/>
                <w:szCs w:val="18"/>
              </w:rPr>
            </w:pPr>
            <w:r w:rsidRPr="00E61BCF">
              <w:rPr>
                <w:rFonts w:asciiTheme="minorHAnsi" w:hAnsiTheme="minorHAnsi"/>
                <w:sz w:val="18"/>
                <w:szCs w:val="18"/>
              </w:rPr>
              <w:lastRenderedPageBreak/>
              <w:t>Missing information</w:t>
            </w:r>
          </w:p>
        </w:tc>
        <w:tc>
          <w:tcPr>
            <w:tcW w:w="2415" w:type="dxa"/>
          </w:tcPr>
          <w:p w14:paraId="40069DA9" w14:textId="77777777" w:rsidR="00785638" w:rsidRPr="00E61BCF" w:rsidRDefault="00785638" w:rsidP="00E61BCF">
            <w:pPr>
              <w:ind w:left="170" w:right="170"/>
              <w:rPr>
                <w:rFonts w:asciiTheme="minorHAnsi" w:hAnsiTheme="minorHAnsi"/>
                <w:sz w:val="18"/>
                <w:szCs w:val="18"/>
              </w:rPr>
            </w:pPr>
            <w:r w:rsidRPr="00E61BCF">
              <w:rPr>
                <w:rFonts w:asciiTheme="minorHAnsi" w:hAnsiTheme="minorHAnsi"/>
                <w:sz w:val="18"/>
                <w:szCs w:val="18"/>
              </w:rPr>
              <w:t>Pregnant and lactating women</w:t>
            </w:r>
          </w:p>
        </w:tc>
        <w:tc>
          <w:tcPr>
            <w:tcW w:w="1134" w:type="dxa"/>
          </w:tcPr>
          <w:p w14:paraId="58DB28E5" w14:textId="2FB0B2C0" w:rsidR="00785638" w:rsidRPr="00E61BCF" w:rsidRDefault="007C2E9F" w:rsidP="00E61BCF">
            <w:pPr>
              <w:ind w:left="170" w:right="170"/>
              <w:rPr>
                <w:rFonts w:asciiTheme="minorHAnsi" w:hAnsiTheme="minorHAnsi" w:cs="Wingdings"/>
                <w:sz w:val="18"/>
                <w:szCs w:val="18"/>
              </w:rPr>
            </w:pPr>
            <w:r w:rsidRPr="00E61BCF">
              <w:rPr>
                <w:sz w:val="18"/>
                <w:szCs w:val="18"/>
              </w:rPr>
              <w:sym w:font="Wingdings" w:char="F0FC"/>
            </w:r>
          </w:p>
        </w:tc>
        <w:tc>
          <w:tcPr>
            <w:tcW w:w="1276" w:type="dxa"/>
          </w:tcPr>
          <w:p w14:paraId="6ABCC47D" w14:textId="77777777" w:rsidR="00785638" w:rsidRPr="00E61BCF" w:rsidRDefault="00785638" w:rsidP="00E61BCF">
            <w:pPr>
              <w:ind w:left="170" w:right="170"/>
              <w:rPr>
                <w:rFonts w:asciiTheme="minorHAnsi" w:hAnsiTheme="minorHAnsi"/>
                <w:sz w:val="18"/>
                <w:szCs w:val="18"/>
              </w:rPr>
            </w:pPr>
            <w:r w:rsidRPr="00E61BCF">
              <w:rPr>
                <w:rFonts w:asciiTheme="minorHAnsi" w:hAnsiTheme="minorHAnsi"/>
                <w:sz w:val="18"/>
                <w:szCs w:val="18"/>
              </w:rPr>
              <w:t>–</w:t>
            </w:r>
          </w:p>
        </w:tc>
        <w:tc>
          <w:tcPr>
            <w:tcW w:w="1129" w:type="dxa"/>
          </w:tcPr>
          <w:p w14:paraId="66CACD71" w14:textId="4B5C22D9" w:rsidR="00785638" w:rsidRPr="00E61BCF" w:rsidRDefault="007C2E9F" w:rsidP="00E61BCF">
            <w:pPr>
              <w:ind w:left="170" w:right="170"/>
              <w:rPr>
                <w:rFonts w:asciiTheme="minorHAnsi" w:hAnsiTheme="minorHAnsi" w:cs="Wingdings"/>
                <w:sz w:val="18"/>
                <w:szCs w:val="18"/>
              </w:rPr>
            </w:pPr>
            <w:r w:rsidRPr="00E61BCF">
              <w:rPr>
                <w:sz w:val="18"/>
                <w:szCs w:val="18"/>
              </w:rPr>
              <w:sym w:font="Wingdings" w:char="F0FC"/>
            </w:r>
          </w:p>
        </w:tc>
        <w:tc>
          <w:tcPr>
            <w:tcW w:w="1279" w:type="dxa"/>
          </w:tcPr>
          <w:p w14:paraId="0D3866AF" w14:textId="77777777" w:rsidR="00785638" w:rsidRPr="00E61BCF" w:rsidRDefault="00785638" w:rsidP="00E61BCF">
            <w:pPr>
              <w:ind w:left="170" w:right="170"/>
              <w:rPr>
                <w:rFonts w:asciiTheme="minorHAnsi" w:hAnsiTheme="minorHAnsi"/>
                <w:sz w:val="18"/>
                <w:szCs w:val="18"/>
              </w:rPr>
            </w:pPr>
            <w:r w:rsidRPr="00E61BCF">
              <w:rPr>
                <w:rFonts w:asciiTheme="minorHAnsi" w:hAnsiTheme="minorHAnsi"/>
                <w:sz w:val="18"/>
                <w:szCs w:val="18"/>
              </w:rPr>
              <w:t>–</w:t>
            </w:r>
          </w:p>
        </w:tc>
      </w:tr>
    </w:tbl>
    <w:p w14:paraId="54130E6E" w14:textId="77777777" w:rsidR="00785638" w:rsidRDefault="00785638" w:rsidP="00086E92">
      <w:pPr>
        <w:pStyle w:val="TableDescription"/>
      </w:pPr>
      <w:r>
        <w:t>* Follow up questionnaire</w:t>
      </w:r>
    </w:p>
    <w:p w14:paraId="56E29BF4" w14:textId="13270865" w:rsidR="00785638" w:rsidRDefault="00785638" w:rsidP="005A61B6">
      <w:pPr>
        <w:pStyle w:val="ListBullet"/>
      </w:pPr>
      <w:r>
        <w:t>Routine pharmacovigilance activities will address all safety concerns. A follow-up questionnaire will be used for reports of medication errors. This is acceptable for the extension of indications.</w:t>
      </w:r>
    </w:p>
    <w:p w14:paraId="4E85BAAE" w14:textId="09DD37B3" w:rsidR="00785638" w:rsidRDefault="00785638" w:rsidP="005A61B6">
      <w:pPr>
        <w:pStyle w:val="ListBullet"/>
      </w:pPr>
      <w:r>
        <w:t xml:space="preserve">No additional risk minimisation activity is required. The </w:t>
      </w:r>
      <w:r w:rsidR="00B40019">
        <w:t>Consumer Medicines Information (</w:t>
      </w:r>
      <w:r>
        <w:t>CMI</w:t>
      </w:r>
      <w:r w:rsidR="00B40019">
        <w:t>)</w:t>
      </w:r>
      <w:r>
        <w:t xml:space="preserve"> is provided as a pack insert. This is acceptable for the extension of indications.</w:t>
      </w:r>
    </w:p>
    <w:p w14:paraId="7B577348" w14:textId="7B64C0C4" w:rsidR="00785638" w:rsidRPr="005337BE" w:rsidRDefault="00785638" w:rsidP="00C55882">
      <w:r w:rsidRPr="005337BE">
        <w:t>The RMP evalua</w:t>
      </w:r>
      <w:r w:rsidR="00C55882">
        <w:t>tor recommended the following in</w:t>
      </w:r>
      <w:r w:rsidRPr="005337BE">
        <w:t xml:space="preserve"> </w:t>
      </w:r>
      <w:r w:rsidR="00C67B02">
        <w:t>the second round of</w:t>
      </w:r>
      <w:r w:rsidR="00C55882">
        <w:t xml:space="preserve"> evaluation</w:t>
      </w:r>
      <w:r w:rsidR="005A61B6">
        <w:t>:</w:t>
      </w:r>
    </w:p>
    <w:p w14:paraId="64EE9BB2" w14:textId="77777777" w:rsidR="00785638" w:rsidRDefault="00785638" w:rsidP="00D5167A">
      <w:pPr>
        <w:pStyle w:val="ListBullet"/>
        <w:ind w:right="-427"/>
      </w:pPr>
      <w:r>
        <w:t>Recommendation 2: The sponsor should retain ‘hypoglycaemia in patients under 18 years of age’ in the ASA as an important identified risk.</w:t>
      </w:r>
    </w:p>
    <w:p w14:paraId="30D7F653" w14:textId="578F6967" w:rsidR="00785638" w:rsidRPr="007C7192" w:rsidRDefault="00B40019" w:rsidP="00D5167A">
      <w:pPr>
        <w:pStyle w:val="ListBullet"/>
        <w:ind w:right="-143"/>
      </w:pPr>
      <w:r>
        <w:t xml:space="preserve">Recommendation 12: </w:t>
      </w:r>
      <w:r w:rsidR="00785638">
        <w:t xml:space="preserve">The sponsor is requested to commit to submitting in the </w:t>
      </w:r>
      <w:r w:rsidR="0039569D">
        <w:t xml:space="preserve">periodic safety update </w:t>
      </w:r>
      <w:r w:rsidR="003B5AC4">
        <w:t xml:space="preserve">report </w:t>
      </w:r>
      <w:r w:rsidR="0039569D">
        <w:t>(</w:t>
      </w:r>
      <w:r w:rsidR="00785638">
        <w:t>PSUR</w:t>
      </w:r>
      <w:r w:rsidR="0039569D">
        <w:t>)</w:t>
      </w:r>
      <w:r w:rsidR="00785638">
        <w:t xml:space="preserve"> a cumulative review of all cases of ‘hypoglycaemia’ reported in association with </w:t>
      </w:r>
      <w:proofErr w:type="spellStart"/>
      <w:r w:rsidR="00785638">
        <w:t>Ryzodeg</w:t>
      </w:r>
      <w:proofErr w:type="spellEnd"/>
      <w:r w:rsidR="00785638">
        <w:t xml:space="preserve"> use in patients aged below 18</w:t>
      </w:r>
      <w:r w:rsidR="00D5167A">
        <w:t xml:space="preserve"> </w:t>
      </w:r>
      <w:r w:rsidR="00785638">
        <w:t xml:space="preserve">years </w:t>
      </w:r>
      <w:r>
        <w:t>of age using the DLP</w:t>
      </w:r>
      <w:r w:rsidR="00785638">
        <w:t xml:space="preserve"> in the PSUR. This cumulative review should include clinical data from all sources, including spontaneous reports, clinical trials and any relevant data from the literature. The review must focus on evaluating any new trends or differences in the reports of hypoglycaemia in these patients in Australia in comparison to international data and the need for any potential ame</w:t>
      </w:r>
      <w:r>
        <w:t>ndment to the PI and/or the RMP</w:t>
      </w:r>
      <w:r w:rsidR="00785638">
        <w:t>.</w:t>
      </w:r>
    </w:p>
    <w:p w14:paraId="5F551970" w14:textId="77777777" w:rsidR="008E7846" w:rsidRDefault="00AA0ED0" w:rsidP="008E7846">
      <w:pPr>
        <w:pStyle w:val="Heading3"/>
      </w:pPr>
      <w:bookmarkStart w:id="52" w:name="_Toc247691531"/>
      <w:bookmarkStart w:id="53" w:name="_Toc314842515"/>
      <w:bookmarkStart w:id="54" w:name="_Toc196046505"/>
      <w:bookmarkStart w:id="55" w:name="_Toc196046949"/>
      <w:bookmarkStart w:id="56" w:name="_Toc47446845"/>
      <w:r>
        <w:t>Risk-benefit a</w:t>
      </w:r>
      <w:r w:rsidR="008E7846">
        <w:t>nalysis</w:t>
      </w:r>
      <w:bookmarkEnd w:id="52"/>
      <w:bookmarkEnd w:id="53"/>
      <w:bookmarkEnd w:id="56"/>
    </w:p>
    <w:p w14:paraId="5EBDC75F" w14:textId="77777777" w:rsidR="00D23139" w:rsidRDefault="00D23139" w:rsidP="00D23139">
      <w:pPr>
        <w:pStyle w:val="Heading4"/>
      </w:pPr>
      <w:r w:rsidRPr="00D23139">
        <w:t xml:space="preserve">Delegate’s considerations </w:t>
      </w:r>
    </w:p>
    <w:p w14:paraId="71011A83" w14:textId="77777777" w:rsidR="00785638" w:rsidRPr="000A597F" w:rsidRDefault="00785638" w:rsidP="00C55882">
      <w:pPr>
        <w:pStyle w:val="Heading5"/>
      </w:pPr>
      <w:r>
        <w:t>Extension of indication for use in children and adolescents</w:t>
      </w:r>
    </w:p>
    <w:p w14:paraId="526315BD" w14:textId="0E9CC17C" w:rsidR="00785638" w:rsidRDefault="00785638" w:rsidP="00C55882">
      <w:r>
        <w:t xml:space="preserve">The sponsor has provided adequate data on the PK characteristics of </w:t>
      </w:r>
      <w:proofErr w:type="spellStart"/>
      <w:r>
        <w:t>Ryzodeg</w:t>
      </w:r>
      <w:proofErr w:type="spellEnd"/>
      <w:r>
        <w:t xml:space="preserve"> in this formulation. It is proposed that </w:t>
      </w:r>
      <w:proofErr w:type="spellStart"/>
      <w:r>
        <w:t>Ryzodeg</w:t>
      </w:r>
      <w:proofErr w:type="spellEnd"/>
      <w:r>
        <w:t xml:space="preserve"> will be administered with a re-usable pen able to give 0.5</w:t>
      </w:r>
      <w:r w:rsidR="006306C7">
        <w:t xml:space="preserve"> </w:t>
      </w:r>
      <w:r>
        <w:t xml:space="preserve">unit increments of </w:t>
      </w:r>
      <w:proofErr w:type="spellStart"/>
      <w:r>
        <w:t>Ryzodeg</w:t>
      </w:r>
      <w:proofErr w:type="spellEnd"/>
      <w:r>
        <w:t xml:space="preserve">. To </w:t>
      </w:r>
      <w:r w:rsidR="00C67B02">
        <w:t xml:space="preserve">the Delegate’s </w:t>
      </w:r>
      <w:r>
        <w:t>knowledge, these devices are available in Australia.</w:t>
      </w:r>
    </w:p>
    <w:p w14:paraId="63CB05C4" w14:textId="04BCF89C" w:rsidR="00F92B65" w:rsidRDefault="00785638" w:rsidP="00C55882">
      <w:r>
        <w:t xml:space="preserve">In the pivotal clinical study, </w:t>
      </w:r>
      <w:proofErr w:type="spellStart"/>
      <w:r>
        <w:t>Ryzodeg</w:t>
      </w:r>
      <w:proofErr w:type="spellEnd"/>
      <w:r>
        <w:t xml:space="preserve"> wi</w:t>
      </w:r>
      <w:r w:rsidR="00FA2F63">
        <w:t>th meal time aspartate was non-</w:t>
      </w:r>
      <w:r w:rsidR="005C5B3E">
        <w:t xml:space="preserve">inferior to </w:t>
      </w:r>
      <w:proofErr w:type="spellStart"/>
      <w:r w:rsidR="005C5B3E">
        <w:t>IDet</w:t>
      </w:r>
      <w:proofErr w:type="spellEnd"/>
      <w:r>
        <w:t>. However, this study may not be representati</w:t>
      </w:r>
      <w:r w:rsidR="00C55882">
        <w:t xml:space="preserve">ve of the setting in Australia </w:t>
      </w:r>
      <w:r>
        <w:t>where the most widely used basal insulin is glargine. In this study</w:t>
      </w:r>
      <w:r w:rsidR="002E2CE6">
        <w:t>,</w:t>
      </w:r>
      <w:r>
        <w:t xml:space="preserve"> meal time aspartate was given as a fixed dose in some subjects, or using a flexible dosing regimen in others. There was a higher rate of severe hypoglycaemia in patients treated with </w:t>
      </w:r>
      <w:proofErr w:type="spellStart"/>
      <w:r>
        <w:t>Ryzodeg</w:t>
      </w:r>
      <w:proofErr w:type="spellEnd"/>
      <w:r>
        <w:t>. Hypoglycaemia generally occurred during the day. Younger patients were more at risk</w:t>
      </w:r>
      <w:r w:rsidR="00F92B65">
        <w:t>.</w:t>
      </w:r>
    </w:p>
    <w:p w14:paraId="22669AD9" w14:textId="77777777" w:rsidR="00F92B65" w:rsidRDefault="00785638" w:rsidP="00C55882">
      <w:r>
        <w:t>Although hypoglycaemia is a well-recognised complication of insulin therapy, it is a serious problem with many adverse short and long term consequence. When managing diabetes, avoiding hypoglycaemia is as important as improving glycaemic control. In the past improving glycaemic control was often associated with an increased risk of hypoglycaemia, however with the advent of more intensive glucose monitoring and the ability to fine tune insulin dosing using analogues and insulin pumps, optimising glycaemic control without increasing the risk of hypoglycaemia is possible</w:t>
      </w:r>
      <w:r w:rsidR="00F92B65">
        <w:t>.</w:t>
      </w:r>
    </w:p>
    <w:p w14:paraId="481D3A04" w14:textId="0D80F1E0" w:rsidR="00F92B65" w:rsidRDefault="00C55882" w:rsidP="00C55882">
      <w:r>
        <w:t>The Delegate a</w:t>
      </w:r>
      <w:r w:rsidR="00785638">
        <w:t>gree</w:t>
      </w:r>
      <w:r>
        <w:t>d</w:t>
      </w:r>
      <w:r w:rsidR="00785638">
        <w:t xml:space="preserve"> with the evaluator that for patients over 6 years, there is satisfactory evidence for the efficacy and safety</w:t>
      </w:r>
      <w:r>
        <w:t xml:space="preserve"> of</w:t>
      </w:r>
      <w:r w:rsidR="00785638">
        <w:t xml:space="preserve"> </w:t>
      </w:r>
      <w:proofErr w:type="spellStart"/>
      <w:r w:rsidR="00785638">
        <w:t>Ryzodeg</w:t>
      </w:r>
      <w:proofErr w:type="spellEnd"/>
      <w:r w:rsidR="00785638">
        <w:t xml:space="preserve"> for the</w:t>
      </w:r>
      <w:r>
        <w:t xml:space="preserve"> treatment of type 1 diabetes and </w:t>
      </w:r>
      <w:r w:rsidR="00785638">
        <w:lastRenderedPageBreak/>
        <w:t>that the risk-benefit in younger children is negative due to the higher risk of hypoglycaemia</w:t>
      </w:r>
      <w:r w:rsidR="00F92B65">
        <w:t>.</w:t>
      </w:r>
    </w:p>
    <w:p w14:paraId="0EE595FF" w14:textId="7594B644" w:rsidR="00785638" w:rsidRDefault="002E2CE6" w:rsidP="00C55882">
      <w:r>
        <w:t xml:space="preserve">The Delegate </w:t>
      </w:r>
      <w:r w:rsidR="00785638">
        <w:t>accept</w:t>
      </w:r>
      <w:r>
        <w:t>ed</w:t>
      </w:r>
      <w:r w:rsidR="00785638">
        <w:t xml:space="preserve"> the extrapolation of PK data from children and adolescents and clinical data from children in T1DM and adults with T2DM to support use in children aged 10 years and older with T2DM.</w:t>
      </w:r>
    </w:p>
    <w:p w14:paraId="6B29DFB1" w14:textId="77777777" w:rsidR="00785638" w:rsidRDefault="00785638" w:rsidP="00C55882">
      <w:pPr>
        <w:pStyle w:val="Heading5"/>
      </w:pPr>
      <w:r>
        <w:t>Cardiovascular safety</w:t>
      </w:r>
    </w:p>
    <w:p w14:paraId="4077768C" w14:textId="161E2E93" w:rsidR="00785638" w:rsidRDefault="00785638" w:rsidP="00C55882">
      <w:r>
        <w:t>The information in the PI around cardiovascular safety should be consistent with that in the recently approve PI document for</w:t>
      </w:r>
      <w:r w:rsidR="00A61D90">
        <w:t xml:space="preserve"> </w:t>
      </w:r>
      <w:proofErr w:type="spellStart"/>
      <w:r w:rsidR="00A61D90">
        <w:t>Tresiba</w:t>
      </w:r>
      <w:proofErr w:type="spellEnd"/>
      <w:r w:rsidR="00A61D90">
        <w:t xml:space="preserve"> </w:t>
      </w:r>
      <w:r w:rsidR="00024A48">
        <w:t>FlexT</w:t>
      </w:r>
      <w:r w:rsidR="00A61D90">
        <w:t>ouch</w:t>
      </w:r>
      <w:r w:rsidR="00024A48">
        <w:t xml:space="preserve"> and </w:t>
      </w:r>
      <w:proofErr w:type="spellStart"/>
      <w:r w:rsidR="00024A48">
        <w:t>Tresiba</w:t>
      </w:r>
      <w:proofErr w:type="spellEnd"/>
      <w:r w:rsidR="00024A48">
        <w:t xml:space="preserve"> </w:t>
      </w:r>
      <w:proofErr w:type="spellStart"/>
      <w:r w:rsidR="00024A48">
        <w:t>P</w:t>
      </w:r>
      <w:r w:rsidR="00A61D90">
        <w:t>enfill</w:t>
      </w:r>
      <w:proofErr w:type="spellEnd"/>
      <w:r w:rsidR="00A61D90">
        <w:t>.</w:t>
      </w:r>
    </w:p>
    <w:p w14:paraId="3F62D717" w14:textId="651A9EF4" w:rsidR="00C55882" w:rsidRDefault="00C55882" w:rsidP="00C55882">
      <w:pPr>
        <w:pStyle w:val="Heading5"/>
      </w:pPr>
      <w:r>
        <w:t>Risk management plan</w:t>
      </w:r>
    </w:p>
    <w:p w14:paraId="6E1665D6" w14:textId="77664B58" w:rsidR="00F92B65" w:rsidRPr="00C55882" w:rsidRDefault="00C55882" w:rsidP="00C55882">
      <w:r>
        <w:t xml:space="preserve">The Delegate </w:t>
      </w:r>
      <w:r w:rsidR="00785638" w:rsidRPr="00C55882">
        <w:t>agree</w:t>
      </w:r>
      <w:r>
        <w:t>d</w:t>
      </w:r>
      <w:r w:rsidR="00785638" w:rsidRPr="00C55882">
        <w:t xml:space="preserve"> with the RMP evaluator that hypoglycaemia should be included in the ASA and that PSUR be submitted</w:t>
      </w:r>
      <w:r w:rsidR="00F92B65" w:rsidRPr="00C55882">
        <w:t>.</w:t>
      </w:r>
    </w:p>
    <w:p w14:paraId="3A7AAE5C" w14:textId="179DC429" w:rsidR="00AE74E1" w:rsidRDefault="004B377F" w:rsidP="004B377F">
      <w:r>
        <w:t>The Delegate was</w:t>
      </w:r>
      <w:r w:rsidR="00785638">
        <w:t xml:space="preserve"> unsure if there is adequate information about the co-administration of GLP-1 agonists with </w:t>
      </w:r>
      <w:proofErr w:type="spellStart"/>
      <w:r w:rsidR="00785638">
        <w:t>IDegAsp</w:t>
      </w:r>
      <w:proofErr w:type="spellEnd"/>
      <w:r w:rsidR="00785638">
        <w:t xml:space="preserve"> to remove this from the RMP</w:t>
      </w:r>
      <w:r w:rsidR="00F92B65">
        <w:t>.</w:t>
      </w:r>
    </w:p>
    <w:p w14:paraId="1A7B2540" w14:textId="09C9912D" w:rsidR="00AE74E1" w:rsidRDefault="00AE74E1" w:rsidP="00AE74E1">
      <w:pPr>
        <w:pStyle w:val="Heading6"/>
      </w:pPr>
      <w:r>
        <w:t>Question</w:t>
      </w:r>
    </w:p>
    <w:p w14:paraId="0B694ADB" w14:textId="7275FF07" w:rsidR="00AE74E1" w:rsidRPr="007A6487" w:rsidRDefault="00696898" w:rsidP="00A61D90">
      <w:pPr>
        <w:pStyle w:val="Numberbullet0"/>
        <w:rPr>
          <w:rStyle w:val="Hyperlink"/>
          <w:color w:val="auto"/>
        </w:rPr>
      </w:pPr>
      <w:r>
        <w:t xml:space="preserve">Both insulin </w:t>
      </w:r>
      <w:proofErr w:type="spellStart"/>
      <w:r>
        <w:t>aspart</w:t>
      </w:r>
      <w:proofErr w:type="spellEnd"/>
      <w:r>
        <w:t xml:space="preserve"> and GLP-1 agonist reduce post prandial BGLs. What is the risk of hypoglycaemia when these agents are used together? Does there need to be additional information in the PI for prescribers to adequately adjust doses when these agents are used together.</w:t>
      </w:r>
    </w:p>
    <w:p w14:paraId="71BAA46D" w14:textId="1D6F1414" w:rsidR="009B2FE1" w:rsidRPr="007A6487" w:rsidRDefault="009B2FE1" w:rsidP="00696898">
      <w:pPr>
        <w:pStyle w:val="Heading6"/>
      </w:pPr>
      <w:r w:rsidRPr="007A6487">
        <w:t>Sponsor’s response</w:t>
      </w:r>
    </w:p>
    <w:p w14:paraId="5B3966AB" w14:textId="680D03ED" w:rsidR="009B2FE1" w:rsidRDefault="00C67B02" w:rsidP="009B2FE1">
      <w:r>
        <w:t>The sponsor</w:t>
      </w:r>
      <w:r w:rsidR="009B2FE1">
        <w:t xml:space="preserve"> acknowledges the </w:t>
      </w:r>
      <w:r>
        <w:t xml:space="preserve">TGA’s </w:t>
      </w:r>
      <w:r w:rsidR="009B2FE1">
        <w:t xml:space="preserve">relevant question regarding the risk of hypoglycaemia when co-administering insulin </w:t>
      </w:r>
      <w:proofErr w:type="spellStart"/>
      <w:r w:rsidR="009B2FE1">
        <w:t>aspart</w:t>
      </w:r>
      <w:proofErr w:type="spellEnd"/>
      <w:r w:rsidR="009B2FE1">
        <w:t xml:space="preserve"> (bolus insulin) and GLP-1 </w:t>
      </w:r>
      <w:r w:rsidR="00696898">
        <w:t>receptor agonists (</w:t>
      </w:r>
      <w:r w:rsidR="009B2FE1">
        <w:t>RAs</w:t>
      </w:r>
      <w:r w:rsidR="00696898">
        <w:t>)</w:t>
      </w:r>
      <w:r w:rsidR="009B2FE1">
        <w:t>.</w:t>
      </w:r>
    </w:p>
    <w:p w14:paraId="4424827E" w14:textId="4623DC72" w:rsidR="009B2FE1" w:rsidRDefault="009B2FE1" w:rsidP="009B2FE1">
      <w:r>
        <w:t>At present, a limited number of studies have investigated the benefits of co-administration of bolus alone or bolus containing insulin regimen and GLP-1 RA to enable the subsequent evaluation of complete risk of hypoglycaemia.</w:t>
      </w:r>
      <w:bookmarkStart w:id="57" w:name="_Ref42604531"/>
      <w:r w:rsidR="004917FA">
        <w:rPr>
          <w:rStyle w:val="FootnoteReference"/>
        </w:rPr>
        <w:footnoteReference w:id="13"/>
      </w:r>
      <w:bookmarkEnd w:id="57"/>
    </w:p>
    <w:p w14:paraId="47AEE37B" w14:textId="6B47FA1E" w:rsidR="009B2FE1" w:rsidRDefault="009B2FE1" w:rsidP="009B2FE1">
      <w:proofErr w:type="spellStart"/>
      <w:r>
        <w:t>NovoMix</w:t>
      </w:r>
      <w:proofErr w:type="spellEnd"/>
      <w:r>
        <w:rPr>
          <w:sz w:val="16"/>
          <w:szCs w:val="16"/>
        </w:rPr>
        <w:t xml:space="preserve"> </w:t>
      </w:r>
      <w:r>
        <w:t xml:space="preserve">30, a biphasic insulin </w:t>
      </w:r>
      <w:proofErr w:type="spellStart"/>
      <w:r>
        <w:t>aspart</w:t>
      </w:r>
      <w:proofErr w:type="spellEnd"/>
      <w:r>
        <w:t xml:space="preserve">, (Novo Nordisk insulin </w:t>
      </w:r>
      <w:proofErr w:type="spellStart"/>
      <w:r>
        <w:t>aspart</w:t>
      </w:r>
      <w:proofErr w:type="spellEnd"/>
      <w:r>
        <w:t xml:space="preserve"> marketed formulation) in combination with </w:t>
      </w:r>
      <w:r w:rsidRPr="007A6487">
        <w:t>GLP-1 RAs has been approved for the treatment of T2DM in the EU, in 2019, based on the data from the LEADER trial (Trial 3748) as well as from the published real-world evidence studies where premix insulin was use</w:t>
      </w:r>
      <w:r w:rsidR="00696898" w:rsidRPr="007A6487">
        <w:t>d in combination with GLP-1 RAs</w:t>
      </w:r>
      <w:r w:rsidR="002C2C79" w:rsidRPr="007A6487">
        <w:t>.</w:t>
      </w:r>
      <w:r w:rsidR="004917FA" w:rsidRPr="002C2C79">
        <w:rPr>
          <w:vertAlign w:val="superscript"/>
        </w:rPr>
        <w:footnoteReference w:id="14"/>
      </w:r>
      <w:r w:rsidR="004917FA" w:rsidRPr="002C2C79">
        <w:rPr>
          <w:vertAlign w:val="superscript"/>
        </w:rPr>
        <w:t>,</w:t>
      </w:r>
      <w:r w:rsidR="004917FA" w:rsidRPr="002C2C79">
        <w:rPr>
          <w:vertAlign w:val="superscript"/>
        </w:rPr>
        <w:footnoteReference w:id="15"/>
      </w:r>
      <w:r w:rsidR="004917FA" w:rsidRPr="002C2C79">
        <w:rPr>
          <w:vertAlign w:val="superscript"/>
        </w:rPr>
        <w:t>,</w:t>
      </w:r>
      <w:r w:rsidR="004917FA" w:rsidRPr="002C2C79">
        <w:rPr>
          <w:vertAlign w:val="superscript"/>
        </w:rPr>
        <w:footnoteReference w:id="16"/>
      </w:r>
      <w:r w:rsidR="004917FA" w:rsidRPr="002C2C79">
        <w:rPr>
          <w:vertAlign w:val="superscript"/>
        </w:rPr>
        <w:t>,</w:t>
      </w:r>
      <w:r w:rsidR="004917FA" w:rsidRPr="002C2C79">
        <w:rPr>
          <w:vertAlign w:val="superscript"/>
        </w:rPr>
        <w:footnoteReference w:id="17"/>
      </w:r>
    </w:p>
    <w:p w14:paraId="1B59B902" w14:textId="34165304" w:rsidR="009B2FE1" w:rsidRDefault="009B2FE1" w:rsidP="009B2FE1">
      <w:r>
        <w:t>Davies et al., in 2016</w:t>
      </w:r>
      <w:r w:rsidR="00AF0C25">
        <w:t>;</w:t>
      </w:r>
      <w:r w:rsidR="002C2C79" w:rsidRPr="002C2C79">
        <w:rPr>
          <w:vertAlign w:val="superscript"/>
        </w:rPr>
        <w:fldChar w:fldCharType="begin"/>
      </w:r>
      <w:r w:rsidR="002C2C79" w:rsidRPr="002C2C79">
        <w:rPr>
          <w:vertAlign w:val="superscript"/>
        </w:rPr>
        <w:instrText xml:space="preserve"> NOTEREF _Ref42604531 \h </w:instrText>
      </w:r>
      <w:r w:rsidR="002C2C79">
        <w:rPr>
          <w:vertAlign w:val="superscript"/>
        </w:rPr>
        <w:instrText xml:space="preserve"> \* MERGEFORMAT </w:instrText>
      </w:r>
      <w:r w:rsidR="002C2C79" w:rsidRPr="002C2C79">
        <w:rPr>
          <w:vertAlign w:val="superscript"/>
        </w:rPr>
      </w:r>
      <w:r w:rsidR="002C2C79" w:rsidRPr="002C2C79">
        <w:rPr>
          <w:vertAlign w:val="superscript"/>
        </w:rPr>
        <w:fldChar w:fldCharType="separate"/>
      </w:r>
      <w:r w:rsidR="00500CE0">
        <w:rPr>
          <w:vertAlign w:val="superscript"/>
        </w:rPr>
        <w:t>13</w:t>
      </w:r>
      <w:r w:rsidR="002C2C79" w:rsidRPr="002C2C79">
        <w:rPr>
          <w:vertAlign w:val="superscript"/>
        </w:rPr>
        <w:fldChar w:fldCharType="end"/>
      </w:r>
      <w:r>
        <w:t xml:space="preserve"> reviewed eight studies (6 observational and 2 randomised trials) involving a combination of a GLP-1 RA and an insulin regimen, including bolus insulin. As expected from the pharmacological properties of GLP-1 RA, the use of GLP-1 RA in connection with insulin (basal or basal and bolus/pre-mix or bolus) was associated with a decrease in insulin requirements, improved glycaemic control, improved glycaemic variability, decreased risk of hypoglycaemia, including nocturnal and severe hypoglycaemic and induced weight loss.</w:t>
      </w:r>
      <w:r w:rsidR="00725C46" w:rsidRPr="00725C46">
        <w:rPr>
          <w:vertAlign w:val="superscript"/>
        </w:rPr>
        <w:fldChar w:fldCharType="begin"/>
      </w:r>
      <w:r w:rsidR="00725C46" w:rsidRPr="00725C46">
        <w:rPr>
          <w:vertAlign w:val="superscript"/>
        </w:rPr>
        <w:instrText xml:space="preserve"> NOTEREF _Ref42604531 \h </w:instrText>
      </w:r>
      <w:r w:rsidR="00725C46">
        <w:rPr>
          <w:vertAlign w:val="superscript"/>
        </w:rPr>
        <w:instrText xml:space="preserve"> \* MERGEFORMAT </w:instrText>
      </w:r>
      <w:r w:rsidR="00725C46" w:rsidRPr="00725C46">
        <w:rPr>
          <w:vertAlign w:val="superscript"/>
        </w:rPr>
      </w:r>
      <w:r w:rsidR="00725C46" w:rsidRPr="00725C46">
        <w:rPr>
          <w:vertAlign w:val="superscript"/>
        </w:rPr>
        <w:fldChar w:fldCharType="separate"/>
      </w:r>
      <w:r w:rsidR="00500CE0">
        <w:rPr>
          <w:vertAlign w:val="superscript"/>
        </w:rPr>
        <w:t>13</w:t>
      </w:r>
      <w:r w:rsidR="00725C46" w:rsidRPr="00725C46">
        <w:rPr>
          <w:vertAlign w:val="superscript"/>
        </w:rPr>
        <w:fldChar w:fldCharType="end"/>
      </w:r>
    </w:p>
    <w:p w14:paraId="5C1B349A" w14:textId="76651976" w:rsidR="009B2FE1" w:rsidRDefault="009B2FE1" w:rsidP="009B2FE1">
      <w:r>
        <w:lastRenderedPageBreak/>
        <w:t>In one of the reported studies, few subjects on insulin intensive therapy on U-500 insulin</w:t>
      </w:r>
      <w:r w:rsidR="00E81B8F">
        <w:t>;</w:t>
      </w:r>
      <w:r w:rsidR="00E81B8F">
        <w:rPr>
          <w:rStyle w:val="FootnoteReference"/>
        </w:rPr>
        <w:footnoteReference w:id="18"/>
      </w:r>
      <w:r>
        <w:t xml:space="preserve"> experienced hypoglycaemic episodes soon after initiation of GLP-1 RA</w:t>
      </w:r>
      <w:r w:rsidR="008F11EF">
        <w:t>,</w:t>
      </w:r>
      <w:r>
        <w:t xml:space="preserve"> thus emphasising the need for insulin dose reductions when starting a GLP-1 RA. None of these episodes were defined as severe or required assistance.</w:t>
      </w:r>
      <w:r w:rsidR="00725C46" w:rsidRPr="00725C46">
        <w:rPr>
          <w:sz w:val="16"/>
          <w:szCs w:val="16"/>
          <w:vertAlign w:val="superscript"/>
        </w:rPr>
        <w:fldChar w:fldCharType="begin"/>
      </w:r>
      <w:r w:rsidR="00725C46" w:rsidRPr="00725C46">
        <w:rPr>
          <w:vertAlign w:val="superscript"/>
        </w:rPr>
        <w:instrText xml:space="preserve"> NOTEREF _Ref42604531 \h </w:instrText>
      </w:r>
      <w:r w:rsidR="00725C46">
        <w:rPr>
          <w:sz w:val="16"/>
          <w:szCs w:val="16"/>
          <w:vertAlign w:val="superscript"/>
        </w:rPr>
        <w:instrText xml:space="preserve"> \* MERGEFORMAT </w:instrText>
      </w:r>
      <w:r w:rsidR="00725C46" w:rsidRPr="00725C46">
        <w:rPr>
          <w:sz w:val="16"/>
          <w:szCs w:val="16"/>
          <w:vertAlign w:val="superscript"/>
        </w:rPr>
      </w:r>
      <w:r w:rsidR="00725C46" w:rsidRPr="00725C46">
        <w:rPr>
          <w:sz w:val="16"/>
          <w:szCs w:val="16"/>
          <w:vertAlign w:val="superscript"/>
        </w:rPr>
        <w:fldChar w:fldCharType="separate"/>
      </w:r>
      <w:r w:rsidR="00500CE0">
        <w:rPr>
          <w:vertAlign w:val="superscript"/>
        </w:rPr>
        <w:t>13</w:t>
      </w:r>
      <w:r w:rsidR="00725C46" w:rsidRPr="00725C46">
        <w:rPr>
          <w:sz w:val="16"/>
          <w:szCs w:val="16"/>
          <w:vertAlign w:val="superscript"/>
        </w:rPr>
        <w:fldChar w:fldCharType="end"/>
      </w:r>
    </w:p>
    <w:p w14:paraId="1ABDDE9A" w14:textId="60DF15FE" w:rsidR="009B2FE1" w:rsidRDefault="009B2FE1" w:rsidP="009B2FE1">
      <w:r>
        <w:t>In the trials and reports where GLP-1 RAs have been added to the existing basal-bolus therapy, bolus insulin was discontinued in some subjects, due to the complementary mechanism of GLP-1 RA, leading to lower hypoglycaemia and contributing weight loss.</w:t>
      </w:r>
      <w:r w:rsidR="00903E12" w:rsidRPr="00903E12">
        <w:rPr>
          <w:sz w:val="16"/>
          <w:szCs w:val="16"/>
          <w:vertAlign w:val="superscript"/>
        </w:rPr>
        <w:fldChar w:fldCharType="begin"/>
      </w:r>
      <w:r w:rsidR="00903E12" w:rsidRPr="00903E12">
        <w:rPr>
          <w:vertAlign w:val="superscript"/>
        </w:rPr>
        <w:instrText xml:space="preserve"> NOTEREF _Ref42604531 \h </w:instrText>
      </w:r>
      <w:r w:rsidR="00903E12">
        <w:rPr>
          <w:sz w:val="16"/>
          <w:szCs w:val="16"/>
          <w:vertAlign w:val="superscript"/>
        </w:rPr>
        <w:instrText xml:space="preserve"> \* MERGEFORMAT </w:instrText>
      </w:r>
      <w:r w:rsidR="00903E12" w:rsidRPr="00903E12">
        <w:rPr>
          <w:sz w:val="16"/>
          <w:szCs w:val="16"/>
          <w:vertAlign w:val="superscript"/>
        </w:rPr>
      </w:r>
      <w:r w:rsidR="00903E12" w:rsidRPr="00903E12">
        <w:rPr>
          <w:sz w:val="16"/>
          <w:szCs w:val="16"/>
          <w:vertAlign w:val="superscript"/>
        </w:rPr>
        <w:fldChar w:fldCharType="separate"/>
      </w:r>
      <w:r w:rsidR="00066A82">
        <w:rPr>
          <w:vertAlign w:val="superscript"/>
        </w:rPr>
        <w:t>13</w:t>
      </w:r>
      <w:r w:rsidR="00903E12" w:rsidRPr="00903E12">
        <w:rPr>
          <w:sz w:val="16"/>
          <w:szCs w:val="16"/>
          <w:vertAlign w:val="superscript"/>
        </w:rPr>
        <w:fldChar w:fldCharType="end"/>
      </w:r>
    </w:p>
    <w:p w14:paraId="71D2913D" w14:textId="0274D03F" w:rsidR="009B2FE1" w:rsidRDefault="009B2FE1" w:rsidP="007A6487">
      <w:r>
        <w:t xml:space="preserve">As communicated in the previous response document, only 14 global cases of </w:t>
      </w:r>
      <w:proofErr w:type="spellStart"/>
      <w:r>
        <w:t>Ryzodeg</w:t>
      </w:r>
      <w:proofErr w:type="spellEnd"/>
      <w:r>
        <w:rPr>
          <w:sz w:val="16"/>
          <w:szCs w:val="16"/>
        </w:rPr>
        <w:t xml:space="preserve"> </w:t>
      </w:r>
      <w:r>
        <w:t xml:space="preserve">70/30 in combination with GLP-RAs have been reported in the </w:t>
      </w:r>
      <w:r w:rsidR="008F11EF">
        <w:t>sponsor</w:t>
      </w:r>
      <w:r>
        <w:t xml:space="preserve"> safety database from the cumulative post-marketing data.</w:t>
      </w:r>
    </w:p>
    <w:p w14:paraId="58F8D0E5" w14:textId="5C27567D" w:rsidR="009B2FE1" w:rsidRDefault="009B2FE1" w:rsidP="007A6487">
      <w:r>
        <w:t xml:space="preserve">Dosage and administration section of the Australian PI also clearly describes how </w:t>
      </w:r>
      <w:proofErr w:type="spellStart"/>
      <w:r>
        <w:t>Ryzodeg</w:t>
      </w:r>
      <w:proofErr w:type="spellEnd"/>
      <w:r>
        <w:rPr>
          <w:sz w:val="16"/>
          <w:szCs w:val="16"/>
        </w:rPr>
        <w:t xml:space="preserve"> </w:t>
      </w:r>
      <w:r>
        <w:t>70/30 in diabetes mellitus should be used.</w:t>
      </w:r>
      <w:bookmarkStart w:id="58" w:name="_Ref42605179"/>
      <w:r w:rsidR="00725C46">
        <w:rPr>
          <w:rStyle w:val="FootnoteReference"/>
          <w:sz w:val="23"/>
          <w:szCs w:val="23"/>
        </w:rPr>
        <w:footnoteReference w:id="19"/>
      </w:r>
      <w:bookmarkEnd w:id="58"/>
      <w:r>
        <w:rPr>
          <w:sz w:val="16"/>
          <w:szCs w:val="16"/>
        </w:rPr>
        <w:t xml:space="preserve"> </w:t>
      </w:r>
      <w:r>
        <w:t xml:space="preserve">Additionally, </w:t>
      </w:r>
      <w:proofErr w:type="spellStart"/>
      <w:r>
        <w:t>Ryzodeg</w:t>
      </w:r>
      <w:proofErr w:type="spellEnd"/>
      <w:r>
        <w:rPr>
          <w:sz w:val="16"/>
          <w:szCs w:val="16"/>
        </w:rPr>
        <w:t xml:space="preserve"> </w:t>
      </w:r>
      <w:r>
        <w:t xml:space="preserve">70/30, insulin </w:t>
      </w:r>
      <w:proofErr w:type="spellStart"/>
      <w:r>
        <w:t>aspart</w:t>
      </w:r>
      <w:proofErr w:type="spellEnd"/>
      <w:r>
        <w:t xml:space="preserve"> and GLP-1 RAs are</w:t>
      </w:r>
      <w:r w:rsidR="00696898">
        <w:t xml:space="preserve"> provided by prescription only.</w:t>
      </w:r>
    </w:p>
    <w:p w14:paraId="28C15B2C" w14:textId="7CBD321C" w:rsidR="009B2FE1" w:rsidRPr="00AE74E1" w:rsidRDefault="009B2FE1" w:rsidP="007A6487">
      <w:r>
        <w:t>In conclusion, co-administration of bolus insulin (as part of basal and bolus regimen/pre-mix insulin or bolus alone) with GLP-1 RA has been reported to decrease insulin requirements, improve glycaemic control and decrease risk of hypoglycaemia among other benefits.</w:t>
      </w:r>
      <w:r w:rsidR="00B0118A" w:rsidRPr="00B0118A">
        <w:rPr>
          <w:vertAlign w:val="superscript"/>
        </w:rPr>
        <w:fldChar w:fldCharType="begin"/>
      </w:r>
      <w:r w:rsidR="00B0118A" w:rsidRPr="00B0118A">
        <w:rPr>
          <w:vertAlign w:val="superscript"/>
        </w:rPr>
        <w:instrText xml:space="preserve"> NOTEREF _Ref42604531 \h </w:instrText>
      </w:r>
      <w:r w:rsidR="00B0118A">
        <w:rPr>
          <w:vertAlign w:val="superscript"/>
        </w:rPr>
        <w:instrText xml:space="preserve"> \* MERGEFORMAT </w:instrText>
      </w:r>
      <w:r w:rsidR="00B0118A" w:rsidRPr="00B0118A">
        <w:rPr>
          <w:vertAlign w:val="superscript"/>
        </w:rPr>
      </w:r>
      <w:r w:rsidR="00B0118A" w:rsidRPr="00B0118A">
        <w:rPr>
          <w:vertAlign w:val="superscript"/>
        </w:rPr>
        <w:fldChar w:fldCharType="separate"/>
      </w:r>
      <w:r w:rsidR="00066A82">
        <w:rPr>
          <w:vertAlign w:val="superscript"/>
        </w:rPr>
        <w:t>13</w:t>
      </w:r>
      <w:r w:rsidR="00B0118A" w:rsidRPr="00B0118A">
        <w:rPr>
          <w:vertAlign w:val="superscript"/>
        </w:rPr>
        <w:fldChar w:fldCharType="end"/>
      </w:r>
      <w:r>
        <w:rPr>
          <w:sz w:val="16"/>
          <w:szCs w:val="16"/>
        </w:rPr>
        <w:t xml:space="preserve"> </w:t>
      </w:r>
      <w:r>
        <w:t xml:space="preserve">In view of these effects, the Australian PI for </w:t>
      </w:r>
      <w:proofErr w:type="spellStart"/>
      <w:r>
        <w:t>Ryzodeg</w:t>
      </w:r>
      <w:proofErr w:type="spellEnd"/>
      <w:r>
        <w:rPr>
          <w:sz w:val="16"/>
          <w:szCs w:val="16"/>
        </w:rPr>
        <w:t xml:space="preserve"> </w:t>
      </w:r>
      <w:r>
        <w:t>70/30 includes information to the prescribers about the risk of hypoglycaemia and the possible need for dose reductions and increased frequency of glucose monitoring when combined with GLP</w:t>
      </w:r>
      <w:r w:rsidR="003E6096">
        <w:noBreakHyphen/>
      </w:r>
      <w:r>
        <w:t>1 RAs.</w:t>
      </w:r>
      <w:r w:rsidR="009F5F82" w:rsidRPr="009F5F82">
        <w:rPr>
          <w:vertAlign w:val="superscript"/>
        </w:rPr>
        <w:fldChar w:fldCharType="begin"/>
      </w:r>
      <w:r w:rsidR="009F5F82" w:rsidRPr="009F5F82">
        <w:rPr>
          <w:vertAlign w:val="superscript"/>
        </w:rPr>
        <w:instrText xml:space="preserve"> NOTEREF _Ref42605179 \h </w:instrText>
      </w:r>
      <w:r w:rsidR="009F5F82">
        <w:rPr>
          <w:vertAlign w:val="superscript"/>
        </w:rPr>
        <w:instrText xml:space="preserve"> \* MERGEFORMAT </w:instrText>
      </w:r>
      <w:r w:rsidR="009F5F82" w:rsidRPr="009F5F82">
        <w:rPr>
          <w:vertAlign w:val="superscript"/>
        </w:rPr>
      </w:r>
      <w:r w:rsidR="009F5F82" w:rsidRPr="009F5F82">
        <w:rPr>
          <w:vertAlign w:val="superscript"/>
        </w:rPr>
        <w:fldChar w:fldCharType="separate"/>
      </w:r>
      <w:r w:rsidR="00500CE0">
        <w:rPr>
          <w:vertAlign w:val="superscript"/>
        </w:rPr>
        <w:t>19</w:t>
      </w:r>
      <w:r w:rsidR="009F5F82" w:rsidRPr="009F5F82">
        <w:rPr>
          <w:vertAlign w:val="superscript"/>
        </w:rPr>
        <w:fldChar w:fldCharType="end"/>
      </w:r>
      <w:r>
        <w:rPr>
          <w:sz w:val="16"/>
          <w:szCs w:val="16"/>
        </w:rPr>
        <w:t xml:space="preserve"> </w:t>
      </w:r>
      <w:r>
        <w:t>Further, the risk mitigation activities are considered adequate and no changes to the PI are required.</w:t>
      </w:r>
    </w:p>
    <w:p w14:paraId="2EFF5A55" w14:textId="3FAD1377" w:rsidR="008E7846" w:rsidRDefault="008E7846" w:rsidP="008E7846">
      <w:pPr>
        <w:pStyle w:val="Heading4"/>
      </w:pPr>
      <w:r>
        <w:t xml:space="preserve">Advisory Committee </w:t>
      </w:r>
      <w:r w:rsidR="008F11EF">
        <w:t>c</w:t>
      </w:r>
      <w:r>
        <w:t>onsiderations</w:t>
      </w:r>
      <w:r w:rsidR="00456765">
        <w:rPr>
          <w:rStyle w:val="FootnoteReference"/>
        </w:rPr>
        <w:footnoteReference w:id="20"/>
      </w:r>
    </w:p>
    <w:p w14:paraId="29D880DB" w14:textId="5768B2EA" w:rsidR="00456765" w:rsidRPr="00A322B3" w:rsidRDefault="00456765" w:rsidP="008E7846">
      <w:r>
        <w:rPr>
          <w:bCs/>
        </w:rPr>
        <w:t>The Delegate did not refer this application to the Advisory Committee on Medicines (ACM) for advice.</w:t>
      </w:r>
    </w:p>
    <w:p w14:paraId="71D4258D" w14:textId="77777777" w:rsidR="008E7846" w:rsidRPr="002E238E" w:rsidRDefault="008E7846" w:rsidP="008E7846">
      <w:pPr>
        <w:pStyle w:val="Heading3"/>
      </w:pPr>
      <w:bookmarkStart w:id="59" w:name="_Toc247691532"/>
      <w:bookmarkStart w:id="60" w:name="_Toc314842516"/>
      <w:bookmarkStart w:id="61" w:name="_Toc47446846"/>
      <w:bookmarkEnd w:id="31"/>
      <w:bookmarkEnd w:id="54"/>
      <w:bookmarkEnd w:id="55"/>
      <w:r>
        <w:t>Outcome</w:t>
      </w:r>
      <w:bookmarkEnd w:id="59"/>
      <w:bookmarkEnd w:id="60"/>
      <w:bookmarkEnd w:id="61"/>
    </w:p>
    <w:p w14:paraId="72B183D0" w14:textId="21D98A36" w:rsidR="00D23139" w:rsidRPr="00D23139" w:rsidRDefault="00D23139" w:rsidP="00D23139">
      <w:bookmarkStart w:id="62" w:name="_Toc247691533"/>
      <w:bookmarkStart w:id="63" w:name="_Toc314842517"/>
      <w:r w:rsidRPr="00D23139">
        <w:t xml:space="preserve">Based on a review of quality, safety and efficacy, </w:t>
      </w:r>
      <w:r w:rsidR="00553D3B">
        <w:t xml:space="preserve">the </w:t>
      </w:r>
      <w:r w:rsidRPr="00D23139">
        <w:t xml:space="preserve">TGA approved the registration of </w:t>
      </w:r>
      <w:proofErr w:type="spellStart"/>
      <w:r w:rsidR="003E6096">
        <w:t>Ryzodeg</w:t>
      </w:r>
      <w:proofErr w:type="spellEnd"/>
      <w:r w:rsidR="003E6096">
        <w:t xml:space="preserve"> 70/30 </w:t>
      </w:r>
      <w:r w:rsidR="00024A48">
        <w:t>FlexTouch</w:t>
      </w:r>
      <w:r w:rsidR="00785638">
        <w:t xml:space="preserve"> 70% insulin </w:t>
      </w:r>
      <w:proofErr w:type="spellStart"/>
      <w:r w:rsidR="00785638">
        <w:t>degludec</w:t>
      </w:r>
      <w:proofErr w:type="spellEnd"/>
      <w:r w:rsidR="00785638">
        <w:t xml:space="preserve"> (</w:t>
      </w:r>
      <w:proofErr w:type="spellStart"/>
      <w:r w:rsidR="00785638">
        <w:t>rys</w:t>
      </w:r>
      <w:proofErr w:type="spellEnd"/>
      <w:r w:rsidR="00785638">
        <w:t xml:space="preserve">) / 30% insulin </w:t>
      </w:r>
      <w:proofErr w:type="spellStart"/>
      <w:r w:rsidR="00785638">
        <w:t>a</w:t>
      </w:r>
      <w:r w:rsidR="007A64EF">
        <w:t>spart</w:t>
      </w:r>
      <w:proofErr w:type="spellEnd"/>
      <w:r w:rsidR="007A64EF">
        <w:t xml:space="preserve"> (</w:t>
      </w:r>
      <w:proofErr w:type="spellStart"/>
      <w:r w:rsidR="007A64EF">
        <w:t>rys</w:t>
      </w:r>
      <w:proofErr w:type="spellEnd"/>
      <w:r w:rsidR="007A64EF">
        <w:t xml:space="preserve">) 100 U/mL </w:t>
      </w:r>
      <w:r w:rsidR="007A64EF" w:rsidRPr="00D23139">
        <w:t xml:space="preserve">for </w:t>
      </w:r>
      <w:r w:rsidR="007A64EF">
        <w:t>solution f</w:t>
      </w:r>
      <w:r w:rsidR="003E6096">
        <w:t xml:space="preserve">or injection and </w:t>
      </w:r>
      <w:proofErr w:type="spellStart"/>
      <w:r w:rsidR="003E6096">
        <w:t>Ryzodeg</w:t>
      </w:r>
      <w:proofErr w:type="spellEnd"/>
      <w:r w:rsidR="003E6096">
        <w:t xml:space="preserve"> 70/30 </w:t>
      </w:r>
      <w:proofErr w:type="spellStart"/>
      <w:r w:rsidR="00024A48">
        <w:t>Penfill</w:t>
      </w:r>
      <w:proofErr w:type="spellEnd"/>
      <w:r w:rsidR="00785638">
        <w:t xml:space="preserve"> 70% insulin </w:t>
      </w:r>
      <w:proofErr w:type="spellStart"/>
      <w:r w:rsidR="00785638">
        <w:t>degludec</w:t>
      </w:r>
      <w:proofErr w:type="spellEnd"/>
      <w:r w:rsidR="00785638">
        <w:t xml:space="preserve"> (</w:t>
      </w:r>
      <w:proofErr w:type="spellStart"/>
      <w:r w:rsidR="00785638">
        <w:t>rys</w:t>
      </w:r>
      <w:proofErr w:type="spellEnd"/>
      <w:r w:rsidR="00785638">
        <w:t xml:space="preserve">) / 30% insulin </w:t>
      </w:r>
      <w:proofErr w:type="spellStart"/>
      <w:r w:rsidR="00785638">
        <w:t>aspart</w:t>
      </w:r>
      <w:proofErr w:type="spellEnd"/>
      <w:r w:rsidR="00785638">
        <w:t xml:space="preserve"> (</w:t>
      </w:r>
      <w:proofErr w:type="spellStart"/>
      <w:r w:rsidR="00785638">
        <w:t>rys</w:t>
      </w:r>
      <w:proofErr w:type="spellEnd"/>
      <w:r w:rsidR="00785638">
        <w:t xml:space="preserve">) 100 U/mL </w:t>
      </w:r>
      <w:r w:rsidRPr="00D23139">
        <w:t xml:space="preserve">for </w:t>
      </w:r>
      <w:r w:rsidR="00785638">
        <w:t>solution for injection</w:t>
      </w:r>
      <w:r w:rsidR="007A64EF">
        <w:t xml:space="preserve"> for the fo</w:t>
      </w:r>
      <w:r w:rsidR="00AF1C36">
        <w:t>llowing extension of indication</w:t>
      </w:r>
      <w:r w:rsidRPr="00D23139">
        <w:t>:</w:t>
      </w:r>
    </w:p>
    <w:p w14:paraId="5D0B54DA" w14:textId="20BEE208" w:rsidR="00D23139" w:rsidRDefault="00785638" w:rsidP="007A64EF">
      <w:pPr>
        <w:ind w:left="720"/>
        <w:rPr>
          <w:i/>
        </w:rPr>
      </w:pPr>
      <w:r w:rsidRPr="007A64EF">
        <w:rPr>
          <w:i/>
        </w:rPr>
        <w:t>For use in diabetes mellitus in adolescents and children aged 6 years and older</w:t>
      </w:r>
      <w:r w:rsidR="007A64EF">
        <w:rPr>
          <w:i/>
        </w:rPr>
        <w:t>.</w:t>
      </w:r>
    </w:p>
    <w:p w14:paraId="55F20E64" w14:textId="2DC1C1CE" w:rsidR="007A64EF" w:rsidRPr="007A64EF" w:rsidRDefault="00AF1C36" w:rsidP="007A64EF">
      <w:r>
        <w:t xml:space="preserve">As such, </w:t>
      </w:r>
      <w:r w:rsidRPr="0039626C">
        <w:rPr>
          <w:b/>
        </w:rPr>
        <w:t>the full indication</w:t>
      </w:r>
      <w:r w:rsidR="008F11EF">
        <w:rPr>
          <w:b/>
        </w:rPr>
        <w:t>s</w:t>
      </w:r>
      <w:r w:rsidR="0039626C">
        <w:t xml:space="preserve"> are now</w:t>
      </w:r>
      <w:r w:rsidR="007A64EF" w:rsidRPr="007A64EF">
        <w:t>:</w:t>
      </w:r>
    </w:p>
    <w:p w14:paraId="520491A4" w14:textId="2979AE81" w:rsidR="007A64EF" w:rsidRPr="007A64EF" w:rsidRDefault="007A64EF" w:rsidP="007A64EF">
      <w:pPr>
        <w:ind w:left="720"/>
        <w:rPr>
          <w:i/>
        </w:rPr>
      </w:pPr>
      <w:r w:rsidRPr="007A64EF">
        <w:rPr>
          <w:rFonts w:eastAsiaTheme="minorHAnsi" w:cs="Cambria"/>
          <w:i/>
        </w:rPr>
        <w:t>For use in diabetes mellitus in patients aged 6 years and older</w:t>
      </w:r>
      <w:r w:rsidR="0039569D">
        <w:rPr>
          <w:rFonts w:eastAsiaTheme="minorHAnsi" w:cs="Cambria"/>
          <w:i/>
        </w:rPr>
        <w:t>.</w:t>
      </w:r>
    </w:p>
    <w:p w14:paraId="16C30810" w14:textId="77777777" w:rsidR="00D23139" w:rsidRPr="00D23139" w:rsidRDefault="00D23139" w:rsidP="00D23139">
      <w:pPr>
        <w:pStyle w:val="Heading4"/>
      </w:pPr>
      <w:r w:rsidRPr="00D23139">
        <w:lastRenderedPageBreak/>
        <w:t>Specific conditions of registration applying to these goods</w:t>
      </w:r>
    </w:p>
    <w:p w14:paraId="19B1B9CE" w14:textId="37508630" w:rsidR="00785638" w:rsidRPr="00AE74E1" w:rsidRDefault="0005733C" w:rsidP="00AE74E1">
      <w:pPr>
        <w:pStyle w:val="ListBullet"/>
      </w:pPr>
      <w:proofErr w:type="spellStart"/>
      <w:r>
        <w:t>Ryzodeg</w:t>
      </w:r>
      <w:proofErr w:type="spellEnd"/>
      <w:r w:rsidR="00785638">
        <w:t xml:space="preserve"> 70/30 (insulin </w:t>
      </w:r>
      <w:proofErr w:type="spellStart"/>
      <w:r w:rsidR="00785638">
        <w:t>degludec</w:t>
      </w:r>
      <w:proofErr w:type="spellEnd"/>
      <w:r w:rsidR="00785638">
        <w:t xml:space="preserve"> / insulin </w:t>
      </w:r>
      <w:proofErr w:type="spellStart"/>
      <w:r w:rsidR="00785638">
        <w:t>aspart</w:t>
      </w:r>
      <w:proofErr w:type="spellEnd"/>
      <w:r w:rsidR="00785638">
        <w:t>) is to be included in the Black</w:t>
      </w:r>
      <w:r w:rsidR="00AE74E1">
        <w:t xml:space="preserve"> </w:t>
      </w:r>
      <w:r w:rsidR="00785638" w:rsidRPr="00AE74E1">
        <w:rPr>
          <w:rFonts w:eastAsiaTheme="minorHAnsi" w:cs="Cambria"/>
        </w:rPr>
        <w:t xml:space="preserve">Triangle Scheme. The PI and CMI documents for </w:t>
      </w:r>
      <w:proofErr w:type="spellStart"/>
      <w:r>
        <w:t>Ryzodeg</w:t>
      </w:r>
      <w:proofErr w:type="spellEnd"/>
      <w:r w:rsidR="00785638" w:rsidRPr="00AE74E1">
        <w:rPr>
          <w:rFonts w:eastAsiaTheme="minorHAnsi" w:cs="Cambria"/>
        </w:rPr>
        <w:t xml:space="preserve"> 70/30 must include the</w:t>
      </w:r>
      <w:r w:rsidR="00AE74E1">
        <w:rPr>
          <w:rFonts w:eastAsiaTheme="minorHAnsi" w:cs="Cambria"/>
        </w:rPr>
        <w:t xml:space="preserve"> </w:t>
      </w:r>
      <w:r w:rsidR="00785638" w:rsidRPr="00AE74E1">
        <w:rPr>
          <w:rFonts w:eastAsiaTheme="minorHAnsi" w:cs="Cambria"/>
        </w:rPr>
        <w:t>black triangle symbol and mandatory accompanying text for five years, which starts</w:t>
      </w:r>
      <w:r w:rsidR="00AE74E1">
        <w:rPr>
          <w:rFonts w:eastAsiaTheme="minorHAnsi" w:cs="Cambria"/>
        </w:rPr>
        <w:t xml:space="preserve"> </w:t>
      </w:r>
      <w:r w:rsidR="00785638" w:rsidRPr="00AE74E1">
        <w:rPr>
          <w:rFonts w:eastAsiaTheme="minorHAnsi" w:cs="Cambria"/>
        </w:rPr>
        <w:t>from the date the new indication is registered.</w:t>
      </w:r>
    </w:p>
    <w:p w14:paraId="1FD8C93F" w14:textId="77777777" w:rsidR="00AE74E1" w:rsidRPr="00AE74E1" w:rsidRDefault="00785638" w:rsidP="00AE74E1">
      <w:pPr>
        <w:pStyle w:val="ListBullet"/>
      </w:pPr>
      <w:r>
        <w:t>Any changes to which the sponsor has agreed should be included in a revised RMP and</w:t>
      </w:r>
      <w:r w:rsidR="00AE74E1">
        <w:t xml:space="preserve"> </w:t>
      </w:r>
      <w:r w:rsidRPr="00AE74E1">
        <w:rPr>
          <w:rFonts w:eastAsiaTheme="minorHAnsi" w:cs="Cambria"/>
        </w:rPr>
        <w:t>ASA. However, irrespective of whether or not they are included in the currently</w:t>
      </w:r>
      <w:r w:rsidR="00AE74E1">
        <w:rPr>
          <w:rFonts w:eastAsiaTheme="minorHAnsi" w:cs="Cambria"/>
        </w:rPr>
        <w:t xml:space="preserve"> </w:t>
      </w:r>
      <w:r w:rsidRPr="00AE74E1">
        <w:rPr>
          <w:rFonts w:eastAsiaTheme="minorHAnsi" w:cs="Cambria"/>
        </w:rPr>
        <w:t>available version of the RMP document, the agreed changes become part of the risk</w:t>
      </w:r>
      <w:r w:rsidR="00AE74E1">
        <w:rPr>
          <w:rFonts w:eastAsiaTheme="minorHAnsi" w:cs="Cambria"/>
        </w:rPr>
        <w:t xml:space="preserve"> </w:t>
      </w:r>
      <w:r w:rsidRPr="00AE74E1">
        <w:rPr>
          <w:rFonts w:eastAsiaTheme="minorHAnsi" w:cs="Cambria"/>
        </w:rPr>
        <w:t>management system.</w:t>
      </w:r>
    </w:p>
    <w:p w14:paraId="4C78FFA8" w14:textId="52285F44" w:rsidR="00535725" w:rsidRDefault="00785638" w:rsidP="00535725">
      <w:pPr>
        <w:pStyle w:val="ListBullet"/>
        <w:numPr>
          <w:ilvl w:val="0"/>
          <w:numId w:val="0"/>
        </w:numPr>
        <w:ind w:left="360"/>
        <w:rPr>
          <w:rFonts w:eastAsiaTheme="minorHAnsi" w:cs="Cambria"/>
        </w:rPr>
      </w:pPr>
      <w:r>
        <w:t xml:space="preserve">The </w:t>
      </w:r>
      <w:proofErr w:type="spellStart"/>
      <w:r w:rsidR="0005733C">
        <w:t>Ryzodeg</w:t>
      </w:r>
      <w:proofErr w:type="spellEnd"/>
      <w:r w:rsidR="006E2E1D">
        <w:t xml:space="preserve"> 70/30 EU-RMP</w:t>
      </w:r>
      <w:r>
        <w:t>, version 7.0, dated</w:t>
      </w:r>
      <w:r w:rsidR="00535725">
        <w:t xml:space="preserve"> </w:t>
      </w:r>
      <w:r>
        <w:rPr>
          <w:rFonts w:eastAsiaTheme="minorHAnsi" w:cs="Cambria"/>
        </w:rPr>
        <w:t>4 September 2018 (</w:t>
      </w:r>
      <w:r w:rsidR="006E2E1D">
        <w:rPr>
          <w:rFonts w:eastAsiaTheme="minorHAnsi" w:cs="Cambria"/>
        </w:rPr>
        <w:t>DLP</w:t>
      </w:r>
      <w:r>
        <w:rPr>
          <w:rFonts w:eastAsiaTheme="minorHAnsi" w:cs="Cambria"/>
        </w:rPr>
        <w:t xml:space="preserve"> 31 January 2018), with </w:t>
      </w:r>
      <w:r w:rsidR="006E2E1D">
        <w:rPr>
          <w:rFonts w:eastAsiaTheme="minorHAnsi" w:cs="Cambria"/>
        </w:rPr>
        <w:t>ASA</w:t>
      </w:r>
      <w:r>
        <w:rPr>
          <w:rFonts w:eastAsiaTheme="minorHAnsi" w:cs="Cambria"/>
        </w:rPr>
        <w:t>,</w:t>
      </w:r>
      <w:r w:rsidR="00535725">
        <w:rPr>
          <w:rFonts w:eastAsiaTheme="minorHAnsi" w:cs="Cambria"/>
        </w:rPr>
        <w:t xml:space="preserve"> </w:t>
      </w:r>
      <w:r>
        <w:rPr>
          <w:rFonts w:eastAsiaTheme="minorHAnsi" w:cs="Cambria"/>
        </w:rPr>
        <w:t>version 1.3, dated 21 June 2019, included with submission PM-2018-04154-1-5, to be</w:t>
      </w:r>
      <w:r w:rsidR="00535725">
        <w:rPr>
          <w:rFonts w:eastAsiaTheme="minorHAnsi" w:cs="Cambria"/>
        </w:rPr>
        <w:t xml:space="preserve"> </w:t>
      </w:r>
      <w:r>
        <w:rPr>
          <w:rFonts w:eastAsiaTheme="minorHAnsi" w:cs="Cambria"/>
        </w:rPr>
        <w:t>revised to the satisfaction of the TGA, will be implemented in Australia.</w:t>
      </w:r>
    </w:p>
    <w:p w14:paraId="762E615C" w14:textId="1119231E" w:rsidR="00535725" w:rsidRDefault="00785638" w:rsidP="00535725">
      <w:pPr>
        <w:pStyle w:val="ListBullet"/>
        <w:numPr>
          <w:ilvl w:val="0"/>
          <w:numId w:val="0"/>
        </w:numPr>
        <w:ind w:left="360"/>
        <w:rPr>
          <w:rFonts w:eastAsiaTheme="minorHAnsi" w:cs="Cambria"/>
        </w:rPr>
      </w:pPr>
      <w:r>
        <w:rPr>
          <w:rFonts w:eastAsiaTheme="minorHAnsi" w:cs="Cambria"/>
        </w:rPr>
        <w:t>An obligatory component of risk management plans is routine pharmacovigilance.</w:t>
      </w:r>
      <w:r w:rsidR="00535725">
        <w:rPr>
          <w:rFonts w:eastAsiaTheme="minorHAnsi" w:cs="Cambria"/>
        </w:rPr>
        <w:t xml:space="preserve"> </w:t>
      </w:r>
      <w:r>
        <w:rPr>
          <w:rFonts w:eastAsiaTheme="minorHAnsi" w:cs="Cambria"/>
        </w:rPr>
        <w:t>Routine pharmacovigilance includes the subm</w:t>
      </w:r>
      <w:r w:rsidR="0039569D">
        <w:rPr>
          <w:rFonts w:eastAsiaTheme="minorHAnsi" w:cs="Cambria"/>
        </w:rPr>
        <w:t>ission of PSURs</w:t>
      </w:r>
      <w:r>
        <w:rPr>
          <w:rFonts w:eastAsiaTheme="minorHAnsi" w:cs="Cambria"/>
        </w:rPr>
        <w:t>.</w:t>
      </w:r>
    </w:p>
    <w:p w14:paraId="36B48560" w14:textId="65160ABD" w:rsidR="00785638" w:rsidRPr="00535725" w:rsidRDefault="00785638" w:rsidP="00535725">
      <w:pPr>
        <w:pStyle w:val="ListBullet"/>
        <w:numPr>
          <w:ilvl w:val="0"/>
          <w:numId w:val="0"/>
        </w:numPr>
        <w:ind w:left="360"/>
      </w:pPr>
      <w:r>
        <w:rPr>
          <w:rFonts w:eastAsiaTheme="minorHAnsi" w:cs="Cambria"/>
        </w:rPr>
        <w:t>Unless agreed separately between the supplier who is the recipient of the approval</w:t>
      </w:r>
      <w:r w:rsidR="00535725">
        <w:rPr>
          <w:rFonts w:eastAsiaTheme="minorHAnsi" w:cs="Cambria"/>
        </w:rPr>
        <w:t xml:space="preserve"> </w:t>
      </w:r>
      <w:r>
        <w:rPr>
          <w:rFonts w:eastAsiaTheme="minorHAnsi" w:cs="Cambria"/>
        </w:rPr>
        <w:t xml:space="preserve">and the TGA, the first report must be submitted to </w:t>
      </w:r>
      <w:r w:rsidR="00553D3B">
        <w:rPr>
          <w:rFonts w:eastAsiaTheme="minorHAnsi" w:cs="Cambria"/>
        </w:rPr>
        <w:t xml:space="preserve">the </w:t>
      </w:r>
      <w:r>
        <w:rPr>
          <w:rFonts w:eastAsiaTheme="minorHAnsi" w:cs="Cambria"/>
        </w:rPr>
        <w:t>TGA no later than 15</w:t>
      </w:r>
      <w:r w:rsidR="00535725">
        <w:rPr>
          <w:rFonts w:eastAsiaTheme="minorHAnsi" w:cs="Cambria"/>
        </w:rPr>
        <w:t xml:space="preserve"> </w:t>
      </w:r>
      <w:r>
        <w:rPr>
          <w:rFonts w:eastAsiaTheme="minorHAnsi" w:cs="Cambria"/>
        </w:rPr>
        <w:t>calendar months after the date of this approval letter. The subsequent reports must</w:t>
      </w:r>
      <w:r w:rsidR="00535725">
        <w:rPr>
          <w:rFonts w:eastAsiaTheme="minorHAnsi" w:cs="Cambria"/>
        </w:rPr>
        <w:t xml:space="preserve"> </w:t>
      </w:r>
      <w:r>
        <w:rPr>
          <w:rFonts w:eastAsiaTheme="minorHAnsi" w:cs="Cambria"/>
        </w:rPr>
        <w:t>be submitted no less frequently than annually from the date of the first submitted</w:t>
      </w:r>
      <w:r w:rsidR="00535725">
        <w:rPr>
          <w:rFonts w:eastAsiaTheme="minorHAnsi" w:cs="Cambria"/>
        </w:rPr>
        <w:t xml:space="preserve"> </w:t>
      </w:r>
      <w:r>
        <w:rPr>
          <w:rFonts w:eastAsiaTheme="minorHAnsi" w:cs="Cambria"/>
        </w:rPr>
        <w:t>report until the period covered by such reports is not less than three years from the</w:t>
      </w:r>
      <w:r w:rsidR="00535725">
        <w:rPr>
          <w:rFonts w:eastAsiaTheme="minorHAnsi" w:cs="Cambria"/>
        </w:rPr>
        <w:t xml:space="preserve"> </w:t>
      </w:r>
      <w:r w:rsidR="00500CE0">
        <w:rPr>
          <w:rFonts w:eastAsiaTheme="minorHAnsi" w:cs="Cambria"/>
        </w:rPr>
        <w:t>date of the</w:t>
      </w:r>
      <w:r>
        <w:rPr>
          <w:rFonts w:eastAsiaTheme="minorHAnsi" w:cs="Cambria"/>
        </w:rPr>
        <w:t xml:space="preserve"> approval letter. The annual submission may be made up of two PSURs</w:t>
      </w:r>
      <w:r w:rsidR="00535725">
        <w:rPr>
          <w:rFonts w:eastAsiaTheme="minorHAnsi" w:cs="Cambria"/>
        </w:rPr>
        <w:t xml:space="preserve"> </w:t>
      </w:r>
      <w:r>
        <w:rPr>
          <w:rFonts w:eastAsiaTheme="minorHAnsi" w:cs="Cambria"/>
        </w:rPr>
        <w:t>each covering six months. If the sponsor wishes, the six monthly reports may be</w:t>
      </w:r>
      <w:r w:rsidR="00535725">
        <w:rPr>
          <w:rFonts w:eastAsiaTheme="minorHAnsi" w:cs="Cambria"/>
        </w:rPr>
        <w:t xml:space="preserve"> </w:t>
      </w:r>
      <w:r>
        <w:rPr>
          <w:rFonts w:eastAsiaTheme="minorHAnsi" w:cs="Cambria"/>
        </w:rPr>
        <w:t>submitted separately as they become available.</w:t>
      </w:r>
    </w:p>
    <w:p w14:paraId="1F455EB4" w14:textId="521A2BC6" w:rsidR="00F92B65" w:rsidRDefault="00785638" w:rsidP="00AE7D1F">
      <w:pPr>
        <w:pStyle w:val="ListBullet"/>
        <w:numPr>
          <w:ilvl w:val="0"/>
          <w:numId w:val="0"/>
        </w:numPr>
        <w:ind w:left="360"/>
      </w:pPr>
      <w:r>
        <w:t>T</w:t>
      </w:r>
      <w:r w:rsidRPr="00535725">
        <w:t>he reports are to at least meet the requirements for PSURs as described in the</w:t>
      </w:r>
      <w:r w:rsidR="00535725">
        <w:t xml:space="preserve"> </w:t>
      </w:r>
      <w:r w:rsidR="006E2E1D">
        <w:t>EMA</w:t>
      </w:r>
      <w:r w:rsidR="00C53601">
        <w:t>’s Guideline on Good P</w:t>
      </w:r>
      <w:r w:rsidRPr="00535725">
        <w:t>h</w:t>
      </w:r>
      <w:r w:rsidR="00535725">
        <w:t>armacovi</w:t>
      </w:r>
      <w:r w:rsidR="00C53601">
        <w:t>gilance P</w:t>
      </w:r>
      <w:r w:rsidR="00535725">
        <w:t xml:space="preserve">ractices (GVP) </w:t>
      </w:r>
      <w:r w:rsidRPr="00535725">
        <w:t xml:space="preserve">Module VII-periodic safety update report (Rev 1), Part </w:t>
      </w:r>
      <w:r w:rsidR="00AF1C36">
        <w:t xml:space="preserve">VII.B Structures and processes. </w:t>
      </w:r>
      <w:r w:rsidRPr="00535725">
        <w:t>Note that submission of a PSUR does not consti</w:t>
      </w:r>
      <w:r w:rsidR="00535725">
        <w:t xml:space="preserve">tute an application to vary the </w:t>
      </w:r>
      <w:r w:rsidRPr="00535725">
        <w:t>registration. Each report must have been prepared within ninety cale</w:t>
      </w:r>
      <w:r w:rsidR="006E2E1D">
        <w:t>ndar days of the DLP</w:t>
      </w:r>
      <w:r w:rsidRPr="00535725">
        <w:t xml:space="preserve"> for that report</w:t>
      </w:r>
      <w:r w:rsidR="00F92B65" w:rsidRPr="00535725">
        <w:t>.</w:t>
      </w:r>
    </w:p>
    <w:p w14:paraId="656C1F0C" w14:textId="6C379F83" w:rsidR="00AF1C36" w:rsidRPr="00535725" w:rsidRDefault="00AF1C36" w:rsidP="002C2C79">
      <w:pPr>
        <w:pStyle w:val="ListBullet"/>
      </w:pPr>
      <w:r>
        <w:t>Th</w:t>
      </w:r>
      <w:r w:rsidR="00903E12">
        <w:t>e CMI</w:t>
      </w:r>
      <w:r>
        <w:t xml:space="preserve"> must be included with the products as a package </w:t>
      </w:r>
      <w:r w:rsidRPr="00AF1C36">
        <w:rPr>
          <w:rFonts w:eastAsiaTheme="minorHAnsi" w:cs="Cambria"/>
        </w:rPr>
        <w:t>insert.</w:t>
      </w:r>
    </w:p>
    <w:p w14:paraId="29C5295F" w14:textId="38729831" w:rsidR="008E7846" w:rsidRDefault="00A80B5B" w:rsidP="00D23139">
      <w:pPr>
        <w:pStyle w:val="Heading2"/>
      </w:pPr>
      <w:bookmarkStart w:id="64" w:name="_Toc47446847"/>
      <w:r>
        <w:t xml:space="preserve">Attachment 1. </w:t>
      </w:r>
      <w:r w:rsidR="008E7846">
        <w:t xml:space="preserve">Product </w:t>
      </w:r>
      <w:r w:rsidR="00AA0ED0">
        <w:t>I</w:t>
      </w:r>
      <w:r w:rsidR="008E7846">
        <w:t>nformation</w:t>
      </w:r>
      <w:bookmarkEnd w:id="62"/>
      <w:bookmarkEnd w:id="63"/>
      <w:bookmarkEnd w:id="64"/>
    </w:p>
    <w:p w14:paraId="0BD0F7D5" w14:textId="313F8BB1" w:rsidR="00C80137" w:rsidRDefault="006136D7" w:rsidP="00C80137">
      <w:pPr>
        <w:rPr>
          <w:color w:val="000000"/>
          <w:lang w:eastAsia="en-AU"/>
        </w:rPr>
      </w:pPr>
      <w:r w:rsidRPr="002B3624">
        <w:t xml:space="preserve">The </w:t>
      </w:r>
      <w:r>
        <w:t>PI</w:t>
      </w:r>
      <w:r w:rsidRPr="002B3624">
        <w:t xml:space="preserve"> for </w:t>
      </w:r>
      <w:proofErr w:type="spellStart"/>
      <w:r w:rsidR="003E6096">
        <w:t>Ryzodeg</w:t>
      </w:r>
      <w:proofErr w:type="spellEnd"/>
      <w:r w:rsidR="003E6096">
        <w:t xml:space="preserve"> 70/30 </w:t>
      </w:r>
      <w:r w:rsidR="00024A48">
        <w:t>FlexTouch</w:t>
      </w:r>
      <w:r w:rsidR="003E6096">
        <w:t xml:space="preserve"> and </w:t>
      </w:r>
      <w:proofErr w:type="spellStart"/>
      <w:r w:rsidR="003E6096">
        <w:t>Ryzodeg</w:t>
      </w:r>
      <w:proofErr w:type="spellEnd"/>
      <w:r w:rsidR="003E6096">
        <w:t xml:space="preserve"> 70/30 </w:t>
      </w:r>
      <w:proofErr w:type="spellStart"/>
      <w:r w:rsidR="00024A48">
        <w:t>Penfill</w:t>
      </w:r>
      <w:proofErr w:type="spellEnd"/>
      <w:r w:rsidRPr="002B3624">
        <w:t xml:space="preserve"> </w:t>
      </w:r>
      <w:r>
        <w:t xml:space="preserve">approved with the submission which is described in </w:t>
      </w:r>
      <w:r w:rsidRPr="002B3624">
        <w:t xml:space="preserve">this AusPAR is at Attachment 1. For the most recent </w:t>
      </w:r>
      <w:r>
        <w:t>PI,</w:t>
      </w:r>
      <w:r w:rsidRPr="002B3624">
        <w:t xml:space="preserve"> please refer to the </w:t>
      </w:r>
      <w:r w:rsidRPr="007C6B9B">
        <w:t xml:space="preserve">TGA website at </w:t>
      </w:r>
      <w:r w:rsidR="007C6B9B" w:rsidRPr="007C6B9B">
        <w:t>&lt;</w:t>
      </w:r>
      <w:hyperlink r:id="rId21" w:history="1">
        <w:r w:rsidR="007C6B9B" w:rsidRPr="007C6B9B">
          <w:rPr>
            <w:rStyle w:val="Hyperlink"/>
          </w:rPr>
          <w:t>https://www.tga.gov.au/product-information-pi</w:t>
        </w:r>
      </w:hyperlink>
      <w:r w:rsidR="007C6B9B" w:rsidRPr="007C6B9B">
        <w:t>&gt;.</w:t>
      </w:r>
    </w:p>
    <w:p w14:paraId="3FBFD009" w14:textId="7AD2287D" w:rsidR="00291957" w:rsidRDefault="00291957" w:rsidP="00281F14">
      <w:pPr>
        <w:autoSpaceDE w:val="0"/>
        <w:autoSpaceDN w:val="0"/>
        <w:adjustRightInd w:val="0"/>
        <w:spacing w:after="0"/>
        <w:rPr>
          <w:lang w:eastAsia="ja-JP"/>
        </w:rPr>
      </w:pPr>
    </w:p>
    <w:p w14:paraId="3C9CB6D2" w14:textId="77777777" w:rsidR="00C80137" w:rsidRPr="001D043B" w:rsidRDefault="00C80137" w:rsidP="003A7F6C">
      <w:pPr>
        <w:pStyle w:val="TableTitle"/>
        <w:sectPr w:rsidR="00C80137" w:rsidRPr="001D043B" w:rsidSect="00B452CE">
          <w:headerReference w:type="even" r:id="rId22"/>
          <w:headerReference w:type="default" r:id="rId23"/>
          <w:headerReference w:type="first" r:id="rId24"/>
          <w:footerReference w:type="first" r:id="rId25"/>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14:paraId="21BD93CB" w14:textId="77777777" w:rsidTr="00A05FA4">
        <w:trPr>
          <w:trHeight w:hRule="exact" w:val="704"/>
        </w:trPr>
        <w:tc>
          <w:tcPr>
            <w:tcW w:w="9175" w:type="dxa"/>
          </w:tcPr>
          <w:p w14:paraId="631E700D" w14:textId="77777777" w:rsidR="001C32CD" w:rsidRPr="00487162" w:rsidRDefault="001C32CD" w:rsidP="00A05FA4">
            <w:pPr>
              <w:pStyle w:val="TGASignoff"/>
            </w:pPr>
            <w:r w:rsidRPr="00487162">
              <w:lastRenderedPageBreak/>
              <w:t>Therapeutic Goods Administration</w:t>
            </w:r>
          </w:p>
        </w:tc>
      </w:tr>
      <w:tr w:rsidR="001C32CD" w:rsidRPr="004C239D" w14:paraId="49E9C826" w14:textId="77777777" w:rsidTr="00A05FA4">
        <w:trPr>
          <w:trHeight w:val="1221"/>
        </w:trPr>
        <w:tc>
          <w:tcPr>
            <w:tcW w:w="9175" w:type="dxa"/>
            <w:tcMar>
              <w:top w:w="28" w:type="dxa"/>
            </w:tcMar>
          </w:tcPr>
          <w:p w14:paraId="00DB89E6" w14:textId="77777777" w:rsidR="001C32CD" w:rsidRPr="00487162" w:rsidRDefault="001C32CD" w:rsidP="00A05FA4">
            <w:pPr>
              <w:pStyle w:val="Address"/>
            </w:pPr>
            <w:r w:rsidRPr="00487162">
              <w:t>PO Box 100 Woden ACT 2606 Australia</w:t>
            </w:r>
          </w:p>
          <w:p w14:paraId="0145E40C" w14:textId="77777777" w:rsidR="001C32CD" w:rsidRPr="00487162" w:rsidRDefault="001C32CD" w:rsidP="00A05FA4">
            <w:pPr>
              <w:pStyle w:val="Address"/>
            </w:pPr>
            <w:r w:rsidRPr="00487162">
              <w:t xml:space="preserve">Email: </w:t>
            </w:r>
            <w:hyperlink r:id="rId26" w:history="1">
              <w:r w:rsidRPr="004C239D">
                <w:rPr>
                  <w:rStyle w:val="Hyperlink"/>
                </w:rPr>
                <w:t>info@tga.gov.au</w:t>
              </w:r>
            </w:hyperlink>
            <w:r w:rsidRPr="00487162">
              <w:t xml:space="preserve">  Phone: 1800 020 653  Fax: 02 6232 8605</w:t>
            </w:r>
          </w:p>
          <w:p w14:paraId="714A4945" w14:textId="77777777" w:rsidR="001C32CD" w:rsidRPr="004C239D" w:rsidRDefault="009F7FB0" w:rsidP="00A05FA4">
            <w:pPr>
              <w:pStyle w:val="Address"/>
              <w:spacing w:line="260" w:lineRule="atLeast"/>
              <w:rPr>
                <w:b/>
                <w:color w:val="0000FF"/>
                <w:u w:val="single"/>
              </w:rPr>
            </w:pPr>
            <w:hyperlink r:id="rId27" w:history="1">
              <w:r w:rsidR="007C6B9B" w:rsidRPr="007C6B9B">
                <w:rPr>
                  <w:rStyle w:val="Hyperlink"/>
                  <w:b/>
                </w:rPr>
                <w:t>https://www.tga.gov.au</w:t>
              </w:r>
            </w:hyperlink>
          </w:p>
        </w:tc>
      </w:tr>
    </w:tbl>
    <w:p w14:paraId="28B03080" w14:textId="77777777" w:rsidR="00774E1D" w:rsidRPr="008A5E0B" w:rsidRDefault="00774E1D" w:rsidP="004C239D"/>
    <w:sectPr w:rsidR="00774E1D" w:rsidRPr="008A5E0B" w:rsidSect="001C32CD">
      <w:headerReference w:type="even" r:id="rId28"/>
      <w:headerReference w:type="default" r:id="rId29"/>
      <w:footerReference w:type="default" r:id="rId30"/>
      <w:headerReference w:type="first" r:id="rId31"/>
      <w:footerReference w:type="first" r:id="rId32"/>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FE39F" w14:textId="77777777" w:rsidR="009F7FB0" w:rsidRDefault="009F7FB0" w:rsidP="00C40A36">
      <w:pPr>
        <w:spacing w:after="0"/>
      </w:pPr>
      <w:r>
        <w:separator/>
      </w:r>
    </w:p>
  </w:endnote>
  <w:endnote w:type="continuationSeparator" w:id="0">
    <w:p w14:paraId="3184686F" w14:textId="77777777" w:rsidR="009F7FB0" w:rsidRDefault="009F7FB0"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A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1" w:usb1="08070000" w:usb2="00000010" w:usb3="00000000" w:csb0="00020000" w:csb1="00000000"/>
  </w:font>
  <w:font w:name="TimesNRMT">
    <w:panose1 w:val="00000000000000000000"/>
    <w:charset w:val="00"/>
    <w:family w:val="roman"/>
    <w:notTrueType/>
    <w:pitch w:val="default"/>
    <w:sig w:usb0="00000003" w:usb1="00000000" w:usb2="00000000" w:usb3="00000000" w:csb0="00000001" w:csb1="00000000"/>
  </w:font>
  <w:font w:name="MingLiU">
    <w:altName w:val="細明體"/>
    <w:panose1 w:val="02020509000000000000"/>
    <w:charset w:val="88"/>
    <w:family w:val="modern"/>
    <w:pitch w:val="fixed"/>
    <w:sig w:usb0="A00002FF" w:usb1="2A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D04C6" w14:textId="77777777" w:rsidR="009F7FB0" w:rsidRDefault="009F7F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9F7FB0" w:rsidRPr="00487162" w14:paraId="3E0E08C9" w14:textId="77777777" w:rsidTr="00DB750B">
      <w:trPr>
        <w:trHeight w:val="269"/>
      </w:trPr>
      <w:tc>
        <w:tcPr>
          <w:tcW w:w="7371" w:type="dxa"/>
          <w:tcMar>
            <w:top w:w="142" w:type="dxa"/>
            <w:bottom w:w="0" w:type="dxa"/>
          </w:tcMar>
        </w:tcPr>
        <w:p w14:paraId="347361BA" w14:textId="7632AC70" w:rsidR="009F7FB0" w:rsidRPr="00487162" w:rsidRDefault="009F7FB0" w:rsidP="006742DE">
          <w:pPr>
            <w:pStyle w:val="Footer"/>
          </w:pPr>
          <w:r w:rsidRPr="00487162">
            <w:t>AusPA</w:t>
          </w:r>
          <w:r>
            <w:t>R -</w:t>
          </w:r>
          <w:r w:rsidRPr="00E0373B">
            <w:t xml:space="preserve"> RYZODEG 70/30 FLEXTOUCH and RYZODEG 70/30 PENFILL - insulin </w:t>
          </w:r>
          <w:proofErr w:type="spellStart"/>
          <w:r w:rsidRPr="00E0373B">
            <w:t>degludec</w:t>
          </w:r>
          <w:proofErr w:type="spellEnd"/>
          <w:r w:rsidRPr="00E0373B">
            <w:t xml:space="preserve"> (</w:t>
          </w:r>
          <w:proofErr w:type="spellStart"/>
          <w:r w:rsidRPr="00E0373B">
            <w:t>rys</w:t>
          </w:r>
          <w:proofErr w:type="spellEnd"/>
          <w:r w:rsidRPr="00E0373B">
            <w:t xml:space="preserve">) and insulin </w:t>
          </w:r>
          <w:proofErr w:type="spellStart"/>
          <w:r w:rsidRPr="00E0373B">
            <w:t>aspart</w:t>
          </w:r>
          <w:proofErr w:type="spellEnd"/>
          <w:r w:rsidRPr="00E0373B">
            <w:t xml:space="preserve"> (</w:t>
          </w:r>
          <w:proofErr w:type="spellStart"/>
          <w:r w:rsidRPr="00E0373B">
            <w:t>rys</w:t>
          </w:r>
          <w:proofErr w:type="spellEnd"/>
          <w:r w:rsidRPr="00E0373B">
            <w:t>) - N</w:t>
          </w:r>
          <w:r w:rsidRPr="009A6943">
            <w:t>ovo Nordisk Pharmaceuticals Pty L</w:t>
          </w:r>
          <w:r>
            <w:t>td - PM-2018-04154-1-5</w:t>
          </w:r>
          <w:r>
            <w:br/>
            <w:t>FINAL 17 July 2020</w:t>
          </w:r>
        </w:p>
      </w:tc>
      <w:tc>
        <w:tcPr>
          <w:tcW w:w="1490" w:type="dxa"/>
          <w:tcMar>
            <w:top w:w="142" w:type="dxa"/>
            <w:bottom w:w="0" w:type="dxa"/>
          </w:tcMar>
        </w:tcPr>
        <w:p w14:paraId="4978E5A0" w14:textId="4DBD6D89" w:rsidR="009F7FB0" w:rsidRPr="00487162" w:rsidRDefault="009F7FB0" w:rsidP="00DB750B">
          <w:pPr>
            <w:pStyle w:val="Footer"/>
            <w:jc w:val="right"/>
          </w:pPr>
          <w:r w:rsidRPr="00487162">
            <w:t xml:space="preserve">Page </w:t>
          </w:r>
          <w:r>
            <w:fldChar w:fldCharType="begin"/>
          </w:r>
          <w:r>
            <w:instrText xml:space="preserve"> PAGE  \* Arabic </w:instrText>
          </w:r>
          <w:r>
            <w:fldChar w:fldCharType="separate"/>
          </w:r>
          <w:r w:rsidR="00C35C83">
            <w:rPr>
              <w:noProof/>
            </w:rPr>
            <w:t>20</w:t>
          </w:r>
          <w:r>
            <w:fldChar w:fldCharType="end"/>
          </w:r>
          <w:r w:rsidRPr="00487162">
            <w:t xml:space="preserve"> of </w:t>
          </w:r>
          <w:fldSimple w:instr=" NUMPAGES  \* Arabic ">
            <w:r w:rsidR="00C35C83">
              <w:rPr>
                <w:noProof/>
              </w:rPr>
              <w:t>21</w:t>
            </w:r>
          </w:fldSimple>
        </w:p>
      </w:tc>
    </w:tr>
  </w:tbl>
  <w:p w14:paraId="3B73E2CF" w14:textId="77777777" w:rsidR="009F7FB0" w:rsidRDefault="009F7FB0" w:rsidP="003D1E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E1C13" w14:textId="77777777" w:rsidR="009F7FB0" w:rsidRDefault="009F7F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9F7FB0" w:rsidRPr="00487162" w14:paraId="7E28E5D4" w14:textId="77777777" w:rsidTr="00E45619">
      <w:trPr>
        <w:trHeight w:val="269"/>
      </w:trPr>
      <w:tc>
        <w:tcPr>
          <w:tcW w:w="4519" w:type="dxa"/>
          <w:tcBorders>
            <w:top w:val="single" w:sz="4" w:space="0" w:color="auto"/>
          </w:tcBorders>
          <w:tcMar>
            <w:top w:w="142" w:type="dxa"/>
            <w:bottom w:w="0" w:type="dxa"/>
          </w:tcMar>
        </w:tcPr>
        <w:p w14:paraId="34F7E5AD" w14:textId="77777777" w:rsidR="009F7FB0" w:rsidRPr="00487162" w:rsidRDefault="009F7FB0" w:rsidP="00FE1DEE">
          <w:pPr>
            <w:pStyle w:val="Footer"/>
          </w:pPr>
          <w:r w:rsidRPr="00487162">
            <w:t>Document title, Part #, Section # - Section title</w:t>
          </w:r>
        </w:p>
        <w:p w14:paraId="2532E4A8" w14:textId="77777777" w:rsidR="009F7FB0" w:rsidRPr="00487162" w:rsidRDefault="009F7FB0" w:rsidP="00FE1DEE">
          <w:pPr>
            <w:pStyle w:val="Footer"/>
          </w:pPr>
          <w:r w:rsidRPr="00487162">
            <w:t>V1.0 October 2010</w:t>
          </w:r>
        </w:p>
      </w:tc>
      <w:tc>
        <w:tcPr>
          <w:tcW w:w="4342" w:type="dxa"/>
          <w:tcBorders>
            <w:top w:val="single" w:sz="4" w:space="0" w:color="auto"/>
          </w:tcBorders>
          <w:tcMar>
            <w:top w:w="142" w:type="dxa"/>
            <w:bottom w:w="0" w:type="dxa"/>
          </w:tcMar>
        </w:tcPr>
        <w:p w14:paraId="2C7ACD76" w14:textId="77777777" w:rsidR="009F7FB0" w:rsidRPr="00487162" w:rsidRDefault="009F7FB0"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fldSimple w:instr=" NUMPAGES  ">
            <w:r>
              <w:rPr>
                <w:noProof/>
              </w:rPr>
              <w:t>2</w:t>
            </w:r>
          </w:fldSimple>
        </w:p>
      </w:tc>
    </w:tr>
  </w:tbl>
  <w:p w14:paraId="0205FE8A" w14:textId="77777777" w:rsidR="009F7FB0" w:rsidRDefault="009F7FB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D98EC" w14:textId="77777777" w:rsidR="009F7FB0" w:rsidRPr="001C32CD" w:rsidRDefault="009F7FB0" w:rsidP="001C32C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9F7FB0" w14:paraId="1761BA73" w14:textId="77777777" w:rsidTr="0010601F">
      <w:trPr>
        <w:trHeight w:val="108"/>
      </w:trPr>
      <w:tc>
        <w:tcPr>
          <w:tcW w:w="8875" w:type="dxa"/>
          <w:gridSpan w:val="2"/>
          <w:tcBorders>
            <w:bottom w:val="single" w:sz="4" w:space="0" w:color="auto"/>
          </w:tcBorders>
          <w:tcMar>
            <w:right w:w="284" w:type="dxa"/>
          </w:tcMar>
        </w:tcPr>
        <w:p w14:paraId="290A599C" w14:textId="77777777" w:rsidR="009F7FB0" w:rsidRDefault="009F7FB0" w:rsidP="006E08B3">
          <w:pPr>
            <w:pStyle w:val="Heading3"/>
          </w:pPr>
          <w:r>
            <w:t>Copyright</w:t>
          </w:r>
        </w:p>
        <w:p w14:paraId="0D1C773D" w14:textId="10183DFF" w:rsidR="009F7FB0" w:rsidRDefault="009F7FB0" w:rsidP="006E08B3">
          <w:r>
            <w:rPr>
              <w:rFonts w:cs="Arial"/>
            </w:rPr>
            <w:t>©</w:t>
          </w:r>
          <w:r>
            <w:t xml:space="preserve"> Commonwealth of Australia [2020]</w:t>
          </w:r>
        </w:p>
        <w:p w14:paraId="1817102B" w14:textId="77777777" w:rsidR="009F7FB0" w:rsidRDefault="009F7FB0" w:rsidP="006E08B3"/>
        <w:p w14:paraId="47D3ED27" w14:textId="77777777" w:rsidR="009F7FB0" w:rsidRDefault="009F7FB0"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14:paraId="283DDF77" w14:textId="77777777" w:rsidR="009F7FB0" w:rsidRDefault="009F7FB0" w:rsidP="006E08B3"/>
        <w:p w14:paraId="68B29A17" w14:textId="77777777" w:rsidR="009F7FB0" w:rsidRDefault="009F7FB0" w:rsidP="006E08B3">
          <w:pPr>
            <w:pStyle w:val="Heading3"/>
          </w:pPr>
          <w:r>
            <w:t>Confidentiality</w:t>
          </w:r>
        </w:p>
        <w:p w14:paraId="26CE5799" w14:textId="77777777" w:rsidR="009F7FB0" w:rsidRDefault="009F7FB0"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14:paraId="550349FE" w14:textId="77777777" w:rsidR="009F7FB0" w:rsidRDefault="009F7FB0" w:rsidP="006E08B3"/>
        <w:p w14:paraId="7A3A8510" w14:textId="77777777" w:rsidR="009F7FB0" w:rsidRDefault="009F7FB0" w:rsidP="006E08B3">
          <w:r>
            <w:t>For submission made by individuals, all personal details, other than your name, will be removed from your submission before it is published on the TGA’s Internet site.</w:t>
          </w:r>
        </w:p>
        <w:p w14:paraId="320FB751" w14:textId="77777777" w:rsidR="009F7FB0" w:rsidRDefault="009F7FB0" w:rsidP="006E08B3"/>
        <w:p w14:paraId="1FF865AF" w14:textId="77777777" w:rsidR="009F7FB0" w:rsidRDefault="009F7FB0"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9F7FB0" w14:paraId="4DDC6B29" w14:textId="77777777" w:rsidTr="0010601F">
      <w:trPr>
        <w:trHeight w:val="417"/>
      </w:trPr>
      <w:tc>
        <w:tcPr>
          <w:tcW w:w="4519" w:type="dxa"/>
          <w:tcBorders>
            <w:top w:val="single" w:sz="4" w:space="0" w:color="auto"/>
          </w:tcBorders>
          <w:tcMar>
            <w:top w:w="142" w:type="dxa"/>
            <w:bottom w:w="0" w:type="dxa"/>
          </w:tcMar>
        </w:tcPr>
        <w:p w14:paraId="1B3A9962" w14:textId="77777777" w:rsidR="009F7FB0" w:rsidRDefault="009F7FB0" w:rsidP="006E08B3">
          <w:r>
            <w:t>Document title, Part #, Section # - Section title</w:t>
          </w:r>
        </w:p>
        <w:p w14:paraId="321B02A5" w14:textId="77777777" w:rsidR="009F7FB0" w:rsidRDefault="009F7FB0" w:rsidP="006E08B3">
          <w:r>
            <w:t>V1.0 October 2010</w:t>
          </w:r>
        </w:p>
      </w:tc>
      <w:tc>
        <w:tcPr>
          <w:tcW w:w="4356" w:type="dxa"/>
          <w:tcBorders>
            <w:top w:val="single" w:sz="4" w:space="0" w:color="auto"/>
          </w:tcBorders>
          <w:tcMar>
            <w:top w:w="142" w:type="dxa"/>
            <w:bottom w:w="0" w:type="dxa"/>
          </w:tcMar>
        </w:tcPr>
        <w:p w14:paraId="514136B4" w14:textId="01F3B90D" w:rsidR="009F7FB0" w:rsidRDefault="009F7FB0" w:rsidP="006E08B3">
          <w:pPr>
            <w:jc w:val="right"/>
          </w:pPr>
          <w:r>
            <w:t xml:space="preserve">Page </w:t>
          </w:r>
          <w:r>
            <w:fldChar w:fldCharType="begin"/>
          </w:r>
          <w:r>
            <w:instrText xml:space="preserve"> PAGE   \* MERGEFORMAT </w:instrText>
          </w:r>
          <w:r>
            <w:fldChar w:fldCharType="separate"/>
          </w:r>
          <w:r>
            <w:rPr>
              <w:noProof/>
            </w:rPr>
            <w:t>29</w:t>
          </w:r>
          <w:r>
            <w:rPr>
              <w:noProof/>
            </w:rPr>
            <w:fldChar w:fldCharType="end"/>
          </w:r>
          <w:r>
            <w:t xml:space="preserve"> of </w:t>
          </w:r>
          <w:fldSimple w:instr=" NUMPAGES  \* Arabic ">
            <w:r>
              <w:rPr>
                <w:noProof/>
              </w:rPr>
              <w:t>28</w:t>
            </w:r>
          </w:fldSimple>
          <w:r>
            <w:t xml:space="preserve">  </w:t>
          </w:r>
        </w:p>
      </w:tc>
    </w:tr>
  </w:tbl>
  <w:p w14:paraId="1C07E095" w14:textId="77777777" w:rsidR="009F7FB0" w:rsidRDefault="009F7FB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CFA24" w14:textId="77777777" w:rsidR="009F7FB0" w:rsidRDefault="009F7FB0" w:rsidP="00C40A36">
      <w:pPr>
        <w:spacing w:after="0"/>
      </w:pPr>
      <w:r>
        <w:separator/>
      </w:r>
    </w:p>
  </w:footnote>
  <w:footnote w:type="continuationSeparator" w:id="0">
    <w:p w14:paraId="544AB1AC" w14:textId="77777777" w:rsidR="009F7FB0" w:rsidRDefault="009F7FB0" w:rsidP="00C40A36">
      <w:pPr>
        <w:spacing w:after="0"/>
      </w:pPr>
      <w:r>
        <w:continuationSeparator/>
      </w:r>
    </w:p>
  </w:footnote>
  <w:footnote w:id="1">
    <w:p w14:paraId="379CF293" w14:textId="77777777" w:rsidR="009F7FB0" w:rsidRDefault="009F7FB0" w:rsidP="00646C32">
      <w:pPr>
        <w:pStyle w:val="FootnoteText"/>
      </w:pPr>
      <w:r>
        <w:rPr>
          <w:rStyle w:val="FootnoteReference"/>
        </w:rPr>
        <w:footnoteRef/>
      </w:r>
      <w:r>
        <w:t xml:space="preserve"> Therapeutic Guidelines. </w:t>
      </w:r>
      <w:proofErr w:type="spellStart"/>
      <w:r>
        <w:t>eTG</w:t>
      </w:r>
      <w:proofErr w:type="spellEnd"/>
      <w:r>
        <w:t xml:space="preserve"> complete. Diabetes. </w:t>
      </w:r>
      <w:proofErr w:type="spellStart"/>
      <w:r>
        <w:t>eTG</w:t>
      </w:r>
      <w:proofErr w:type="spellEnd"/>
      <w:r>
        <w:t xml:space="preserve"> April 2019 edition.</w:t>
      </w:r>
    </w:p>
  </w:footnote>
  <w:footnote w:id="2">
    <w:p w14:paraId="5FCBD3F9" w14:textId="62FA1CD9" w:rsidR="009F7FB0" w:rsidRPr="00BD2841" w:rsidRDefault="009F7FB0" w:rsidP="00BD2841">
      <w:pPr>
        <w:spacing w:before="0"/>
        <w:rPr>
          <w:sz w:val="18"/>
          <w:szCs w:val="20"/>
        </w:rPr>
      </w:pPr>
      <w:r>
        <w:rPr>
          <w:rStyle w:val="FootnoteReference"/>
        </w:rPr>
        <w:footnoteRef/>
      </w:r>
      <w:r>
        <w:t xml:space="preserve"> </w:t>
      </w:r>
      <w:r w:rsidRPr="00BD2841">
        <w:rPr>
          <w:rStyle w:val="FootnoteTextChar"/>
        </w:rPr>
        <w:t>Australian Government Australian Institute of Health and Welfar</w:t>
      </w:r>
      <w:r>
        <w:rPr>
          <w:rStyle w:val="FootnoteTextChar"/>
        </w:rPr>
        <w:t>e. Diabetes snapshot. Updated 30th August 2019</w:t>
      </w:r>
      <w:r w:rsidRPr="00BD2841">
        <w:rPr>
          <w:rStyle w:val="FootnoteTextChar"/>
        </w:rPr>
        <w:t xml:space="preserve">. </w:t>
      </w:r>
      <w:hyperlink r:id="rId1" w:history="1">
        <w:r w:rsidRPr="00BD2841">
          <w:rPr>
            <w:rStyle w:val="FootnoteTextChar"/>
          </w:rPr>
          <w:t>https://www.aihw.gov.au/reports/diabetes/diabetes-snapshot/contents/how-many-australians-have-diabetes</w:t>
        </w:r>
      </w:hyperlink>
    </w:p>
  </w:footnote>
  <w:footnote w:id="3">
    <w:p w14:paraId="37CE3F34" w14:textId="0915BF7D" w:rsidR="009F7FB0" w:rsidRDefault="009F7FB0">
      <w:pPr>
        <w:pStyle w:val="FootnoteText"/>
      </w:pPr>
      <w:r>
        <w:rPr>
          <w:rStyle w:val="FootnoteReference"/>
        </w:rPr>
        <w:footnoteRef/>
      </w:r>
      <w:r>
        <w:t xml:space="preserve"> Australian Government Australian Institute of Health and Welfare 2018. Australia’s health 2018. Australia’s health series no 16. AUS 221. Canberra: AIHW. </w:t>
      </w:r>
      <w:hyperlink r:id="rId2" w:history="1">
        <w:r w:rsidRPr="001F3E98">
          <w:rPr>
            <w:rStyle w:val="Hyperlink"/>
          </w:rPr>
          <w:t>https://www.aihw.gov.au/getmedia/c172c33e-776d-44b0-b549-546d58cee33d/aihw-aus-221-chapter-3-8.pdf.aspx</w:t>
        </w:r>
      </w:hyperlink>
    </w:p>
  </w:footnote>
  <w:footnote w:id="4">
    <w:p w14:paraId="22AE6DBF" w14:textId="74CCCA9B" w:rsidR="009F7FB0" w:rsidRPr="00571343" w:rsidRDefault="009F7FB0">
      <w:pPr>
        <w:pStyle w:val="FootnoteText"/>
        <w:rPr>
          <w:b/>
        </w:rPr>
      </w:pPr>
      <w:r>
        <w:rPr>
          <w:rStyle w:val="FootnoteReference"/>
        </w:rPr>
        <w:footnoteRef/>
      </w:r>
      <w:r>
        <w:t xml:space="preserve"> </w:t>
      </w:r>
      <w:proofErr w:type="spellStart"/>
      <w:r>
        <w:t>Danne</w:t>
      </w:r>
      <w:proofErr w:type="spellEnd"/>
      <w:r>
        <w:t xml:space="preserve"> T et al. (2018). ISPAD Clinical Practice Consensus Guidelines 2018: Insulin treatment in children and adolescents with diabetes. </w:t>
      </w:r>
      <w:proofErr w:type="spellStart"/>
      <w:r w:rsidRPr="00571343">
        <w:rPr>
          <w:i/>
        </w:rPr>
        <w:t>Pediatric</w:t>
      </w:r>
      <w:proofErr w:type="spellEnd"/>
      <w:r w:rsidRPr="00571343">
        <w:rPr>
          <w:i/>
        </w:rPr>
        <w:t xml:space="preserve"> Diabetes</w:t>
      </w:r>
      <w:r>
        <w:rPr>
          <w:i/>
        </w:rPr>
        <w:t xml:space="preserve">, </w:t>
      </w:r>
      <w:r>
        <w:t>19 (Suppl. 27): 115–135.</w:t>
      </w:r>
    </w:p>
  </w:footnote>
  <w:footnote w:id="5">
    <w:p w14:paraId="6DEF72FF" w14:textId="5E341D96" w:rsidR="009F7FB0" w:rsidRPr="006742DE" w:rsidRDefault="009F7FB0">
      <w:pPr>
        <w:pStyle w:val="FootnoteText"/>
        <w:rPr>
          <w:lang w:val="en-US"/>
        </w:rPr>
      </w:pPr>
      <w:r>
        <w:rPr>
          <w:rStyle w:val="FootnoteReference"/>
        </w:rPr>
        <w:footnoteRef/>
      </w:r>
      <w:r>
        <w:t xml:space="preserve"> </w:t>
      </w:r>
      <w:r>
        <w:rPr>
          <w:sz w:val="16"/>
          <w:szCs w:val="16"/>
        </w:rPr>
        <w:t xml:space="preserve">AusPAR </w:t>
      </w:r>
      <w:proofErr w:type="spellStart"/>
      <w:r>
        <w:rPr>
          <w:sz w:val="16"/>
          <w:szCs w:val="16"/>
        </w:rPr>
        <w:t>Ryzodeg</w:t>
      </w:r>
      <w:proofErr w:type="spellEnd"/>
      <w:r>
        <w:rPr>
          <w:sz w:val="16"/>
          <w:szCs w:val="16"/>
        </w:rPr>
        <w:t xml:space="preserve"> 70/30 FlexTouch, </w:t>
      </w:r>
      <w:proofErr w:type="spellStart"/>
      <w:r>
        <w:rPr>
          <w:sz w:val="16"/>
          <w:szCs w:val="16"/>
        </w:rPr>
        <w:t>Ryzodeg</w:t>
      </w:r>
      <w:proofErr w:type="spellEnd"/>
      <w:r>
        <w:rPr>
          <w:sz w:val="16"/>
          <w:szCs w:val="16"/>
        </w:rPr>
        <w:t xml:space="preserve"> 70/30 </w:t>
      </w:r>
      <w:proofErr w:type="spellStart"/>
      <w:r>
        <w:rPr>
          <w:sz w:val="16"/>
          <w:szCs w:val="16"/>
        </w:rPr>
        <w:t>Penfill</w:t>
      </w:r>
      <w:proofErr w:type="spellEnd"/>
      <w:r>
        <w:rPr>
          <w:sz w:val="16"/>
          <w:szCs w:val="16"/>
        </w:rPr>
        <w:t xml:space="preserve"> insulin </w:t>
      </w:r>
      <w:proofErr w:type="spellStart"/>
      <w:r>
        <w:rPr>
          <w:sz w:val="16"/>
          <w:szCs w:val="16"/>
        </w:rPr>
        <w:t>degludec</w:t>
      </w:r>
      <w:proofErr w:type="spellEnd"/>
      <w:r>
        <w:rPr>
          <w:sz w:val="16"/>
          <w:szCs w:val="16"/>
        </w:rPr>
        <w:t xml:space="preserve"> (</w:t>
      </w:r>
      <w:proofErr w:type="spellStart"/>
      <w:r>
        <w:rPr>
          <w:sz w:val="16"/>
          <w:szCs w:val="16"/>
        </w:rPr>
        <w:t>rys</w:t>
      </w:r>
      <w:proofErr w:type="spellEnd"/>
      <w:r>
        <w:rPr>
          <w:sz w:val="16"/>
          <w:szCs w:val="16"/>
        </w:rPr>
        <w:t xml:space="preserve">)/insulin </w:t>
      </w:r>
      <w:proofErr w:type="spellStart"/>
      <w:r>
        <w:rPr>
          <w:sz w:val="16"/>
          <w:szCs w:val="16"/>
        </w:rPr>
        <w:t>aspart</w:t>
      </w:r>
      <w:proofErr w:type="spellEnd"/>
      <w:r>
        <w:rPr>
          <w:sz w:val="16"/>
          <w:szCs w:val="16"/>
        </w:rPr>
        <w:t xml:space="preserve"> (</w:t>
      </w:r>
      <w:proofErr w:type="spellStart"/>
      <w:r>
        <w:rPr>
          <w:sz w:val="16"/>
          <w:szCs w:val="16"/>
        </w:rPr>
        <w:t>rys</w:t>
      </w:r>
      <w:proofErr w:type="spellEnd"/>
      <w:r>
        <w:rPr>
          <w:sz w:val="16"/>
          <w:szCs w:val="16"/>
        </w:rPr>
        <w:t>) Novo Nordisk Pharmaceuticals Pty Ltd PM-2016-02723-1-5.</w:t>
      </w:r>
    </w:p>
  </w:footnote>
  <w:footnote w:id="6">
    <w:p w14:paraId="03FE0A79" w14:textId="5447963D" w:rsidR="009F7FB0" w:rsidRDefault="009F7FB0">
      <w:pPr>
        <w:pStyle w:val="FootnoteText"/>
      </w:pPr>
      <w:r>
        <w:rPr>
          <w:rStyle w:val="FootnoteReference"/>
        </w:rPr>
        <w:footnoteRef/>
      </w:r>
      <w:r>
        <w:t xml:space="preserve"> Insulin glargine is a long acting insulin analogue.</w:t>
      </w:r>
    </w:p>
  </w:footnote>
  <w:footnote w:id="7">
    <w:p w14:paraId="27F0C7BD" w14:textId="4036A1C2" w:rsidR="009F7FB0" w:rsidRPr="006742DE" w:rsidRDefault="009F7FB0">
      <w:pPr>
        <w:pStyle w:val="FootnoteText"/>
      </w:pPr>
      <w:r>
        <w:rPr>
          <w:rStyle w:val="FootnoteReference"/>
        </w:rPr>
        <w:footnoteRef/>
      </w:r>
      <w:r>
        <w:t xml:space="preserve"> </w:t>
      </w:r>
      <w:r w:rsidRPr="006742DE">
        <w:t xml:space="preserve">AusPAR </w:t>
      </w:r>
      <w:proofErr w:type="spellStart"/>
      <w:r w:rsidRPr="006742DE">
        <w:t>Tresiba</w:t>
      </w:r>
      <w:proofErr w:type="spellEnd"/>
      <w:r w:rsidRPr="006742DE">
        <w:t xml:space="preserve"> FlexTouch/</w:t>
      </w:r>
      <w:proofErr w:type="spellStart"/>
      <w:r w:rsidRPr="006742DE">
        <w:t>Penfill</w:t>
      </w:r>
      <w:proofErr w:type="spellEnd"/>
      <w:r w:rsidRPr="006742DE">
        <w:t xml:space="preserve"> insulin </w:t>
      </w:r>
      <w:proofErr w:type="spellStart"/>
      <w:r w:rsidRPr="006742DE">
        <w:t>degludec</w:t>
      </w:r>
      <w:proofErr w:type="spellEnd"/>
      <w:r w:rsidRPr="006742DE">
        <w:t xml:space="preserve"> (</w:t>
      </w:r>
      <w:proofErr w:type="spellStart"/>
      <w:r w:rsidRPr="006742DE">
        <w:t>rys</w:t>
      </w:r>
      <w:proofErr w:type="spellEnd"/>
      <w:r w:rsidRPr="006742DE">
        <w:t>) Novo Nordisk Pharmaceuticals Pty Ltd PM-2016-02721-1-5.</w:t>
      </w:r>
    </w:p>
  </w:footnote>
  <w:footnote w:id="8">
    <w:p w14:paraId="7E42D086" w14:textId="40C63554" w:rsidR="009F7FB0" w:rsidRDefault="009F7FB0" w:rsidP="006742DE">
      <w:pPr>
        <w:pStyle w:val="FootnoteText"/>
      </w:pPr>
      <w:r>
        <w:rPr>
          <w:rStyle w:val="FootnoteReference"/>
        </w:rPr>
        <w:footnoteRef/>
      </w:r>
      <w:r>
        <w:t xml:space="preserve"> </w:t>
      </w:r>
      <w:r w:rsidRPr="006742DE">
        <w:t xml:space="preserve">Insulin </w:t>
      </w:r>
      <w:proofErr w:type="spellStart"/>
      <w:r w:rsidRPr="006742DE">
        <w:t>detemir</w:t>
      </w:r>
      <w:proofErr w:type="spellEnd"/>
      <w:r w:rsidRPr="006742DE">
        <w:t xml:space="preserve"> is a long acting insulin </w:t>
      </w:r>
      <w:proofErr w:type="spellStart"/>
      <w:r w:rsidRPr="006742DE">
        <w:t>analog</w:t>
      </w:r>
      <w:proofErr w:type="spellEnd"/>
      <w:r w:rsidRPr="006742DE">
        <w:t>.</w:t>
      </w:r>
    </w:p>
  </w:footnote>
  <w:footnote w:id="9">
    <w:p w14:paraId="54B1CFE6" w14:textId="1EB98ADD" w:rsidR="009F7FB0" w:rsidRDefault="009F7FB0" w:rsidP="006742DE">
      <w:pPr>
        <w:pStyle w:val="FootnoteText"/>
        <w:rPr>
          <w:lang w:eastAsia="ja-JP"/>
        </w:rPr>
      </w:pPr>
      <w:r>
        <w:rPr>
          <w:rStyle w:val="FootnoteReference"/>
        </w:rPr>
        <w:footnoteRef/>
      </w:r>
      <w:r>
        <w:t xml:space="preserve"> </w:t>
      </w:r>
      <w:r w:rsidRPr="006742DE">
        <w:t>EMA, Committee for Proprietary Medicinal Products (CPMP), 15 November 2012. Guideline on clinical</w:t>
      </w:r>
      <w:r>
        <w:rPr>
          <w:lang w:eastAsia="ja-JP"/>
        </w:rPr>
        <w:t xml:space="preserve"> investigation of medicinal products in the treatment or prevention of diabetes mellitus, CPMP/EWP/1080/00.</w:t>
      </w:r>
    </w:p>
  </w:footnote>
  <w:footnote w:id="10">
    <w:p w14:paraId="211192C6" w14:textId="3D448697" w:rsidR="009F7FB0" w:rsidRPr="00F2567E" w:rsidRDefault="009F7FB0" w:rsidP="00F2567E">
      <w:pPr>
        <w:pStyle w:val="FootnoteText"/>
        <w:rPr>
          <w:b/>
        </w:rPr>
      </w:pPr>
      <w:r>
        <w:rPr>
          <w:rStyle w:val="FootnoteReference"/>
        </w:rPr>
        <w:footnoteRef/>
      </w:r>
      <w:r>
        <w:t xml:space="preserve"> </w:t>
      </w:r>
      <w:proofErr w:type="spellStart"/>
      <w:r>
        <w:rPr>
          <w:rFonts w:ascii="TimesNRMT" w:eastAsiaTheme="minorHAnsi" w:hAnsi="TimesNRMT" w:cs="TimesNRMT"/>
          <w:sz w:val="19"/>
          <w:szCs w:val="19"/>
        </w:rPr>
        <w:t>Bangstad</w:t>
      </w:r>
      <w:proofErr w:type="spellEnd"/>
      <w:r>
        <w:rPr>
          <w:rFonts w:ascii="TimesNRMT" w:eastAsiaTheme="minorHAnsi" w:hAnsi="TimesNRMT" w:cs="TimesNRMT"/>
          <w:sz w:val="19"/>
          <w:szCs w:val="19"/>
        </w:rPr>
        <w:t xml:space="preserve"> H-J</w:t>
      </w:r>
      <w:r>
        <w:t xml:space="preserve"> et al. (2009). ISPAD Clinical Practice Consensus Guidelines 2009: Insulin treatment in children and adolescents with diabetes. </w:t>
      </w:r>
      <w:proofErr w:type="spellStart"/>
      <w:r w:rsidRPr="00571343">
        <w:rPr>
          <w:i/>
        </w:rPr>
        <w:t>Pediatric</w:t>
      </w:r>
      <w:proofErr w:type="spellEnd"/>
      <w:r w:rsidRPr="00571343">
        <w:rPr>
          <w:i/>
        </w:rPr>
        <w:t xml:space="preserve"> Diabetes</w:t>
      </w:r>
      <w:r>
        <w:rPr>
          <w:i/>
        </w:rPr>
        <w:t xml:space="preserve">, </w:t>
      </w:r>
      <w:r>
        <w:t>10 (Suppl. 12): 82 – 99.</w:t>
      </w:r>
    </w:p>
  </w:footnote>
  <w:footnote w:id="11">
    <w:p w14:paraId="0457B2FF" w14:textId="745BE42C" w:rsidR="009F7FB0" w:rsidRPr="006742DE" w:rsidRDefault="009F7FB0">
      <w:pPr>
        <w:pStyle w:val="FootnoteText"/>
        <w:rPr>
          <w:lang w:val="en-US"/>
        </w:rPr>
      </w:pPr>
      <w:r>
        <w:rPr>
          <w:rStyle w:val="FootnoteReference"/>
        </w:rPr>
        <w:footnoteRef/>
      </w:r>
      <w:r>
        <w:t xml:space="preserve"> </w:t>
      </w:r>
      <w:r>
        <w:rPr>
          <w:lang w:val="en"/>
        </w:rPr>
        <w:t xml:space="preserve">HbA1c is glycosylated </w:t>
      </w:r>
      <w:proofErr w:type="spellStart"/>
      <w:r>
        <w:rPr>
          <w:lang w:val="en"/>
        </w:rPr>
        <w:t>haemoglobin</w:t>
      </w:r>
      <w:proofErr w:type="spellEnd"/>
      <w:r>
        <w:rPr>
          <w:lang w:val="en"/>
        </w:rPr>
        <w:t xml:space="preserve"> and reflects the average blood glucose over the lifespan of the red blood cells containing it (approximately 12 weeks). HbA1c is regarded as a gold standard for assessing </w:t>
      </w:r>
      <w:proofErr w:type="spellStart"/>
      <w:r>
        <w:rPr>
          <w:lang w:val="en"/>
        </w:rPr>
        <w:t>glycaemic</w:t>
      </w:r>
      <w:proofErr w:type="spellEnd"/>
      <w:r>
        <w:rPr>
          <w:lang w:val="en"/>
        </w:rPr>
        <w:t xml:space="preserve"> control. HbA1c is also known as A1c, </w:t>
      </w:r>
      <w:proofErr w:type="spellStart"/>
      <w:r>
        <w:rPr>
          <w:lang w:val="en"/>
        </w:rPr>
        <w:t>glycohaemoglobin</w:t>
      </w:r>
      <w:proofErr w:type="spellEnd"/>
      <w:r>
        <w:rPr>
          <w:lang w:val="en"/>
        </w:rPr>
        <w:t xml:space="preserve"> and glycated </w:t>
      </w:r>
      <w:proofErr w:type="spellStart"/>
      <w:r>
        <w:rPr>
          <w:lang w:val="en"/>
        </w:rPr>
        <w:t>haemoglobin</w:t>
      </w:r>
      <w:proofErr w:type="spellEnd"/>
      <w:r>
        <w:rPr>
          <w:lang w:val="en"/>
        </w:rPr>
        <w:t>.</w:t>
      </w:r>
    </w:p>
  </w:footnote>
  <w:footnote w:id="12">
    <w:p w14:paraId="1543B91B" w14:textId="53A1CAD5" w:rsidR="009F7FB0" w:rsidRDefault="009F7FB0">
      <w:pPr>
        <w:pStyle w:val="FootnoteText"/>
      </w:pPr>
      <w:r>
        <w:rPr>
          <w:rStyle w:val="FootnoteReference"/>
        </w:rPr>
        <w:footnoteRef/>
      </w:r>
      <w:r>
        <w:t xml:space="preserve"> Routine risk minimisation activities may be limited to ensuring that suitable warnings are included in the product information or by careful use of labelling and packaging. Routine pharmacovigilance practices involve the following activities:</w:t>
      </w:r>
    </w:p>
    <w:p w14:paraId="4B258498" w14:textId="593C7607" w:rsidR="009F7FB0" w:rsidRDefault="009F7FB0" w:rsidP="00E05D13">
      <w:pPr>
        <w:pStyle w:val="FootnoteText"/>
        <w:numPr>
          <w:ilvl w:val="0"/>
          <w:numId w:val="33"/>
        </w:numPr>
      </w:pPr>
      <w:r>
        <w:t>All suspected adverse reactions that are reported to the personnel of the company are collected and collated in an accessible manner;</w:t>
      </w:r>
    </w:p>
    <w:p w14:paraId="27AA2DE0" w14:textId="06C8EEEE" w:rsidR="009F7FB0" w:rsidRDefault="009F7FB0" w:rsidP="00E05D13">
      <w:pPr>
        <w:pStyle w:val="FootnoteText"/>
        <w:numPr>
          <w:ilvl w:val="0"/>
          <w:numId w:val="33"/>
        </w:numPr>
      </w:pPr>
      <w:r>
        <w:t>Reporting to regulatory authorities;</w:t>
      </w:r>
    </w:p>
    <w:p w14:paraId="55F90456" w14:textId="46200167" w:rsidR="009F7FB0" w:rsidRDefault="009F7FB0" w:rsidP="00E05D13">
      <w:pPr>
        <w:pStyle w:val="FootnoteText"/>
        <w:numPr>
          <w:ilvl w:val="0"/>
          <w:numId w:val="33"/>
        </w:numPr>
      </w:pPr>
      <w:r>
        <w:t>Continuous monitoring of the safety profiles of approved products including signal detection and updating of labelling;</w:t>
      </w:r>
    </w:p>
    <w:p w14:paraId="322245D3" w14:textId="02B3E6C1" w:rsidR="009F7FB0" w:rsidRDefault="009F7FB0" w:rsidP="00E05D13">
      <w:pPr>
        <w:pStyle w:val="FootnoteText"/>
        <w:numPr>
          <w:ilvl w:val="0"/>
          <w:numId w:val="33"/>
        </w:numPr>
      </w:pPr>
      <w:r>
        <w:t>Submission of PSURs;</w:t>
      </w:r>
    </w:p>
    <w:p w14:paraId="35E36708" w14:textId="47B1B651" w:rsidR="009F7FB0" w:rsidRDefault="009F7FB0" w:rsidP="00E05D13">
      <w:pPr>
        <w:pStyle w:val="FootnoteText"/>
        <w:numPr>
          <w:ilvl w:val="0"/>
          <w:numId w:val="33"/>
        </w:numPr>
      </w:pPr>
      <w:r>
        <w:t>Meeting other local regulatory agency requirements</w:t>
      </w:r>
    </w:p>
  </w:footnote>
  <w:footnote w:id="13">
    <w:p w14:paraId="68CCE345" w14:textId="0AE49F4F" w:rsidR="009F7FB0" w:rsidRDefault="009F7FB0">
      <w:pPr>
        <w:pStyle w:val="FootnoteText"/>
      </w:pPr>
      <w:r>
        <w:rPr>
          <w:rStyle w:val="FootnoteReference"/>
        </w:rPr>
        <w:footnoteRef/>
      </w:r>
      <w:r>
        <w:t xml:space="preserve"> Davies ML et al. (2016)</w:t>
      </w:r>
      <w:r w:rsidRPr="004917FA">
        <w:t xml:space="preserve">. GLP1-RA Add-on Therapy in Patients with Type 2 Diabetes Currently on a Bolus Containing Insulin Regimen. </w:t>
      </w:r>
      <w:r w:rsidRPr="004917FA">
        <w:rPr>
          <w:i/>
        </w:rPr>
        <w:t>Pharmacotherapy</w:t>
      </w:r>
      <w:r>
        <w:t xml:space="preserve">, </w:t>
      </w:r>
      <w:r w:rsidRPr="004917FA">
        <w:t>36(8):893-905</w:t>
      </w:r>
    </w:p>
  </w:footnote>
  <w:footnote w:id="14">
    <w:p w14:paraId="79CB85BC" w14:textId="124316C4" w:rsidR="009F7FB0" w:rsidRDefault="009F7FB0">
      <w:pPr>
        <w:pStyle w:val="FootnoteText"/>
      </w:pPr>
      <w:r>
        <w:rPr>
          <w:rStyle w:val="FootnoteReference"/>
        </w:rPr>
        <w:footnoteRef/>
      </w:r>
      <w:r>
        <w:t xml:space="preserve"> </w:t>
      </w:r>
      <w:r w:rsidRPr="004917FA">
        <w:t xml:space="preserve">Novo Nordisk A/S. </w:t>
      </w:r>
      <w:proofErr w:type="spellStart"/>
      <w:r w:rsidRPr="004917FA">
        <w:t>NovoMix</w:t>
      </w:r>
      <w:proofErr w:type="spellEnd"/>
      <w:r w:rsidRPr="004917FA">
        <w:t xml:space="preserve"> 30 (biphasic insulin </w:t>
      </w:r>
      <w:proofErr w:type="spellStart"/>
      <w:r w:rsidRPr="004917FA">
        <w:t>aspart</w:t>
      </w:r>
      <w:proofErr w:type="spellEnd"/>
      <w:r w:rsidRPr="004917FA">
        <w:t xml:space="preserve">) - Summary of Product </w:t>
      </w:r>
      <w:proofErr w:type="spellStart"/>
      <w:r w:rsidRPr="004917FA">
        <w:t>Charateristics</w:t>
      </w:r>
      <w:proofErr w:type="spellEnd"/>
      <w:r w:rsidRPr="004917FA">
        <w:t xml:space="preserve"> (</w:t>
      </w:r>
      <w:proofErr w:type="spellStart"/>
      <w:r w:rsidRPr="004917FA">
        <w:t>SmPC</w:t>
      </w:r>
      <w:proofErr w:type="spellEnd"/>
      <w:r w:rsidRPr="004917FA">
        <w:t>). 16 Aug</w:t>
      </w:r>
      <w:r>
        <w:t>ust</w:t>
      </w:r>
      <w:r w:rsidRPr="004917FA">
        <w:t xml:space="preserve"> 2019</w:t>
      </w:r>
    </w:p>
  </w:footnote>
  <w:footnote w:id="15">
    <w:p w14:paraId="6ADEE92E" w14:textId="3399DAB7" w:rsidR="009F7FB0" w:rsidRPr="004917FA" w:rsidRDefault="009F7FB0">
      <w:pPr>
        <w:pStyle w:val="FootnoteText"/>
      </w:pPr>
      <w:r>
        <w:rPr>
          <w:rStyle w:val="FootnoteReference"/>
        </w:rPr>
        <w:footnoteRef/>
      </w:r>
      <w:r>
        <w:t xml:space="preserve"> </w:t>
      </w:r>
      <w:proofErr w:type="spellStart"/>
      <w:r>
        <w:t>Montvida</w:t>
      </w:r>
      <w:proofErr w:type="spellEnd"/>
      <w:r>
        <w:t xml:space="preserve"> O et al. (2017).</w:t>
      </w:r>
      <w:r w:rsidRPr="004917FA">
        <w:t xml:space="preserve"> Addition of or switch to insulin therapy in people treated with glucagon-like peptide-1 receptor agonists: A real-world study in 66 583 patients. </w:t>
      </w:r>
      <w:r w:rsidRPr="003A20CF">
        <w:rPr>
          <w:i/>
        </w:rPr>
        <w:t xml:space="preserve">Diabetes </w:t>
      </w:r>
      <w:proofErr w:type="spellStart"/>
      <w:r w:rsidRPr="003A20CF">
        <w:rPr>
          <w:i/>
        </w:rPr>
        <w:t>Obes</w:t>
      </w:r>
      <w:proofErr w:type="spellEnd"/>
      <w:r w:rsidRPr="003A20CF">
        <w:rPr>
          <w:i/>
        </w:rPr>
        <w:t xml:space="preserve"> </w:t>
      </w:r>
      <w:proofErr w:type="spellStart"/>
      <w:r w:rsidRPr="003A20CF">
        <w:rPr>
          <w:i/>
        </w:rPr>
        <w:t>Metab</w:t>
      </w:r>
      <w:proofErr w:type="spellEnd"/>
      <w:r>
        <w:t xml:space="preserve">. </w:t>
      </w:r>
      <w:r w:rsidRPr="004917FA">
        <w:t>19(1):108-17.</w:t>
      </w:r>
    </w:p>
  </w:footnote>
  <w:footnote w:id="16">
    <w:p w14:paraId="0009F271" w14:textId="76E27875" w:rsidR="009F7FB0" w:rsidRDefault="009F7FB0">
      <w:pPr>
        <w:pStyle w:val="FootnoteText"/>
      </w:pPr>
      <w:r>
        <w:rPr>
          <w:rStyle w:val="FootnoteReference"/>
        </w:rPr>
        <w:footnoteRef/>
      </w:r>
      <w:r>
        <w:t xml:space="preserve"> Yoon NM et al. (2009).</w:t>
      </w:r>
      <w:r w:rsidRPr="004917FA">
        <w:t xml:space="preserve"> </w:t>
      </w:r>
      <w:proofErr w:type="spellStart"/>
      <w:r w:rsidRPr="004917FA">
        <w:t>Exenatide</w:t>
      </w:r>
      <w:proofErr w:type="spellEnd"/>
      <w:r w:rsidRPr="004917FA">
        <w:t xml:space="preserve"> added to insulin therapy: a retrospective review of clinical practice over two years in an academic endocrinology outpatient setting. </w:t>
      </w:r>
      <w:proofErr w:type="spellStart"/>
      <w:r w:rsidRPr="003A20CF">
        <w:rPr>
          <w:i/>
        </w:rPr>
        <w:t>Clin</w:t>
      </w:r>
      <w:proofErr w:type="spellEnd"/>
      <w:r w:rsidRPr="003A20CF">
        <w:rPr>
          <w:i/>
        </w:rPr>
        <w:t xml:space="preserve"> </w:t>
      </w:r>
      <w:proofErr w:type="spellStart"/>
      <w:r w:rsidRPr="003A20CF">
        <w:rPr>
          <w:i/>
        </w:rPr>
        <w:t>Ther</w:t>
      </w:r>
      <w:proofErr w:type="spellEnd"/>
      <w:r w:rsidRPr="003A20CF">
        <w:rPr>
          <w:i/>
        </w:rPr>
        <w:t>.</w:t>
      </w:r>
      <w:r>
        <w:t xml:space="preserve"> </w:t>
      </w:r>
      <w:r w:rsidRPr="004917FA">
        <w:t>31(7):1511-23.</w:t>
      </w:r>
    </w:p>
  </w:footnote>
  <w:footnote w:id="17">
    <w:p w14:paraId="2FE99F7D" w14:textId="47E2F4B9" w:rsidR="009F7FB0" w:rsidRDefault="009F7FB0">
      <w:pPr>
        <w:pStyle w:val="FootnoteText"/>
      </w:pPr>
      <w:r>
        <w:rPr>
          <w:rStyle w:val="FootnoteReference"/>
        </w:rPr>
        <w:footnoteRef/>
      </w:r>
      <w:r>
        <w:t xml:space="preserve"> Li CJ</w:t>
      </w:r>
      <w:r w:rsidRPr="004917FA">
        <w:t xml:space="preserve"> et al. </w:t>
      </w:r>
      <w:r>
        <w:t xml:space="preserve">(2012). </w:t>
      </w:r>
      <w:r w:rsidRPr="004917FA">
        <w:t xml:space="preserve">Efficacy and safety comparison between </w:t>
      </w:r>
      <w:proofErr w:type="spellStart"/>
      <w:r w:rsidRPr="004917FA">
        <w:t>liraglutide</w:t>
      </w:r>
      <w:proofErr w:type="spellEnd"/>
      <w:r w:rsidRPr="004917FA">
        <w:t xml:space="preserve"> as add-on therapy to insulin and insulin dose-increase in Chinese subjects with poorly controlled type 2 diabetes and abdominal obesity. </w:t>
      </w:r>
      <w:proofErr w:type="spellStart"/>
      <w:r w:rsidRPr="003A20CF">
        <w:rPr>
          <w:i/>
        </w:rPr>
        <w:t>Cardiovasc</w:t>
      </w:r>
      <w:proofErr w:type="spellEnd"/>
      <w:r w:rsidRPr="003A20CF">
        <w:rPr>
          <w:i/>
        </w:rPr>
        <w:t xml:space="preserve"> </w:t>
      </w:r>
      <w:proofErr w:type="spellStart"/>
      <w:r w:rsidRPr="003A20CF">
        <w:rPr>
          <w:i/>
        </w:rPr>
        <w:t>Diabetol</w:t>
      </w:r>
      <w:proofErr w:type="spellEnd"/>
      <w:r w:rsidRPr="003A20CF">
        <w:rPr>
          <w:i/>
        </w:rPr>
        <w:t>.</w:t>
      </w:r>
      <w:r>
        <w:t xml:space="preserve"> </w:t>
      </w:r>
      <w:r w:rsidRPr="004917FA">
        <w:t>11:142.</w:t>
      </w:r>
    </w:p>
  </w:footnote>
  <w:footnote w:id="18">
    <w:p w14:paraId="0EE0D068" w14:textId="66B37EBB" w:rsidR="009F7FB0" w:rsidRPr="006742DE" w:rsidRDefault="009F7FB0">
      <w:pPr>
        <w:pStyle w:val="FootnoteText"/>
        <w:rPr>
          <w:lang w:val="en-US"/>
        </w:rPr>
      </w:pPr>
      <w:r>
        <w:rPr>
          <w:rStyle w:val="FootnoteReference"/>
        </w:rPr>
        <w:footnoteRef/>
      </w:r>
      <w:r>
        <w:t xml:space="preserve"> </w:t>
      </w:r>
      <w:r>
        <w:rPr>
          <w:lang w:val="en-US"/>
        </w:rPr>
        <w:t>U-500 insulin is highly concentrated insulin containing 500 U/</w:t>
      </w:r>
      <w:proofErr w:type="spellStart"/>
      <w:r>
        <w:rPr>
          <w:lang w:val="en-US"/>
        </w:rPr>
        <w:t>mL.</w:t>
      </w:r>
      <w:proofErr w:type="spellEnd"/>
    </w:p>
  </w:footnote>
  <w:footnote w:id="19">
    <w:p w14:paraId="26D05967" w14:textId="2B7CF206" w:rsidR="009F7FB0" w:rsidRDefault="009F7FB0">
      <w:pPr>
        <w:pStyle w:val="FootnoteText"/>
      </w:pPr>
      <w:r>
        <w:rPr>
          <w:rStyle w:val="FootnoteReference"/>
        </w:rPr>
        <w:footnoteRef/>
      </w:r>
      <w:r>
        <w:t xml:space="preserve"> </w:t>
      </w:r>
      <w:r w:rsidRPr="00725C46">
        <w:t xml:space="preserve">Novo Nordisk A/S. </w:t>
      </w:r>
      <w:proofErr w:type="spellStart"/>
      <w:r w:rsidRPr="00725C46">
        <w:t>Ryzodeg</w:t>
      </w:r>
      <w:proofErr w:type="spellEnd"/>
      <w:r w:rsidRPr="00725C46">
        <w:t xml:space="preserve"> 70/30 Australian Product Information. 22 May 2018</w:t>
      </w:r>
      <w:r>
        <w:t>.</w:t>
      </w:r>
    </w:p>
  </w:footnote>
  <w:footnote w:id="20">
    <w:p w14:paraId="38F6E446" w14:textId="77777777" w:rsidR="009F7FB0" w:rsidRDefault="009F7FB0" w:rsidP="00456765">
      <w:pPr>
        <w:pStyle w:val="FootnoteText"/>
      </w:pPr>
      <w:r>
        <w:rPr>
          <w:rStyle w:val="FootnoteReference"/>
        </w:rPr>
        <w:footnoteRef/>
      </w:r>
      <w:r>
        <w:t xml:space="preserve"> The ACM provides independent medical and scientific advice to the Minister for Health and the Therapeutic Goods Administration (TGA) on issues relating to the safety, quality and efficacy of medicines supplied in Australia including issues relating to pre-market and post-market functions for medicines.</w:t>
      </w:r>
    </w:p>
    <w:p w14:paraId="72A036E1" w14:textId="77777777" w:rsidR="009F7FB0" w:rsidRPr="00456765" w:rsidRDefault="009F7FB0" w:rsidP="00456765">
      <w:pPr>
        <w:pStyle w:val="FootnoteText"/>
        <w:rPr>
          <w:lang w:val="en-US"/>
        </w:rPr>
      </w:pPr>
      <w:r>
        <w:t xml:space="preserve">The Committee is established under Regulation 35 of the Therapeutic Goods Regulations 1990. Members are appointed by the Minister. The ACM was established in January 2017 replacing </w:t>
      </w:r>
      <w:r w:rsidRPr="009E0C19">
        <w:t xml:space="preserve">Advisory Committee on Prescription Medicines (ACPM) </w:t>
      </w:r>
      <w:r>
        <w:t xml:space="preserve">which </w:t>
      </w:r>
      <w:r w:rsidRPr="009E0C19">
        <w:t>was formed in January 2010</w:t>
      </w:r>
      <w:r>
        <w:t>. ACM encompass pre and post-market advice for medicines, following the consolidation of the previous functions of the Advisory Committee on Prescription Medicines (ACPM), the Advisory Committee on the Safety of Medicines (ACSOM) and the Advisory Committee on Non-Prescription Medicines (ACNM). Membership comprises of professionals with specific scientific, medical or clinical expertise, as well as appropriate consumer health issues relating to medicines.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76D09" w14:textId="77777777" w:rsidR="009F7FB0" w:rsidRDefault="009F7F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6E4B6" w14:textId="77777777" w:rsidR="009F7FB0" w:rsidRDefault="009F7FB0" w:rsidP="00E45619">
    <w:pPr>
      <w:pStyle w:val="Header"/>
    </w:pPr>
    <w:r>
      <w:t>Therapeutic Goods Administration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D46C4" w14:textId="77777777" w:rsidR="009F7FB0" w:rsidRDefault="009F7FB0">
    <w:pPr>
      <w:rPr>
        <w:noProof/>
        <w:lang w:eastAsia="en-AU"/>
      </w:rPr>
    </w:pPr>
    <w:r w:rsidRPr="00347824">
      <w:rPr>
        <w:noProof/>
        <w:lang w:eastAsia="en-AU"/>
      </w:rPr>
      <w:drawing>
        <wp:anchor distT="0" distB="0" distL="114300" distR="114300" simplePos="0" relativeHeight="251659264" behindDoc="1" locked="0" layoutInCell="1" allowOverlap="1" wp14:anchorId="16D7580E" wp14:editId="5E59D113">
          <wp:simplePos x="0" y="0"/>
          <wp:positionH relativeFrom="column">
            <wp:posOffset>-1089660</wp:posOffset>
          </wp:positionH>
          <wp:positionV relativeFrom="paragraph">
            <wp:posOffset>-585470</wp:posOffset>
          </wp:positionV>
          <wp:extent cx="7572375" cy="10706100"/>
          <wp:effectExtent l="19050" t="0" r="0" b="0"/>
          <wp:wrapNone/>
          <wp:docPr id="6"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14:paraId="0230A52C" w14:textId="77777777" w:rsidR="009F7FB0" w:rsidRDefault="009F7FB0" w:rsidP="00593AD1">
    <w:pPr>
      <w:pStyle w:val="HeaderNoLine"/>
    </w:pPr>
    <w:r>
      <w:rPr>
        <w:noProof/>
        <w:lang w:eastAsia="en-AU"/>
      </w:rPr>
      <w:drawing>
        <wp:inline distT="0" distB="0" distL="0" distR="0" wp14:anchorId="36B6A463" wp14:editId="17CD45AE">
          <wp:extent cx="5400675" cy="7639050"/>
          <wp:effectExtent l="0" t="0" r="9525" b="0"/>
          <wp:docPr id="7" name="Picture 7" descr="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76390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F7C40" w14:textId="77777777" w:rsidR="009F7FB0" w:rsidRDefault="009F7FB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F8BC0" w14:textId="77777777" w:rsidR="009F7FB0" w:rsidRDefault="009F7FB0">
    <w:pPr>
      <w:pStyle w:val="Header"/>
    </w:pPr>
    <w:r>
      <w:t>Therapeutic Goods Administration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0B2B5" w14:textId="77777777" w:rsidR="009F7FB0" w:rsidRDefault="009F7FB0">
    <w:pPr>
      <w:pStyle w:val="Header"/>
    </w:pPr>
    <w:r>
      <w:t>Therapeutic Goods Administration</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FE073" w14:textId="77777777" w:rsidR="009F7FB0" w:rsidRDefault="009F7FB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B5514" w14:textId="77777777" w:rsidR="009F7FB0" w:rsidRDefault="009F7FB0" w:rsidP="004C239D">
    <w:pPr>
      <w:pStyle w:val="HeaderNoLin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B1754" w14:textId="77777777" w:rsidR="009F7FB0" w:rsidRDefault="009F7FB0" w:rsidP="006E08B3">
    <w:r>
      <w:t>Therapeutic Goods Administration</w:t>
    </w:r>
  </w:p>
  <w:p w14:paraId="428AB1CE" w14:textId="77777777" w:rsidR="009F7FB0" w:rsidRDefault="009F7FB0" w:rsidP="006D03E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B8320B0A"/>
    <w:lvl w:ilvl="0">
      <w:numFmt w:val="bullet"/>
      <w:lvlText w:val="*"/>
      <w:lvlJc w:val="left"/>
    </w:lvl>
  </w:abstractNum>
  <w:abstractNum w:abstractNumId="4" w15:restartNumberingAfterBreak="0">
    <w:nsid w:val="00B2578D"/>
    <w:multiLevelType w:val="hybridMultilevel"/>
    <w:tmpl w:val="219E155A"/>
    <w:lvl w:ilvl="0" w:tplc="8D86DD16">
      <w:start w:val="7"/>
      <w:numFmt w:val="bullet"/>
      <w:lvlText w:val="-"/>
      <w:lvlJc w:val="left"/>
      <w:pPr>
        <w:ind w:left="720" w:hanging="36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053F11"/>
    <w:multiLevelType w:val="multilevel"/>
    <w:tmpl w:val="8F4272AC"/>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6" w15:restartNumberingAfterBreak="0">
    <w:nsid w:val="168F13E9"/>
    <w:multiLevelType w:val="multilevel"/>
    <w:tmpl w:val="3B72F062"/>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2C526F3C"/>
    <w:multiLevelType w:val="hybridMultilevel"/>
    <w:tmpl w:val="21FAB57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AC02909"/>
    <w:multiLevelType w:val="hybridMultilevel"/>
    <w:tmpl w:val="0BF2B618"/>
    <w:lvl w:ilvl="0" w:tplc="3B76980A">
      <w:start w:val="1"/>
      <w:numFmt w:val="bullet"/>
      <w:pStyle w:val="Bullet2"/>
      <w:lvlText w:val="-"/>
      <w:lvlJc w:val="left"/>
      <w:pPr>
        <w:tabs>
          <w:tab w:val="num" w:pos="567"/>
        </w:tabs>
        <w:ind w:left="567" w:hanging="283"/>
      </w:pPr>
      <w:rPr>
        <w:rFonts w:ascii="Arial" w:hAnsi="Arial"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46032093"/>
    <w:multiLevelType w:val="hybridMultilevel"/>
    <w:tmpl w:val="085AD3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EB41F2F"/>
    <w:multiLevelType w:val="hybridMultilevel"/>
    <w:tmpl w:val="E79C1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4A1652"/>
    <w:multiLevelType w:val="hybridMultilevel"/>
    <w:tmpl w:val="944A4B6A"/>
    <w:lvl w:ilvl="0" w:tplc="5B58B1A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61BE7111"/>
    <w:multiLevelType w:val="hybridMultilevel"/>
    <w:tmpl w:val="CC1A77BA"/>
    <w:lvl w:ilvl="0" w:tplc="03309EB4">
      <w:start w:val="1"/>
      <w:numFmt w:val="decimal"/>
      <w:lvlText w:val="%1."/>
      <w:lvlJc w:val="left"/>
      <w:pPr>
        <w:ind w:left="720" w:hanging="360"/>
      </w:pPr>
      <w:rPr>
        <w:rFonts w:hint="default"/>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7606DC0"/>
    <w:multiLevelType w:val="hybridMultilevel"/>
    <w:tmpl w:val="8780E0A6"/>
    <w:lvl w:ilvl="0" w:tplc="4224B92E">
      <w:numFmt w:val="bullet"/>
      <w:lvlText w:val="•"/>
      <w:lvlJc w:val="left"/>
      <w:pPr>
        <w:ind w:left="360" w:hanging="36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6"/>
  </w:num>
  <w:num w:numId="4">
    <w:abstractNumId w:val="6"/>
  </w:num>
  <w:num w:numId="5">
    <w:abstractNumId w:val="0"/>
  </w:num>
  <w:num w:numId="6">
    <w:abstractNumId w:val="6"/>
  </w:num>
  <w:num w:numId="7">
    <w:abstractNumId w:val="6"/>
  </w:num>
  <w:num w:numId="8">
    <w:abstractNumId w:val="5"/>
  </w:num>
  <w:num w:numId="9">
    <w:abstractNumId w:val="5"/>
  </w:num>
  <w:num w:numId="10">
    <w:abstractNumId w:val="5"/>
  </w:num>
  <w:num w:numId="11">
    <w:abstractNumId w:val="5"/>
  </w:num>
  <w:num w:numId="12">
    <w:abstractNumId w:val="3"/>
    <w:lvlOverride w:ilvl="0">
      <w:lvl w:ilvl="0">
        <w:numFmt w:val="bullet"/>
        <w:lvlText w:val="•"/>
        <w:legacy w:legacy="1" w:legacySpace="0" w:legacyIndent="0"/>
        <w:lvlJc w:val="left"/>
        <w:rPr>
          <w:rFonts w:ascii="Helv" w:hAnsi="Helv" w:hint="default"/>
        </w:rPr>
      </w:lvl>
    </w:lvlOverride>
  </w:num>
  <w:num w:numId="13">
    <w:abstractNumId w:val="6"/>
  </w:num>
  <w:num w:numId="14">
    <w:abstractNumId w:val="6"/>
  </w:num>
  <w:num w:numId="15">
    <w:abstractNumId w:val="6"/>
  </w:num>
  <w:num w:numId="16">
    <w:abstractNumId w:val="5"/>
  </w:num>
  <w:num w:numId="17">
    <w:abstractNumId w:val="5"/>
  </w:num>
  <w:num w:numId="18">
    <w:abstractNumId w:val="5"/>
  </w:num>
  <w:num w:numId="19">
    <w:abstractNumId w:val="6"/>
  </w:num>
  <w:num w:numId="20">
    <w:abstractNumId w:val="6"/>
  </w:num>
  <w:num w:numId="21">
    <w:abstractNumId w:val="6"/>
    <w:lvlOverride w:ilvl="0">
      <w:lvl w:ilvl="0">
        <w:start w:val="1"/>
        <w:numFmt w:val="bullet"/>
        <w:pStyle w:val="ListBullet"/>
        <w:lvlText w:val="•"/>
        <w:lvlJc w:val="left"/>
        <w:pPr>
          <w:ind w:left="360" w:hanging="360"/>
        </w:pPr>
        <w:rPr>
          <w:rFonts w:ascii="Arial" w:hAnsi="Arial" w:hint="default"/>
        </w:rPr>
      </w:lvl>
    </w:lvlOverride>
    <w:lvlOverride w:ilvl="1">
      <w:lvl w:ilvl="1" w:tentative="1">
        <w:start w:val="1"/>
        <w:numFmt w:val="bullet"/>
        <w:pStyle w:val="ListBullet2"/>
        <w:lvlText w:val="o"/>
        <w:lvlJc w:val="left"/>
        <w:pPr>
          <w:ind w:left="1080" w:hanging="360"/>
        </w:pPr>
        <w:rPr>
          <w:rFonts w:ascii="Courier New" w:hAnsi="Courier New" w:cs="Courier New" w:hint="default"/>
        </w:rPr>
      </w:lvl>
    </w:lvlOverride>
    <w:lvlOverride w:ilvl="2">
      <w:lvl w:ilvl="2" w:tentative="1">
        <w:start w:val="1"/>
        <w:numFmt w:val="bullet"/>
        <w:pStyle w:val="ListBullet3"/>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2">
    <w:abstractNumId w:val="5"/>
  </w:num>
  <w:num w:numId="23">
    <w:abstractNumId w:val="5"/>
  </w:num>
  <w:num w:numId="24">
    <w:abstractNumId w:val="5"/>
    <w:lvlOverride w:ilvl="0">
      <w:lvl w:ilvl="0">
        <w:start w:val="1"/>
        <w:numFmt w:val="decimal"/>
        <w:pStyle w:val="Numberbullet0"/>
        <w:lvlText w:val="%1."/>
        <w:lvlJc w:val="left"/>
        <w:pPr>
          <w:ind w:left="425" w:hanging="425"/>
        </w:pPr>
        <w:rPr>
          <w:rFonts w:ascii="Cambria" w:hAnsi="Cambria" w:hint="default"/>
          <w:color w:val="auto"/>
        </w:rPr>
      </w:lvl>
    </w:lvlOverride>
  </w:num>
  <w:num w:numId="25">
    <w:abstractNumId w:val="5"/>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5"/>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10"/>
  </w:num>
  <w:num w:numId="28">
    <w:abstractNumId w:val="13"/>
  </w:num>
  <w:num w:numId="29">
    <w:abstractNumId w:val="4"/>
  </w:num>
  <w:num w:numId="30">
    <w:abstractNumId w:val="8"/>
  </w:num>
  <w:num w:numId="31">
    <w:abstractNumId w:val="7"/>
  </w:num>
  <w:num w:numId="32">
    <w:abstractNumId w:val="11"/>
  </w:num>
  <w:num w:numId="33">
    <w:abstractNumId w:val="9"/>
  </w:num>
  <w:num w:numId="34">
    <w:abstractNumId w:val="12"/>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A57"/>
    <w:rsid w:val="00002031"/>
    <w:rsid w:val="00004734"/>
    <w:rsid w:val="00006B22"/>
    <w:rsid w:val="0001276A"/>
    <w:rsid w:val="00017A26"/>
    <w:rsid w:val="000246AE"/>
    <w:rsid w:val="00024A48"/>
    <w:rsid w:val="00025C67"/>
    <w:rsid w:val="00035084"/>
    <w:rsid w:val="00044772"/>
    <w:rsid w:val="0004541C"/>
    <w:rsid w:val="00052765"/>
    <w:rsid w:val="0005396C"/>
    <w:rsid w:val="0005559E"/>
    <w:rsid w:val="0005733C"/>
    <w:rsid w:val="000604D6"/>
    <w:rsid w:val="00066A82"/>
    <w:rsid w:val="000734D8"/>
    <w:rsid w:val="000765E0"/>
    <w:rsid w:val="00077775"/>
    <w:rsid w:val="00086E92"/>
    <w:rsid w:val="00090471"/>
    <w:rsid w:val="00096AA7"/>
    <w:rsid w:val="000A2AF2"/>
    <w:rsid w:val="000A3AED"/>
    <w:rsid w:val="000B3532"/>
    <w:rsid w:val="000B3A75"/>
    <w:rsid w:val="000C00C2"/>
    <w:rsid w:val="000C690F"/>
    <w:rsid w:val="000D1295"/>
    <w:rsid w:val="000D391B"/>
    <w:rsid w:val="000D3D6D"/>
    <w:rsid w:val="000D4FC7"/>
    <w:rsid w:val="000D67E9"/>
    <w:rsid w:val="000E40B5"/>
    <w:rsid w:val="000E6196"/>
    <w:rsid w:val="000E6A1D"/>
    <w:rsid w:val="000F4869"/>
    <w:rsid w:val="000F5B42"/>
    <w:rsid w:val="000F6E6F"/>
    <w:rsid w:val="0010601F"/>
    <w:rsid w:val="0010788A"/>
    <w:rsid w:val="00107A31"/>
    <w:rsid w:val="00110EA5"/>
    <w:rsid w:val="00112F56"/>
    <w:rsid w:val="00124ACD"/>
    <w:rsid w:val="00125318"/>
    <w:rsid w:val="001305A2"/>
    <w:rsid w:val="00133238"/>
    <w:rsid w:val="00133A1B"/>
    <w:rsid w:val="0014197B"/>
    <w:rsid w:val="001447CD"/>
    <w:rsid w:val="001516B1"/>
    <w:rsid w:val="00151E77"/>
    <w:rsid w:val="00154EBB"/>
    <w:rsid w:val="00156316"/>
    <w:rsid w:val="00161181"/>
    <w:rsid w:val="00162D14"/>
    <w:rsid w:val="00163780"/>
    <w:rsid w:val="00165389"/>
    <w:rsid w:val="0017693F"/>
    <w:rsid w:val="0018110E"/>
    <w:rsid w:val="00181684"/>
    <w:rsid w:val="00181A90"/>
    <w:rsid w:val="001843C6"/>
    <w:rsid w:val="001850E0"/>
    <w:rsid w:val="001915B6"/>
    <w:rsid w:val="001926A3"/>
    <w:rsid w:val="00194A69"/>
    <w:rsid w:val="001A03AF"/>
    <w:rsid w:val="001A2158"/>
    <w:rsid w:val="001A525F"/>
    <w:rsid w:val="001B09F9"/>
    <w:rsid w:val="001B5C90"/>
    <w:rsid w:val="001B6448"/>
    <w:rsid w:val="001B768B"/>
    <w:rsid w:val="001C32CD"/>
    <w:rsid w:val="001D2984"/>
    <w:rsid w:val="001E07CF"/>
    <w:rsid w:val="001E59F1"/>
    <w:rsid w:val="001F2CEE"/>
    <w:rsid w:val="001F49EB"/>
    <w:rsid w:val="001F6CBA"/>
    <w:rsid w:val="00201D4E"/>
    <w:rsid w:val="0020525E"/>
    <w:rsid w:val="002076C9"/>
    <w:rsid w:val="002117A1"/>
    <w:rsid w:val="00220B8A"/>
    <w:rsid w:val="002257F3"/>
    <w:rsid w:val="00233456"/>
    <w:rsid w:val="002339A5"/>
    <w:rsid w:val="00257848"/>
    <w:rsid w:val="002578E8"/>
    <w:rsid w:val="0027084A"/>
    <w:rsid w:val="0027366A"/>
    <w:rsid w:val="002748F2"/>
    <w:rsid w:val="00275F3C"/>
    <w:rsid w:val="00280265"/>
    <w:rsid w:val="00281F14"/>
    <w:rsid w:val="0028399A"/>
    <w:rsid w:val="00286434"/>
    <w:rsid w:val="00286C59"/>
    <w:rsid w:val="00291957"/>
    <w:rsid w:val="002942D1"/>
    <w:rsid w:val="0029501A"/>
    <w:rsid w:val="002A3721"/>
    <w:rsid w:val="002B1638"/>
    <w:rsid w:val="002B3624"/>
    <w:rsid w:val="002C2C79"/>
    <w:rsid w:val="002D0952"/>
    <w:rsid w:val="002E2CE6"/>
    <w:rsid w:val="002E40B3"/>
    <w:rsid w:val="002E4C9A"/>
    <w:rsid w:val="002E50C7"/>
    <w:rsid w:val="002F11F8"/>
    <w:rsid w:val="002F3F56"/>
    <w:rsid w:val="002F44B5"/>
    <w:rsid w:val="002F5122"/>
    <w:rsid w:val="00311AC0"/>
    <w:rsid w:val="003176FC"/>
    <w:rsid w:val="0032583B"/>
    <w:rsid w:val="00327883"/>
    <w:rsid w:val="00335504"/>
    <w:rsid w:val="0033735A"/>
    <w:rsid w:val="00340C18"/>
    <w:rsid w:val="00343558"/>
    <w:rsid w:val="003442FD"/>
    <w:rsid w:val="00347824"/>
    <w:rsid w:val="00350567"/>
    <w:rsid w:val="003521E8"/>
    <w:rsid w:val="003602C6"/>
    <w:rsid w:val="00370CE3"/>
    <w:rsid w:val="003728F3"/>
    <w:rsid w:val="003735BC"/>
    <w:rsid w:val="0037496E"/>
    <w:rsid w:val="00383221"/>
    <w:rsid w:val="00386150"/>
    <w:rsid w:val="003874CE"/>
    <w:rsid w:val="00390900"/>
    <w:rsid w:val="0039569D"/>
    <w:rsid w:val="0039626C"/>
    <w:rsid w:val="003A20CF"/>
    <w:rsid w:val="003A7F6C"/>
    <w:rsid w:val="003B4D60"/>
    <w:rsid w:val="003B5AC4"/>
    <w:rsid w:val="003B7E39"/>
    <w:rsid w:val="003C58DC"/>
    <w:rsid w:val="003D1E62"/>
    <w:rsid w:val="003E0B99"/>
    <w:rsid w:val="003E2486"/>
    <w:rsid w:val="003E3208"/>
    <w:rsid w:val="003E6096"/>
    <w:rsid w:val="003F0B04"/>
    <w:rsid w:val="0040134E"/>
    <w:rsid w:val="00401C8E"/>
    <w:rsid w:val="0041367B"/>
    <w:rsid w:val="004334C7"/>
    <w:rsid w:val="00440364"/>
    <w:rsid w:val="00440A2D"/>
    <w:rsid w:val="00441C3F"/>
    <w:rsid w:val="00442708"/>
    <w:rsid w:val="00444D1A"/>
    <w:rsid w:val="0045186A"/>
    <w:rsid w:val="004564A7"/>
    <w:rsid w:val="00456765"/>
    <w:rsid w:val="004617BF"/>
    <w:rsid w:val="00463658"/>
    <w:rsid w:val="004637A0"/>
    <w:rsid w:val="004722CC"/>
    <w:rsid w:val="00490483"/>
    <w:rsid w:val="004917FA"/>
    <w:rsid w:val="004936E4"/>
    <w:rsid w:val="00494E60"/>
    <w:rsid w:val="00497487"/>
    <w:rsid w:val="00497498"/>
    <w:rsid w:val="004A2771"/>
    <w:rsid w:val="004A6189"/>
    <w:rsid w:val="004A7390"/>
    <w:rsid w:val="004B377F"/>
    <w:rsid w:val="004B7B76"/>
    <w:rsid w:val="004C239D"/>
    <w:rsid w:val="004C2DCA"/>
    <w:rsid w:val="004C61D2"/>
    <w:rsid w:val="004E0516"/>
    <w:rsid w:val="004E21D3"/>
    <w:rsid w:val="004F0C4A"/>
    <w:rsid w:val="004F0F38"/>
    <w:rsid w:val="004F47D6"/>
    <w:rsid w:val="00500337"/>
    <w:rsid w:val="00500CE0"/>
    <w:rsid w:val="00501921"/>
    <w:rsid w:val="00530354"/>
    <w:rsid w:val="00533D46"/>
    <w:rsid w:val="00535725"/>
    <w:rsid w:val="0053625B"/>
    <w:rsid w:val="005434C6"/>
    <w:rsid w:val="00543B39"/>
    <w:rsid w:val="00545815"/>
    <w:rsid w:val="00546154"/>
    <w:rsid w:val="00550096"/>
    <w:rsid w:val="00551840"/>
    <w:rsid w:val="0055297A"/>
    <w:rsid w:val="00553D3B"/>
    <w:rsid w:val="00555280"/>
    <w:rsid w:val="00557FF9"/>
    <w:rsid w:val="00562327"/>
    <w:rsid w:val="00562B2A"/>
    <w:rsid w:val="005711D5"/>
    <w:rsid w:val="00571343"/>
    <w:rsid w:val="00576378"/>
    <w:rsid w:val="00577130"/>
    <w:rsid w:val="00577945"/>
    <w:rsid w:val="00577E38"/>
    <w:rsid w:val="00585322"/>
    <w:rsid w:val="005857C6"/>
    <w:rsid w:val="00592F6E"/>
    <w:rsid w:val="00593AD1"/>
    <w:rsid w:val="0059612E"/>
    <w:rsid w:val="005A61B6"/>
    <w:rsid w:val="005A68B6"/>
    <w:rsid w:val="005C5570"/>
    <w:rsid w:val="005C5B3E"/>
    <w:rsid w:val="005C79A4"/>
    <w:rsid w:val="005D1066"/>
    <w:rsid w:val="005D2D21"/>
    <w:rsid w:val="005D5442"/>
    <w:rsid w:val="005F5521"/>
    <w:rsid w:val="00603F32"/>
    <w:rsid w:val="00605AD4"/>
    <w:rsid w:val="00607CFC"/>
    <w:rsid w:val="006136D7"/>
    <w:rsid w:val="00625A6E"/>
    <w:rsid w:val="006306C7"/>
    <w:rsid w:val="00632398"/>
    <w:rsid w:val="00640FC3"/>
    <w:rsid w:val="00642020"/>
    <w:rsid w:val="0064212E"/>
    <w:rsid w:val="006430EE"/>
    <w:rsid w:val="00646C32"/>
    <w:rsid w:val="0065337B"/>
    <w:rsid w:val="0065419D"/>
    <w:rsid w:val="006603BC"/>
    <w:rsid w:val="006604D8"/>
    <w:rsid w:val="00664A5B"/>
    <w:rsid w:val="0066735C"/>
    <w:rsid w:val="006742DE"/>
    <w:rsid w:val="006763D2"/>
    <w:rsid w:val="00680C08"/>
    <w:rsid w:val="006821CE"/>
    <w:rsid w:val="006916A0"/>
    <w:rsid w:val="006931B1"/>
    <w:rsid w:val="00696898"/>
    <w:rsid w:val="006A15C0"/>
    <w:rsid w:val="006A58A8"/>
    <w:rsid w:val="006B1C68"/>
    <w:rsid w:val="006C3E2A"/>
    <w:rsid w:val="006C642F"/>
    <w:rsid w:val="006D03E5"/>
    <w:rsid w:val="006D5D3E"/>
    <w:rsid w:val="006E08B3"/>
    <w:rsid w:val="006E11D6"/>
    <w:rsid w:val="006E2E1D"/>
    <w:rsid w:val="006F17AC"/>
    <w:rsid w:val="006F25B8"/>
    <w:rsid w:val="006F2E90"/>
    <w:rsid w:val="006F572E"/>
    <w:rsid w:val="007046BA"/>
    <w:rsid w:val="007046D6"/>
    <w:rsid w:val="00705DB0"/>
    <w:rsid w:val="0070630F"/>
    <w:rsid w:val="00712A6B"/>
    <w:rsid w:val="0071692B"/>
    <w:rsid w:val="00721F94"/>
    <w:rsid w:val="00722AA7"/>
    <w:rsid w:val="00722B57"/>
    <w:rsid w:val="00723833"/>
    <w:rsid w:val="00723872"/>
    <w:rsid w:val="00725C46"/>
    <w:rsid w:val="00730F8A"/>
    <w:rsid w:val="00735A8C"/>
    <w:rsid w:val="0074253D"/>
    <w:rsid w:val="0074429B"/>
    <w:rsid w:val="0075763F"/>
    <w:rsid w:val="007615BC"/>
    <w:rsid w:val="00762F05"/>
    <w:rsid w:val="007652FF"/>
    <w:rsid w:val="00770CAC"/>
    <w:rsid w:val="00770EF1"/>
    <w:rsid w:val="00773EF7"/>
    <w:rsid w:val="00774E1D"/>
    <w:rsid w:val="0077526E"/>
    <w:rsid w:val="007765D8"/>
    <w:rsid w:val="0077675A"/>
    <w:rsid w:val="00780355"/>
    <w:rsid w:val="007819FD"/>
    <w:rsid w:val="00785638"/>
    <w:rsid w:val="00785717"/>
    <w:rsid w:val="00785721"/>
    <w:rsid w:val="007873F7"/>
    <w:rsid w:val="00793A59"/>
    <w:rsid w:val="007A46F5"/>
    <w:rsid w:val="007A6487"/>
    <w:rsid w:val="007A64EF"/>
    <w:rsid w:val="007A6505"/>
    <w:rsid w:val="007B4365"/>
    <w:rsid w:val="007B6132"/>
    <w:rsid w:val="007B63C6"/>
    <w:rsid w:val="007B6E9F"/>
    <w:rsid w:val="007C1216"/>
    <w:rsid w:val="007C1AF7"/>
    <w:rsid w:val="007C275C"/>
    <w:rsid w:val="007C2E9F"/>
    <w:rsid w:val="007C6B9B"/>
    <w:rsid w:val="007D4357"/>
    <w:rsid w:val="007D4EC9"/>
    <w:rsid w:val="007E3894"/>
    <w:rsid w:val="007F3F56"/>
    <w:rsid w:val="00805D27"/>
    <w:rsid w:val="00806DCB"/>
    <w:rsid w:val="00811664"/>
    <w:rsid w:val="00821776"/>
    <w:rsid w:val="0082725A"/>
    <w:rsid w:val="008321F5"/>
    <w:rsid w:val="00832369"/>
    <w:rsid w:val="00834660"/>
    <w:rsid w:val="00835E88"/>
    <w:rsid w:val="00836BC2"/>
    <w:rsid w:val="00842CCA"/>
    <w:rsid w:val="008437CF"/>
    <w:rsid w:val="0085156D"/>
    <w:rsid w:val="00852B28"/>
    <w:rsid w:val="0085641B"/>
    <w:rsid w:val="00857136"/>
    <w:rsid w:val="008727F5"/>
    <w:rsid w:val="008734FC"/>
    <w:rsid w:val="00875A6B"/>
    <w:rsid w:val="0088132B"/>
    <w:rsid w:val="00885B11"/>
    <w:rsid w:val="00886D15"/>
    <w:rsid w:val="00887DD8"/>
    <w:rsid w:val="00891BA9"/>
    <w:rsid w:val="00896018"/>
    <w:rsid w:val="008960DD"/>
    <w:rsid w:val="0089635C"/>
    <w:rsid w:val="008A2B9D"/>
    <w:rsid w:val="008A3055"/>
    <w:rsid w:val="008A3D9F"/>
    <w:rsid w:val="008A5E0B"/>
    <w:rsid w:val="008A6D59"/>
    <w:rsid w:val="008B3AE5"/>
    <w:rsid w:val="008B4B03"/>
    <w:rsid w:val="008B596F"/>
    <w:rsid w:val="008C159F"/>
    <w:rsid w:val="008C1623"/>
    <w:rsid w:val="008C1850"/>
    <w:rsid w:val="008C51A9"/>
    <w:rsid w:val="008D78B8"/>
    <w:rsid w:val="008E7846"/>
    <w:rsid w:val="008F02E5"/>
    <w:rsid w:val="008F11EF"/>
    <w:rsid w:val="008F1CCC"/>
    <w:rsid w:val="008F2967"/>
    <w:rsid w:val="008F6943"/>
    <w:rsid w:val="00902A21"/>
    <w:rsid w:val="00903E12"/>
    <w:rsid w:val="00906730"/>
    <w:rsid w:val="00907E9E"/>
    <w:rsid w:val="00913A22"/>
    <w:rsid w:val="0091523F"/>
    <w:rsid w:val="00920330"/>
    <w:rsid w:val="009219D7"/>
    <w:rsid w:val="00922D53"/>
    <w:rsid w:val="00923B70"/>
    <w:rsid w:val="00924482"/>
    <w:rsid w:val="00930237"/>
    <w:rsid w:val="00933A27"/>
    <w:rsid w:val="00937C17"/>
    <w:rsid w:val="00940A89"/>
    <w:rsid w:val="00941F77"/>
    <w:rsid w:val="00946EA5"/>
    <w:rsid w:val="00957671"/>
    <w:rsid w:val="00960520"/>
    <w:rsid w:val="00963C08"/>
    <w:rsid w:val="00965CF3"/>
    <w:rsid w:val="009752A5"/>
    <w:rsid w:val="009813AC"/>
    <w:rsid w:val="0098585A"/>
    <w:rsid w:val="00987946"/>
    <w:rsid w:val="009A4CED"/>
    <w:rsid w:val="009A690D"/>
    <w:rsid w:val="009A6943"/>
    <w:rsid w:val="009B1D12"/>
    <w:rsid w:val="009B1F82"/>
    <w:rsid w:val="009B2FE1"/>
    <w:rsid w:val="009B416B"/>
    <w:rsid w:val="009C3F13"/>
    <w:rsid w:val="009C4BD5"/>
    <w:rsid w:val="009D7B77"/>
    <w:rsid w:val="009E0BB0"/>
    <w:rsid w:val="009E3FBB"/>
    <w:rsid w:val="009F5F82"/>
    <w:rsid w:val="009F7353"/>
    <w:rsid w:val="009F7FB0"/>
    <w:rsid w:val="00A04F85"/>
    <w:rsid w:val="00A05E7F"/>
    <w:rsid w:val="00A05FA4"/>
    <w:rsid w:val="00A102E4"/>
    <w:rsid w:val="00A1219C"/>
    <w:rsid w:val="00A12C42"/>
    <w:rsid w:val="00A13FD3"/>
    <w:rsid w:val="00A14DF7"/>
    <w:rsid w:val="00A22D57"/>
    <w:rsid w:val="00A2547C"/>
    <w:rsid w:val="00A3246D"/>
    <w:rsid w:val="00A36FA7"/>
    <w:rsid w:val="00A44DDB"/>
    <w:rsid w:val="00A475B7"/>
    <w:rsid w:val="00A47AF7"/>
    <w:rsid w:val="00A47C3E"/>
    <w:rsid w:val="00A50226"/>
    <w:rsid w:val="00A537A2"/>
    <w:rsid w:val="00A570FD"/>
    <w:rsid w:val="00A60BAD"/>
    <w:rsid w:val="00A61D90"/>
    <w:rsid w:val="00A77737"/>
    <w:rsid w:val="00A77F87"/>
    <w:rsid w:val="00A80B5B"/>
    <w:rsid w:val="00A84E36"/>
    <w:rsid w:val="00A964D1"/>
    <w:rsid w:val="00A97BE3"/>
    <w:rsid w:val="00AA0ED0"/>
    <w:rsid w:val="00AC2B40"/>
    <w:rsid w:val="00AC2BB2"/>
    <w:rsid w:val="00AC2C3C"/>
    <w:rsid w:val="00AC512D"/>
    <w:rsid w:val="00AD0083"/>
    <w:rsid w:val="00AD3935"/>
    <w:rsid w:val="00AE269A"/>
    <w:rsid w:val="00AE4A68"/>
    <w:rsid w:val="00AE65EB"/>
    <w:rsid w:val="00AE67A7"/>
    <w:rsid w:val="00AE74E1"/>
    <w:rsid w:val="00AE7D1F"/>
    <w:rsid w:val="00AF0C25"/>
    <w:rsid w:val="00AF1C36"/>
    <w:rsid w:val="00AF1D94"/>
    <w:rsid w:val="00AF60C5"/>
    <w:rsid w:val="00B009C6"/>
    <w:rsid w:val="00B0118A"/>
    <w:rsid w:val="00B01548"/>
    <w:rsid w:val="00B05406"/>
    <w:rsid w:val="00B12813"/>
    <w:rsid w:val="00B130C5"/>
    <w:rsid w:val="00B13EBD"/>
    <w:rsid w:val="00B21D29"/>
    <w:rsid w:val="00B25034"/>
    <w:rsid w:val="00B33588"/>
    <w:rsid w:val="00B33863"/>
    <w:rsid w:val="00B37D17"/>
    <w:rsid w:val="00B40019"/>
    <w:rsid w:val="00B4175E"/>
    <w:rsid w:val="00B41C85"/>
    <w:rsid w:val="00B452CE"/>
    <w:rsid w:val="00B54C25"/>
    <w:rsid w:val="00B76B91"/>
    <w:rsid w:val="00B77EB1"/>
    <w:rsid w:val="00B80C1E"/>
    <w:rsid w:val="00B811C6"/>
    <w:rsid w:val="00B818EC"/>
    <w:rsid w:val="00B855B0"/>
    <w:rsid w:val="00B92E08"/>
    <w:rsid w:val="00BA2079"/>
    <w:rsid w:val="00BC622A"/>
    <w:rsid w:val="00BD2841"/>
    <w:rsid w:val="00BE0A78"/>
    <w:rsid w:val="00BE3EAB"/>
    <w:rsid w:val="00BE79F0"/>
    <w:rsid w:val="00BF046D"/>
    <w:rsid w:val="00BF1190"/>
    <w:rsid w:val="00BF3774"/>
    <w:rsid w:val="00BF5D04"/>
    <w:rsid w:val="00C009AA"/>
    <w:rsid w:val="00C1164D"/>
    <w:rsid w:val="00C153FE"/>
    <w:rsid w:val="00C16861"/>
    <w:rsid w:val="00C20F25"/>
    <w:rsid w:val="00C21436"/>
    <w:rsid w:val="00C346AB"/>
    <w:rsid w:val="00C35C83"/>
    <w:rsid w:val="00C404A6"/>
    <w:rsid w:val="00C40A36"/>
    <w:rsid w:val="00C44419"/>
    <w:rsid w:val="00C45E7B"/>
    <w:rsid w:val="00C4684A"/>
    <w:rsid w:val="00C471B1"/>
    <w:rsid w:val="00C52E24"/>
    <w:rsid w:val="00C53601"/>
    <w:rsid w:val="00C55882"/>
    <w:rsid w:val="00C6316B"/>
    <w:rsid w:val="00C634A9"/>
    <w:rsid w:val="00C64586"/>
    <w:rsid w:val="00C67B02"/>
    <w:rsid w:val="00C70D53"/>
    <w:rsid w:val="00C73D0B"/>
    <w:rsid w:val="00C74F5C"/>
    <w:rsid w:val="00C772FF"/>
    <w:rsid w:val="00C80137"/>
    <w:rsid w:val="00C801AF"/>
    <w:rsid w:val="00C80256"/>
    <w:rsid w:val="00C94CD4"/>
    <w:rsid w:val="00C9747E"/>
    <w:rsid w:val="00CB16FB"/>
    <w:rsid w:val="00CB6BC0"/>
    <w:rsid w:val="00CC1B7C"/>
    <w:rsid w:val="00CC727F"/>
    <w:rsid w:val="00CF15C3"/>
    <w:rsid w:val="00CF2B6F"/>
    <w:rsid w:val="00CF2F3E"/>
    <w:rsid w:val="00CF4F79"/>
    <w:rsid w:val="00CF58B6"/>
    <w:rsid w:val="00D0062D"/>
    <w:rsid w:val="00D017ED"/>
    <w:rsid w:val="00D040D3"/>
    <w:rsid w:val="00D04C65"/>
    <w:rsid w:val="00D1412A"/>
    <w:rsid w:val="00D153D8"/>
    <w:rsid w:val="00D201D2"/>
    <w:rsid w:val="00D224FE"/>
    <w:rsid w:val="00D23139"/>
    <w:rsid w:val="00D3158C"/>
    <w:rsid w:val="00D425BB"/>
    <w:rsid w:val="00D453FA"/>
    <w:rsid w:val="00D5167A"/>
    <w:rsid w:val="00D6493E"/>
    <w:rsid w:val="00D7195D"/>
    <w:rsid w:val="00D7301E"/>
    <w:rsid w:val="00D83AE1"/>
    <w:rsid w:val="00D855D4"/>
    <w:rsid w:val="00D902C9"/>
    <w:rsid w:val="00D93466"/>
    <w:rsid w:val="00DA1124"/>
    <w:rsid w:val="00DA64CB"/>
    <w:rsid w:val="00DB06B8"/>
    <w:rsid w:val="00DB6124"/>
    <w:rsid w:val="00DB750B"/>
    <w:rsid w:val="00DB75B7"/>
    <w:rsid w:val="00DC0A2F"/>
    <w:rsid w:val="00DC1948"/>
    <w:rsid w:val="00DC6E02"/>
    <w:rsid w:val="00DC7476"/>
    <w:rsid w:val="00DD28CD"/>
    <w:rsid w:val="00DD4398"/>
    <w:rsid w:val="00DE02AE"/>
    <w:rsid w:val="00DE39D1"/>
    <w:rsid w:val="00DE4632"/>
    <w:rsid w:val="00DF057D"/>
    <w:rsid w:val="00DF1D7F"/>
    <w:rsid w:val="00DF4BE4"/>
    <w:rsid w:val="00E02382"/>
    <w:rsid w:val="00E02FB4"/>
    <w:rsid w:val="00E0373B"/>
    <w:rsid w:val="00E05D13"/>
    <w:rsid w:val="00E13FC7"/>
    <w:rsid w:val="00E20571"/>
    <w:rsid w:val="00E235F7"/>
    <w:rsid w:val="00E23659"/>
    <w:rsid w:val="00E239D4"/>
    <w:rsid w:val="00E26130"/>
    <w:rsid w:val="00E40B22"/>
    <w:rsid w:val="00E4152E"/>
    <w:rsid w:val="00E44ED1"/>
    <w:rsid w:val="00E45619"/>
    <w:rsid w:val="00E4588F"/>
    <w:rsid w:val="00E46DA3"/>
    <w:rsid w:val="00E51BB1"/>
    <w:rsid w:val="00E55CB0"/>
    <w:rsid w:val="00E61BCF"/>
    <w:rsid w:val="00E624A5"/>
    <w:rsid w:val="00E64BA4"/>
    <w:rsid w:val="00E7344E"/>
    <w:rsid w:val="00E76CF5"/>
    <w:rsid w:val="00E81B8F"/>
    <w:rsid w:val="00E82665"/>
    <w:rsid w:val="00EB0798"/>
    <w:rsid w:val="00EB40AD"/>
    <w:rsid w:val="00EB586E"/>
    <w:rsid w:val="00EB5FC8"/>
    <w:rsid w:val="00EC10A8"/>
    <w:rsid w:val="00EC463D"/>
    <w:rsid w:val="00EC7A85"/>
    <w:rsid w:val="00ED2922"/>
    <w:rsid w:val="00ED3CAD"/>
    <w:rsid w:val="00ED5A41"/>
    <w:rsid w:val="00ED5AF1"/>
    <w:rsid w:val="00EE1DE8"/>
    <w:rsid w:val="00EE27C2"/>
    <w:rsid w:val="00EF4BAD"/>
    <w:rsid w:val="00EF59DC"/>
    <w:rsid w:val="00F033EC"/>
    <w:rsid w:val="00F04D5B"/>
    <w:rsid w:val="00F04F68"/>
    <w:rsid w:val="00F11D9F"/>
    <w:rsid w:val="00F12670"/>
    <w:rsid w:val="00F14B27"/>
    <w:rsid w:val="00F2450E"/>
    <w:rsid w:val="00F2567E"/>
    <w:rsid w:val="00F3148D"/>
    <w:rsid w:val="00F325C5"/>
    <w:rsid w:val="00F32FE0"/>
    <w:rsid w:val="00F35298"/>
    <w:rsid w:val="00F47333"/>
    <w:rsid w:val="00F47E37"/>
    <w:rsid w:val="00F53C07"/>
    <w:rsid w:val="00F54B65"/>
    <w:rsid w:val="00F640B6"/>
    <w:rsid w:val="00F66DF2"/>
    <w:rsid w:val="00F76A57"/>
    <w:rsid w:val="00F80E40"/>
    <w:rsid w:val="00F848D9"/>
    <w:rsid w:val="00F92B65"/>
    <w:rsid w:val="00F936C6"/>
    <w:rsid w:val="00FA2F63"/>
    <w:rsid w:val="00FA5069"/>
    <w:rsid w:val="00FA5B82"/>
    <w:rsid w:val="00FA639E"/>
    <w:rsid w:val="00FB010F"/>
    <w:rsid w:val="00FC1FCA"/>
    <w:rsid w:val="00FC25E4"/>
    <w:rsid w:val="00FC4EF7"/>
    <w:rsid w:val="00FD0824"/>
    <w:rsid w:val="00FD119B"/>
    <w:rsid w:val="00FD1EDC"/>
    <w:rsid w:val="00FD2BA5"/>
    <w:rsid w:val="00FD5F0A"/>
    <w:rsid w:val="00FE1DEE"/>
    <w:rsid w:val="00FE3DFE"/>
    <w:rsid w:val="00FF18EF"/>
    <w:rsid w:val="00FF2126"/>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2878295"/>
  <w15:docId w15:val="{DC060B12-8381-4357-A06A-33CC6D25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D3935"/>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qFormat/>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C74F5C"/>
    <w:pPr>
      <w:outlineLvl w:val="1"/>
    </w:pPr>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21"/>
      </w:numPr>
    </w:pPr>
  </w:style>
  <w:style w:type="paragraph" w:styleId="ListBullet2">
    <w:name w:val="List Bullet 2"/>
    <w:basedOn w:val="Normal"/>
    <w:uiPriority w:val="2"/>
    <w:qFormat/>
    <w:rsid w:val="004C2DCA"/>
    <w:pPr>
      <w:numPr>
        <w:ilvl w:val="1"/>
        <w:numId w:val="21"/>
      </w:numPr>
      <w:ind w:left="720"/>
    </w:pPr>
  </w:style>
  <w:style w:type="paragraph" w:styleId="ListBullet3">
    <w:name w:val="List Bullet 3"/>
    <w:basedOn w:val="Normal"/>
    <w:uiPriority w:val="2"/>
    <w:qFormat/>
    <w:rsid w:val="004C2DCA"/>
    <w:pPr>
      <w:numPr>
        <w:ilvl w:val="2"/>
        <w:numId w:val="21"/>
      </w:numPr>
      <w:ind w:left="1080"/>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C74F5C"/>
    <w:pPr>
      <w:spacing w:before="240"/>
      <w:outlineLvl w:val="1"/>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24"/>
      </w:numPr>
    </w:pPr>
  </w:style>
  <w:style w:type="paragraph" w:customStyle="1" w:styleId="Numberbullet2">
    <w:name w:val="Number bullet 2"/>
    <w:basedOn w:val="ListBullet2"/>
    <w:uiPriority w:val="2"/>
    <w:qFormat/>
    <w:rsid w:val="004C2DCA"/>
    <w:pPr>
      <w:numPr>
        <w:numId w:val="24"/>
      </w:numPr>
    </w:pPr>
  </w:style>
  <w:style w:type="paragraph" w:customStyle="1" w:styleId="Numberbullet3">
    <w:name w:val="Number bullet 3"/>
    <w:basedOn w:val="ListBullet3"/>
    <w:uiPriority w:val="2"/>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500337"/>
    <w:pPr>
      <w:spacing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C74F5C"/>
    <w:pPr>
      <w:spacing w:after="480" w:line="240" w:lineRule="auto"/>
      <w:contextualSpacing/>
      <w:outlineLvl w:val="0"/>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C74F5C"/>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styleId="ListParagraph">
    <w:name w:val="List Paragraph"/>
    <w:basedOn w:val="Normal"/>
    <w:uiPriority w:val="34"/>
    <w:rsid w:val="003602C6"/>
    <w:pPr>
      <w:ind w:left="720"/>
      <w:contextualSpacing/>
    </w:pPr>
  </w:style>
  <w:style w:type="paragraph" w:customStyle="1" w:styleId="Bullet2">
    <w:name w:val="Bullet 2"/>
    <w:basedOn w:val="Normal"/>
    <w:rsid w:val="00785638"/>
    <w:pPr>
      <w:numPr>
        <w:numId w:val="30"/>
      </w:numPr>
      <w:spacing w:after="0" w:line="240" w:lineRule="auto"/>
    </w:pPr>
    <w:rPr>
      <w:rFonts w:eastAsia="Times New Roman"/>
      <w:kern w:val="24"/>
      <w:szCs w:val="24"/>
      <w:lang w:eastAsia="en-AU"/>
    </w:rPr>
  </w:style>
  <w:style w:type="paragraph" w:customStyle="1" w:styleId="Standard">
    <w:name w:val="Standard"/>
    <w:basedOn w:val="Normal"/>
    <w:link w:val="StandardChar"/>
    <w:qFormat/>
    <w:rsid w:val="00607CFC"/>
    <w:pPr>
      <w:spacing w:before="0" w:after="220" w:line="252" w:lineRule="auto"/>
    </w:pPr>
    <w:rPr>
      <w:rFonts w:eastAsia="Times New Roman"/>
      <w:snapToGrid w:val="0"/>
      <w:kern w:val="16"/>
      <w:sz w:val="23"/>
      <w:szCs w:val="24"/>
    </w:rPr>
  </w:style>
  <w:style w:type="character" w:customStyle="1" w:styleId="StandardChar">
    <w:name w:val="Standard Char"/>
    <w:basedOn w:val="DefaultParagraphFont"/>
    <w:link w:val="Standard"/>
    <w:rsid w:val="00607CFC"/>
    <w:rPr>
      <w:rFonts w:ascii="Cambria" w:eastAsia="Times New Roman" w:hAnsi="Cambria" w:cs="Times New Roman"/>
      <w:snapToGrid w:val="0"/>
      <w:kern w:val="16"/>
      <w:sz w:val="23"/>
      <w:szCs w:val="24"/>
    </w:rPr>
  </w:style>
  <w:style w:type="table" w:customStyle="1" w:styleId="Style1">
    <w:name w:val="Style1"/>
    <w:basedOn w:val="TableTGAblue"/>
    <w:uiPriority w:val="99"/>
    <w:rsid w:val="00533D46"/>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Style2">
    <w:name w:val="Style2"/>
    <w:basedOn w:val="TableTGAblue"/>
    <w:uiPriority w:val="99"/>
    <w:rsid w:val="00533D46"/>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Style3">
    <w:name w:val="Style3"/>
    <w:basedOn w:val="TableTGAblack"/>
    <w:uiPriority w:val="99"/>
    <w:rsid w:val="00E61BCF"/>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character" w:styleId="Emphasis">
    <w:name w:val="Emphasis"/>
    <w:basedOn w:val="DefaultParagraphFont"/>
    <w:uiPriority w:val="20"/>
    <w:qFormat/>
    <w:rsid w:val="00BD2841"/>
    <w:rPr>
      <w:b/>
      <w:bCs/>
      <w:i w:val="0"/>
      <w:iCs w:val="0"/>
    </w:rPr>
  </w:style>
  <w:style w:type="character" w:customStyle="1" w:styleId="st1">
    <w:name w:val="st1"/>
    <w:basedOn w:val="DefaultParagraphFont"/>
    <w:rsid w:val="00BD2841"/>
  </w:style>
  <w:style w:type="paragraph" w:customStyle="1" w:styleId="Default">
    <w:name w:val="Default"/>
    <w:rsid w:val="009B2FE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79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ga.gov.au" TargetMode="Externa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yperlink" Target="mailto:info@tga.gov.au" TargetMode="External"/><Relationship Id="rId3" Type="http://schemas.openxmlformats.org/officeDocument/2006/relationships/styles" Target="styles.xml"/><Relationship Id="rId21" Type="http://schemas.openxmlformats.org/officeDocument/2006/relationships/hyperlink" Target="https://www.tga.gov.au/product-information-p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ga.gov.au/product-information-pi" TargetMode="External"/><Relationship Id="rId20" Type="http://schemas.openxmlformats.org/officeDocument/2006/relationships/image" Target="media/image6.png"/><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mailto:tga.copyright@tga.gov.au" TargetMode="Externa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hyperlink" Target="https://www.tga.gov.au" TargetMode="Externa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www.aihw.gov.au/getmedia/c172c33e-776d-44b0-b549-546d58cee33d/aihw-aus-221-chapter-3-8.pdf.aspx" TargetMode="External"/><Relationship Id="rId1" Type="http://schemas.openxmlformats.org/officeDocument/2006/relationships/hyperlink" Target="https://www.aihw.gov.au/reports/diabetes/diabetes-snapshot/contents/how-many-australians-have-diabete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LUST\AppData\Local\Hewlett-Packard\HP%20TRIM\TEMP\HPTRIM.76052\D19-5975236%20%20AusPAR%20-%20template%20-%20streamlined.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E724F-25BC-47BC-BD01-A7BEBC625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D19-5975236  AusPAR - template - streamlined.DOTX</Template>
  <TotalTime>57</TotalTime>
  <Pages>21</Pages>
  <Words>6245</Words>
  <Characters>35602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Australian public assessment report for Insulin degludec (rys) and Insulin aspart (rys)</vt:lpstr>
    </vt:vector>
  </TitlesOfParts>
  <Company>Department of Health Therapeutic Goods Administration</Company>
  <LinksUpToDate>false</LinksUpToDate>
  <CharactersWithSpaces>41764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Insulin degludec (rys) and Insulin aspart (rys)</dc:title>
  <dc:subject>prescription medicines</dc:subject>
  <dc:creator>Therapeutic Goods Administration</dc:creator>
  <cp:keywords/>
  <cp:lastPrinted>2019-08-14T04:30:00Z</cp:lastPrinted>
  <dcterms:created xsi:type="dcterms:W3CDTF">2020-08-04T04:20:00Z</dcterms:created>
  <dcterms:modified xsi:type="dcterms:W3CDTF">2020-08-04T05:20:00Z</dcterms:modified>
  <cp:category/>
</cp:coreProperties>
</file>