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D05D87" w:rsidP="00D05D87">
            <w:pPr>
              <w:rPr>
                <w:rFonts w:ascii="Arial" w:hAnsi="Arial" w:cs="Arial"/>
                <w:b/>
                <w:color w:val="002C47"/>
                <w:sz w:val="36"/>
                <w:szCs w:val="36"/>
              </w:rPr>
            </w:pPr>
            <w:r>
              <w:rPr>
                <w:rFonts w:ascii="Arial" w:hAnsi="Arial" w:cs="Arial"/>
                <w:b/>
                <w:color w:val="002C47"/>
                <w:sz w:val="36"/>
                <w:szCs w:val="36"/>
              </w:rPr>
              <w:t>February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6C006E">
            <w:pPr>
              <w:pStyle w:val="Title"/>
              <w:rPr>
                <w:color w:val="FFFFFF" w:themeColor="background1"/>
              </w:rPr>
            </w:pPr>
            <w:r>
              <w:rPr>
                <w:color w:val="FFFFFF" w:themeColor="background1"/>
              </w:rPr>
              <w:t>Extract from the Clinical Evaluation</w:t>
            </w:r>
            <w:bookmarkStart w:id="0" w:name="_GoBack"/>
            <w:bookmarkEnd w:id="0"/>
            <w:r>
              <w:rPr>
                <w:color w:val="FFFFFF" w:themeColor="background1"/>
              </w:rPr>
              <w:t xml:space="preserve"> Report</w:t>
            </w:r>
            <w:r w:rsidRPr="00A964D1">
              <w:rPr>
                <w:color w:val="FFFFFF" w:themeColor="background1"/>
              </w:rPr>
              <w:t xml:space="preserve"> fo</w:t>
            </w:r>
            <w:r w:rsidR="00D05D87">
              <w:rPr>
                <w:color w:val="FFFFFF" w:themeColor="background1"/>
              </w:rPr>
              <w:t xml:space="preserve">r </w:t>
            </w:r>
            <w:r w:rsidR="006C006E">
              <w:rPr>
                <w:color w:val="FFFFFF" w:themeColor="background1"/>
              </w:rPr>
              <w:t>i</w:t>
            </w:r>
            <w:r w:rsidR="00D05D87">
              <w:rPr>
                <w:color w:val="FFFFFF" w:themeColor="background1"/>
              </w:rPr>
              <w:t xml:space="preserve">nsulin </w:t>
            </w:r>
            <w:proofErr w:type="spellStart"/>
            <w:proofErr w:type="gramStart"/>
            <w:r w:rsidR="006C006E">
              <w:rPr>
                <w:color w:val="FFFFFF" w:themeColor="background1"/>
              </w:rPr>
              <w:t>detemir</w:t>
            </w:r>
            <w:proofErr w:type="spellEnd"/>
            <w:r w:rsidR="00D05D87">
              <w:rPr>
                <w:color w:val="FFFFFF" w:themeColor="background1"/>
              </w:rPr>
              <w:t>(</w:t>
            </w:r>
            <w:proofErr w:type="spellStart"/>
            <w:proofErr w:type="gramEnd"/>
            <w:r w:rsidR="00D05D87">
              <w:rPr>
                <w:color w:val="FFFFFF" w:themeColor="background1"/>
              </w:rPr>
              <w:t>rys</w:t>
            </w:r>
            <w:proofErr w:type="spellEnd"/>
            <w:r w:rsidR="00D05D87">
              <w:rPr>
                <w:color w:val="FFFFFF" w:themeColor="background1"/>
              </w:rPr>
              <w:t>)</w:t>
            </w:r>
          </w:p>
        </w:tc>
      </w:tr>
      <w:tr w:rsidR="00E07F15" w:rsidRPr="00B64760" w:rsidTr="00E07F15">
        <w:tc>
          <w:tcPr>
            <w:tcW w:w="9079" w:type="dxa"/>
          </w:tcPr>
          <w:p w:rsidR="00E07F15" w:rsidRPr="008E7846" w:rsidRDefault="00E07F15" w:rsidP="00D05D87">
            <w:pPr>
              <w:pStyle w:val="Subtitle"/>
              <w:rPr>
                <w:color w:val="FFFFFF" w:themeColor="background1"/>
              </w:rPr>
            </w:pPr>
            <w:r w:rsidRPr="008E7846">
              <w:rPr>
                <w:color w:val="FFFFFF" w:themeColor="background1"/>
              </w:rPr>
              <w:t xml:space="preserve">Proprietary Product Name: </w:t>
            </w:r>
            <w:proofErr w:type="spellStart"/>
            <w:r w:rsidR="00D05D87">
              <w:rPr>
                <w:color w:val="FFFFFF" w:themeColor="background1"/>
              </w:rPr>
              <w:t>Levemir</w:t>
            </w:r>
            <w:proofErr w:type="spellEnd"/>
            <w:r w:rsidR="00D05D87">
              <w:rPr>
                <w:color w:val="FFFFFF" w:themeColor="background1"/>
              </w:rPr>
              <w:t xml:space="preserve"> </w:t>
            </w:r>
            <w:proofErr w:type="spellStart"/>
            <w:r w:rsidR="00D05D87">
              <w:rPr>
                <w:color w:val="FFFFFF" w:themeColor="background1"/>
              </w:rPr>
              <w:t>Flexpen</w:t>
            </w:r>
            <w:proofErr w:type="spellEnd"/>
            <w:r w:rsidR="00D05D87">
              <w:rPr>
                <w:color w:val="FFFFFF" w:themeColor="background1"/>
              </w:rPr>
              <w:t xml:space="preserve"> / </w:t>
            </w:r>
            <w:proofErr w:type="spellStart"/>
            <w:r w:rsidR="00D05D87">
              <w:rPr>
                <w:color w:val="FFFFFF" w:themeColor="background1"/>
              </w:rPr>
              <w:t>Levemir</w:t>
            </w:r>
            <w:proofErr w:type="spellEnd"/>
            <w:r w:rsidR="00D05D87">
              <w:rPr>
                <w:color w:val="FFFFFF" w:themeColor="background1"/>
              </w:rPr>
              <w:t xml:space="preserve"> </w:t>
            </w:r>
            <w:proofErr w:type="spellStart"/>
            <w:r w:rsidR="00D05D87">
              <w:rPr>
                <w:color w:val="FFFFFF" w:themeColor="background1"/>
              </w:rPr>
              <w:t>Penfill</w:t>
            </w:r>
            <w:proofErr w:type="spellEnd"/>
            <w:r w:rsidR="00D05D87">
              <w:rPr>
                <w:color w:val="FFFFFF" w:themeColor="background1"/>
              </w:rPr>
              <w:t xml:space="preserve"> / </w:t>
            </w:r>
            <w:proofErr w:type="spellStart"/>
            <w:r w:rsidR="00D05D87">
              <w:rPr>
                <w:color w:val="FFFFFF" w:themeColor="background1"/>
              </w:rPr>
              <w:t>Levemir</w:t>
            </w:r>
            <w:proofErr w:type="spellEnd"/>
            <w:r w:rsidR="00D05D87">
              <w:rPr>
                <w:color w:val="FFFFFF" w:themeColor="background1"/>
              </w:rPr>
              <w:t xml:space="preserve"> </w:t>
            </w:r>
            <w:proofErr w:type="spellStart"/>
            <w:r w:rsidR="00D05D87">
              <w:rPr>
                <w:color w:val="FFFFFF" w:themeColor="background1"/>
              </w:rPr>
              <w:t>Innolet</w:t>
            </w:r>
            <w:proofErr w:type="spellEnd"/>
          </w:p>
        </w:tc>
      </w:tr>
      <w:tr w:rsidR="00E07F15" w:rsidRPr="00B64760" w:rsidTr="00E07F15">
        <w:trPr>
          <w:trHeight w:val="486"/>
        </w:trPr>
        <w:tc>
          <w:tcPr>
            <w:tcW w:w="9079" w:type="dxa"/>
          </w:tcPr>
          <w:p w:rsidR="00E07F15" w:rsidRPr="008E7846" w:rsidRDefault="00E07F15" w:rsidP="00D05D87">
            <w:pPr>
              <w:pStyle w:val="Subtitle"/>
              <w:rPr>
                <w:color w:val="FFFFFF" w:themeColor="background1"/>
              </w:rPr>
            </w:pPr>
            <w:r w:rsidRPr="008E7846">
              <w:rPr>
                <w:color w:val="FFFFFF" w:themeColor="background1"/>
              </w:rPr>
              <w:t xml:space="preserve">Sponsor: </w:t>
            </w:r>
            <w:r w:rsidR="00D05D87">
              <w:rPr>
                <w:color w:val="FFFFFF" w:themeColor="background1"/>
              </w:rPr>
              <w:t>Novo Nordisk Pharmaceuticals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3424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C3424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3424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3424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34244">
      <w:pPr>
        <w:pStyle w:val="ListBullet"/>
        <w:numPr>
          <w:ilvl w:val="0"/>
          <w:numId w:val="1"/>
        </w:numPr>
        <w:ind w:left="357" w:hanging="357"/>
      </w:pPr>
      <w:r>
        <w:t>To report a problem with a medicine or medical device, please see the information on the TGA website</w:t>
      </w:r>
      <w:r w:rsidR="00112F56">
        <w:t xml:space="preserve"> &lt;</w:t>
      </w:r>
      <w:hyperlink r:id="rId10"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1"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8631B"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4108933" w:history="1">
            <w:r w:rsidR="0038631B" w:rsidRPr="00C43B49">
              <w:rPr>
                <w:rStyle w:val="Hyperlink"/>
                <w:noProof/>
              </w:rPr>
              <w:t>List of abbreviations</w:t>
            </w:r>
            <w:r w:rsidR="0038631B">
              <w:rPr>
                <w:noProof/>
                <w:webHidden/>
              </w:rPr>
              <w:tab/>
            </w:r>
            <w:r w:rsidR="0038631B">
              <w:rPr>
                <w:noProof/>
                <w:webHidden/>
              </w:rPr>
              <w:fldChar w:fldCharType="begin"/>
            </w:r>
            <w:r w:rsidR="0038631B">
              <w:rPr>
                <w:noProof/>
                <w:webHidden/>
              </w:rPr>
              <w:instrText xml:space="preserve"> PAGEREF _Toc384108933 \h </w:instrText>
            </w:r>
            <w:r w:rsidR="0038631B">
              <w:rPr>
                <w:noProof/>
                <w:webHidden/>
              </w:rPr>
            </w:r>
            <w:r w:rsidR="0038631B">
              <w:rPr>
                <w:noProof/>
                <w:webHidden/>
              </w:rPr>
              <w:fldChar w:fldCharType="separate"/>
            </w:r>
            <w:r w:rsidR="0038631B">
              <w:rPr>
                <w:noProof/>
                <w:webHidden/>
              </w:rPr>
              <w:t>5</w:t>
            </w:r>
            <w:r w:rsidR="0038631B">
              <w:rPr>
                <w:noProof/>
                <w:webHidden/>
              </w:rPr>
              <w:fldChar w:fldCharType="end"/>
            </w:r>
          </w:hyperlink>
        </w:p>
        <w:p w:rsidR="0038631B" w:rsidRDefault="00EE1C08">
          <w:pPr>
            <w:pStyle w:val="TOC2"/>
            <w:tabs>
              <w:tab w:val="left" w:pos="1100"/>
            </w:tabs>
            <w:rPr>
              <w:rFonts w:asciiTheme="minorHAnsi" w:eastAsiaTheme="minorEastAsia" w:hAnsiTheme="minorHAnsi" w:cstheme="minorBidi"/>
              <w:b w:val="0"/>
              <w:noProof/>
              <w:sz w:val="22"/>
              <w:lang w:eastAsia="en-AU"/>
            </w:rPr>
          </w:pPr>
          <w:hyperlink w:anchor="_Toc384108934" w:history="1">
            <w:r w:rsidR="0038631B" w:rsidRPr="00C43B49">
              <w:rPr>
                <w:rStyle w:val="Hyperlink"/>
                <w:noProof/>
                <w:lang w:eastAsia="en-AU"/>
              </w:rPr>
              <w:t>1.</w:t>
            </w:r>
            <w:r w:rsidR="0038631B">
              <w:rPr>
                <w:rFonts w:asciiTheme="minorHAnsi" w:eastAsiaTheme="minorEastAsia" w:hAnsiTheme="minorHAnsi" w:cstheme="minorBidi"/>
                <w:b w:val="0"/>
                <w:noProof/>
                <w:sz w:val="22"/>
                <w:lang w:eastAsia="en-AU"/>
              </w:rPr>
              <w:tab/>
            </w:r>
            <w:r w:rsidR="0038631B" w:rsidRPr="00C43B49">
              <w:rPr>
                <w:rStyle w:val="Hyperlink"/>
                <w:noProof/>
                <w:lang w:eastAsia="en-AU"/>
              </w:rPr>
              <w:t>Clinical rationale</w:t>
            </w:r>
            <w:r w:rsidR="0038631B">
              <w:rPr>
                <w:noProof/>
                <w:webHidden/>
              </w:rPr>
              <w:tab/>
            </w:r>
            <w:r w:rsidR="0038631B">
              <w:rPr>
                <w:noProof/>
                <w:webHidden/>
              </w:rPr>
              <w:fldChar w:fldCharType="begin"/>
            </w:r>
            <w:r w:rsidR="0038631B">
              <w:rPr>
                <w:noProof/>
                <w:webHidden/>
              </w:rPr>
              <w:instrText xml:space="preserve"> PAGEREF _Toc384108934 \h </w:instrText>
            </w:r>
            <w:r w:rsidR="0038631B">
              <w:rPr>
                <w:noProof/>
                <w:webHidden/>
              </w:rPr>
            </w:r>
            <w:r w:rsidR="0038631B">
              <w:rPr>
                <w:noProof/>
                <w:webHidden/>
              </w:rPr>
              <w:fldChar w:fldCharType="separate"/>
            </w:r>
            <w:r w:rsidR="0038631B">
              <w:rPr>
                <w:noProof/>
                <w:webHidden/>
              </w:rPr>
              <w:t>8</w:t>
            </w:r>
            <w:r w:rsidR="0038631B">
              <w:rPr>
                <w:noProof/>
                <w:webHidden/>
              </w:rPr>
              <w:fldChar w:fldCharType="end"/>
            </w:r>
          </w:hyperlink>
        </w:p>
        <w:p w:rsidR="0038631B" w:rsidRDefault="00EE1C08">
          <w:pPr>
            <w:pStyle w:val="TOC2"/>
            <w:tabs>
              <w:tab w:val="left" w:pos="1100"/>
            </w:tabs>
            <w:rPr>
              <w:rFonts w:asciiTheme="minorHAnsi" w:eastAsiaTheme="minorEastAsia" w:hAnsiTheme="minorHAnsi" w:cstheme="minorBidi"/>
              <w:b w:val="0"/>
              <w:noProof/>
              <w:sz w:val="22"/>
              <w:lang w:eastAsia="en-AU"/>
            </w:rPr>
          </w:pPr>
          <w:hyperlink w:anchor="_Toc384108935" w:history="1">
            <w:r w:rsidR="0038631B" w:rsidRPr="00C43B49">
              <w:rPr>
                <w:rStyle w:val="Hyperlink"/>
                <w:noProof/>
                <w:lang w:eastAsia="en-AU"/>
              </w:rPr>
              <w:t>2.</w:t>
            </w:r>
            <w:r w:rsidR="0038631B">
              <w:rPr>
                <w:rFonts w:asciiTheme="minorHAnsi" w:eastAsiaTheme="minorEastAsia" w:hAnsiTheme="minorHAnsi" w:cstheme="minorBidi"/>
                <w:b w:val="0"/>
                <w:noProof/>
                <w:sz w:val="22"/>
                <w:lang w:eastAsia="en-AU"/>
              </w:rPr>
              <w:tab/>
            </w:r>
            <w:r w:rsidR="0038631B" w:rsidRPr="00C43B49">
              <w:rPr>
                <w:rStyle w:val="Hyperlink"/>
                <w:noProof/>
                <w:lang w:eastAsia="en-AU"/>
              </w:rPr>
              <w:t>Contents of the clinical dossier</w:t>
            </w:r>
            <w:r w:rsidR="0038631B">
              <w:rPr>
                <w:noProof/>
                <w:webHidden/>
              </w:rPr>
              <w:tab/>
            </w:r>
            <w:r w:rsidR="0038631B">
              <w:rPr>
                <w:noProof/>
                <w:webHidden/>
              </w:rPr>
              <w:fldChar w:fldCharType="begin"/>
            </w:r>
            <w:r w:rsidR="0038631B">
              <w:rPr>
                <w:noProof/>
                <w:webHidden/>
              </w:rPr>
              <w:instrText xml:space="preserve"> PAGEREF _Toc384108935 \h </w:instrText>
            </w:r>
            <w:r w:rsidR="0038631B">
              <w:rPr>
                <w:noProof/>
                <w:webHidden/>
              </w:rPr>
            </w:r>
            <w:r w:rsidR="0038631B">
              <w:rPr>
                <w:noProof/>
                <w:webHidden/>
              </w:rPr>
              <w:fldChar w:fldCharType="separate"/>
            </w:r>
            <w:r w:rsidR="0038631B">
              <w:rPr>
                <w:noProof/>
                <w:webHidden/>
              </w:rPr>
              <w:t>8</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36" w:history="1">
            <w:r w:rsidR="0038631B" w:rsidRPr="00C43B49">
              <w:rPr>
                <w:rStyle w:val="Hyperlink"/>
                <w:noProof/>
              </w:rPr>
              <w:t>2.1.</w:t>
            </w:r>
            <w:r w:rsidR="0038631B">
              <w:rPr>
                <w:rFonts w:asciiTheme="minorHAnsi" w:eastAsiaTheme="minorEastAsia" w:hAnsiTheme="minorHAnsi" w:cstheme="minorBidi"/>
                <w:noProof/>
                <w:lang w:eastAsia="en-AU"/>
              </w:rPr>
              <w:tab/>
            </w:r>
            <w:r w:rsidR="0038631B" w:rsidRPr="00C43B49">
              <w:rPr>
                <w:rStyle w:val="Hyperlink"/>
                <w:noProof/>
              </w:rPr>
              <w:t>Scope of the clinical dossier</w:t>
            </w:r>
            <w:r w:rsidR="0038631B">
              <w:rPr>
                <w:noProof/>
                <w:webHidden/>
              </w:rPr>
              <w:tab/>
            </w:r>
            <w:r w:rsidR="0038631B">
              <w:rPr>
                <w:noProof/>
                <w:webHidden/>
              </w:rPr>
              <w:fldChar w:fldCharType="begin"/>
            </w:r>
            <w:r w:rsidR="0038631B">
              <w:rPr>
                <w:noProof/>
                <w:webHidden/>
              </w:rPr>
              <w:instrText xml:space="preserve"> PAGEREF _Toc384108936 \h </w:instrText>
            </w:r>
            <w:r w:rsidR="0038631B">
              <w:rPr>
                <w:noProof/>
                <w:webHidden/>
              </w:rPr>
            </w:r>
            <w:r w:rsidR="0038631B">
              <w:rPr>
                <w:noProof/>
                <w:webHidden/>
              </w:rPr>
              <w:fldChar w:fldCharType="separate"/>
            </w:r>
            <w:r w:rsidR="0038631B">
              <w:rPr>
                <w:noProof/>
                <w:webHidden/>
              </w:rPr>
              <w:t>8</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37" w:history="1">
            <w:r w:rsidR="0038631B" w:rsidRPr="00C43B49">
              <w:rPr>
                <w:rStyle w:val="Hyperlink"/>
                <w:noProof/>
              </w:rPr>
              <w:t>2.2.</w:t>
            </w:r>
            <w:r w:rsidR="0038631B">
              <w:rPr>
                <w:rFonts w:asciiTheme="minorHAnsi" w:eastAsiaTheme="minorEastAsia" w:hAnsiTheme="minorHAnsi" w:cstheme="minorBidi"/>
                <w:noProof/>
                <w:lang w:eastAsia="en-AU"/>
              </w:rPr>
              <w:tab/>
            </w:r>
            <w:r w:rsidR="0038631B" w:rsidRPr="00C43B49">
              <w:rPr>
                <w:rStyle w:val="Hyperlink"/>
                <w:noProof/>
              </w:rPr>
              <w:t>Paediatric data</w:t>
            </w:r>
            <w:r w:rsidR="0038631B">
              <w:rPr>
                <w:noProof/>
                <w:webHidden/>
              </w:rPr>
              <w:tab/>
            </w:r>
            <w:r w:rsidR="0038631B">
              <w:rPr>
                <w:noProof/>
                <w:webHidden/>
              </w:rPr>
              <w:fldChar w:fldCharType="begin"/>
            </w:r>
            <w:r w:rsidR="0038631B">
              <w:rPr>
                <w:noProof/>
                <w:webHidden/>
              </w:rPr>
              <w:instrText xml:space="preserve"> PAGEREF _Toc384108937 \h </w:instrText>
            </w:r>
            <w:r w:rsidR="0038631B">
              <w:rPr>
                <w:noProof/>
                <w:webHidden/>
              </w:rPr>
            </w:r>
            <w:r w:rsidR="0038631B">
              <w:rPr>
                <w:noProof/>
                <w:webHidden/>
              </w:rPr>
              <w:fldChar w:fldCharType="separate"/>
            </w:r>
            <w:r w:rsidR="0038631B">
              <w:rPr>
                <w:noProof/>
                <w:webHidden/>
              </w:rPr>
              <w:t>9</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38" w:history="1">
            <w:r w:rsidR="0038631B" w:rsidRPr="00C43B49">
              <w:rPr>
                <w:rStyle w:val="Hyperlink"/>
                <w:noProof/>
              </w:rPr>
              <w:t>2.3.</w:t>
            </w:r>
            <w:r w:rsidR="0038631B">
              <w:rPr>
                <w:rFonts w:asciiTheme="minorHAnsi" w:eastAsiaTheme="minorEastAsia" w:hAnsiTheme="minorHAnsi" w:cstheme="minorBidi"/>
                <w:noProof/>
                <w:lang w:eastAsia="en-AU"/>
              </w:rPr>
              <w:tab/>
            </w:r>
            <w:r w:rsidR="0038631B" w:rsidRPr="00C43B49">
              <w:rPr>
                <w:rStyle w:val="Hyperlink"/>
                <w:noProof/>
              </w:rPr>
              <w:t>Good clinical practice</w:t>
            </w:r>
            <w:r w:rsidR="0038631B">
              <w:rPr>
                <w:noProof/>
                <w:webHidden/>
              </w:rPr>
              <w:tab/>
            </w:r>
            <w:r w:rsidR="0038631B">
              <w:rPr>
                <w:noProof/>
                <w:webHidden/>
              </w:rPr>
              <w:fldChar w:fldCharType="begin"/>
            </w:r>
            <w:r w:rsidR="0038631B">
              <w:rPr>
                <w:noProof/>
                <w:webHidden/>
              </w:rPr>
              <w:instrText xml:space="preserve"> PAGEREF _Toc384108938 \h </w:instrText>
            </w:r>
            <w:r w:rsidR="0038631B">
              <w:rPr>
                <w:noProof/>
                <w:webHidden/>
              </w:rPr>
            </w:r>
            <w:r w:rsidR="0038631B">
              <w:rPr>
                <w:noProof/>
                <w:webHidden/>
              </w:rPr>
              <w:fldChar w:fldCharType="separate"/>
            </w:r>
            <w:r w:rsidR="0038631B">
              <w:rPr>
                <w:noProof/>
                <w:webHidden/>
              </w:rPr>
              <w:t>9</w:t>
            </w:r>
            <w:r w:rsidR="0038631B">
              <w:rPr>
                <w:noProof/>
                <w:webHidden/>
              </w:rPr>
              <w:fldChar w:fldCharType="end"/>
            </w:r>
          </w:hyperlink>
        </w:p>
        <w:p w:rsidR="0038631B" w:rsidRDefault="00EE1C08">
          <w:pPr>
            <w:pStyle w:val="TOC2"/>
            <w:tabs>
              <w:tab w:val="left" w:pos="1100"/>
            </w:tabs>
            <w:rPr>
              <w:rFonts w:asciiTheme="minorHAnsi" w:eastAsiaTheme="minorEastAsia" w:hAnsiTheme="minorHAnsi" w:cstheme="minorBidi"/>
              <w:b w:val="0"/>
              <w:noProof/>
              <w:sz w:val="22"/>
              <w:lang w:eastAsia="en-AU"/>
            </w:rPr>
          </w:pPr>
          <w:hyperlink w:anchor="_Toc384108939" w:history="1">
            <w:r w:rsidR="0038631B" w:rsidRPr="00C43B49">
              <w:rPr>
                <w:rStyle w:val="Hyperlink"/>
                <w:noProof/>
              </w:rPr>
              <w:t>3.</w:t>
            </w:r>
            <w:r w:rsidR="0038631B">
              <w:rPr>
                <w:rFonts w:asciiTheme="minorHAnsi" w:eastAsiaTheme="minorEastAsia" w:hAnsiTheme="minorHAnsi" w:cstheme="minorBidi"/>
                <w:b w:val="0"/>
                <w:noProof/>
                <w:sz w:val="22"/>
                <w:lang w:eastAsia="en-AU"/>
              </w:rPr>
              <w:tab/>
            </w:r>
            <w:r w:rsidR="0038631B" w:rsidRPr="00C43B49">
              <w:rPr>
                <w:rStyle w:val="Hyperlink"/>
                <w:noProof/>
              </w:rPr>
              <w:t>Pharmacokinetics</w:t>
            </w:r>
            <w:r w:rsidR="0038631B">
              <w:rPr>
                <w:noProof/>
                <w:webHidden/>
              </w:rPr>
              <w:tab/>
            </w:r>
            <w:r w:rsidR="0038631B">
              <w:rPr>
                <w:noProof/>
                <w:webHidden/>
              </w:rPr>
              <w:fldChar w:fldCharType="begin"/>
            </w:r>
            <w:r w:rsidR="0038631B">
              <w:rPr>
                <w:noProof/>
                <w:webHidden/>
              </w:rPr>
              <w:instrText xml:space="preserve"> PAGEREF _Toc384108939 \h </w:instrText>
            </w:r>
            <w:r w:rsidR="0038631B">
              <w:rPr>
                <w:noProof/>
                <w:webHidden/>
              </w:rPr>
            </w:r>
            <w:r w:rsidR="0038631B">
              <w:rPr>
                <w:noProof/>
                <w:webHidden/>
              </w:rPr>
              <w:fldChar w:fldCharType="separate"/>
            </w:r>
            <w:r w:rsidR="0038631B">
              <w:rPr>
                <w:noProof/>
                <w:webHidden/>
              </w:rPr>
              <w:t>9</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40" w:history="1">
            <w:r w:rsidR="0038631B" w:rsidRPr="00C43B49">
              <w:rPr>
                <w:rStyle w:val="Hyperlink"/>
                <w:noProof/>
              </w:rPr>
              <w:t>3.1.</w:t>
            </w:r>
            <w:r w:rsidR="0038631B">
              <w:rPr>
                <w:rFonts w:asciiTheme="minorHAnsi" w:eastAsiaTheme="minorEastAsia" w:hAnsiTheme="minorHAnsi" w:cstheme="minorBidi"/>
                <w:noProof/>
                <w:lang w:eastAsia="en-AU"/>
              </w:rPr>
              <w:tab/>
            </w:r>
            <w:r w:rsidR="0038631B" w:rsidRPr="00C43B49">
              <w:rPr>
                <w:rStyle w:val="Hyperlink"/>
                <w:noProof/>
              </w:rPr>
              <w:t>Studies providing pharmacokinetic data</w:t>
            </w:r>
            <w:r w:rsidR="0038631B">
              <w:rPr>
                <w:noProof/>
                <w:webHidden/>
              </w:rPr>
              <w:tab/>
            </w:r>
            <w:r w:rsidR="0038631B">
              <w:rPr>
                <w:noProof/>
                <w:webHidden/>
              </w:rPr>
              <w:fldChar w:fldCharType="begin"/>
            </w:r>
            <w:r w:rsidR="0038631B">
              <w:rPr>
                <w:noProof/>
                <w:webHidden/>
              </w:rPr>
              <w:instrText xml:space="preserve"> PAGEREF _Toc384108940 \h </w:instrText>
            </w:r>
            <w:r w:rsidR="0038631B">
              <w:rPr>
                <w:noProof/>
                <w:webHidden/>
              </w:rPr>
            </w:r>
            <w:r w:rsidR="0038631B">
              <w:rPr>
                <w:noProof/>
                <w:webHidden/>
              </w:rPr>
              <w:fldChar w:fldCharType="separate"/>
            </w:r>
            <w:r w:rsidR="0038631B">
              <w:rPr>
                <w:noProof/>
                <w:webHidden/>
              </w:rPr>
              <w:t>9</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41" w:history="1">
            <w:r w:rsidR="0038631B" w:rsidRPr="00C43B49">
              <w:rPr>
                <w:rStyle w:val="Hyperlink"/>
                <w:noProof/>
              </w:rPr>
              <w:t>3.2.</w:t>
            </w:r>
            <w:r w:rsidR="0038631B">
              <w:rPr>
                <w:rFonts w:asciiTheme="minorHAnsi" w:eastAsiaTheme="minorEastAsia" w:hAnsiTheme="minorHAnsi" w:cstheme="minorBidi"/>
                <w:noProof/>
                <w:lang w:eastAsia="en-AU"/>
              </w:rPr>
              <w:tab/>
            </w:r>
            <w:r w:rsidR="0038631B" w:rsidRPr="00C43B49">
              <w:rPr>
                <w:rStyle w:val="Hyperlink"/>
                <w:noProof/>
              </w:rPr>
              <w:t>Evaluator’s overall conclusions on pharmacokinetics</w:t>
            </w:r>
            <w:r w:rsidR="0038631B">
              <w:rPr>
                <w:noProof/>
                <w:webHidden/>
              </w:rPr>
              <w:tab/>
            </w:r>
            <w:r w:rsidR="0038631B">
              <w:rPr>
                <w:noProof/>
                <w:webHidden/>
              </w:rPr>
              <w:fldChar w:fldCharType="begin"/>
            </w:r>
            <w:r w:rsidR="0038631B">
              <w:rPr>
                <w:noProof/>
                <w:webHidden/>
              </w:rPr>
              <w:instrText xml:space="preserve"> PAGEREF _Toc384108941 \h </w:instrText>
            </w:r>
            <w:r w:rsidR="0038631B">
              <w:rPr>
                <w:noProof/>
                <w:webHidden/>
              </w:rPr>
            </w:r>
            <w:r w:rsidR="0038631B">
              <w:rPr>
                <w:noProof/>
                <w:webHidden/>
              </w:rPr>
              <w:fldChar w:fldCharType="separate"/>
            </w:r>
            <w:r w:rsidR="0038631B">
              <w:rPr>
                <w:noProof/>
                <w:webHidden/>
              </w:rPr>
              <w:t>10</w:t>
            </w:r>
            <w:r w:rsidR="0038631B">
              <w:rPr>
                <w:noProof/>
                <w:webHidden/>
              </w:rPr>
              <w:fldChar w:fldCharType="end"/>
            </w:r>
          </w:hyperlink>
        </w:p>
        <w:p w:rsidR="0038631B" w:rsidRDefault="00EE1C08">
          <w:pPr>
            <w:pStyle w:val="TOC2"/>
            <w:tabs>
              <w:tab w:val="left" w:pos="1100"/>
            </w:tabs>
            <w:rPr>
              <w:rFonts w:asciiTheme="minorHAnsi" w:eastAsiaTheme="minorEastAsia" w:hAnsiTheme="minorHAnsi" w:cstheme="minorBidi"/>
              <w:b w:val="0"/>
              <w:noProof/>
              <w:sz w:val="22"/>
              <w:lang w:eastAsia="en-AU"/>
            </w:rPr>
          </w:pPr>
          <w:hyperlink w:anchor="_Toc384108942" w:history="1">
            <w:r w:rsidR="0038631B" w:rsidRPr="00C43B49">
              <w:rPr>
                <w:rStyle w:val="Hyperlink"/>
                <w:noProof/>
              </w:rPr>
              <w:t>4.</w:t>
            </w:r>
            <w:r w:rsidR="0038631B">
              <w:rPr>
                <w:rFonts w:asciiTheme="minorHAnsi" w:eastAsiaTheme="minorEastAsia" w:hAnsiTheme="minorHAnsi" w:cstheme="minorBidi"/>
                <w:b w:val="0"/>
                <w:noProof/>
                <w:sz w:val="22"/>
                <w:lang w:eastAsia="en-AU"/>
              </w:rPr>
              <w:tab/>
            </w:r>
            <w:r w:rsidR="0038631B" w:rsidRPr="00C43B49">
              <w:rPr>
                <w:rStyle w:val="Hyperlink"/>
                <w:noProof/>
              </w:rPr>
              <w:t>Pharmacodynamics</w:t>
            </w:r>
            <w:r w:rsidR="0038631B">
              <w:rPr>
                <w:noProof/>
                <w:webHidden/>
              </w:rPr>
              <w:tab/>
            </w:r>
            <w:r w:rsidR="0038631B">
              <w:rPr>
                <w:noProof/>
                <w:webHidden/>
              </w:rPr>
              <w:fldChar w:fldCharType="begin"/>
            </w:r>
            <w:r w:rsidR="0038631B">
              <w:rPr>
                <w:noProof/>
                <w:webHidden/>
              </w:rPr>
              <w:instrText xml:space="preserve"> PAGEREF _Toc384108942 \h </w:instrText>
            </w:r>
            <w:r w:rsidR="0038631B">
              <w:rPr>
                <w:noProof/>
                <w:webHidden/>
              </w:rPr>
            </w:r>
            <w:r w:rsidR="0038631B">
              <w:rPr>
                <w:noProof/>
                <w:webHidden/>
              </w:rPr>
              <w:fldChar w:fldCharType="separate"/>
            </w:r>
            <w:r w:rsidR="0038631B">
              <w:rPr>
                <w:noProof/>
                <w:webHidden/>
              </w:rPr>
              <w:t>10</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43" w:history="1">
            <w:r w:rsidR="0038631B" w:rsidRPr="00C43B49">
              <w:rPr>
                <w:rStyle w:val="Hyperlink"/>
                <w:noProof/>
              </w:rPr>
              <w:t>4.1.</w:t>
            </w:r>
            <w:r w:rsidR="0038631B">
              <w:rPr>
                <w:rFonts w:asciiTheme="minorHAnsi" w:eastAsiaTheme="minorEastAsia" w:hAnsiTheme="minorHAnsi" w:cstheme="minorBidi"/>
                <w:noProof/>
                <w:lang w:eastAsia="en-AU"/>
              </w:rPr>
              <w:tab/>
            </w:r>
            <w:r w:rsidR="0038631B" w:rsidRPr="00C43B49">
              <w:rPr>
                <w:rStyle w:val="Hyperlink"/>
                <w:noProof/>
              </w:rPr>
              <w:t>Studies providing pharmacodynamic data</w:t>
            </w:r>
            <w:r w:rsidR="0038631B">
              <w:rPr>
                <w:noProof/>
                <w:webHidden/>
              </w:rPr>
              <w:tab/>
            </w:r>
            <w:r w:rsidR="0038631B">
              <w:rPr>
                <w:noProof/>
                <w:webHidden/>
              </w:rPr>
              <w:fldChar w:fldCharType="begin"/>
            </w:r>
            <w:r w:rsidR="0038631B">
              <w:rPr>
                <w:noProof/>
                <w:webHidden/>
              </w:rPr>
              <w:instrText xml:space="preserve"> PAGEREF _Toc384108943 \h </w:instrText>
            </w:r>
            <w:r w:rsidR="0038631B">
              <w:rPr>
                <w:noProof/>
                <w:webHidden/>
              </w:rPr>
            </w:r>
            <w:r w:rsidR="0038631B">
              <w:rPr>
                <w:noProof/>
                <w:webHidden/>
              </w:rPr>
              <w:fldChar w:fldCharType="separate"/>
            </w:r>
            <w:r w:rsidR="0038631B">
              <w:rPr>
                <w:noProof/>
                <w:webHidden/>
              </w:rPr>
              <w:t>10</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44" w:history="1">
            <w:r w:rsidR="0038631B" w:rsidRPr="00C43B49">
              <w:rPr>
                <w:rStyle w:val="Hyperlink"/>
                <w:noProof/>
              </w:rPr>
              <w:t>4.2.</w:t>
            </w:r>
            <w:r w:rsidR="0038631B">
              <w:rPr>
                <w:rFonts w:asciiTheme="minorHAnsi" w:eastAsiaTheme="minorEastAsia" w:hAnsiTheme="minorHAnsi" w:cstheme="minorBidi"/>
                <w:noProof/>
                <w:lang w:eastAsia="en-AU"/>
              </w:rPr>
              <w:tab/>
            </w:r>
            <w:r w:rsidR="0038631B" w:rsidRPr="00C43B49">
              <w:rPr>
                <w:rStyle w:val="Hyperlink"/>
                <w:noProof/>
              </w:rPr>
              <w:t>Evaluator’s overall conclusions on pharmacodynamics</w:t>
            </w:r>
            <w:r w:rsidR="0038631B">
              <w:rPr>
                <w:noProof/>
                <w:webHidden/>
              </w:rPr>
              <w:tab/>
            </w:r>
            <w:r w:rsidR="0038631B">
              <w:rPr>
                <w:noProof/>
                <w:webHidden/>
              </w:rPr>
              <w:fldChar w:fldCharType="begin"/>
            </w:r>
            <w:r w:rsidR="0038631B">
              <w:rPr>
                <w:noProof/>
                <w:webHidden/>
              </w:rPr>
              <w:instrText xml:space="preserve"> PAGEREF _Toc384108944 \h </w:instrText>
            </w:r>
            <w:r w:rsidR="0038631B">
              <w:rPr>
                <w:noProof/>
                <w:webHidden/>
              </w:rPr>
            </w:r>
            <w:r w:rsidR="0038631B">
              <w:rPr>
                <w:noProof/>
                <w:webHidden/>
              </w:rPr>
              <w:fldChar w:fldCharType="separate"/>
            </w:r>
            <w:r w:rsidR="0038631B">
              <w:rPr>
                <w:noProof/>
                <w:webHidden/>
              </w:rPr>
              <w:t>13</w:t>
            </w:r>
            <w:r w:rsidR="0038631B">
              <w:rPr>
                <w:noProof/>
                <w:webHidden/>
              </w:rPr>
              <w:fldChar w:fldCharType="end"/>
            </w:r>
          </w:hyperlink>
        </w:p>
        <w:p w:rsidR="0038631B" w:rsidRDefault="00EE1C08">
          <w:pPr>
            <w:pStyle w:val="TOC2"/>
            <w:tabs>
              <w:tab w:val="left" w:pos="1100"/>
            </w:tabs>
            <w:rPr>
              <w:rFonts w:asciiTheme="minorHAnsi" w:eastAsiaTheme="minorEastAsia" w:hAnsiTheme="minorHAnsi" w:cstheme="minorBidi"/>
              <w:b w:val="0"/>
              <w:noProof/>
              <w:sz w:val="22"/>
              <w:lang w:eastAsia="en-AU"/>
            </w:rPr>
          </w:pPr>
          <w:hyperlink w:anchor="_Toc384108945" w:history="1">
            <w:r w:rsidR="0038631B" w:rsidRPr="00C43B49">
              <w:rPr>
                <w:rStyle w:val="Hyperlink"/>
                <w:noProof/>
              </w:rPr>
              <w:t>5.</w:t>
            </w:r>
            <w:r w:rsidR="0038631B">
              <w:rPr>
                <w:rFonts w:asciiTheme="minorHAnsi" w:eastAsiaTheme="minorEastAsia" w:hAnsiTheme="minorHAnsi" w:cstheme="minorBidi"/>
                <w:b w:val="0"/>
                <w:noProof/>
                <w:sz w:val="22"/>
                <w:lang w:eastAsia="en-AU"/>
              </w:rPr>
              <w:tab/>
            </w:r>
            <w:r w:rsidR="0038631B" w:rsidRPr="00C43B49">
              <w:rPr>
                <w:rStyle w:val="Hyperlink"/>
                <w:noProof/>
              </w:rPr>
              <w:t>Dosage selection for the pivotal studies</w:t>
            </w:r>
            <w:r w:rsidR="0038631B">
              <w:rPr>
                <w:noProof/>
                <w:webHidden/>
              </w:rPr>
              <w:tab/>
            </w:r>
            <w:r w:rsidR="0038631B">
              <w:rPr>
                <w:noProof/>
                <w:webHidden/>
              </w:rPr>
              <w:fldChar w:fldCharType="begin"/>
            </w:r>
            <w:r w:rsidR="0038631B">
              <w:rPr>
                <w:noProof/>
                <w:webHidden/>
              </w:rPr>
              <w:instrText xml:space="preserve"> PAGEREF _Toc384108945 \h </w:instrText>
            </w:r>
            <w:r w:rsidR="0038631B">
              <w:rPr>
                <w:noProof/>
                <w:webHidden/>
              </w:rPr>
            </w:r>
            <w:r w:rsidR="0038631B">
              <w:rPr>
                <w:noProof/>
                <w:webHidden/>
              </w:rPr>
              <w:fldChar w:fldCharType="separate"/>
            </w:r>
            <w:r w:rsidR="0038631B">
              <w:rPr>
                <w:noProof/>
                <w:webHidden/>
              </w:rPr>
              <w:t>13</w:t>
            </w:r>
            <w:r w:rsidR="0038631B">
              <w:rPr>
                <w:noProof/>
                <w:webHidden/>
              </w:rPr>
              <w:fldChar w:fldCharType="end"/>
            </w:r>
          </w:hyperlink>
        </w:p>
        <w:p w:rsidR="0038631B" w:rsidRDefault="00EE1C08">
          <w:pPr>
            <w:pStyle w:val="TOC2"/>
            <w:tabs>
              <w:tab w:val="left" w:pos="1100"/>
            </w:tabs>
            <w:rPr>
              <w:rFonts w:asciiTheme="minorHAnsi" w:eastAsiaTheme="minorEastAsia" w:hAnsiTheme="minorHAnsi" w:cstheme="minorBidi"/>
              <w:b w:val="0"/>
              <w:noProof/>
              <w:sz w:val="22"/>
              <w:lang w:eastAsia="en-AU"/>
            </w:rPr>
          </w:pPr>
          <w:hyperlink w:anchor="_Toc384108946" w:history="1">
            <w:r w:rsidR="0038631B" w:rsidRPr="00C43B49">
              <w:rPr>
                <w:rStyle w:val="Hyperlink"/>
                <w:noProof/>
              </w:rPr>
              <w:t>6.</w:t>
            </w:r>
            <w:r w:rsidR="0038631B">
              <w:rPr>
                <w:rFonts w:asciiTheme="minorHAnsi" w:eastAsiaTheme="minorEastAsia" w:hAnsiTheme="minorHAnsi" w:cstheme="minorBidi"/>
                <w:b w:val="0"/>
                <w:noProof/>
                <w:sz w:val="22"/>
                <w:lang w:eastAsia="en-AU"/>
              </w:rPr>
              <w:tab/>
            </w:r>
            <w:r w:rsidR="0038631B" w:rsidRPr="00C43B49">
              <w:rPr>
                <w:rStyle w:val="Hyperlink"/>
                <w:noProof/>
              </w:rPr>
              <w:t>Clinical efficacy</w:t>
            </w:r>
            <w:r w:rsidR="0038631B">
              <w:rPr>
                <w:noProof/>
                <w:webHidden/>
              </w:rPr>
              <w:tab/>
            </w:r>
            <w:r w:rsidR="0038631B">
              <w:rPr>
                <w:noProof/>
                <w:webHidden/>
              </w:rPr>
              <w:fldChar w:fldCharType="begin"/>
            </w:r>
            <w:r w:rsidR="0038631B">
              <w:rPr>
                <w:noProof/>
                <w:webHidden/>
              </w:rPr>
              <w:instrText xml:space="preserve"> PAGEREF _Toc384108946 \h </w:instrText>
            </w:r>
            <w:r w:rsidR="0038631B">
              <w:rPr>
                <w:noProof/>
                <w:webHidden/>
              </w:rPr>
            </w:r>
            <w:r w:rsidR="0038631B">
              <w:rPr>
                <w:noProof/>
                <w:webHidden/>
              </w:rPr>
              <w:fldChar w:fldCharType="separate"/>
            </w:r>
            <w:r w:rsidR="0038631B">
              <w:rPr>
                <w:noProof/>
                <w:webHidden/>
              </w:rPr>
              <w:t>14</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47" w:history="1">
            <w:r w:rsidR="0038631B" w:rsidRPr="00C43B49">
              <w:rPr>
                <w:rStyle w:val="Hyperlink"/>
                <w:noProof/>
              </w:rPr>
              <w:t>6.1.</w:t>
            </w:r>
            <w:r w:rsidR="0038631B">
              <w:rPr>
                <w:rFonts w:asciiTheme="minorHAnsi" w:eastAsiaTheme="minorEastAsia" w:hAnsiTheme="minorHAnsi" w:cstheme="minorBidi"/>
                <w:noProof/>
                <w:lang w:eastAsia="en-AU"/>
              </w:rPr>
              <w:tab/>
            </w:r>
            <w:r w:rsidR="0038631B" w:rsidRPr="00C43B49">
              <w:rPr>
                <w:rStyle w:val="Hyperlink"/>
                <w:noProof/>
              </w:rPr>
              <w:t>Change 1</w:t>
            </w:r>
            <w:r w:rsidR="0038631B">
              <w:rPr>
                <w:noProof/>
                <w:webHidden/>
              </w:rPr>
              <w:tab/>
            </w:r>
            <w:r w:rsidR="0038631B">
              <w:rPr>
                <w:noProof/>
                <w:webHidden/>
              </w:rPr>
              <w:fldChar w:fldCharType="begin"/>
            </w:r>
            <w:r w:rsidR="0038631B">
              <w:rPr>
                <w:noProof/>
                <w:webHidden/>
              </w:rPr>
              <w:instrText xml:space="preserve"> PAGEREF _Toc384108947 \h </w:instrText>
            </w:r>
            <w:r w:rsidR="0038631B">
              <w:rPr>
                <w:noProof/>
                <w:webHidden/>
              </w:rPr>
            </w:r>
            <w:r w:rsidR="0038631B">
              <w:rPr>
                <w:noProof/>
                <w:webHidden/>
              </w:rPr>
              <w:fldChar w:fldCharType="separate"/>
            </w:r>
            <w:r w:rsidR="0038631B">
              <w:rPr>
                <w:noProof/>
                <w:webHidden/>
              </w:rPr>
              <w:t>14</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48" w:history="1">
            <w:r w:rsidR="0038631B" w:rsidRPr="00C43B49">
              <w:rPr>
                <w:rStyle w:val="Hyperlink"/>
                <w:noProof/>
                <w:lang w:val="en-US"/>
              </w:rPr>
              <w:t>6.2.</w:t>
            </w:r>
            <w:r w:rsidR="0038631B">
              <w:rPr>
                <w:rFonts w:asciiTheme="minorHAnsi" w:eastAsiaTheme="minorEastAsia" w:hAnsiTheme="minorHAnsi" w:cstheme="minorBidi"/>
                <w:noProof/>
                <w:lang w:eastAsia="en-AU"/>
              </w:rPr>
              <w:tab/>
            </w:r>
            <w:r w:rsidR="0038631B" w:rsidRPr="00C43B49">
              <w:rPr>
                <w:rStyle w:val="Hyperlink"/>
                <w:noProof/>
                <w:lang w:val="en-US"/>
              </w:rPr>
              <w:t>Change 2</w:t>
            </w:r>
            <w:r w:rsidR="0038631B">
              <w:rPr>
                <w:noProof/>
                <w:webHidden/>
              </w:rPr>
              <w:tab/>
            </w:r>
            <w:r w:rsidR="0038631B">
              <w:rPr>
                <w:noProof/>
                <w:webHidden/>
              </w:rPr>
              <w:fldChar w:fldCharType="begin"/>
            </w:r>
            <w:r w:rsidR="0038631B">
              <w:rPr>
                <w:noProof/>
                <w:webHidden/>
              </w:rPr>
              <w:instrText xml:space="preserve"> PAGEREF _Toc384108948 \h </w:instrText>
            </w:r>
            <w:r w:rsidR="0038631B">
              <w:rPr>
                <w:noProof/>
                <w:webHidden/>
              </w:rPr>
            </w:r>
            <w:r w:rsidR="0038631B">
              <w:rPr>
                <w:noProof/>
                <w:webHidden/>
              </w:rPr>
              <w:fldChar w:fldCharType="separate"/>
            </w:r>
            <w:r w:rsidR="0038631B">
              <w:rPr>
                <w:noProof/>
                <w:webHidden/>
              </w:rPr>
              <w:t>20</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49" w:history="1">
            <w:r w:rsidR="0038631B" w:rsidRPr="00C43B49">
              <w:rPr>
                <w:rStyle w:val="Hyperlink"/>
                <w:noProof/>
              </w:rPr>
              <w:t>6.3.</w:t>
            </w:r>
            <w:r w:rsidR="0038631B">
              <w:rPr>
                <w:rFonts w:asciiTheme="minorHAnsi" w:eastAsiaTheme="minorEastAsia" w:hAnsiTheme="minorHAnsi" w:cstheme="minorBidi"/>
                <w:noProof/>
                <w:lang w:eastAsia="en-AU"/>
              </w:rPr>
              <w:tab/>
            </w:r>
            <w:r w:rsidR="0038631B" w:rsidRPr="00C43B49">
              <w:rPr>
                <w:rStyle w:val="Hyperlink"/>
                <w:noProof/>
              </w:rPr>
              <w:t>Change 3</w:t>
            </w:r>
            <w:r w:rsidR="0038631B">
              <w:rPr>
                <w:noProof/>
                <w:webHidden/>
              </w:rPr>
              <w:tab/>
            </w:r>
            <w:r w:rsidR="0038631B">
              <w:rPr>
                <w:noProof/>
                <w:webHidden/>
              </w:rPr>
              <w:fldChar w:fldCharType="begin"/>
            </w:r>
            <w:r w:rsidR="0038631B">
              <w:rPr>
                <w:noProof/>
                <w:webHidden/>
              </w:rPr>
              <w:instrText xml:space="preserve"> PAGEREF _Toc384108949 \h </w:instrText>
            </w:r>
            <w:r w:rsidR="0038631B">
              <w:rPr>
                <w:noProof/>
                <w:webHidden/>
              </w:rPr>
            </w:r>
            <w:r w:rsidR="0038631B">
              <w:rPr>
                <w:noProof/>
                <w:webHidden/>
              </w:rPr>
              <w:fldChar w:fldCharType="separate"/>
            </w:r>
            <w:r w:rsidR="0038631B">
              <w:rPr>
                <w:noProof/>
                <w:webHidden/>
              </w:rPr>
              <w:t>24</w:t>
            </w:r>
            <w:r w:rsidR="0038631B">
              <w:rPr>
                <w:noProof/>
                <w:webHidden/>
              </w:rPr>
              <w:fldChar w:fldCharType="end"/>
            </w:r>
          </w:hyperlink>
        </w:p>
        <w:p w:rsidR="0038631B" w:rsidRDefault="00EE1C08">
          <w:pPr>
            <w:pStyle w:val="TOC2"/>
            <w:tabs>
              <w:tab w:val="left" w:pos="1100"/>
            </w:tabs>
            <w:rPr>
              <w:rFonts w:asciiTheme="minorHAnsi" w:eastAsiaTheme="minorEastAsia" w:hAnsiTheme="minorHAnsi" w:cstheme="minorBidi"/>
              <w:b w:val="0"/>
              <w:noProof/>
              <w:sz w:val="22"/>
              <w:lang w:eastAsia="en-AU"/>
            </w:rPr>
          </w:pPr>
          <w:hyperlink w:anchor="_Toc384108950" w:history="1">
            <w:r w:rsidR="0038631B" w:rsidRPr="00C43B49">
              <w:rPr>
                <w:rStyle w:val="Hyperlink"/>
                <w:noProof/>
              </w:rPr>
              <w:t>7.</w:t>
            </w:r>
            <w:r w:rsidR="0038631B">
              <w:rPr>
                <w:rFonts w:asciiTheme="minorHAnsi" w:eastAsiaTheme="minorEastAsia" w:hAnsiTheme="minorHAnsi" w:cstheme="minorBidi"/>
                <w:b w:val="0"/>
                <w:noProof/>
                <w:sz w:val="22"/>
                <w:lang w:eastAsia="en-AU"/>
              </w:rPr>
              <w:tab/>
            </w:r>
            <w:r w:rsidR="0038631B" w:rsidRPr="00C43B49">
              <w:rPr>
                <w:rStyle w:val="Hyperlink"/>
                <w:noProof/>
              </w:rPr>
              <w:t>Clinical safety</w:t>
            </w:r>
            <w:r w:rsidR="0038631B">
              <w:rPr>
                <w:noProof/>
                <w:webHidden/>
              </w:rPr>
              <w:tab/>
            </w:r>
            <w:r w:rsidR="0038631B">
              <w:rPr>
                <w:noProof/>
                <w:webHidden/>
              </w:rPr>
              <w:fldChar w:fldCharType="begin"/>
            </w:r>
            <w:r w:rsidR="0038631B">
              <w:rPr>
                <w:noProof/>
                <w:webHidden/>
              </w:rPr>
              <w:instrText xml:space="preserve"> PAGEREF _Toc384108950 \h </w:instrText>
            </w:r>
            <w:r w:rsidR="0038631B">
              <w:rPr>
                <w:noProof/>
                <w:webHidden/>
              </w:rPr>
            </w:r>
            <w:r w:rsidR="0038631B">
              <w:rPr>
                <w:noProof/>
                <w:webHidden/>
              </w:rPr>
              <w:fldChar w:fldCharType="separate"/>
            </w:r>
            <w:r w:rsidR="0038631B">
              <w:rPr>
                <w:noProof/>
                <w:webHidden/>
              </w:rPr>
              <w:t>34</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51" w:history="1">
            <w:r w:rsidR="0038631B" w:rsidRPr="00C43B49">
              <w:rPr>
                <w:rStyle w:val="Hyperlink"/>
                <w:noProof/>
              </w:rPr>
              <w:t>7.1.</w:t>
            </w:r>
            <w:r w:rsidR="0038631B">
              <w:rPr>
                <w:rFonts w:asciiTheme="minorHAnsi" w:eastAsiaTheme="minorEastAsia" w:hAnsiTheme="minorHAnsi" w:cstheme="minorBidi"/>
                <w:noProof/>
                <w:lang w:eastAsia="en-AU"/>
              </w:rPr>
              <w:tab/>
            </w:r>
            <w:r w:rsidR="0038631B" w:rsidRPr="00C43B49">
              <w:rPr>
                <w:rStyle w:val="Hyperlink"/>
                <w:noProof/>
              </w:rPr>
              <w:t>Studies providing evaluable safety data</w:t>
            </w:r>
            <w:r w:rsidR="0038631B">
              <w:rPr>
                <w:noProof/>
                <w:webHidden/>
              </w:rPr>
              <w:tab/>
            </w:r>
            <w:r w:rsidR="0038631B">
              <w:rPr>
                <w:noProof/>
                <w:webHidden/>
              </w:rPr>
              <w:fldChar w:fldCharType="begin"/>
            </w:r>
            <w:r w:rsidR="0038631B">
              <w:rPr>
                <w:noProof/>
                <w:webHidden/>
              </w:rPr>
              <w:instrText xml:space="preserve"> PAGEREF _Toc384108951 \h </w:instrText>
            </w:r>
            <w:r w:rsidR="0038631B">
              <w:rPr>
                <w:noProof/>
                <w:webHidden/>
              </w:rPr>
            </w:r>
            <w:r w:rsidR="0038631B">
              <w:rPr>
                <w:noProof/>
                <w:webHidden/>
              </w:rPr>
              <w:fldChar w:fldCharType="separate"/>
            </w:r>
            <w:r w:rsidR="0038631B">
              <w:rPr>
                <w:noProof/>
                <w:webHidden/>
              </w:rPr>
              <w:t>34</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52" w:history="1">
            <w:r w:rsidR="0038631B" w:rsidRPr="00C43B49">
              <w:rPr>
                <w:rStyle w:val="Hyperlink"/>
                <w:noProof/>
              </w:rPr>
              <w:t>7.2.</w:t>
            </w:r>
            <w:r w:rsidR="0038631B">
              <w:rPr>
                <w:rFonts w:asciiTheme="minorHAnsi" w:eastAsiaTheme="minorEastAsia" w:hAnsiTheme="minorHAnsi" w:cstheme="minorBidi"/>
                <w:noProof/>
                <w:lang w:eastAsia="en-AU"/>
              </w:rPr>
              <w:tab/>
            </w:r>
            <w:r w:rsidR="0038631B" w:rsidRPr="00C43B49">
              <w:rPr>
                <w:rStyle w:val="Hyperlink"/>
                <w:noProof/>
              </w:rPr>
              <w:t>Pivotal studies that assessed safety as a primary outcome</w:t>
            </w:r>
            <w:r w:rsidR="0038631B">
              <w:rPr>
                <w:noProof/>
                <w:webHidden/>
              </w:rPr>
              <w:tab/>
            </w:r>
            <w:r w:rsidR="0038631B">
              <w:rPr>
                <w:noProof/>
                <w:webHidden/>
              </w:rPr>
              <w:fldChar w:fldCharType="begin"/>
            </w:r>
            <w:r w:rsidR="0038631B">
              <w:rPr>
                <w:noProof/>
                <w:webHidden/>
              </w:rPr>
              <w:instrText xml:space="preserve"> PAGEREF _Toc384108952 \h </w:instrText>
            </w:r>
            <w:r w:rsidR="0038631B">
              <w:rPr>
                <w:noProof/>
                <w:webHidden/>
              </w:rPr>
            </w:r>
            <w:r w:rsidR="0038631B">
              <w:rPr>
                <w:noProof/>
                <w:webHidden/>
              </w:rPr>
              <w:fldChar w:fldCharType="separate"/>
            </w:r>
            <w:r w:rsidR="0038631B">
              <w:rPr>
                <w:noProof/>
                <w:webHidden/>
              </w:rPr>
              <w:t>35</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53" w:history="1">
            <w:r w:rsidR="0038631B" w:rsidRPr="00C43B49">
              <w:rPr>
                <w:rStyle w:val="Hyperlink"/>
                <w:noProof/>
              </w:rPr>
              <w:t>7.3.</w:t>
            </w:r>
            <w:r w:rsidR="0038631B">
              <w:rPr>
                <w:rFonts w:asciiTheme="minorHAnsi" w:eastAsiaTheme="minorEastAsia" w:hAnsiTheme="minorHAnsi" w:cstheme="minorBidi"/>
                <w:noProof/>
                <w:lang w:eastAsia="en-AU"/>
              </w:rPr>
              <w:tab/>
            </w:r>
            <w:r w:rsidR="0038631B" w:rsidRPr="00C43B49">
              <w:rPr>
                <w:rStyle w:val="Hyperlink"/>
                <w:noProof/>
              </w:rPr>
              <w:t>Patient exposure</w:t>
            </w:r>
            <w:r w:rsidR="0038631B">
              <w:rPr>
                <w:noProof/>
                <w:webHidden/>
              </w:rPr>
              <w:tab/>
            </w:r>
            <w:r w:rsidR="0038631B">
              <w:rPr>
                <w:noProof/>
                <w:webHidden/>
              </w:rPr>
              <w:fldChar w:fldCharType="begin"/>
            </w:r>
            <w:r w:rsidR="0038631B">
              <w:rPr>
                <w:noProof/>
                <w:webHidden/>
              </w:rPr>
              <w:instrText xml:space="preserve"> PAGEREF _Toc384108953 \h </w:instrText>
            </w:r>
            <w:r w:rsidR="0038631B">
              <w:rPr>
                <w:noProof/>
                <w:webHidden/>
              </w:rPr>
            </w:r>
            <w:r w:rsidR="0038631B">
              <w:rPr>
                <w:noProof/>
                <w:webHidden/>
              </w:rPr>
              <w:fldChar w:fldCharType="separate"/>
            </w:r>
            <w:r w:rsidR="0038631B">
              <w:rPr>
                <w:noProof/>
                <w:webHidden/>
              </w:rPr>
              <w:t>35</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54" w:history="1">
            <w:r w:rsidR="0038631B" w:rsidRPr="00C43B49">
              <w:rPr>
                <w:rStyle w:val="Hyperlink"/>
                <w:noProof/>
              </w:rPr>
              <w:t>7.4.</w:t>
            </w:r>
            <w:r w:rsidR="0038631B">
              <w:rPr>
                <w:rFonts w:asciiTheme="minorHAnsi" w:eastAsiaTheme="minorEastAsia" w:hAnsiTheme="minorHAnsi" w:cstheme="minorBidi"/>
                <w:noProof/>
                <w:lang w:eastAsia="en-AU"/>
              </w:rPr>
              <w:tab/>
            </w:r>
            <w:r w:rsidR="0038631B" w:rsidRPr="00C43B49">
              <w:rPr>
                <w:rStyle w:val="Hyperlink"/>
                <w:noProof/>
              </w:rPr>
              <w:t>Adverse events</w:t>
            </w:r>
            <w:r w:rsidR="0038631B">
              <w:rPr>
                <w:noProof/>
                <w:webHidden/>
              </w:rPr>
              <w:tab/>
            </w:r>
            <w:r w:rsidR="0038631B">
              <w:rPr>
                <w:noProof/>
                <w:webHidden/>
              </w:rPr>
              <w:fldChar w:fldCharType="begin"/>
            </w:r>
            <w:r w:rsidR="0038631B">
              <w:rPr>
                <w:noProof/>
                <w:webHidden/>
              </w:rPr>
              <w:instrText xml:space="preserve"> PAGEREF _Toc384108954 \h </w:instrText>
            </w:r>
            <w:r w:rsidR="0038631B">
              <w:rPr>
                <w:noProof/>
                <w:webHidden/>
              </w:rPr>
            </w:r>
            <w:r w:rsidR="0038631B">
              <w:rPr>
                <w:noProof/>
                <w:webHidden/>
              </w:rPr>
              <w:fldChar w:fldCharType="separate"/>
            </w:r>
            <w:r w:rsidR="0038631B">
              <w:rPr>
                <w:noProof/>
                <w:webHidden/>
              </w:rPr>
              <w:t>35</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55" w:history="1">
            <w:r w:rsidR="0038631B" w:rsidRPr="00C43B49">
              <w:rPr>
                <w:rStyle w:val="Hyperlink"/>
                <w:noProof/>
              </w:rPr>
              <w:t>7.5.</w:t>
            </w:r>
            <w:r w:rsidR="0038631B">
              <w:rPr>
                <w:rFonts w:asciiTheme="minorHAnsi" w:eastAsiaTheme="minorEastAsia" w:hAnsiTheme="minorHAnsi" w:cstheme="minorBidi"/>
                <w:noProof/>
                <w:lang w:eastAsia="en-AU"/>
              </w:rPr>
              <w:tab/>
            </w:r>
            <w:r w:rsidR="0038631B" w:rsidRPr="00C43B49">
              <w:rPr>
                <w:rStyle w:val="Hyperlink"/>
                <w:noProof/>
              </w:rPr>
              <w:t>Laboratory tests</w:t>
            </w:r>
            <w:r w:rsidR="0038631B">
              <w:rPr>
                <w:noProof/>
                <w:webHidden/>
              </w:rPr>
              <w:tab/>
            </w:r>
            <w:r w:rsidR="0038631B">
              <w:rPr>
                <w:noProof/>
                <w:webHidden/>
              </w:rPr>
              <w:fldChar w:fldCharType="begin"/>
            </w:r>
            <w:r w:rsidR="0038631B">
              <w:rPr>
                <w:noProof/>
                <w:webHidden/>
              </w:rPr>
              <w:instrText xml:space="preserve"> PAGEREF _Toc384108955 \h </w:instrText>
            </w:r>
            <w:r w:rsidR="0038631B">
              <w:rPr>
                <w:noProof/>
                <w:webHidden/>
              </w:rPr>
            </w:r>
            <w:r w:rsidR="0038631B">
              <w:rPr>
                <w:noProof/>
                <w:webHidden/>
              </w:rPr>
              <w:fldChar w:fldCharType="separate"/>
            </w:r>
            <w:r w:rsidR="0038631B">
              <w:rPr>
                <w:noProof/>
                <w:webHidden/>
              </w:rPr>
              <w:t>49</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56" w:history="1">
            <w:r w:rsidR="0038631B" w:rsidRPr="00C43B49">
              <w:rPr>
                <w:rStyle w:val="Hyperlink"/>
                <w:noProof/>
              </w:rPr>
              <w:t>7.6.</w:t>
            </w:r>
            <w:r w:rsidR="0038631B">
              <w:rPr>
                <w:rFonts w:asciiTheme="minorHAnsi" w:eastAsiaTheme="minorEastAsia" w:hAnsiTheme="minorHAnsi" w:cstheme="minorBidi"/>
                <w:noProof/>
                <w:lang w:eastAsia="en-AU"/>
              </w:rPr>
              <w:tab/>
            </w:r>
            <w:r w:rsidR="0038631B" w:rsidRPr="00C43B49">
              <w:rPr>
                <w:rStyle w:val="Hyperlink"/>
                <w:noProof/>
              </w:rPr>
              <w:t>Post-marketing experience</w:t>
            </w:r>
            <w:r w:rsidR="0038631B">
              <w:rPr>
                <w:noProof/>
                <w:webHidden/>
              </w:rPr>
              <w:tab/>
            </w:r>
            <w:r w:rsidR="0038631B">
              <w:rPr>
                <w:noProof/>
                <w:webHidden/>
              </w:rPr>
              <w:fldChar w:fldCharType="begin"/>
            </w:r>
            <w:r w:rsidR="0038631B">
              <w:rPr>
                <w:noProof/>
                <w:webHidden/>
              </w:rPr>
              <w:instrText xml:space="preserve"> PAGEREF _Toc384108956 \h </w:instrText>
            </w:r>
            <w:r w:rsidR="0038631B">
              <w:rPr>
                <w:noProof/>
                <w:webHidden/>
              </w:rPr>
            </w:r>
            <w:r w:rsidR="0038631B">
              <w:rPr>
                <w:noProof/>
                <w:webHidden/>
              </w:rPr>
              <w:fldChar w:fldCharType="separate"/>
            </w:r>
            <w:r w:rsidR="0038631B">
              <w:rPr>
                <w:noProof/>
                <w:webHidden/>
              </w:rPr>
              <w:t>53</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57" w:history="1">
            <w:r w:rsidR="0038631B" w:rsidRPr="00C43B49">
              <w:rPr>
                <w:rStyle w:val="Hyperlink"/>
                <w:noProof/>
              </w:rPr>
              <w:t>7.7.</w:t>
            </w:r>
            <w:r w:rsidR="0038631B">
              <w:rPr>
                <w:rFonts w:asciiTheme="minorHAnsi" w:eastAsiaTheme="minorEastAsia" w:hAnsiTheme="minorHAnsi" w:cstheme="minorBidi"/>
                <w:noProof/>
                <w:lang w:eastAsia="en-AU"/>
              </w:rPr>
              <w:tab/>
            </w:r>
            <w:r w:rsidR="0038631B" w:rsidRPr="00C43B49">
              <w:rPr>
                <w:rStyle w:val="Hyperlink"/>
                <w:noProof/>
              </w:rPr>
              <w:t>Evaluator’s overall conclusions on clinical safety</w:t>
            </w:r>
            <w:r w:rsidR="0038631B">
              <w:rPr>
                <w:noProof/>
                <w:webHidden/>
              </w:rPr>
              <w:tab/>
            </w:r>
            <w:r w:rsidR="0038631B">
              <w:rPr>
                <w:noProof/>
                <w:webHidden/>
              </w:rPr>
              <w:fldChar w:fldCharType="begin"/>
            </w:r>
            <w:r w:rsidR="0038631B">
              <w:rPr>
                <w:noProof/>
                <w:webHidden/>
              </w:rPr>
              <w:instrText xml:space="preserve"> PAGEREF _Toc384108957 \h </w:instrText>
            </w:r>
            <w:r w:rsidR="0038631B">
              <w:rPr>
                <w:noProof/>
                <w:webHidden/>
              </w:rPr>
            </w:r>
            <w:r w:rsidR="0038631B">
              <w:rPr>
                <w:noProof/>
                <w:webHidden/>
              </w:rPr>
              <w:fldChar w:fldCharType="separate"/>
            </w:r>
            <w:r w:rsidR="0038631B">
              <w:rPr>
                <w:noProof/>
                <w:webHidden/>
              </w:rPr>
              <w:t>55</w:t>
            </w:r>
            <w:r w:rsidR="0038631B">
              <w:rPr>
                <w:noProof/>
                <w:webHidden/>
              </w:rPr>
              <w:fldChar w:fldCharType="end"/>
            </w:r>
          </w:hyperlink>
        </w:p>
        <w:p w:rsidR="0038631B" w:rsidRDefault="00EE1C08">
          <w:pPr>
            <w:pStyle w:val="TOC2"/>
            <w:tabs>
              <w:tab w:val="left" w:pos="1100"/>
            </w:tabs>
            <w:rPr>
              <w:rFonts w:asciiTheme="minorHAnsi" w:eastAsiaTheme="minorEastAsia" w:hAnsiTheme="minorHAnsi" w:cstheme="minorBidi"/>
              <w:b w:val="0"/>
              <w:noProof/>
              <w:sz w:val="22"/>
              <w:lang w:eastAsia="en-AU"/>
            </w:rPr>
          </w:pPr>
          <w:hyperlink w:anchor="_Toc384108958" w:history="1">
            <w:r w:rsidR="0038631B" w:rsidRPr="00C43B49">
              <w:rPr>
                <w:rStyle w:val="Hyperlink"/>
                <w:noProof/>
              </w:rPr>
              <w:t>8.</w:t>
            </w:r>
            <w:r w:rsidR="0038631B">
              <w:rPr>
                <w:rFonts w:asciiTheme="minorHAnsi" w:eastAsiaTheme="minorEastAsia" w:hAnsiTheme="minorHAnsi" w:cstheme="minorBidi"/>
                <w:b w:val="0"/>
                <w:noProof/>
                <w:sz w:val="22"/>
                <w:lang w:eastAsia="en-AU"/>
              </w:rPr>
              <w:tab/>
            </w:r>
            <w:r w:rsidR="0038631B" w:rsidRPr="00C43B49">
              <w:rPr>
                <w:rStyle w:val="Hyperlink"/>
                <w:noProof/>
              </w:rPr>
              <w:t>First round benefit-risk assessment</w:t>
            </w:r>
            <w:r w:rsidR="0038631B">
              <w:rPr>
                <w:noProof/>
                <w:webHidden/>
              </w:rPr>
              <w:tab/>
            </w:r>
            <w:r w:rsidR="0038631B">
              <w:rPr>
                <w:noProof/>
                <w:webHidden/>
              </w:rPr>
              <w:fldChar w:fldCharType="begin"/>
            </w:r>
            <w:r w:rsidR="0038631B">
              <w:rPr>
                <w:noProof/>
                <w:webHidden/>
              </w:rPr>
              <w:instrText xml:space="preserve"> PAGEREF _Toc384108958 \h </w:instrText>
            </w:r>
            <w:r w:rsidR="0038631B">
              <w:rPr>
                <w:noProof/>
                <w:webHidden/>
              </w:rPr>
            </w:r>
            <w:r w:rsidR="0038631B">
              <w:rPr>
                <w:noProof/>
                <w:webHidden/>
              </w:rPr>
              <w:fldChar w:fldCharType="separate"/>
            </w:r>
            <w:r w:rsidR="0038631B">
              <w:rPr>
                <w:noProof/>
                <w:webHidden/>
              </w:rPr>
              <w:t>56</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59" w:history="1">
            <w:r w:rsidR="0038631B" w:rsidRPr="00C43B49">
              <w:rPr>
                <w:rStyle w:val="Hyperlink"/>
                <w:noProof/>
              </w:rPr>
              <w:t>8.1.</w:t>
            </w:r>
            <w:r w:rsidR="0038631B">
              <w:rPr>
                <w:rFonts w:asciiTheme="minorHAnsi" w:eastAsiaTheme="minorEastAsia" w:hAnsiTheme="minorHAnsi" w:cstheme="minorBidi"/>
                <w:noProof/>
                <w:lang w:eastAsia="en-AU"/>
              </w:rPr>
              <w:tab/>
            </w:r>
            <w:r w:rsidR="0038631B" w:rsidRPr="00C43B49">
              <w:rPr>
                <w:rStyle w:val="Hyperlink"/>
                <w:noProof/>
              </w:rPr>
              <w:t>First round assessment of benefits</w:t>
            </w:r>
            <w:r w:rsidR="0038631B">
              <w:rPr>
                <w:noProof/>
                <w:webHidden/>
              </w:rPr>
              <w:tab/>
            </w:r>
            <w:r w:rsidR="0038631B">
              <w:rPr>
                <w:noProof/>
                <w:webHidden/>
              </w:rPr>
              <w:fldChar w:fldCharType="begin"/>
            </w:r>
            <w:r w:rsidR="0038631B">
              <w:rPr>
                <w:noProof/>
                <w:webHidden/>
              </w:rPr>
              <w:instrText xml:space="preserve"> PAGEREF _Toc384108959 \h </w:instrText>
            </w:r>
            <w:r w:rsidR="0038631B">
              <w:rPr>
                <w:noProof/>
                <w:webHidden/>
              </w:rPr>
            </w:r>
            <w:r w:rsidR="0038631B">
              <w:rPr>
                <w:noProof/>
                <w:webHidden/>
              </w:rPr>
              <w:fldChar w:fldCharType="separate"/>
            </w:r>
            <w:r w:rsidR="0038631B">
              <w:rPr>
                <w:noProof/>
                <w:webHidden/>
              </w:rPr>
              <w:t>56</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60" w:history="1">
            <w:r w:rsidR="0038631B" w:rsidRPr="00C43B49">
              <w:rPr>
                <w:rStyle w:val="Hyperlink"/>
                <w:noProof/>
              </w:rPr>
              <w:t>8.2.</w:t>
            </w:r>
            <w:r w:rsidR="0038631B">
              <w:rPr>
                <w:rFonts w:asciiTheme="minorHAnsi" w:eastAsiaTheme="minorEastAsia" w:hAnsiTheme="minorHAnsi" w:cstheme="minorBidi"/>
                <w:noProof/>
                <w:lang w:eastAsia="en-AU"/>
              </w:rPr>
              <w:tab/>
            </w:r>
            <w:r w:rsidR="0038631B" w:rsidRPr="00C43B49">
              <w:rPr>
                <w:rStyle w:val="Hyperlink"/>
                <w:noProof/>
              </w:rPr>
              <w:t>First round assessment of risks</w:t>
            </w:r>
            <w:r w:rsidR="0038631B">
              <w:rPr>
                <w:noProof/>
                <w:webHidden/>
              </w:rPr>
              <w:tab/>
            </w:r>
            <w:r w:rsidR="0038631B">
              <w:rPr>
                <w:noProof/>
                <w:webHidden/>
              </w:rPr>
              <w:fldChar w:fldCharType="begin"/>
            </w:r>
            <w:r w:rsidR="0038631B">
              <w:rPr>
                <w:noProof/>
                <w:webHidden/>
              </w:rPr>
              <w:instrText xml:space="preserve"> PAGEREF _Toc384108960 \h </w:instrText>
            </w:r>
            <w:r w:rsidR="0038631B">
              <w:rPr>
                <w:noProof/>
                <w:webHidden/>
              </w:rPr>
            </w:r>
            <w:r w:rsidR="0038631B">
              <w:rPr>
                <w:noProof/>
                <w:webHidden/>
              </w:rPr>
              <w:fldChar w:fldCharType="separate"/>
            </w:r>
            <w:r w:rsidR="0038631B">
              <w:rPr>
                <w:noProof/>
                <w:webHidden/>
              </w:rPr>
              <w:t>57</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61" w:history="1">
            <w:r w:rsidR="0038631B" w:rsidRPr="00C43B49">
              <w:rPr>
                <w:rStyle w:val="Hyperlink"/>
                <w:noProof/>
              </w:rPr>
              <w:t>8.3.</w:t>
            </w:r>
            <w:r w:rsidR="0038631B">
              <w:rPr>
                <w:rFonts w:asciiTheme="minorHAnsi" w:eastAsiaTheme="minorEastAsia" w:hAnsiTheme="minorHAnsi" w:cstheme="minorBidi"/>
                <w:noProof/>
                <w:lang w:eastAsia="en-AU"/>
              </w:rPr>
              <w:tab/>
            </w:r>
            <w:r w:rsidR="0038631B" w:rsidRPr="00C43B49">
              <w:rPr>
                <w:rStyle w:val="Hyperlink"/>
                <w:noProof/>
              </w:rPr>
              <w:t>First round assessment of risks</w:t>
            </w:r>
            <w:r w:rsidR="0038631B">
              <w:rPr>
                <w:noProof/>
                <w:webHidden/>
              </w:rPr>
              <w:tab/>
            </w:r>
            <w:r w:rsidR="0038631B">
              <w:rPr>
                <w:noProof/>
                <w:webHidden/>
              </w:rPr>
              <w:fldChar w:fldCharType="begin"/>
            </w:r>
            <w:r w:rsidR="0038631B">
              <w:rPr>
                <w:noProof/>
                <w:webHidden/>
              </w:rPr>
              <w:instrText xml:space="preserve"> PAGEREF _Toc384108961 \h </w:instrText>
            </w:r>
            <w:r w:rsidR="0038631B">
              <w:rPr>
                <w:noProof/>
                <w:webHidden/>
              </w:rPr>
            </w:r>
            <w:r w:rsidR="0038631B">
              <w:rPr>
                <w:noProof/>
                <w:webHidden/>
              </w:rPr>
              <w:fldChar w:fldCharType="separate"/>
            </w:r>
            <w:r w:rsidR="0038631B">
              <w:rPr>
                <w:noProof/>
                <w:webHidden/>
              </w:rPr>
              <w:t>57</w:t>
            </w:r>
            <w:r w:rsidR="0038631B">
              <w:rPr>
                <w:noProof/>
                <w:webHidden/>
              </w:rPr>
              <w:fldChar w:fldCharType="end"/>
            </w:r>
          </w:hyperlink>
        </w:p>
        <w:p w:rsidR="0038631B" w:rsidRDefault="00EE1C08">
          <w:pPr>
            <w:pStyle w:val="TOC3"/>
            <w:tabs>
              <w:tab w:val="left" w:pos="1760"/>
            </w:tabs>
            <w:rPr>
              <w:rFonts w:asciiTheme="minorHAnsi" w:eastAsiaTheme="minorEastAsia" w:hAnsiTheme="minorHAnsi" w:cstheme="minorBidi"/>
              <w:noProof/>
              <w:lang w:eastAsia="en-AU"/>
            </w:rPr>
          </w:pPr>
          <w:hyperlink w:anchor="_Toc384108962" w:history="1">
            <w:r w:rsidR="0038631B" w:rsidRPr="00C43B49">
              <w:rPr>
                <w:rStyle w:val="Hyperlink"/>
                <w:noProof/>
              </w:rPr>
              <w:t>8.4.</w:t>
            </w:r>
            <w:r w:rsidR="0038631B">
              <w:rPr>
                <w:rFonts w:asciiTheme="minorHAnsi" w:eastAsiaTheme="minorEastAsia" w:hAnsiTheme="minorHAnsi" w:cstheme="minorBidi"/>
                <w:noProof/>
                <w:lang w:eastAsia="en-AU"/>
              </w:rPr>
              <w:tab/>
            </w:r>
            <w:r w:rsidR="0038631B" w:rsidRPr="00C43B49">
              <w:rPr>
                <w:rStyle w:val="Hyperlink"/>
                <w:noProof/>
              </w:rPr>
              <w:t>First round assessment of benefit-risk balance</w:t>
            </w:r>
            <w:r w:rsidR="0038631B">
              <w:rPr>
                <w:noProof/>
                <w:webHidden/>
              </w:rPr>
              <w:tab/>
            </w:r>
            <w:r w:rsidR="0038631B">
              <w:rPr>
                <w:noProof/>
                <w:webHidden/>
              </w:rPr>
              <w:fldChar w:fldCharType="begin"/>
            </w:r>
            <w:r w:rsidR="0038631B">
              <w:rPr>
                <w:noProof/>
                <w:webHidden/>
              </w:rPr>
              <w:instrText xml:space="preserve"> PAGEREF _Toc384108962 \h </w:instrText>
            </w:r>
            <w:r w:rsidR="0038631B">
              <w:rPr>
                <w:noProof/>
                <w:webHidden/>
              </w:rPr>
            </w:r>
            <w:r w:rsidR="0038631B">
              <w:rPr>
                <w:noProof/>
                <w:webHidden/>
              </w:rPr>
              <w:fldChar w:fldCharType="separate"/>
            </w:r>
            <w:r w:rsidR="0038631B">
              <w:rPr>
                <w:noProof/>
                <w:webHidden/>
              </w:rPr>
              <w:t>58</w:t>
            </w:r>
            <w:r w:rsidR="0038631B">
              <w:rPr>
                <w:noProof/>
                <w:webHidden/>
              </w:rPr>
              <w:fldChar w:fldCharType="end"/>
            </w:r>
          </w:hyperlink>
        </w:p>
        <w:p w:rsidR="0038631B" w:rsidRDefault="00EE1C08">
          <w:pPr>
            <w:pStyle w:val="TOC2"/>
            <w:tabs>
              <w:tab w:val="left" w:pos="1100"/>
            </w:tabs>
            <w:rPr>
              <w:rFonts w:asciiTheme="minorHAnsi" w:eastAsiaTheme="minorEastAsia" w:hAnsiTheme="minorHAnsi" w:cstheme="minorBidi"/>
              <w:b w:val="0"/>
              <w:noProof/>
              <w:sz w:val="22"/>
              <w:lang w:eastAsia="en-AU"/>
            </w:rPr>
          </w:pPr>
          <w:hyperlink w:anchor="_Toc384108963" w:history="1">
            <w:r w:rsidR="0038631B" w:rsidRPr="00C43B49">
              <w:rPr>
                <w:rStyle w:val="Hyperlink"/>
                <w:noProof/>
              </w:rPr>
              <w:t>9.</w:t>
            </w:r>
            <w:r w:rsidR="0038631B">
              <w:rPr>
                <w:rFonts w:asciiTheme="minorHAnsi" w:eastAsiaTheme="minorEastAsia" w:hAnsiTheme="minorHAnsi" w:cstheme="minorBidi"/>
                <w:b w:val="0"/>
                <w:noProof/>
                <w:sz w:val="22"/>
                <w:lang w:eastAsia="en-AU"/>
              </w:rPr>
              <w:tab/>
            </w:r>
            <w:r w:rsidR="0038631B" w:rsidRPr="00C43B49">
              <w:rPr>
                <w:rStyle w:val="Hyperlink"/>
                <w:noProof/>
              </w:rPr>
              <w:t>First round recommendation regarding authorisation</w:t>
            </w:r>
            <w:r w:rsidR="0038631B">
              <w:rPr>
                <w:noProof/>
                <w:webHidden/>
              </w:rPr>
              <w:tab/>
            </w:r>
            <w:r w:rsidR="0038631B">
              <w:rPr>
                <w:noProof/>
                <w:webHidden/>
              </w:rPr>
              <w:fldChar w:fldCharType="begin"/>
            </w:r>
            <w:r w:rsidR="0038631B">
              <w:rPr>
                <w:noProof/>
                <w:webHidden/>
              </w:rPr>
              <w:instrText xml:space="preserve"> PAGEREF _Toc384108963 \h </w:instrText>
            </w:r>
            <w:r w:rsidR="0038631B">
              <w:rPr>
                <w:noProof/>
                <w:webHidden/>
              </w:rPr>
            </w:r>
            <w:r w:rsidR="0038631B">
              <w:rPr>
                <w:noProof/>
                <w:webHidden/>
              </w:rPr>
              <w:fldChar w:fldCharType="separate"/>
            </w:r>
            <w:r w:rsidR="0038631B">
              <w:rPr>
                <w:noProof/>
                <w:webHidden/>
              </w:rPr>
              <w:t>58</w:t>
            </w:r>
            <w:r w:rsidR="0038631B">
              <w:rPr>
                <w:noProof/>
                <w:webHidden/>
              </w:rPr>
              <w:fldChar w:fldCharType="end"/>
            </w:r>
          </w:hyperlink>
        </w:p>
        <w:p w:rsidR="0038631B" w:rsidRDefault="00EE1C08">
          <w:pPr>
            <w:pStyle w:val="TOC2"/>
            <w:tabs>
              <w:tab w:val="left" w:pos="1320"/>
            </w:tabs>
            <w:rPr>
              <w:rFonts w:asciiTheme="minorHAnsi" w:eastAsiaTheme="minorEastAsia" w:hAnsiTheme="minorHAnsi" w:cstheme="minorBidi"/>
              <w:b w:val="0"/>
              <w:noProof/>
              <w:sz w:val="22"/>
              <w:lang w:eastAsia="en-AU"/>
            </w:rPr>
          </w:pPr>
          <w:hyperlink w:anchor="_Toc384108964" w:history="1">
            <w:r w:rsidR="0038631B" w:rsidRPr="00C43B49">
              <w:rPr>
                <w:rStyle w:val="Hyperlink"/>
                <w:noProof/>
              </w:rPr>
              <w:t>10.</w:t>
            </w:r>
            <w:r w:rsidR="0038631B">
              <w:rPr>
                <w:rFonts w:asciiTheme="minorHAnsi" w:eastAsiaTheme="minorEastAsia" w:hAnsiTheme="minorHAnsi" w:cstheme="minorBidi"/>
                <w:b w:val="0"/>
                <w:noProof/>
                <w:sz w:val="22"/>
                <w:lang w:eastAsia="en-AU"/>
              </w:rPr>
              <w:tab/>
            </w:r>
            <w:r w:rsidR="0038631B" w:rsidRPr="00C43B49">
              <w:rPr>
                <w:rStyle w:val="Hyperlink"/>
                <w:noProof/>
              </w:rPr>
              <w:t>Clinical questions</w:t>
            </w:r>
            <w:r w:rsidR="0038631B">
              <w:rPr>
                <w:noProof/>
                <w:webHidden/>
              </w:rPr>
              <w:tab/>
            </w:r>
            <w:r w:rsidR="0038631B">
              <w:rPr>
                <w:noProof/>
                <w:webHidden/>
              </w:rPr>
              <w:fldChar w:fldCharType="begin"/>
            </w:r>
            <w:r w:rsidR="0038631B">
              <w:rPr>
                <w:noProof/>
                <w:webHidden/>
              </w:rPr>
              <w:instrText xml:space="preserve"> PAGEREF _Toc384108964 \h </w:instrText>
            </w:r>
            <w:r w:rsidR="0038631B">
              <w:rPr>
                <w:noProof/>
                <w:webHidden/>
              </w:rPr>
            </w:r>
            <w:r w:rsidR="0038631B">
              <w:rPr>
                <w:noProof/>
                <w:webHidden/>
              </w:rPr>
              <w:fldChar w:fldCharType="separate"/>
            </w:r>
            <w:r w:rsidR="0038631B">
              <w:rPr>
                <w:noProof/>
                <w:webHidden/>
              </w:rPr>
              <w:t>59</w:t>
            </w:r>
            <w:r w:rsidR="0038631B">
              <w:rPr>
                <w:noProof/>
                <w:webHidden/>
              </w:rPr>
              <w:fldChar w:fldCharType="end"/>
            </w:r>
          </w:hyperlink>
        </w:p>
        <w:p w:rsidR="0038631B" w:rsidRDefault="00EE1C08">
          <w:pPr>
            <w:pStyle w:val="TOC2"/>
            <w:tabs>
              <w:tab w:val="left" w:pos="1320"/>
            </w:tabs>
            <w:rPr>
              <w:rFonts w:asciiTheme="minorHAnsi" w:eastAsiaTheme="minorEastAsia" w:hAnsiTheme="minorHAnsi" w:cstheme="minorBidi"/>
              <w:b w:val="0"/>
              <w:noProof/>
              <w:sz w:val="22"/>
              <w:lang w:eastAsia="en-AU"/>
            </w:rPr>
          </w:pPr>
          <w:hyperlink w:anchor="_Toc384108965" w:history="1">
            <w:r w:rsidR="0038631B" w:rsidRPr="00C43B49">
              <w:rPr>
                <w:rStyle w:val="Hyperlink"/>
                <w:noProof/>
              </w:rPr>
              <w:t>11.</w:t>
            </w:r>
            <w:r w:rsidR="0038631B">
              <w:rPr>
                <w:rFonts w:asciiTheme="minorHAnsi" w:eastAsiaTheme="minorEastAsia" w:hAnsiTheme="minorHAnsi" w:cstheme="minorBidi"/>
                <w:b w:val="0"/>
                <w:noProof/>
                <w:sz w:val="22"/>
                <w:lang w:eastAsia="en-AU"/>
              </w:rPr>
              <w:tab/>
            </w:r>
            <w:r w:rsidR="0038631B" w:rsidRPr="00C43B49">
              <w:rPr>
                <w:rStyle w:val="Hyperlink"/>
                <w:noProof/>
              </w:rPr>
              <w:t>Second round evaluation of clinical data submitted in response to questions</w:t>
            </w:r>
            <w:r w:rsidR="0038631B">
              <w:rPr>
                <w:noProof/>
                <w:webHidden/>
              </w:rPr>
              <w:tab/>
            </w:r>
            <w:r w:rsidR="0038631B">
              <w:rPr>
                <w:noProof/>
                <w:webHidden/>
              </w:rPr>
              <w:fldChar w:fldCharType="begin"/>
            </w:r>
            <w:r w:rsidR="0038631B">
              <w:rPr>
                <w:noProof/>
                <w:webHidden/>
              </w:rPr>
              <w:instrText xml:space="preserve"> PAGEREF _Toc384108965 \h </w:instrText>
            </w:r>
            <w:r w:rsidR="0038631B">
              <w:rPr>
                <w:noProof/>
                <w:webHidden/>
              </w:rPr>
            </w:r>
            <w:r w:rsidR="0038631B">
              <w:rPr>
                <w:noProof/>
                <w:webHidden/>
              </w:rPr>
              <w:fldChar w:fldCharType="separate"/>
            </w:r>
            <w:r w:rsidR="0038631B">
              <w:rPr>
                <w:noProof/>
                <w:webHidden/>
              </w:rPr>
              <w:t>59</w:t>
            </w:r>
            <w:r w:rsidR="0038631B">
              <w:rPr>
                <w:noProof/>
                <w:webHidden/>
              </w:rPr>
              <w:fldChar w:fldCharType="end"/>
            </w:r>
          </w:hyperlink>
        </w:p>
        <w:p w:rsidR="0038631B" w:rsidRDefault="00EE1C08">
          <w:pPr>
            <w:pStyle w:val="TOC2"/>
            <w:tabs>
              <w:tab w:val="left" w:pos="1320"/>
            </w:tabs>
            <w:rPr>
              <w:rFonts w:asciiTheme="minorHAnsi" w:eastAsiaTheme="minorEastAsia" w:hAnsiTheme="minorHAnsi" w:cstheme="minorBidi"/>
              <w:b w:val="0"/>
              <w:noProof/>
              <w:sz w:val="22"/>
              <w:lang w:eastAsia="en-AU"/>
            </w:rPr>
          </w:pPr>
          <w:hyperlink w:anchor="_Toc384108966" w:history="1">
            <w:r w:rsidR="0038631B" w:rsidRPr="00C43B49">
              <w:rPr>
                <w:rStyle w:val="Hyperlink"/>
                <w:noProof/>
              </w:rPr>
              <w:t>12.</w:t>
            </w:r>
            <w:r w:rsidR="0038631B">
              <w:rPr>
                <w:rFonts w:asciiTheme="minorHAnsi" w:eastAsiaTheme="minorEastAsia" w:hAnsiTheme="minorHAnsi" w:cstheme="minorBidi"/>
                <w:b w:val="0"/>
                <w:noProof/>
                <w:sz w:val="22"/>
                <w:lang w:eastAsia="en-AU"/>
              </w:rPr>
              <w:tab/>
            </w:r>
            <w:r w:rsidR="0038631B" w:rsidRPr="00C43B49">
              <w:rPr>
                <w:rStyle w:val="Hyperlink"/>
                <w:noProof/>
              </w:rPr>
              <w:t>Second round benefit-risk assessment</w:t>
            </w:r>
            <w:r w:rsidR="0038631B">
              <w:rPr>
                <w:noProof/>
                <w:webHidden/>
              </w:rPr>
              <w:tab/>
            </w:r>
            <w:r w:rsidR="0038631B">
              <w:rPr>
                <w:noProof/>
                <w:webHidden/>
              </w:rPr>
              <w:fldChar w:fldCharType="begin"/>
            </w:r>
            <w:r w:rsidR="0038631B">
              <w:rPr>
                <w:noProof/>
                <w:webHidden/>
              </w:rPr>
              <w:instrText xml:space="preserve"> PAGEREF _Toc384108966 \h </w:instrText>
            </w:r>
            <w:r w:rsidR="0038631B">
              <w:rPr>
                <w:noProof/>
                <w:webHidden/>
              </w:rPr>
            </w:r>
            <w:r w:rsidR="0038631B">
              <w:rPr>
                <w:noProof/>
                <w:webHidden/>
              </w:rPr>
              <w:fldChar w:fldCharType="separate"/>
            </w:r>
            <w:r w:rsidR="0038631B">
              <w:rPr>
                <w:noProof/>
                <w:webHidden/>
              </w:rPr>
              <w:t>59</w:t>
            </w:r>
            <w:r w:rsidR="0038631B">
              <w:rPr>
                <w:noProof/>
                <w:webHidden/>
              </w:rPr>
              <w:fldChar w:fldCharType="end"/>
            </w:r>
          </w:hyperlink>
        </w:p>
        <w:p w:rsidR="0038631B" w:rsidRDefault="00EE1C08">
          <w:pPr>
            <w:pStyle w:val="TOC2"/>
            <w:tabs>
              <w:tab w:val="left" w:pos="1320"/>
            </w:tabs>
            <w:rPr>
              <w:rFonts w:asciiTheme="minorHAnsi" w:eastAsiaTheme="minorEastAsia" w:hAnsiTheme="minorHAnsi" w:cstheme="minorBidi"/>
              <w:b w:val="0"/>
              <w:noProof/>
              <w:sz w:val="22"/>
              <w:lang w:eastAsia="en-AU"/>
            </w:rPr>
          </w:pPr>
          <w:hyperlink w:anchor="_Toc384108967" w:history="1">
            <w:r w:rsidR="0038631B" w:rsidRPr="00C43B49">
              <w:rPr>
                <w:rStyle w:val="Hyperlink"/>
                <w:noProof/>
              </w:rPr>
              <w:t>13.</w:t>
            </w:r>
            <w:r w:rsidR="0038631B">
              <w:rPr>
                <w:rFonts w:asciiTheme="minorHAnsi" w:eastAsiaTheme="minorEastAsia" w:hAnsiTheme="minorHAnsi" w:cstheme="minorBidi"/>
                <w:b w:val="0"/>
                <w:noProof/>
                <w:sz w:val="22"/>
                <w:lang w:eastAsia="en-AU"/>
              </w:rPr>
              <w:tab/>
            </w:r>
            <w:r w:rsidR="0038631B" w:rsidRPr="00C43B49">
              <w:rPr>
                <w:rStyle w:val="Hyperlink"/>
                <w:noProof/>
              </w:rPr>
              <w:t>Second round recommendation regarding authorisation</w:t>
            </w:r>
            <w:r w:rsidR="0038631B">
              <w:rPr>
                <w:noProof/>
                <w:webHidden/>
              </w:rPr>
              <w:tab/>
            </w:r>
            <w:r w:rsidR="0038631B">
              <w:rPr>
                <w:noProof/>
                <w:webHidden/>
              </w:rPr>
              <w:fldChar w:fldCharType="begin"/>
            </w:r>
            <w:r w:rsidR="0038631B">
              <w:rPr>
                <w:noProof/>
                <w:webHidden/>
              </w:rPr>
              <w:instrText xml:space="preserve"> PAGEREF _Toc384108967 \h </w:instrText>
            </w:r>
            <w:r w:rsidR="0038631B">
              <w:rPr>
                <w:noProof/>
                <w:webHidden/>
              </w:rPr>
            </w:r>
            <w:r w:rsidR="0038631B">
              <w:rPr>
                <w:noProof/>
                <w:webHidden/>
              </w:rPr>
              <w:fldChar w:fldCharType="separate"/>
            </w:r>
            <w:r w:rsidR="0038631B">
              <w:rPr>
                <w:noProof/>
                <w:webHidden/>
              </w:rPr>
              <w:t>59</w:t>
            </w:r>
            <w:r w:rsidR="0038631B">
              <w:rPr>
                <w:noProof/>
                <w:webHidden/>
              </w:rPr>
              <w:fldChar w:fldCharType="end"/>
            </w:r>
          </w:hyperlink>
        </w:p>
        <w:p w:rsidR="0038631B" w:rsidRDefault="00EE1C08">
          <w:pPr>
            <w:pStyle w:val="TOC2"/>
            <w:tabs>
              <w:tab w:val="left" w:pos="1320"/>
            </w:tabs>
            <w:rPr>
              <w:rFonts w:asciiTheme="minorHAnsi" w:eastAsiaTheme="minorEastAsia" w:hAnsiTheme="minorHAnsi" w:cstheme="minorBidi"/>
              <w:b w:val="0"/>
              <w:noProof/>
              <w:sz w:val="22"/>
              <w:lang w:eastAsia="en-AU"/>
            </w:rPr>
          </w:pPr>
          <w:hyperlink w:anchor="_Toc384108968" w:history="1">
            <w:r w:rsidR="0038631B" w:rsidRPr="00C43B49">
              <w:rPr>
                <w:rStyle w:val="Hyperlink"/>
                <w:noProof/>
              </w:rPr>
              <w:t>14.</w:t>
            </w:r>
            <w:r w:rsidR="0038631B">
              <w:rPr>
                <w:rFonts w:asciiTheme="minorHAnsi" w:eastAsiaTheme="minorEastAsia" w:hAnsiTheme="minorHAnsi" w:cstheme="minorBidi"/>
                <w:b w:val="0"/>
                <w:noProof/>
                <w:sz w:val="22"/>
                <w:lang w:eastAsia="en-AU"/>
              </w:rPr>
              <w:tab/>
            </w:r>
            <w:r w:rsidR="0038631B" w:rsidRPr="00C43B49">
              <w:rPr>
                <w:rStyle w:val="Hyperlink"/>
                <w:noProof/>
              </w:rPr>
              <w:t>Appendix 1: Additional tables</w:t>
            </w:r>
            <w:r w:rsidR="0038631B">
              <w:rPr>
                <w:noProof/>
                <w:webHidden/>
              </w:rPr>
              <w:tab/>
            </w:r>
            <w:r w:rsidR="0038631B">
              <w:rPr>
                <w:noProof/>
                <w:webHidden/>
              </w:rPr>
              <w:fldChar w:fldCharType="begin"/>
            </w:r>
            <w:r w:rsidR="0038631B">
              <w:rPr>
                <w:noProof/>
                <w:webHidden/>
              </w:rPr>
              <w:instrText xml:space="preserve"> PAGEREF _Toc384108968 \h </w:instrText>
            </w:r>
            <w:r w:rsidR="0038631B">
              <w:rPr>
                <w:noProof/>
                <w:webHidden/>
              </w:rPr>
            </w:r>
            <w:r w:rsidR="0038631B">
              <w:rPr>
                <w:noProof/>
                <w:webHidden/>
              </w:rPr>
              <w:fldChar w:fldCharType="separate"/>
            </w:r>
            <w:r w:rsidR="0038631B">
              <w:rPr>
                <w:noProof/>
                <w:webHidden/>
              </w:rPr>
              <w:t>59</w:t>
            </w:r>
            <w:r w:rsidR="0038631B">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BA4D14" w:rsidRDefault="00BA4D14">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38410893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396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586F98"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Pr="00072313" w:rsidRDefault="005D3650" w:rsidP="00072313">
            <w:r w:rsidRPr="00072313">
              <w:t>ADA</w:t>
            </w:r>
          </w:p>
        </w:tc>
        <w:tc>
          <w:tcPr>
            <w:tcW w:w="6911" w:type="dxa"/>
          </w:tcPr>
          <w:p w:rsidR="00586F98"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American Diabetes Association</w:t>
            </w:r>
          </w:p>
        </w:tc>
      </w:tr>
      <w:tr w:rsidR="00072313" w:rsidTr="000A63AF">
        <w:tc>
          <w:tcPr>
            <w:cnfStyle w:val="001000000000" w:firstRow="0" w:lastRow="0" w:firstColumn="1" w:lastColumn="0" w:oddVBand="0" w:evenVBand="0" w:oddHBand="0" w:evenHBand="0" w:firstRowFirstColumn="0" w:firstRowLastColumn="0" w:lastRowFirstColumn="0" w:lastRowLastColumn="0"/>
            <w:tcW w:w="1809" w:type="dxa"/>
          </w:tcPr>
          <w:p w:rsidR="00072313" w:rsidRPr="00072313" w:rsidRDefault="00072313" w:rsidP="00072313">
            <w:r w:rsidRPr="00072313">
              <w:t>AE</w:t>
            </w:r>
          </w:p>
        </w:tc>
        <w:tc>
          <w:tcPr>
            <w:tcW w:w="6911" w:type="dxa"/>
          </w:tcPr>
          <w:p w:rsidR="00072313"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Adverse event</w:t>
            </w:r>
          </w:p>
        </w:tc>
      </w:tr>
      <w:tr w:rsidR="00072313" w:rsidTr="000A63AF">
        <w:tc>
          <w:tcPr>
            <w:cnfStyle w:val="001000000000" w:firstRow="0" w:lastRow="0" w:firstColumn="1" w:lastColumn="0" w:oddVBand="0" w:evenVBand="0" w:oddHBand="0" w:evenHBand="0" w:firstRowFirstColumn="0" w:firstRowLastColumn="0" w:lastRowFirstColumn="0" w:lastRowLastColumn="0"/>
            <w:tcW w:w="1809" w:type="dxa"/>
          </w:tcPr>
          <w:p w:rsidR="00072313" w:rsidRPr="00072313" w:rsidRDefault="00072313" w:rsidP="00072313">
            <w:r w:rsidRPr="00072313">
              <w:t>ALP</w:t>
            </w:r>
          </w:p>
        </w:tc>
        <w:tc>
          <w:tcPr>
            <w:tcW w:w="6911" w:type="dxa"/>
          </w:tcPr>
          <w:p w:rsidR="00072313"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Alkaline phosphatase</w:t>
            </w:r>
          </w:p>
        </w:tc>
      </w:tr>
      <w:tr w:rsidR="00072313" w:rsidTr="000A63AF">
        <w:tc>
          <w:tcPr>
            <w:cnfStyle w:val="001000000000" w:firstRow="0" w:lastRow="0" w:firstColumn="1" w:lastColumn="0" w:oddVBand="0" w:evenVBand="0" w:oddHBand="0" w:evenHBand="0" w:firstRowFirstColumn="0" w:firstRowLastColumn="0" w:lastRowFirstColumn="0" w:lastRowLastColumn="0"/>
            <w:tcW w:w="1809" w:type="dxa"/>
          </w:tcPr>
          <w:p w:rsidR="00072313" w:rsidRPr="00072313" w:rsidRDefault="00072313" w:rsidP="00072313">
            <w:r w:rsidRPr="00072313">
              <w:t>ALT</w:t>
            </w:r>
          </w:p>
        </w:tc>
        <w:tc>
          <w:tcPr>
            <w:tcW w:w="6911" w:type="dxa"/>
          </w:tcPr>
          <w:p w:rsidR="00072313"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Alanine aminotransferase</w:t>
            </w:r>
          </w:p>
        </w:tc>
      </w:tr>
      <w:tr w:rsidR="00072313" w:rsidTr="000A63AF">
        <w:tc>
          <w:tcPr>
            <w:cnfStyle w:val="001000000000" w:firstRow="0" w:lastRow="0" w:firstColumn="1" w:lastColumn="0" w:oddVBand="0" w:evenVBand="0" w:oddHBand="0" w:evenHBand="0" w:firstRowFirstColumn="0" w:firstRowLastColumn="0" w:lastRowFirstColumn="0" w:lastRowLastColumn="0"/>
            <w:tcW w:w="1809" w:type="dxa"/>
          </w:tcPr>
          <w:p w:rsidR="00072313" w:rsidRPr="00072313" w:rsidRDefault="00072313" w:rsidP="00072313">
            <w:r w:rsidRPr="00072313">
              <w:t>ANCOVA</w:t>
            </w:r>
          </w:p>
        </w:tc>
        <w:tc>
          <w:tcPr>
            <w:tcW w:w="6911" w:type="dxa"/>
          </w:tcPr>
          <w:p w:rsidR="00072313"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Analysis of covariance</w:t>
            </w:r>
          </w:p>
        </w:tc>
      </w:tr>
      <w:tr w:rsidR="00072313" w:rsidTr="000A63AF">
        <w:tc>
          <w:tcPr>
            <w:cnfStyle w:val="001000000000" w:firstRow="0" w:lastRow="0" w:firstColumn="1" w:lastColumn="0" w:oddVBand="0" w:evenVBand="0" w:oddHBand="0" w:evenHBand="0" w:firstRowFirstColumn="0" w:firstRowLastColumn="0" w:lastRowFirstColumn="0" w:lastRowLastColumn="0"/>
            <w:tcW w:w="1809" w:type="dxa"/>
          </w:tcPr>
          <w:p w:rsidR="00072313" w:rsidRPr="00072313" w:rsidRDefault="00072313" w:rsidP="00072313">
            <w:r w:rsidRPr="00072313">
              <w:t>AUC</w:t>
            </w:r>
            <w:r w:rsidRPr="00072313">
              <w:rPr>
                <w:vertAlign w:val="subscript"/>
              </w:rPr>
              <w:t>0–24</w:t>
            </w:r>
          </w:p>
        </w:tc>
        <w:tc>
          <w:tcPr>
            <w:tcW w:w="6911" w:type="dxa"/>
          </w:tcPr>
          <w:p w:rsidR="00072313"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Area under the serum concentration–time curve from time 0 to 24 hours</w:t>
            </w:r>
          </w:p>
        </w:tc>
      </w:tr>
      <w:tr w:rsidR="00072313" w:rsidTr="000A63AF">
        <w:tc>
          <w:tcPr>
            <w:cnfStyle w:val="001000000000" w:firstRow="0" w:lastRow="0" w:firstColumn="1" w:lastColumn="0" w:oddVBand="0" w:evenVBand="0" w:oddHBand="0" w:evenHBand="0" w:firstRowFirstColumn="0" w:firstRowLastColumn="0" w:lastRowFirstColumn="0" w:lastRowLastColumn="0"/>
            <w:tcW w:w="1809" w:type="dxa"/>
          </w:tcPr>
          <w:p w:rsidR="00072313" w:rsidRPr="00072313" w:rsidRDefault="00072313" w:rsidP="00072313">
            <w:r w:rsidRPr="00072313">
              <w:t>AUC</w:t>
            </w:r>
            <w:r w:rsidRPr="00072313">
              <w:rPr>
                <w:vertAlign w:val="subscript"/>
              </w:rPr>
              <w:t>GIR,0–24</w:t>
            </w:r>
          </w:p>
        </w:tc>
        <w:tc>
          <w:tcPr>
            <w:tcW w:w="6911" w:type="dxa"/>
          </w:tcPr>
          <w:p w:rsidR="00072313"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Area under the glucose infusion rate curve from time 0 to 24 hours</w:t>
            </w:r>
          </w:p>
        </w:tc>
      </w:tr>
      <w:tr w:rsidR="00072313" w:rsidTr="000A63AF">
        <w:tc>
          <w:tcPr>
            <w:cnfStyle w:val="001000000000" w:firstRow="0" w:lastRow="0" w:firstColumn="1" w:lastColumn="0" w:oddVBand="0" w:evenVBand="0" w:oddHBand="0" w:evenHBand="0" w:firstRowFirstColumn="0" w:firstRowLastColumn="0" w:lastRowFirstColumn="0" w:lastRowLastColumn="0"/>
            <w:tcW w:w="1809" w:type="dxa"/>
          </w:tcPr>
          <w:p w:rsidR="00072313" w:rsidRPr="00072313" w:rsidRDefault="00072313" w:rsidP="00072313">
            <w:r w:rsidRPr="00072313">
              <w:t>B/T%</w:t>
            </w:r>
          </w:p>
        </w:tc>
        <w:tc>
          <w:tcPr>
            <w:tcW w:w="6911" w:type="dxa"/>
          </w:tcPr>
          <w:p w:rsidR="00072313"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Percentage of bound antibodies versus total antibody level</w:t>
            </w:r>
          </w:p>
        </w:tc>
      </w:tr>
      <w:tr w:rsidR="00072313" w:rsidTr="000A63AF">
        <w:tc>
          <w:tcPr>
            <w:cnfStyle w:val="001000000000" w:firstRow="0" w:lastRow="0" w:firstColumn="1" w:lastColumn="0" w:oddVBand="0" w:evenVBand="0" w:oddHBand="0" w:evenHBand="0" w:firstRowFirstColumn="0" w:firstRowLastColumn="0" w:lastRowFirstColumn="0" w:lastRowLastColumn="0"/>
            <w:tcW w:w="1809" w:type="dxa"/>
          </w:tcPr>
          <w:p w:rsidR="00072313" w:rsidRPr="00072313" w:rsidRDefault="00072313" w:rsidP="00072313">
            <w:r w:rsidRPr="00072313">
              <w:t>CCDS</w:t>
            </w:r>
          </w:p>
        </w:tc>
        <w:tc>
          <w:tcPr>
            <w:tcW w:w="6911" w:type="dxa"/>
          </w:tcPr>
          <w:p w:rsidR="00072313"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Core Company Data Sheet</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072313" w:rsidP="00072313">
            <w:r w:rsidRPr="00072313">
              <w:t>CI</w:t>
            </w:r>
          </w:p>
        </w:tc>
        <w:tc>
          <w:tcPr>
            <w:tcW w:w="6911" w:type="dxa"/>
          </w:tcPr>
          <w:p w:rsidR="00E3564D"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Confidence interval</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072313" w:rsidP="00072313">
            <w:proofErr w:type="spellStart"/>
            <w:r w:rsidRPr="00072313">
              <w:t>C</w:t>
            </w:r>
            <w:r w:rsidRPr="00072313">
              <w:rPr>
                <w:vertAlign w:val="subscript"/>
              </w:rPr>
              <w:t>max</w:t>
            </w:r>
            <w:proofErr w:type="spellEnd"/>
          </w:p>
        </w:tc>
        <w:tc>
          <w:tcPr>
            <w:tcW w:w="6911" w:type="dxa"/>
          </w:tcPr>
          <w:p w:rsidR="00E3564D"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Maximum concentration</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072313" w:rsidP="00072313">
            <w:r w:rsidRPr="00072313">
              <w:t>CTR</w:t>
            </w:r>
          </w:p>
        </w:tc>
        <w:tc>
          <w:tcPr>
            <w:tcW w:w="6911" w:type="dxa"/>
          </w:tcPr>
          <w:p w:rsidR="00E3564D"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Clinical trial report</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072313" w:rsidP="00072313">
            <w:r w:rsidRPr="00072313">
              <w:t>DAE</w:t>
            </w:r>
          </w:p>
        </w:tc>
        <w:tc>
          <w:tcPr>
            <w:tcW w:w="6911" w:type="dxa"/>
          </w:tcPr>
          <w:p w:rsidR="00E3564D"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Adverse event leading to discontinuation</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072313" w:rsidP="00072313">
            <w:r w:rsidRPr="00072313">
              <w:t>DBP</w:t>
            </w:r>
          </w:p>
        </w:tc>
        <w:tc>
          <w:tcPr>
            <w:tcW w:w="6911" w:type="dxa"/>
          </w:tcPr>
          <w:p w:rsidR="00E3564D" w:rsidRPr="00072313" w:rsidRDefault="00072313" w:rsidP="00072313">
            <w:pPr>
              <w:cnfStyle w:val="000000000000" w:firstRow="0" w:lastRow="0" w:firstColumn="0" w:lastColumn="0" w:oddVBand="0" w:evenVBand="0" w:oddHBand="0" w:evenHBand="0" w:firstRowFirstColumn="0" w:firstRowLastColumn="0" w:lastRowFirstColumn="0" w:lastRowLastColumn="0"/>
            </w:pPr>
            <w:r w:rsidRPr="00072313">
              <w:t>Diastolic blood pressure</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072313" w:rsidP="00072313">
            <w:r w:rsidRPr="00072313">
              <w:t>EMA</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European Medicines Agency</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FAS</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Full analysis set</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proofErr w:type="spellStart"/>
            <w:r w:rsidRPr="00072313">
              <w:t>FAS</w:t>
            </w:r>
            <w:r w:rsidRPr="00072313">
              <w:rPr>
                <w:vertAlign w:val="subscript"/>
              </w:rPr>
              <w:t>Pregnan</w:t>
            </w:r>
            <w:r w:rsidR="00072313" w:rsidRPr="00072313">
              <w:rPr>
                <w:vertAlign w:val="subscript"/>
              </w:rPr>
              <w:t>t</w:t>
            </w:r>
            <w:proofErr w:type="spellEnd"/>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FAS for pregnant subjects</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FFA</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Free fatty acid</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FPG</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Fasting plasma glucose</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GIR</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Glucose infusion rate</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proofErr w:type="spellStart"/>
            <w:r w:rsidRPr="00072313">
              <w:t>GIR</w:t>
            </w:r>
            <w:r w:rsidRPr="00072313">
              <w:rPr>
                <w:vertAlign w:val="subscript"/>
              </w:rPr>
              <w:t>max</w:t>
            </w:r>
            <w:proofErr w:type="spellEnd"/>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Maximum glucose infusion rate</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GW</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Gestation week</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h</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Hour</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HbA1c</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Glycosylated haemoglobin</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lastRenderedPageBreak/>
              <w:t>HDL-C</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High density lipoprotein cholesterol</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HOMA</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Homeostasis model assessment</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HOMA-B</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HOMA index of beta-cell function</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HOMA-IR</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HOMA index of insulin resistance</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IDF</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International Diabetes Federation</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IV/WRS</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Interactive Voice/Web Response System</w:t>
            </w:r>
          </w:p>
        </w:tc>
      </w:tr>
      <w:tr w:rsid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LDL-C</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Low density lipoprotein cholesterol</w:t>
            </w:r>
          </w:p>
        </w:tc>
      </w:tr>
      <w:tr w:rsidR="00E3564D"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072313" w:rsidRDefault="00E3564D" w:rsidP="00072313">
            <w:r w:rsidRPr="00072313">
              <w:t>LOCF</w:t>
            </w:r>
          </w:p>
        </w:tc>
        <w:tc>
          <w:tcPr>
            <w:tcW w:w="6911" w:type="dxa"/>
          </w:tcPr>
          <w:p w:rsidR="00E3564D" w:rsidRPr="00072313" w:rsidRDefault="00E3564D" w:rsidP="00072313">
            <w:pPr>
              <w:cnfStyle w:val="000000000000" w:firstRow="0" w:lastRow="0" w:firstColumn="0" w:lastColumn="0" w:oddVBand="0" w:evenVBand="0" w:oddHBand="0" w:evenHBand="0" w:firstRowFirstColumn="0" w:firstRowLastColumn="0" w:lastRowFirstColumn="0" w:lastRowLastColumn="0"/>
            </w:pPr>
            <w:r w:rsidRPr="00072313">
              <w:t>Last observation carried forwards</w:t>
            </w:r>
          </w:p>
        </w:tc>
      </w:tr>
      <w:tr w:rsidR="00E3564D"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E3564D" w:rsidRDefault="00E3564D" w:rsidP="00E3564D">
            <w:r w:rsidRPr="00E3564D">
              <w:t>LS Mean</w:t>
            </w:r>
          </w:p>
        </w:tc>
        <w:tc>
          <w:tcPr>
            <w:tcW w:w="6911" w:type="dxa"/>
          </w:tcPr>
          <w:p w:rsidR="00E3564D"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Least-square mean</w:t>
            </w:r>
          </w:p>
        </w:tc>
      </w:tr>
      <w:tr w:rsidR="00E3564D"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E3564D" w:rsidRDefault="00E3564D" w:rsidP="00E3564D">
            <w:r w:rsidRPr="00E3564D">
              <w:t>MAA</w:t>
            </w:r>
          </w:p>
        </w:tc>
        <w:tc>
          <w:tcPr>
            <w:tcW w:w="6911" w:type="dxa"/>
          </w:tcPr>
          <w:p w:rsidR="00E3564D"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Marketing Authorisation Application</w:t>
            </w:r>
          </w:p>
        </w:tc>
      </w:tr>
      <w:tr w:rsidR="00E3564D"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E3564D" w:rsidRDefault="00E3564D" w:rsidP="00E3564D">
            <w:r w:rsidRPr="00E3564D">
              <w:t>MESI</w:t>
            </w:r>
          </w:p>
        </w:tc>
        <w:tc>
          <w:tcPr>
            <w:tcW w:w="6911" w:type="dxa"/>
          </w:tcPr>
          <w:p w:rsidR="00E3564D"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Medical event of special interest</w:t>
            </w:r>
          </w:p>
        </w:tc>
      </w:tr>
      <w:tr w:rsidR="00E3564D"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E3564D" w:rsidRDefault="00E3564D" w:rsidP="00E3564D">
            <w:r w:rsidRPr="00E3564D">
              <w:t>NPH</w:t>
            </w:r>
          </w:p>
        </w:tc>
        <w:tc>
          <w:tcPr>
            <w:tcW w:w="6911" w:type="dxa"/>
          </w:tcPr>
          <w:p w:rsidR="00E3564D"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 xml:space="preserve">Neutral Protamine </w:t>
            </w:r>
            <w:proofErr w:type="spellStart"/>
            <w:r w:rsidRPr="00E3564D">
              <w:t>Hagedorn</w:t>
            </w:r>
            <w:proofErr w:type="spellEnd"/>
          </w:p>
        </w:tc>
      </w:tr>
      <w:tr w:rsidR="00E3564D"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E3564D" w:rsidRDefault="00E3564D" w:rsidP="00E3564D">
            <w:r w:rsidRPr="00E3564D">
              <w:t>OAD</w:t>
            </w:r>
          </w:p>
        </w:tc>
        <w:tc>
          <w:tcPr>
            <w:tcW w:w="6911" w:type="dxa"/>
          </w:tcPr>
          <w:p w:rsidR="00E3564D"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 xml:space="preserve">Oral </w:t>
            </w:r>
            <w:proofErr w:type="spellStart"/>
            <w:r w:rsidRPr="00E3564D">
              <w:t>antidiabetic</w:t>
            </w:r>
            <w:proofErr w:type="spellEnd"/>
            <w:r w:rsidRPr="00E3564D">
              <w:t xml:space="preserve"> drug</w:t>
            </w:r>
          </w:p>
        </w:tc>
      </w:tr>
      <w:tr w:rsidR="00E3564D"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E3564D" w:rsidRDefault="00E3564D" w:rsidP="00E3564D">
            <w:r w:rsidRPr="00E3564D">
              <w:t>PD</w:t>
            </w:r>
          </w:p>
        </w:tc>
        <w:tc>
          <w:tcPr>
            <w:tcW w:w="6911" w:type="dxa"/>
          </w:tcPr>
          <w:p w:rsidR="00E3564D" w:rsidRPr="00E3564D" w:rsidRDefault="00E3564D" w:rsidP="00E3564D">
            <w:pPr>
              <w:cnfStyle w:val="000000000000" w:firstRow="0" w:lastRow="0" w:firstColumn="0" w:lastColumn="0" w:oddVBand="0" w:evenVBand="0" w:oddHBand="0" w:evenHBand="0" w:firstRowFirstColumn="0" w:firstRowLastColumn="0" w:lastRowFirstColumn="0" w:lastRowLastColumn="0"/>
            </w:pPr>
            <w:proofErr w:type="spellStart"/>
            <w:r w:rsidRPr="00E3564D">
              <w:t>Pharmacodynamic</w:t>
            </w:r>
            <w:proofErr w:type="spellEnd"/>
            <w:r w:rsidRPr="00E3564D">
              <w:t>(s)</w:t>
            </w:r>
          </w:p>
        </w:tc>
      </w:tr>
      <w:tr w:rsidR="00E3564D"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E3564D" w:rsidRPr="00E3564D" w:rsidRDefault="00E3564D" w:rsidP="00E3564D">
            <w:r w:rsidRPr="00E3564D">
              <w:t>PG</w:t>
            </w:r>
          </w:p>
        </w:tc>
        <w:tc>
          <w:tcPr>
            <w:tcW w:w="6911" w:type="dxa"/>
          </w:tcPr>
          <w:p w:rsidR="00E3564D"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Plasma glucose</w:t>
            </w:r>
          </w:p>
        </w:tc>
      </w:tr>
      <w:tr w:rsidR="00AA6E3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AA6E30" w:rsidRPr="00E3564D" w:rsidRDefault="00E3564D" w:rsidP="00E3564D">
            <w:r w:rsidRPr="00E3564D">
              <w:t>PK</w:t>
            </w:r>
          </w:p>
        </w:tc>
        <w:tc>
          <w:tcPr>
            <w:tcW w:w="6911" w:type="dxa"/>
          </w:tcPr>
          <w:p w:rsidR="00AA6E30"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Pharmacokinetic(s)</w:t>
            </w:r>
          </w:p>
        </w:tc>
      </w:tr>
      <w:tr w:rsidR="00AA6E3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AA6E30" w:rsidRPr="00E3564D" w:rsidRDefault="00E3564D" w:rsidP="00E3564D">
            <w:proofErr w:type="spellStart"/>
            <w:r w:rsidRPr="00E3564D">
              <w:t>PP</w:t>
            </w:r>
            <w:r w:rsidRPr="00072313">
              <w:rPr>
                <w:vertAlign w:val="subscript"/>
              </w:rPr>
              <w:t>Pregnant</w:t>
            </w:r>
            <w:proofErr w:type="spellEnd"/>
          </w:p>
        </w:tc>
        <w:tc>
          <w:tcPr>
            <w:tcW w:w="6911" w:type="dxa"/>
          </w:tcPr>
          <w:p w:rsidR="00AA6E30"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Per-protocol data set for pregnant subjects</w:t>
            </w:r>
          </w:p>
        </w:tc>
      </w:tr>
      <w:tr w:rsidR="00AA6E3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AA6E30" w:rsidRPr="00E3564D" w:rsidRDefault="00E3564D" w:rsidP="00E3564D">
            <w:r w:rsidRPr="00E3564D">
              <w:t>RPM</w:t>
            </w:r>
          </w:p>
        </w:tc>
        <w:tc>
          <w:tcPr>
            <w:tcW w:w="6911" w:type="dxa"/>
          </w:tcPr>
          <w:p w:rsidR="00AA6E30"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Repeated-measurement</w:t>
            </w:r>
          </w:p>
        </w:tc>
      </w:tr>
      <w:tr w:rsidR="00AA6E3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AA6E30" w:rsidRPr="00E3564D" w:rsidRDefault="00E3564D" w:rsidP="00E3564D">
            <w:r w:rsidRPr="00E3564D">
              <w:t>SAE</w:t>
            </w:r>
          </w:p>
        </w:tc>
        <w:tc>
          <w:tcPr>
            <w:tcW w:w="6911" w:type="dxa"/>
          </w:tcPr>
          <w:p w:rsidR="00AA6E30"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Serious adverse event</w:t>
            </w:r>
          </w:p>
        </w:tc>
      </w:tr>
      <w:tr w:rsidR="00AA6E3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AA6E30" w:rsidRPr="00E3564D" w:rsidRDefault="00664060" w:rsidP="00E3564D">
            <w:r w:rsidRPr="00E3564D">
              <w:t>SAS</w:t>
            </w:r>
          </w:p>
        </w:tc>
        <w:tc>
          <w:tcPr>
            <w:tcW w:w="6911" w:type="dxa"/>
          </w:tcPr>
          <w:p w:rsidR="00AA6E30"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S</w:t>
            </w:r>
            <w:r w:rsidR="00664060" w:rsidRPr="00E3564D">
              <w:t>afety analysis set</w:t>
            </w:r>
          </w:p>
        </w:tc>
      </w:tr>
      <w:tr w:rsidR="00AA6E3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AA6E30" w:rsidRPr="00E3564D" w:rsidRDefault="00664060" w:rsidP="00E3564D">
            <w:r w:rsidRPr="00E3564D">
              <w:t>SBP</w:t>
            </w:r>
          </w:p>
        </w:tc>
        <w:tc>
          <w:tcPr>
            <w:tcW w:w="6911" w:type="dxa"/>
          </w:tcPr>
          <w:p w:rsidR="00AA6E30"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S</w:t>
            </w:r>
            <w:r w:rsidR="00664060" w:rsidRPr="00E3564D">
              <w:t>ystolic blood pressure</w:t>
            </w:r>
          </w:p>
        </w:tc>
      </w:tr>
      <w:tr w:rsidR="00AA6E3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AA6E30" w:rsidRPr="00E3564D" w:rsidRDefault="00664060" w:rsidP="00E3564D">
            <w:r w:rsidRPr="00E3564D">
              <w:t>SMPG</w:t>
            </w:r>
          </w:p>
        </w:tc>
        <w:tc>
          <w:tcPr>
            <w:tcW w:w="6911" w:type="dxa"/>
          </w:tcPr>
          <w:p w:rsidR="00AA6E30" w:rsidRPr="00E3564D" w:rsidRDefault="00E3564D" w:rsidP="00E3564D">
            <w:pPr>
              <w:cnfStyle w:val="000000000000" w:firstRow="0" w:lastRow="0" w:firstColumn="0" w:lastColumn="0" w:oddVBand="0" w:evenVBand="0" w:oddHBand="0" w:evenHBand="0" w:firstRowFirstColumn="0" w:firstRowLastColumn="0" w:lastRowFirstColumn="0" w:lastRowLastColumn="0"/>
            </w:pPr>
            <w:r w:rsidRPr="00E3564D">
              <w:t>S</w:t>
            </w:r>
            <w:r w:rsidR="00664060" w:rsidRPr="00E3564D">
              <w:t>elf-measured plasma glucose</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r w:rsidRPr="00E3564D">
              <w:t>SOC</w:t>
            </w:r>
          </w:p>
        </w:tc>
        <w:tc>
          <w:tcPr>
            <w:tcW w:w="6911" w:type="dxa"/>
          </w:tcPr>
          <w:p w:rsidR="005D3650" w:rsidRPr="00E3564D" w:rsidRDefault="00AA6E30" w:rsidP="00E3564D">
            <w:pPr>
              <w:cnfStyle w:val="000000000000" w:firstRow="0" w:lastRow="0" w:firstColumn="0" w:lastColumn="0" w:oddVBand="0" w:evenVBand="0" w:oddHBand="0" w:evenHBand="0" w:firstRowFirstColumn="0" w:firstRowLastColumn="0" w:lastRowFirstColumn="0" w:lastRowLastColumn="0"/>
            </w:pPr>
            <w:r w:rsidRPr="00E3564D">
              <w:t>S</w:t>
            </w:r>
            <w:r w:rsidR="005D3650" w:rsidRPr="00E3564D">
              <w:t>ystem organ class</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r w:rsidRPr="00E3564D">
              <w:t>t½</w:t>
            </w:r>
          </w:p>
        </w:tc>
        <w:tc>
          <w:tcPr>
            <w:tcW w:w="6911" w:type="dxa"/>
          </w:tcPr>
          <w:p w:rsidR="005D3650" w:rsidRPr="00E3564D" w:rsidRDefault="00AA6E30" w:rsidP="00E3564D">
            <w:pPr>
              <w:cnfStyle w:val="000000000000" w:firstRow="0" w:lastRow="0" w:firstColumn="0" w:lastColumn="0" w:oddVBand="0" w:evenVBand="0" w:oddHBand="0" w:evenHBand="0" w:firstRowFirstColumn="0" w:firstRowLastColumn="0" w:lastRowFirstColumn="0" w:lastRowLastColumn="0"/>
            </w:pPr>
            <w:r w:rsidRPr="00E3564D">
              <w:t>T</w:t>
            </w:r>
            <w:r w:rsidR="005D3650" w:rsidRPr="00E3564D">
              <w:t>erminal elimination half-life</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r w:rsidRPr="00E3564D">
              <w:t>TEAE</w:t>
            </w:r>
          </w:p>
        </w:tc>
        <w:tc>
          <w:tcPr>
            <w:tcW w:w="6911" w:type="dxa"/>
          </w:tcPr>
          <w:p w:rsidR="005D3650" w:rsidRPr="00E3564D" w:rsidRDefault="00AA6E30" w:rsidP="00E3564D">
            <w:pPr>
              <w:cnfStyle w:val="000000000000" w:firstRow="0" w:lastRow="0" w:firstColumn="0" w:lastColumn="0" w:oddVBand="0" w:evenVBand="0" w:oddHBand="0" w:evenHBand="0" w:firstRowFirstColumn="0" w:firstRowLastColumn="0" w:lastRowFirstColumn="0" w:lastRowLastColumn="0"/>
            </w:pPr>
            <w:r w:rsidRPr="00E3564D">
              <w:t>T</w:t>
            </w:r>
            <w:r w:rsidR="005D3650" w:rsidRPr="00E3564D">
              <w:t>reatment-emergent adverse event</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r w:rsidRPr="00E3564D">
              <w:lastRenderedPageBreak/>
              <w:t>TG</w:t>
            </w:r>
          </w:p>
        </w:tc>
        <w:tc>
          <w:tcPr>
            <w:tcW w:w="6911" w:type="dxa"/>
          </w:tcPr>
          <w:p w:rsidR="005D3650" w:rsidRPr="00E3564D" w:rsidRDefault="005D3650" w:rsidP="00E3564D">
            <w:pPr>
              <w:cnfStyle w:val="000000000000" w:firstRow="0" w:lastRow="0" w:firstColumn="0" w:lastColumn="0" w:oddVBand="0" w:evenVBand="0" w:oddHBand="0" w:evenHBand="0" w:firstRowFirstColumn="0" w:firstRowLastColumn="0" w:lastRowFirstColumn="0" w:lastRowLastColumn="0"/>
            </w:pPr>
            <w:r w:rsidRPr="00E3564D">
              <w:t>Triglycerides</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r w:rsidRPr="00E3564D">
              <w:t>T1DM</w:t>
            </w:r>
          </w:p>
        </w:tc>
        <w:tc>
          <w:tcPr>
            <w:tcW w:w="6911" w:type="dxa"/>
          </w:tcPr>
          <w:p w:rsidR="005D3650" w:rsidRPr="00E3564D" w:rsidRDefault="00AA6E30" w:rsidP="00E3564D">
            <w:pPr>
              <w:cnfStyle w:val="000000000000" w:firstRow="0" w:lastRow="0" w:firstColumn="0" w:lastColumn="0" w:oddVBand="0" w:evenVBand="0" w:oddHBand="0" w:evenHBand="0" w:firstRowFirstColumn="0" w:firstRowLastColumn="0" w:lastRowFirstColumn="0" w:lastRowLastColumn="0"/>
            </w:pPr>
            <w:r w:rsidRPr="00E3564D">
              <w:t>T</w:t>
            </w:r>
            <w:r w:rsidR="005D3650" w:rsidRPr="00E3564D">
              <w:t>ype 1 diabetes mellitus</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r w:rsidRPr="00E3564D">
              <w:t>T2DM</w:t>
            </w:r>
          </w:p>
        </w:tc>
        <w:tc>
          <w:tcPr>
            <w:tcW w:w="6911" w:type="dxa"/>
          </w:tcPr>
          <w:p w:rsidR="005D3650" w:rsidRPr="00E3564D" w:rsidRDefault="00AA6E30" w:rsidP="00E3564D">
            <w:pPr>
              <w:cnfStyle w:val="000000000000" w:firstRow="0" w:lastRow="0" w:firstColumn="0" w:lastColumn="0" w:oddVBand="0" w:evenVBand="0" w:oddHBand="0" w:evenHBand="0" w:firstRowFirstColumn="0" w:firstRowLastColumn="0" w:lastRowFirstColumn="0" w:lastRowLastColumn="0"/>
            </w:pPr>
            <w:r w:rsidRPr="00E3564D">
              <w:t>T</w:t>
            </w:r>
            <w:r w:rsidR="005D3650" w:rsidRPr="00E3564D">
              <w:t>ype 2 diabetes mellitus</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proofErr w:type="spellStart"/>
            <w:r w:rsidRPr="00E3564D">
              <w:t>t</w:t>
            </w:r>
            <w:r w:rsidRPr="00072313">
              <w:rPr>
                <w:vertAlign w:val="subscript"/>
              </w:rPr>
              <w:t>GIRmax</w:t>
            </w:r>
            <w:proofErr w:type="spellEnd"/>
          </w:p>
        </w:tc>
        <w:tc>
          <w:tcPr>
            <w:tcW w:w="6911" w:type="dxa"/>
          </w:tcPr>
          <w:p w:rsidR="005D3650" w:rsidRPr="00E3564D" w:rsidRDefault="00AA6E30" w:rsidP="00E3564D">
            <w:pPr>
              <w:cnfStyle w:val="000000000000" w:firstRow="0" w:lastRow="0" w:firstColumn="0" w:lastColumn="0" w:oddVBand="0" w:evenVBand="0" w:oddHBand="0" w:evenHBand="0" w:firstRowFirstColumn="0" w:firstRowLastColumn="0" w:lastRowFirstColumn="0" w:lastRowLastColumn="0"/>
            </w:pPr>
            <w:r w:rsidRPr="00E3564D">
              <w:t>T</w:t>
            </w:r>
            <w:r w:rsidR="005D3650" w:rsidRPr="00E3564D">
              <w:t>ime to maximal glucose infusion</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proofErr w:type="spellStart"/>
            <w:r w:rsidRPr="00E3564D">
              <w:t>t</w:t>
            </w:r>
            <w:r w:rsidRPr="00072313">
              <w:rPr>
                <w:vertAlign w:val="subscript"/>
              </w:rPr>
              <w:t>max</w:t>
            </w:r>
            <w:proofErr w:type="spellEnd"/>
          </w:p>
        </w:tc>
        <w:tc>
          <w:tcPr>
            <w:tcW w:w="6911" w:type="dxa"/>
          </w:tcPr>
          <w:p w:rsidR="005D3650" w:rsidRPr="00E3564D" w:rsidRDefault="00AA6E30" w:rsidP="00E3564D">
            <w:pPr>
              <w:cnfStyle w:val="000000000000" w:firstRow="0" w:lastRow="0" w:firstColumn="0" w:lastColumn="0" w:oddVBand="0" w:evenVBand="0" w:oddHBand="0" w:evenHBand="0" w:firstRowFirstColumn="0" w:firstRowLastColumn="0" w:lastRowFirstColumn="0" w:lastRowLastColumn="0"/>
            </w:pPr>
            <w:r w:rsidRPr="00E3564D">
              <w:t>T</w:t>
            </w:r>
            <w:r w:rsidR="005D3650" w:rsidRPr="00E3564D">
              <w:t>ime to maximal serum concentration</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r w:rsidRPr="00E3564D">
              <w:t>U</w:t>
            </w:r>
          </w:p>
        </w:tc>
        <w:tc>
          <w:tcPr>
            <w:tcW w:w="6911" w:type="dxa"/>
          </w:tcPr>
          <w:p w:rsidR="005D3650" w:rsidRPr="00E3564D" w:rsidRDefault="00AA6E30" w:rsidP="00E3564D">
            <w:pPr>
              <w:cnfStyle w:val="000000000000" w:firstRow="0" w:lastRow="0" w:firstColumn="0" w:lastColumn="0" w:oddVBand="0" w:evenVBand="0" w:oddHBand="0" w:evenHBand="0" w:firstRowFirstColumn="0" w:firstRowLastColumn="0" w:lastRowFirstColumn="0" w:lastRowLastColumn="0"/>
            </w:pPr>
            <w:r w:rsidRPr="00E3564D">
              <w:t>U</w:t>
            </w:r>
            <w:r w:rsidR="005D3650" w:rsidRPr="00E3564D">
              <w:t>nit(s)</w:t>
            </w:r>
          </w:p>
        </w:tc>
      </w:tr>
      <w:tr w:rsidR="005D3650"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D3650" w:rsidRPr="00E3564D" w:rsidRDefault="005D3650" w:rsidP="00E3564D">
            <w:r w:rsidRPr="00E3564D">
              <w:t>UNL</w:t>
            </w:r>
          </w:p>
        </w:tc>
        <w:tc>
          <w:tcPr>
            <w:tcW w:w="6911" w:type="dxa"/>
          </w:tcPr>
          <w:p w:rsidR="005D3650" w:rsidRPr="00E3564D" w:rsidRDefault="00AA6E30" w:rsidP="00E3564D">
            <w:pPr>
              <w:cnfStyle w:val="000000000000" w:firstRow="0" w:lastRow="0" w:firstColumn="0" w:lastColumn="0" w:oddVBand="0" w:evenVBand="0" w:oddHBand="0" w:evenHBand="0" w:firstRowFirstColumn="0" w:firstRowLastColumn="0" w:lastRowFirstColumn="0" w:lastRowLastColumn="0"/>
            </w:pPr>
            <w:r w:rsidRPr="00E3564D">
              <w:t>U</w:t>
            </w:r>
            <w:r w:rsidR="005D3650" w:rsidRPr="00E3564D">
              <w:t>pper normal limit</w:t>
            </w:r>
          </w:p>
        </w:tc>
      </w:tr>
      <w:tr w:rsidR="00586F98" w:rsidRPr="00E3564D"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Pr="00E3564D" w:rsidRDefault="005D3650" w:rsidP="00E3564D">
            <w:r w:rsidRPr="00E3564D">
              <w:t>VLDL-C</w:t>
            </w:r>
          </w:p>
        </w:tc>
        <w:tc>
          <w:tcPr>
            <w:tcW w:w="6911" w:type="dxa"/>
          </w:tcPr>
          <w:p w:rsidR="00396C92" w:rsidRPr="00E3564D" w:rsidRDefault="005D3650" w:rsidP="00E3564D">
            <w:pPr>
              <w:cnfStyle w:val="000000000000" w:firstRow="0" w:lastRow="0" w:firstColumn="0" w:lastColumn="0" w:oddVBand="0" w:evenVBand="0" w:oddHBand="0" w:evenHBand="0" w:firstRowFirstColumn="0" w:firstRowLastColumn="0" w:lastRowFirstColumn="0" w:lastRowLastColumn="0"/>
            </w:pPr>
            <w:r w:rsidRPr="00E3564D">
              <w:t>Very low density lipoprotein cholesterol</w:t>
            </w:r>
          </w:p>
        </w:tc>
      </w:tr>
    </w:tbl>
    <w:p w:rsidR="00586F98" w:rsidRDefault="00586F98" w:rsidP="0043797D">
      <w:pPr>
        <w:pStyle w:val="Heading2"/>
        <w:pageBreakBefore/>
        <w:rPr>
          <w:lang w:eastAsia="en-AU"/>
        </w:rPr>
      </w:pPr>
      <w:bookmarkStart w:id="8" w:name="_Toc384108934"/>
      <w:bookmarkStart w:id="9" w:name="_Toc351718900"/>
      <w:bookmarkStart w:id="10" w:name="_Toc355338635"/>
      <w:r>
        <w:rPr>
          <w:lang w:eastAsia="en-AU"/>
        </w:rPr>
        <w:lastRenderedPageBreak/>
        <w:t>Clinical rationale</w:t>
      </w:r>
      <w:bookmarkEnd w:id="8"/>
    </w:p>
    <w:p w:rsidR="00CA7E30" w:rsidRPr="00CA7E30" w:rsidRDefault="00CA7E30" w:rsidP="00CA7E30">
      <w:r w:rsidRPr="00CA7E30">
        <w:t>The rationales provided by the Sponsor for each change are:</w:t>
      </w:r>
    </w:p>
    <w:p w:rsidR="00CA7E30" w:rsidRPr="003C68BF" w:rsidRDefault="00CA7E30" w:rsidP="00CA7E30">
      <w:pPr>
        <w:rPr>
          <w:b/>
        </w:rPr>
      </w:pPr>
      <w:r w:rsidRPr="003C68BF">
        <w:rPr>
          <w:b/>
        </w:rPr>
        <w:t>Change 1:</w:t>
      </w:r>
    </w:p>
    <w:p w:rsidR="00CA7E30" w:rsidRPr="00CA7E30" w:rsidRDefault="00CA7E30" w:rsidP="00CA7E30">
      <w:r w:rsidRPr="00CA7E30">
        <w:t xml:space="preserve">In T2DM “basal insulin, co-administered with </w:t>
      </w:r>
      <w:proofErr w:type="spellStart"/>
      <w:r w:rsidRPr="00CA7E30">
        <w:t>liraglutide</w:t>
      </w:r>
      <w:proofErr w:type="spellEnd"/>
      <w:r w:rsidRPr="00CA7E30">
        <w:t xml:space="preserve">, would provide additional glucose-lowering potency, while the presence of </w:t>
      </w:r>
      <w:proofErr w:type="spellStart"/>
      <w:r w:rsidRPr="00CA7E30">
        <w:t>liraglutide</w:t>
      </w:r>
      <w:proofErr w:type="spellEnd"/>
      <w:r w:rsidRPr="00CA7E30">
        <w:t xml:space="preserve"> may substantially reduce weight gain associated with insulin, reduce required insulin dose and maint</w:t>
      </w:r>
      <w:r>
        <w:t xml:space="preserve">ain low risk of hypoglycaemia. </w:t>
      </w:r>
      <w:r w:rsidRPr="00CA7E30">
        <w:t xml:space="preserve">Insulin </w:t>
      </w:r>
      <w:proofErr w:type="spellStart"/>
      <w:r w:rsidRPr="00CA7E30">
        <w:t>detemir</w:t>
      </w:r>
      <w:proofErr w:type="spellEnd"/>
      <w:r w:rsidRPr="00CA7E30">
        <w:t xml:space="preserve">, a basal insulin analogue shown to provide lower risk of hypoglycaemia and less weight gain compared to NPH insulin (intermediate-acting insulin), is a promising candidate to be tested for efficacy and safety in combination with a once-daily human GLP-1 analogue, such as </w:t>
      </w:r>
      <w:proofErr w:type="spellStart"/>
      <w:r w:rsidRPr="00CA7E30">
        <w:t>liraglutide</w:t>
      </w:r>
      <w:proofErr w:type="spellEnd"/>
      <w:r w:rsidRPr="00CA7E30">
        <w:t>.”</w:t>
      </w:r>
    </w:p>
    <w:p w:rsidR="00CA7E30" w:rsidRPr="003C68BF" w:rsidRDefault="00CA7E30" w:rsidP="00CA7E30">
      <w:pPr>
        <w:rPr>
          <w:b/>
        </w:rPr>
      </w:pPr>
      <w:r w:rsidRPr="003C68BF">
        <w:rPr>
          <w:b/>
        </w:rPr>
        <w:t>Change 2:</w:t>
      </w:r>
    </w:p>
    <w:p w:rsidR="00CA7E30" w:rsidRPr="00CA7E30" w:rsidRDefault="00CA7E30" w:rsidP="00CA7E30">
      <w:r w:rsidRPr="00CA7E30">
        <w:t xml:space="preserve">“In connection with the approval of the paediatric indication of insulin </w:t>
      </w:r>
      <w:proofErr w:type="spellStart"/>
      <w:r w:rsidRPr="00CA7E30">
        <w:t>detemir</w:t>
      </w:r>
      <w:proofErr w:type="spellEnd"/>
      <w:r w:rsidRPr="00CA7E30">
        <w:t xml:space="preserve"> by EMA, a new long-term safety trial (NN304-1689) trial was discussed and agreed with EMA as part of a post-approval commitment”. The purpose of the application is to update the PI with long-term safety data from this trial.</w:t>
      </w:r>
    </w:p>
    <w:p w:rsidR="00CA7E30" w:rsidRPr="003C68BF" w:rsidRDefault="00CA7E30" w:rsidP="00CA7E30">
      <w:pPr>
        <w:rPr>
          <w:b/>
        </w:rPr>
      </w:pPr>
      <w:r w:rsidRPr="003C68BF">
        <w:rPr>
          <w:b/>
        </w:rPr>
        <w:t>Change 3:</w:t>
      </w:r>
    </w:p>
    <w:p w:rsidR="00CA7E30" w:rsidRPr="00CA7E30" w:rsidRDefault="00CA7E30" w:rsidP="00CA7E30">
      <w:r w:rsidRPr="00CA7E30">
        <w:t xml:space="preserve">“The use of insulin analogues is increasing in </w:t>
      </w:r>
      <w:r>
        <w:t>T</w:t>
      </w:r>
      <w:r w:rsidRPr="00CA7E30">
        <w:t xml:space="preserve">ype 1 as well as in </w:t>
      </w:r>
      <w:r>
        <w:t>T</w:t>
      </w:r>
      <w:r w:rsidRPr="00CA7E30">
        <w:t>ype 2 diabetes. Their use expands into special populations, such as children, elderly patients and patients with kidney failure. Use of insulin analogues implies that an increasing number of women conceive during insulin analogue treatment. Switching their treatment may carry a risk of deteriorated glycaemic control with an inherent risk of adverse influence on the pregnancy outcome. Pregnant women with diabetes need optimal glycaemic control with as few hypoglycaemic episodes as possible to reduce their risk of diabetes complications and to reduce the risk of adverse pregnancy outcome as described above. Hence, there is a medical need for optimising diabetic control in this population.”</w:t>
      </w:r>
    </w:p>
    <w:p w:rsidR="00CA7E30" w:rsidRPr="003C68BF" w:rsidRDefault="00CA7E30" w:rsidP="00CA7E30">
      <w:pPr>
        <w:rPr>
          <w:b/>
        </w:rPr>
      </w:pPr>
      <w:r w:rsidRPr="003C68BF">
        <w:rPr>
          <w:b/>
        </w:rPr>
        <w:t>Change 4:</w:t>
      </w:r>
    </w:p>
    <w:p w:rsidR="00586F98" w:rsidRPr="00CA7E30" w:rsidRDefault="00CA7E30" w:rsidP="00CA7E30">
      <w:r w:rsidRPr="00CA7E30">
        <w:t>The Sponsor proposes to align the PI more closely with the CCDS (v.12.0). The Sponsor also has made some editorial changes to align the PI with the format described in Appendix 8 of the Australian Regulatory Guidelines for Prescription Medicines.</w:t>
      </w:r>
    </w:p>
    <w:p w:rsidR="00586F98" w:rsidRDefault="00586F98" w:rsidP="00586F98">
      <w:pPr>
        <w:pStyle w:val="Heading2"/>
        <w:rPr>
          <w:lang w:eastAsia="en-AU"/>
        </w:rPr>
      </w:pPr>
      <w:bookmarkStart w:id="11" w:name="_Toc384108935"/>
      <w:r>
        <w:rPr>
          <w:lang w:eastAsia="en-AU"/>
        </w:rPr>
        <w:t>Contents of the clinical dossier</w:t>
      </w:r>
      <w:bookmarkEnd w:id="9"/>
      <w:bookmarkEnd w:id="10"/>
      <w:bookmarkEnd w:id="11"/>
    </w:p>
    <w:p w:rsidR="00586F98" w:rsidRDefault="00586F98" w:rsidP="00586F98">
      <w:pPr>
        <w:pStyle w:val="Heading3"/>
      </w:pPr>
      <w:bookmarkStart w:id="12" w:name="_Toc384108936"/>
      <w:r>
        <w:t>Scope of the clinical dossier</w:t>
      </w:r>
      <w:bookmarkEnd w:id="12"/>
    </w:p>
    <w:p w:rsidR="00CA7E30" w:rsidRPr="00CA7E30" w:rsidRDefault="00CA7E30" w:rsidP="00CA7E30">
      <w:r w:rsidRPr="00CA7E30">
        <w:t>The submission contained the following clinical information:</w:t>
      </w:r>
    </w:p>
    <w:p w:rsidR="00CA7E30" w:rsidRPr="00CA7E30" w:rsidRDefault="00CA7E30" w:rsidP="00CA7E30">
      <w:r w:rsidRPr="00CA7E30">
        <w:t>There was a separate Module 5 for each of Change 1, Change 2 and Change 3.</w:t>
      </w:r>
    </w:p>
    <w:p w:rsidR="00CA7E30" w:rsidRPr="00CA7E30" w:rsidRDefault="00CA7E30" w:rsidP="00CA7E30">
      <w:pPr>
        <w:pStyle w:val="ListBullet"/>
      </w:pPr>
      <w:r w:rsidRPr="00CA7E30">
        <w:t>Change 1 contained three studies: Study NN2211-3673 (PK/PD), Study NN2211-1842 (efficacy and safety), Study NN2211-1842-extension (long-term safety)</w:t>
      </w:r>
    </w:p>
    <w:p w:rsidR="00CA7E30" w:rsidRPr="00CA7E30" w:rsidRDefault="00CA7E30" w:rsidP="00CA7E30">
      <w:pPr>
        <w:pStyle w:val="ListBullet"/>
      </w:pPr>
      <w:r w:rsidRPr="00CA7E30">
        <w:t>Change 2 contained one study: Study NN304-1690 (long-term open label safety in children)</w:t>
      </w:r>
    </w:p>
    <w:p w:rsidR="00CA7E30" w:rsidRPr="00CA7E30" w:rsidRDefault="00CA7E30" w:rsidP="00CA7E30">
      <w:pPr>
        <w:pStyle w:val="ListBullet"/>
      </w:pPr>
      <w:r w:rsidRPr="00CA7E30">
        <w:t>Change 3 contained one study: Study NN304-1687 (efficacy and safety in pregnancy)</w:t>
      </w:r>
    </w:p>
    <w:p w:rsidR="00586F98" w:rsidRPr="00CA7E30" w:rsidRDefault="00586F98" w:rsidP="00CA7E30">
      <w:pPr>
        <w:pStyle w:val="Heading3"/>
      </w:pPr>
      <w:bookmarkStart w:id="13" w:name="_Toc384108937"/>
      <w:r w:rsidRPr="00CA7E30">
        <w:lastRenderedPageBreak/>
        <w:t>Paediatric data</w:t>
      </w:r>
      <w:bookmarkEnd w:id="13"/>
    </w:p>
    <w:p w:rsidR="00586F98" w:rsidRPr="00196F4E" w:rsidRDefault="00CA7E30" w:rsidP="00196F4E">
      <w:r w:rsidRPr="00196F4E">
        <w:t xml:space="preserve">The submission included paediatric safety data. </w:t>
      </w:r>
    </w:p>
    <w:p w:rsidR="00586F98" w:rsidRDefault="00586F98" w:rsidP="00586F98">
      <w:pPr>
        <w:pStyle w:val="Heading3"/>
      </w:pPr>
      <w:bookmarkStart w:id="14" w:name="_Toc384108938"/>
      <w:r>
        <w:t>Good clinical practice</w:t>
      </w:r>
      <w:bookmarkEnd w:id="14"/>
    </w:p>
    <w:p w:rsidR="00586F98" w:rsidRPr="00196F4E" w:rsidRDefault="00CA7E30" w:rsidP="00196F4E">
      <w:bookmarkStart w:id="15" w:name="_Toc241374282"/>
      <w:r w:rsidRPr="00196F4E">
        <w:t>The studies submitted in the application were stated to have been conducted according to GCP.</w:t>
      </w:r>
      <w:bookmarkEnd w:id="15"/>
    </w:p>
    <w:p w:rsidR="00586F98" w:rsidRDefault="00586F98" w:rsidP="00586F98">
      <w:pPr>
        <w:pStyle w:val="Heading2"/>
      </w:pPr>
      <w:bookmarkStart w:id="16" w:name="_Toc355338639"/>
      <w:bookmarkStart w:id="17" w:name="_Toc384108939"/>
      <w:r>
        <w:t>Pharmacokinetics</w:t>
      </w:r>
      <w:bookmarkEnd w:id="16"/>
      <w:bookmarkEnd w:id="17"/>
      <w:r>
        <w:t xml:space="preserve"> </w:t>
      </w:r>
    </w:p>
    <w:p w:rsidR="004D3EF4" w:rsidRPr="00EE11B4" w:rsidRDefault="004D3EF4" w:rsidP="004D3EF4">
      <w:pPr>
        <w:pStyle w:val="Heading3"/>
      </w:pPr>
      <w:bookmarkStart w:id="18" w:name="_Toc272414637"/>
      <w:bookmarkStart w:id="19" w:name="_Toc290846260"/>
      <w:bookmarkStart w:id="20" w:name="_Toc347931812"/>
      <w:bookmarkStart w:id="21" w:name="_Toc384108940"/>
      <w:r w:rsidRPr="00EE11B4">
        <w:t>Studies providing pharmaco</w:t>
      </w:r>
      <w:r>
        <w:t>kinetic</w:t>
      </w:r>
      <w:r w:rsidRPr="00EE11B4">
        <w:t xml:space="preserve"> data</w:t>
      </w:r>
      <w:bookmarkEnd w:id="18"/>
      <w:bookmarkEnd w:id="19"/>
      <w:bookmarkEnd w:id="20"/>
      <w:bookmarkEnd w:id="21"/>
    </w:p>
    <w:p w:rsidR="00196F4E" w:rsidRPr="00196F4E" w:rsidRDefault="00196F4E" w:rsidP="00196F4E">
      <w:r>
        <w:t xml:space="preserve">Study NN2211-3673 </w:t>
      </w:r>
      <w:r w:rsidRPr="00196F4E">
        <w:t>was an open label, three treatment phase, single sequence, PK and PD (</w:t>
      </w:r>
      <w:proofErr w:type="spellStart"/>
      <w:r w:rsidRPr="00196F4E">
        <w:t>euglycaemic</w:t>
      </w:r>
      <w:proofErr w:type="spellEnd"/>
      <w:r w:rsidRPr="00196F4E">
        <w:t xml:space="preserve"> clamp at 100 mg/</w:t>
      </w:r>
      <w:proofErr w:type="spellStart"/>
      <w:r w:rsidRPr="00196F4E">
        <w:t>dL</w:t>
      </w:r>
      <w:proofErr w:type="spellEnd"/>
      <w:r w:rsidRPr="00196F4E">
        <w:t xml:space="preserve">) study of </w:t>
      </w:r>
      <w:proofErr w:type="spellStart"/>
      <w:r w:rsidRPr="00196F4E">
        <w:t>detemir</w:t>
      </w:r>
      <w:proofErr w:type="spellEnd"/>
      <w:r w:rsidRPr="00196F4E">
        <w:t xml:space="preserve">, </w:t>
      </w:r>
      <w:proofErr w:type="spellStart"/>
      <w:r w:rsidRPr="00196F4E">
        <w:t>liraglutide</w:t>
      </w:r>
      <w:proofErr w:type="spellEnd"/>
      <w:r w:rsidRPr="00196F4E">
        <w:t xml:space="preserve"> and the combination of </w:t>
      </w:r>
      <w:proofErr w:type="spellStart"/>
      <w:r w:rsidRPr="00196F4E">
        <w:t>liraglutide</w:t>
      </w:r>
      <w:proofErr w:type="spellEnd"/>
      <w:r w:rsidRPr="00196F4E">
        <w:t xml:space="preserve"> and </w:t>
      </w:r>
      <w:proofErr w:type="spellStart"/>
      <w:r w:rsidRPr="00196F4E">
        <w:t>detemir</w:t>
      </w:r>
      <w:proofErr w:type="spellEnd"/>
      <w:r w:rsidRPr="00196F4E">
        <w:t xml:space="preserve"> (Table</w:t>
      </w:r>
      <w:r>
        <w:t xml:space="preserve"> 1</w:t>
      </w:r>
      <w:r w:rsidR="00190601">
        <w:t>,</w:t>
      </w:r>
      <w:r w:rsidR="004D3EF4">
        <w:t xml:space="preserve"> A</w:t>
      </w:r>
      <w:r w:rsidR="00190601">
        <w:t>ppendix 1</w:t>
      </w:r>
      <w:r w:rsidRPr="00196F4E">
        <w:t xml:space="preserve">). The study was conducted at a single centre in the US from April 2009 to September 2009. The study included male or female subjects </w:t>
      </w:r>
      <w:r>
        <w:t xml:space="preserve">≥ </w:t>
      </w:r>
      <w:r w:rsidRPr="00196F4E">
        <w:t>18 years of age; insulin naïve and diagnosed with T2DM; treated with stable doses of OAD(s) (one of which had to be metformin); BMI of ≤</w:t>
      </w:r>
      <w:r>
        <w:t xml:space="preserve"> </w:t>
      </w:r>
      <w:r w:rsidRPr="00196F4E">
        <w:t xml:space="preserve">45 kg/m2, screening HbA1c of 7 to 10% on </w:t>
      </w:r>
      <w:proofErr w:type="spellStart"/>
      <w:r w:rsidRPr="00196F4E">
        <w:t>monotherapy</w:t>
      </w:r>
      <w:proofErr w:type="spellEnd"/>
      <w:r w:rsidRPr="00196F4E">
        <w:t xml:space="preserve"> and 7 to 9.5% on dual therapy; FPG ≤</w:t>
      </w:r>
      <w:r>
        <w:t xml:space="preserve"> </w:t>
      </w:r>
      <w:r w:rsidRPr="00196F4E">
        <w:t>250 mg/</w:t>
      </w:r>
      <w:proofErr w:type="spellStart"/>
      <w:r w:rsidRPr="00196F4E">
        <w:t>dL</w:t>
      </w:r>
      <w:proofErr w:type="spellEnd"/>
      <w:r w:rsidRPr="00196F4E">
        <w:t xml:space="preserve"> at Visit 2; and FPG ≥</w:t>
      </w:r>
      <w:r>
        <w:t xml:space="preserve"> </w:t>
      </w:r>
      <w:r w:rsidRPr="00196F4E">
        <w:t>140 and ≤</w:t>
      </w:r>
      <w:r>
        <w:t xml:space="preserve"> </w:t>
      </w:r>
      <w:r w:rsidRPr="00196F4E">
        <w:t>240 mg/</w:t>
      </w:r>
      <w:proofErr w:type="spellStart"/>
      <w:r w:rsidRPr="00196F4E">
        <w:t>dL</w:t>
      </w:r>
      <w:proofErr w:type="spellEnd"/>
      <w:r w:rsidRPr="00196F4E">
        <w:t xml:space="preserve"> at Visit 5 (Study Day 1).</w:t>
      </w:r>
    </w:p>
    <w:p w:rsidR="00196F4E" w:rsidRPr="00196F4E" w:rsidRDefault="00196F4E" w:rsidP="00196F4E">
      <w:r w:rsidRPr="00196F4E">
        <w:t xml:space="preserve">The study treatments were: insulin </w:t>
      </w:r>
      <w:proofErr w:type="spellStart"/>
      <w:r w:rsidRPr="00196F4E">
        <w:t>detemir</w:t>
      </w:r>
      <w:proofErr w:type="spellEnd"/>
      <w:r w:rsidRPr="00196F4E">
        <w:t xml:space="preserve"> 0.5 U/kg on Day 1, followed by 24 hour </w:t>
      </w:r>
      <w:proofErr w:type="spellStart"/>
      <w:r w:rsidRPr="00196F4E">
        <w:t>eugycaemic</w:t>
      </w:r>
      <w:proofErr w:type="spellEnd"/>
      <w:r w:rsidRPr="00196F4E">
        <w:t xml:space="preserve"> clamp; </w:t>
      </w:r>
      <w:proofErr w:type="spellStart"/>
      <w:r w:rsidRPr="00196F4E">
        <w:t>liraglutide</w:t>
      </w:r>
      <w:proofErr w:type="spellEnd"/>
      <w:r w:rsidRPr="00196F4E">
        <w:t xml:space="preserve"> titrated to 1.8 mg/day from Day 2 to Day 22, with 24 hour </w:t>
      </w:r>
      <w:proofErr w:type="spellStart"/>
      <w:r w:rsidRPr="00196F4E">
        <w:t>euglycaemic</w:t>
      </w:r>
      <w:proofErr w:type="spellEnd"/>
      <w:r w:rsidRPr="00196F4E">
        <w:t xml:space="preserve"> clamp on Day 22; </w:t>
      </w:r>
      <w:proofErr w:type="spellStart"/>
      <w:r w:rsidRPr="00196F4E">
        <w:t>liraglutide</w:t>
      </w:r>
      <w:proofErr w:type="spellEnd"/>
      <w:r w:rsidRPr="00196F4E">
        <w:t xml:space="preserve"> 1.8 mg daily from Day 22 to Day 36, and insulin </w:t>
      </w:r>
      <w:proofErr w:type="spellStart"/>
      <w:r w:rsidRPr="00196F4E">
        <w:t>detemir</w:t>
      </w:r>
      <w:proofErr w:type="spellEnd"/>
      <w:r w:rsidRPr="00196F4E">
        <w:t xml:space="preserve"> 0.5 U/kg on Day 36, with 24 hour </w:t>
      </w:r>
      <w:proofErr w:type="spellStart"/>
      <w:r w:rsidRPr="00196F4E">
        <w:t>euglycaemic</w:t>
      </w:r>
      <w:proofErr w:type="spellEnd"/>
      <w:r w:rsidRPr="00196F4E">
        <w:t xml:space="preserve"> clamp. All subjects were treated with metformin as a background medication.</w:t>
      </w:r>
    </w:p>
    <w:p w:rsidR="00196F4E" w:rsidRDefault="00196F4E" w:rsidP="00196F4E">
      <w:r w:rsidRPr="00196F4E">
        <w:t xml:space="preserve">There were 33 subjects: 23 (69.7%) male, 10 (30.3%) female, and the age range </w:t>
      </w:r>
      <w:proofErr w:type="gramStart"/>
      <w:r w:rsidRPr="00196F4E">
        <w:t>was</w:t>
      </w:r>
      <w:proofErr w:type="gramEnd"/>
      <w:r w:rsidRPr="00196F4E">
        <w:t xml:space="preserve"> 33 to 68 years (Table </w:t>
      </w:r>
      <w:r w:rsidR="004D3EF4">
        <w:t>2</w:t>
      </w:r>
      <w:r w:rsidRPr="00196F4E">
        <w:t xml:space="preserve">). Twenty subjects were treated with metformin alone and 13 with metformin and another OAD. There was no effect of </w:t>
      </w:r>
      <w:proofErr w:type="spellStart"/>
      <w:r w:rsidRPr="00196F4E">
        <w:t>liraglutide</w:t>
      </w:r>
      <w:proofErr w:type="spellEnd"/>
      <w:r w:rsidRPr="00196F4E">
        <w:t xml:space="preserve"> on exposure to </w:t>
      </w:r>
      <w:proofErr w:type="spellStart"/>
      <w:r w:rsidRPr="00196F4E">
        <w:t>detemir</w:t>
      </w:r>
      <w:proofErr w:type="spellEnd"/>
      <w:r w:rsidRPr="00196F4E">
        <w:t xml:space="preserve">: the mean ratio (90% CI) </w:t>
      </w:r>
      <w:proofErr w:type="spellStart"/>
      <w:r w:rsidRPr="00196F4E">
        <w:t>detemir</w:t>
      </w:r>
      <w:proofErr w:type="spellEnd"/>
      <w:r w:rsidRPr="00196F4E">
        <w:t xml:space="preserve"> + </w:t>
      </w:r>
      <w:proofErr w:type="spellStart"/>
      <w:r w:rsidRPr="00196F4E">
        <w:t>liraglutide</w:t>
      </w:r>
      <w:proofErr w:type="spellEnd"/>
      <w:r w:rsidRPr="00196F4E">
        <w:t xml:space="preserve"> / </w:t>
      </w:r>
      <w:proofErr w:type="spellStart"/>
      <w:r w:rsidRPr="00196F4E">
        <w:t>detemir</w:t>
      </w:r>
      <w:proofErr w:type="spellEnd"/>
      <w:r w:rsidRPr="00196F4E">
        <w:t xml:space="preserve"> was 1.03 (0.97 to 1.09) for AUC</w:t>
      </w:r>
      <w:r w:rsidRPr="004D3EF4">
        <w:rPr>
          <w:vertAlign w:val="subscript"/>
        </w:rPr>
        <w:t xml:space="preserve">0-24 </w:t>
      </w:r>
      <w:r w:rsidRPr="00196F4E">
        <w:t xml:space="preserve">and 1.05 (0.98 to 1.13) for </w:t>
      </w:r>
      <w:proofErr w:type="spellStart"/>
      <w:r w:rsidRPr="00196F4E">
        <w:t>C</w:t>
      </w:r>
      <w:r w:rsidRPr="004D3EF4">
        <w:rPr>
          <w:vertAlign w:val="subscript"/>
        </w:rPr>
        <w:t>max</w:t>
      </w:r>
      <w:proofErr w:type="spellEnd"/>
      <w:r w:rsidRPr="004D3EF4">
        <w:rPr>
          <w:vertAlign w:val="subscript"/>
        </w:rPr>
        <w:t xml:space="preserve"> </w:t>
      </w:r>
      <w:r w:rsidRPr="00196F4E">
        <w:t>(Table</w:t>
      </w:r>
      <w:r w:rsidR="004D3EF4">
        <w:t xml:space="preserve"> 1</w:t>
      </w:r>
      <w:r w:rsidR="005E32AB">
        <w:t xml:space="preserve">, Appendix </w:t>
      </w:r>
      <w:r w:rsidRPr="00196F4E">
        <w:t xml:space="preserve">1). There was no effect of </w:t>
      </w:r>
      <w:proofErr w:type="spellStart"/>
      <w:r w:rsidRPr="00196F4E">
        <w:t>detemir</w:t>
      </w:r>
      <w:proofErr w:type="spellEnd"/>
      <w:r w:rsidRPr="00196F4E">
        <w:t xml:space="preserve"> on exposure to </w:t>
      </w:r>
      <w:proofErr w:type="spellStart"/>
      <w:r w:rsidRPr="00196F4E">
        <w:t>liraglutide</w:t>
      </w:r>
      <w:proofErr w:type="spellEnd"/>
      <w:r w:rsidRPr="00196F4E">
        <w:t xml:space="preserve">: the mean ratio (90% CI) </w:t>
      </w:r>
      <w:proofErr w:type="spellStart"/>
      <w:r w:rsidRPr="00196F4E">
        <w:t>detemir</w:t>
      </w:r>
      <w:proofErr w:type="spellEnd"/>
      <w:r w:rsidRPr="00196F4E">
        <w:t xml:space="preserve"> + </w:t>
      </w:r>
      <w:proofErr w:type="spellStart"/>
      <w:r w:rsidRPr="00196F4E">
        <w:t>liraglutide</w:t>
      </w:r>
      <w:proofErr w:type="spellEnd"/>
      <w:r w:rsidRPr="00196F4E">
        <w:t xml:space="preserve"> / </w:t>
      </w:r>
      <w:proofErr w:type="spellStart"/>
      <w:r w:rsidRPr="00196F4E">
        <w:t>liraglutide</w:t>
      </w:r>
      <w:proofErr w:type="spellEnd"/>
      <w:r w:rsidRPr="00196F4E">
        <w:t xml:space="preserve"> was 0.97 (0.87 to 1.09) for AUC</w:t>
      </w:r>
      <w:r w:rsidRPr="004D3EF4">
        <w:rPr>
          <w:vertAlign w:val="subscript"/>
        </w:rPr>
        <w:t>0-24</w:t>
      </w:r>
      <w:r w:rsidRPr="00196F4E">
        <w:t xml:space="preserve"> and 1.03 (0.93 to 1.13) for </w:t>
      </w:r>
      <w:proofErr w:type="spellStart"/>
      <w:r w:rsidRPr="00196F4E">
        <w:t>C</w:t>
      </w:r>
      <w:r w:rsidRPr="004D3EF4">
        <w:rPr>
          <w:vertAlign w:val="subscript"/>
        </w:rPr>
        <w:t>max</w:t>
      </w:r>
      <w:proofErr w:type="spellEnd"/>
      <w:r w:rsidRPr="00196F4E">
        <w:t>.</w:t>
      </w:r>
    </w:p>
    <w:p w:rsidR="004D3EF4" w:rsidRPr="00B66E68" w:rsidRDefault="004D3EF4" w:rsidP="004D3EF4">
      <w:pPr>
        <w:pStyle w:val="TableTitle"/>
        <w:keepLines/>
      </w:pPr>
      <w:r>
        <w:lastRenderedPageBreak/>
        <w:t xml:space="preserve">Table 2: </w:t>
      </w:r>
      <w:r w:rsidRPr="00B66E68">
        <w:t xml:space="preserve">Demography of Trial Population </w:t>
      </w:r>
      <w:r>
        <w:rPr>
          <w:noProof/>
          <w:lang w:eastAsia="en-AU"/>
        </w:rPr>
        <w:drawing>
          <wp:inline distT="0" distB="0" distL="0" distR="0" wp14:anchorId="333588DB" wp14:editId="27D01B0B">
            <wp:extent cx="5486400" cy="4762500"/>
            <wp:effectExtent l="0" t="0" r="0" b="0"/>
            <wp:docPr id="10" name="Picture 10" descr="Table 2: Demography of Trial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486400" cy="4762500"/>
                    </a:xfrm>
                    <a:prstGeom prst="rect">
                      <a:avLst/>
                    </a:prstGeom>
                    <a:noFill/>
                    <a:ln w="9525">
                      <a:noFill/>
                      <a:miter lim="800000"/>
                      <a:headEnd/>
                      <a:tailEnd/>
                    </a:ln>
                  </pic:spPr>
                </pic:pic>
              </a:graphicData>
            </a:graphic>
          </wp:inline>
        </w:drawing>
      </w:r>
    </w:p>
    <w:p w:rsidR="004D3EF4" w:rsidRPr="00EE11B4" w:rsidRDefault="004D3EF4" w:rsidP="004D3EF4">
      <w:pPr>
        <w:pStyle w:val="Heading3"/>
      </w:pPr>
      <w:bookmarkStart w:id="22" w:name="_Toc241374296"/>
      <w:bookmarkStart w:id="23" w:name="_Ref269982040"/>
      <w:bookmarkStart w:id="24" w:name="_Ref271018704"/>
      <w:bookmarkStart w:id="25" w:name="_Ref271018755"/>
      <w:bookmarkStart w:id="26" w:name="_Toc272414635"/>
      <w:bookmarkStart w:id="27" w:name="_Toc290846258"/>
      <w:bookmarkStart w:id="28" w:name="_Toc347931810"/>
      <w:bookmarkStart w:id="29" w:name="_Toc384108941"/>
      <w:r w:rsidRPr="00EE11B4">
        <w:t>Evaluator’s overall conclusions on pharmacokinetics</w:t>
      </w:r>
      <w:bookmarkEnd w:id="22"/>
      <w:bookmarkEnd w:id="23"/>
      <w:bookmarkEnd w:id="24"/>
      <w:bookmarkEnd w:id="25"/>
      <w:bookmarkEnd w:id="26"/>
      <w:bookmarkEnd w:id="27"/>
      <w:bookmarkEnd w:id="28"/>
      <w:bookmarkEnd w:id="29"/>
    </w:p>
    <w:p w:rsidR="004D3EF4" w:rsidRPr="004D3EF4" w:rsidRDefault="004D3EF4" w:rsidP="004D3EF4">
      <w:r w:rsidRPr="004D3EF4">
        <w:t xml:space="preserve">There was no evidence of a PK interaction between insulin </w:t>
      </w:r>
      <w:proofErr w:type="spellStart"/>
      <w:r w:rsidRPr="004D3EF4">
        <w:t>detemir</w:t>
      </w:r>
      <w:proofErr w:type="spellEnd"/>
      <w:r w:rsidRPr="004D3EF4">
        <w:t xml:space="preserve"> and </w:t>
      </w:r>
      <w:proofErr w:type="spellStart"/>
      <w:r w:rsidRPr="004D3EF4">
        <w:t>liraglutide</w:t>
      </w:r>
      <w:proofErr w:type="spellEnd"/>
      <w:r w:rsidRPr="004D3EF4">
        <w:t>.</w:t>
      </w:r>
    </w:p>
    <w:p w:rsidR="00586F98" w:rsidRDefault="00586F98" w:rsidP="00586F98">
      <w:pPr>
        <w:pStyle w:val="Heading2"/>
      </w:pPr>
      <w:bookmarkStart w:id="30" w:name="_Toc384108942"/>
      <w:r>
        <w:t>Pharmacodynamics</w:t>
      </w:r>
      <w:bookmarkEnd w:id="30"/>
    </w:p>
    <w:p w:rsidR="00910E38" w:rsidRPr="00910E38" w:rsidRDefault="00910E38" w:rsidP="00910E38">
      <w:pPr>
        <w:pStyle w:val="Heading3"/>
      </w:pPr>
      <w:bookmarkStart w:id="31" w:name="_Toc384108943"/>
      <w:r w:rsidRPr="00910E38">
        <w:t xml:space="preserve">Studies providing </w:t>
      </w:r>
      <w:proofErr w:type="spellStart"/>
      <w:r w:rsidRPr="00910E38">
        <w:t>pharmacodynamic</w:t>
      </w:r>
      <w:proofErr w:type="spellEnd"/>
      <w:r w:rsidRPr="00910E38">
        <w:t xml:space="preserve"> data</w:t>
      </w:r>
      <w:bookmarkEnd w:id="31"/>
    </w:p>
    <w:p w:rsidR="00910E38" w:rsidRDefault="00910E38" w:rsidP="00910E38">
      <w:r w:rsidRPr="00910E38">
        <w:t xml:space="preserve">In </w:t>
      </w:r>
      <w:r>
        <w:t xml:space="preserve">Study NN2211-3673 </w:t>
      </w:r>
      <w:r w:rsidRPr="00910E38">
        <w:t>summari</w:t>
      </w:r>
      <w:r>
        <w:t>s</w:t>
      </w:r>
      <w:r w:rsidRPr="00910E38">
        <w:t xml:space="preserve">ed in Table </w:t>
      </w:r>
      <w:r>
        <w:t>1 (</w:t>
      </w:r>
      <w:r w:rsidR="005E32AB">
        <w:t>Appendix 1)</w:t>
      </w:r>
      <w:r w:rsidRPr="00910E38">
        <w:t xml:space="preserve">, from the </w:t>
      </w:r>
      <w:proofErr w:type="spellStart"/>
      <w:r w:rsidRPr="00910E38">
        <w:t>euglycaemic</w:t>
      </w:r>
      <w:proofErr w:type="spellEnd"/>
      <w:r w:rsidRPr="00910E38">
        <w:t xml:space="preserve"> clamp studies, the AUC for glucose infusion rate (AUC</w:t>
      </w:r>
      <w:r w:rsidRPr="00910E38">
        <w:rPr>
          <w:vertAlign w:val="subscript"/>
        </w:rPr>
        <w:t>GIR</w:t>
      </w:r>
      <w:r w:rsidRPr="00910E38">
        <w:t xml:space="preserve">) was greater for </w:t>
      </w:r>
      <w:proofErr w:type="spellStart"/>
      <w:r w:rsidRPr="00910E38">
        <w:t>detemir</w:t>
      </w:r>
      <w:proofErr w:type="spellEnd"/>
      <w:r w:rsidRPr="00910E38">
        <w:t xml:space="preserve"> and </w:t>
      </w:r>
      <w:proofErr w:type="spellStart"/>
      <w:r w:rsidRPr="00910E38">
        <w:t>liraglutide</w:t>
      </w:r>
      <w:proofErr w:type="spellEnd"/>
      <w:r w:rsidRPr="00910E38">
        <w:t xml:space="preserve"> in combination than for </w:t>
      </w:r>
      <w:proofErr w:type="spellStart"/>
      <w:r w:rsidRPr="00910E38">
        <w:t>detemir</w:t>
      </w:r>
      <w:proofErr w:type="spellEnd"/>
      <w:r w:rsidRPr="00910E38">
        <w:t xml:space="preserve"> alone, and for </w:t>
      </w:r>
      <w:proofErr w:type="spellStart"/>
      <w:r w:rsidRPr="00910E38">
        <w:t>liraglutide</w:t>
      </w:r>
      <w:proofErr w:type="spellEnd"/>
      <w:r w:rsidRPr="00910E38">
        <w:t xml:space="preserve"> alone compared with </w:t>
      </w:r>
      <w:proofErr w:type="spellStart"/>
      <w:r w:rsidRPr="00910E38">
        <w:t>detemir</w:t>
      </w:r>
      <w:proofErr w:type="spellEnd"/>
      <w:r w:rsidRPr="00910E38">
        <w:t xml:space="preserve"> alone, but there was no significant difference between </w:t>
      </w:r>
      <w:proofErr w:type="spellStart"/>
      <w:r w:rsidRPr="00910E38">
        <w:t>detemir</w:t>
      </w:r>
      <w:proofErr w:type="spellEnd"/>
      <w:r w:rsidRPr="00910E38">
        <w:t xml:space="preserve"> and </w:t>
      </w:r>
      <w:proofErr w:type="spellStart"/>
      <w:r w:rsidRPr="00910E38">
        <w:t>liraglutide</w:t>
      </w:r>
      <w:proofErr w:type="spellEnd"/>
      <w:r w:rsidRPr="00910E38">
        <w:t xml:space="preserve"> in combination and </w:t>
      </w:r>
      <w:proofErr w:type="spellStart"/>
      <w:r w:rsidRPr="00910E38">
        <w:t>liraglutide</w:t>
      </w:r>
      <w:proofErr w:type="spellEnd"/>
      <w:r w:rsidRPr="00910E38">
        <w:t xml:space="preserve"> alone (Table </w:t>
      </w:r>
      <w:r>
        <w:t>3</w:t>
      </w:r>
      <w:r w:rsidRPr="00910E38">
        <w:t>).</w:t>
      </w:r>
    </w:p>
    <w:p w:rsidR="00910E38" w:rsidRDefault="00910E38" w:rsidP="00910E38"/>
    <w:p w:rsidR="00910E38" w:rsidRPr="00B66E68" w:rsidRDefault="00910E38" w:rsidP="00910E38">
      <w:pPr>
        <w:pStyle w:val="TableTitle"/>
        <w:keepLines/>
        <w:rPr>
          <w:rFonts w:ascii="Times New Roman" w:hAnsi="Times New Roman"/>
          <w:sz w:val="24"/>
        </w:rPr>
      </w:pPr>
      <w:r w:rsidRPr="00910E38">
        <w:lastRenderedPageBreak/>
        <w:t xml:space="preserve">Table 3: Summary of </w:t>
      </w:r>
      <w:proofErr w:type="spellStart"/>
      <w:r w:rsidRPr="00910E38">
        <w:t>Pharmacodynamic</w:t>
      </w:r>
      <w:proofErr w:type="spellEnd"/>
      <w:r w:rsidRPr="00910E38">
        <w:t xml:space="preserve"> Endpoints - Full Analysis Sets</w:t>
      </w:r>
      <w:r>
        <w:rPr>
          <w:rFonts w:ascii="Times New Roman" w:hAnsi="Times New Roman"/>
          <w:noProof/>
          <w:sz w:val="24"/>
          <w:lang w:eastAsia="en-AU"/>
        </w:rPr>
        <w:drawing>
          <wp:inline distT="0" distB="0" distL="0" distR="0" wp14:anchorId="75AA3488" wp14:editId="1DAE46CF">
            <wp:extent cx="5486400" cy="6477000"/>
            <wp:effectExtent l="0" t="0" r="0" b="0"/>
            <wp:docPr id="11" name="Picture 11" descr="Table 3: Summary of Pharmacodynamic Endpoints - Full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486400" cy="6477000"/>
                    </a:xfrm>
                    <a:prstGeom prst="rect">
                      <a:avLst/>
                    </a:prstGeom>
                    <a:noFill/>
                    <a:ln w="9525">
                      <a:noFill/>
                      <a:miter lim="800000"/>
                      <a:headEnd/>
                      <a:tailEnd/>
                    </a:ln>
                  </pic:spPr>
                </pic:pic>
              </a:graphicData>
            </a:graphic>
          </wp:inline>
        </w:drawing>
      </w:r>
    </w:p>
    <w:p w:rsidR="00910E38" w:rsidRDefault="00910E38" w:rsidP="00910E38">
      <w:r w:rsidRPr="00910E38">
        <w:t xml:space="preserve">The mean </w:t>
      </w:r>
      <w:proofErr w:type="gramStart"/>
      <w:r w:rsidRPr="00910E38">
        <w:t>AUC</w:t>
      </w:r>
      <w:r w:rsidRPr="00910E38">
        <w:rPr>
          <w:vertAlign w:val="subscript"/>
        </w:rPr>
        <w:t>GIR(</w:t>
      </w:r>
      <w:proofErr w:type="gramEnd"/>
      <w:r w:rsidRPr="00910E38">
        <w:rPr>
          <w:vertAlign w:val="subscript"/>
        </w:rPr>
        <w:t>0-24)</w:t>
      </w:r>
      <w:r w:rsidRPr="00910E38">
        <w:t xml:space="preserve"> (SD) was 1057.6 (803.18) mg/kg for </w:t>
      </w:r>
      <w:proofErr w:type="spellStart"/>
      <w:r w:rsidRPr="00910E38">
        <w:t>detemir</w:t>
      </w:r>
      <w:proofErr w:type="spellEnd"/>
      <w:r w:rsidRPr="00910E38">
        <w:t xml:space="preserve"> alone, 1981.6 (1167.60) mg/kg for </w:t>
      </w:r>
      <w:proofErr w:type="spellStart"/>
      <w:r w:rsidRPr="00910E38">
        <w:t>liraglutide</w:t>
      </w:r>
      <w:proofErr w:type="spellEnd"/>
      <w:r w:rsidRPr="00910E38">
        <w:t xml:space="preserve"> alone and 2947.0 (1460.57) mg/kg for </w:t>
      </w:r>
      <w:proofErr w:type="spellStart"/>
      <w:r w:rsidRPr="00910E38">
        <w:t>detemir</w:t>
      </w:r>
      <w:proofErr w:type="spellEnd"/>
      <w:r w:rsidRPr="00910E38">
        <w:t xml:space="preserve"> and </w:t>
      </w:r>
      <w:proofErr w:type="spellStart"/>
      <w:r w:rsidRPr="00910E38">
        <w:t>liraglutide</w:t>
      </w:r>
      <w:proofErr w:type="spellEnd"/>
      <w:r w:rsidRPr="00910E38">
        <w:t xml:space="preserve"> in combination. The mean (95% CI) ratio for </w:t>
      </w:r>
      <w:proofErr w:type="gramStart"/>
      <w:r w:rsidRPr="00910E38">
        <w:t>AUC</w:t>
      </w:r>
      <w:r w:rsidRPr="00910E38">
        <w:rPr>
          <w:vertAlign w:val="subscript"/>
        </w:rPr>
        <w:t>GIR(</w:t>
      </w:r>
      <w:proofErr w:type="gramEnd"/>
      <w:r w:rsidRPr="00910E38">
        <w:rPr>
          <w:vertAlign w:val="subscript"/>
        </w:rPr>
        <w:t>0-24)</w:t>
      </w:r>
      <w:r w:rsidRPr="00910E38">
        <w:t xml:space="preserve"> was 2.98 (1.84 to 4.81) for </w:t>
      </w:r>
      <w:proofErr w:type="spellStart"/>
      <w:r w:rsidRPr="00910E38">
        <w:t>detemir+liraglutide</w:t>
      </w:r>
      <w:proofErr w:type="spellEnd"/>
      <w:r w:rsidRPr="00910E38">
        <w:t xml:space="preserve">/ </w:t>
      </w:r>
      <w:proofErr w:type="spellStart"/>
      <w:r w:rsidRPr="00910E38">
        <w:t>detemir</w:t>
      </w:r>
      <w:proofErr w:type="spellEnd"/>
      <w:r w:rsidRPr="00910E38">
        <w:t xml:space="preserve">, 1.32 (0.82 to 2.14) for </w:t>
      </w:r>
      <w:proofErr w:type="spellStart"/>
      <w:r w:rsidRPr="00910E38">
        <w:t>detemir+liraglutide</w:t>
      </w:r>
      <w:proofErr w:type="spellEnd"/>
      <w:r w:rsidRPr="00910E38">
        <w:t xml:space="preserve">/ </w:t>
      </w:r>
      <w:proofErr w:type="spellStart"/>
      <w:r w:rsidRPr="00910E38">
        <w:t>liraglutide</w:t>
      </w:r>
      <w:proofErr w:type="spellEnd"/>
      <w:r w:rsidRPr="00910E38">
        <w:t xml:space="preserve"> and 2.25 (1.39 to 3.64) for </w:t>
      </w:r>
      <w:proofErr w:type="spellStart"/>
      <w:r w:rsidRPr="00910E38">
        <w:t>liraglutide</w:t>
      </w:r>
      <w:proofErr w:type="spellEnd"/>
      <w:r w:rsidRPr="00910E38">
        <w:t xml:space="preserve">/ </w:t>
      </w:r>
      <w:proofErr w:type="spellStart"/>
      <w:r w:rsidRPr="00910E38">
        <w:t>detemir</w:t>
      </w:r>
      <w:proofErr w:type="spellEnd"/>
      <w:r w:rsidRPr="00910E38">
        <w:t xml:space="preserve">. Average C-peptide plasma concentrations over 24 hours were lower for </w:t>
      </w:r>
      <w:proofErr w:type="spellStart"/>
      <w:r w:rsidRPr="00910E38">
        <w:t>detemir</w:t>
      </w:r>
      <w:proofErr w:type="spellEnd"/>
      <w:r w:rsidRPr="00910E38">
        <w:t xml:space="preserve"> alone compared with </w:t>
      </w:r>
      <w:proofErr w:type="spellStart"/>
      <w:r w:rsidRPr="00910E38">
        <w:t>detemir</w:t>
      </w:r>
      <w:proofErr w:type="spellEnd"/>
      <w:r w:rsidRPr="00910E38">
        <w:t xml:space="preserve"> and </w:t>
      </w:r>
      <w:proofErr w:type="spellStart"/>
      <w:r w:rsidRPr="00910E38">
        <w:t>liraglutide</w:t>
      </w:r>
      <w:proofErr w:type="spellEnd"/>
      <w:r w:rsidRPr="00910E38">
        <w:t xml:space="preserve"> in combination, and higher for </w:t>
      </w:r>
      <w:proofErr w:type="spellStart"/>
      <w:r w:rsidRPr="00910E38">
        <w:t>liraglutide</w:t>
      </w:r>
      <w:proofErr w:type="spellEnd"/>
      <w:r w:rsidRPr="00910E38">
        <w:t xml:space="preserve"> alone (Table </w:t>
      </w:r>
      <w:r>
        <w:t>4</w:t>
      </w:r>
      <w:r w:rsidRPr="00910E38">
        <w:t>).</w:t>
      </w:r>
    </w:p>
    <w:p w:rsidR="00910E38" w:rsidRDefault="00910E38" w:rsidP="006725EA">
      <w:pPr>
        <w:pStyle w:val="TableTitle"/>
        <w:keepLines/>
      </w:pPr>
      <w:r w:rsidRPr="00B66E68">
        <w:lastRenderedPageBreak/>
        <w:t xml:space="preserve">Table </w:t>
      </w:r>
      <w:r>
        <w:t xml:space="preserve">4: </w:t>
      </w:r>
      <w:r w:rsidRPr="00B66E68">
        <w:t xml:space="preserve">Summary of </w:t>
      </w:r>
      <w:proofErr w:type="gramStart"/>
      <w:r w:rsidRPr="00B66E68">
        <w:t>AVG(</w:t>
      </w:r>
      <w:proofErr w:type="gramEnd"/>
      <w:r w:rsidRPr="00B66E68">
        <w:t xml:space="preserve">0-24 hour), </w:t>
      </w:r>
      <w:proofErr w:type="spellStart"/>
      <w:r w:rsidRPr="00B66E68">
        <w:t>C</w:t>
      </w:r>
      <w:r w:rsidRPr="00910E38">
        <w:rPr>
          <w:vertAlign w:val="subscript"/>
        </w:rPr>
        <w:t>max</w:t>
      </w:r>
      <w:proofErr w:type="spellEnd"/>
      <w:r w:rsidRPr="00B66E68">
        <w:t xml:space="preserve">, and </w:t>
      </w:r>
      <w:proofErr w:type="spellStart"/>
      <w:r w:rsidRPr="00B66E68">
        <w:t>C</w:t>
      </w:r>
      <w:r w:rsidRPr="00910E38">
        <w:rPr>
          <w:vertAlign w:val="subscript"/>
        </w:rPr>
        <w:t>min</w:t>
      </w:r>
      <w:proofErr w:type="spellEnd"/>
      <w:r w:rsidRPr="00B66E68">
        <w:t xml:space="preserve"> for C-peptide - Full Analysis </w:t>
      </w:r>
      <w:r>
        <w:t>Set</w:t>
      </w:r>
    </w:p>
    <w:p w:rsidR="006725EA" w:rsidRDefault="006725EA" w:rsidP="006725EA">
      <w:pPr>
        <w:pStyle w:val="TableTitle"/>
        <w:keepLines/>
      </w:pPr>
      <w:r>
        <w:rPr>
          <w:noProof/>
          <w:lang w:eastAsia="en-AU"/>
        </w:rPr>
        <w:drawing>
          <wp:inline distT="0" distB="0" distL="0" distR="0" wp14:anchorId="41DF415A" wp14:editId="2CDADE7B">
            <wp:extent cx="5334000" cy="5048250"/>
            <wp:effectExtent l="0" t="0" r="0" b="0"/>
            <wp:docPr id="63" name="Picture 63" descr="Table 4: Summary of AVG(0-24 hour), Cmax, and Cmin for C-peptide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4000" cy="5048250"/>
                    </a:xfrm>
                    <a:prstGeom prst="rect">
                      <a:avLst/>
                    </a:prstGeom>
                  </pic:spPr>
                </pic:pic>
              </a:graphicData>
            </a:graphic>
          </wp:inline>
        </w:drawing>
      </w:r>
    </w:p>
    <w:p w:rsidR="00910E38" w:rsidRPr="00910E38" w:rsidRDefault="00910E38" w:rsidP="00910E38">
      <w:r w:rsidRPr="00910E38">
        <w:t xml:space="preserve">Glucagon concentrations were lower with </w:t>
      </w:r>
      <w:proofErr w:type="spellStart"/>
      <w:r w:rsidRPr="00910E38">
        <w:t>detemir</w:t>
      </w:r>
      <w:proofErr w:type="spellEnd"/>
      <w:r w:rsidRPr="00910E38">
        <w:t xml:space="preserve"> and </w:t>
      </w:r>
      <w:proofErr w:type="spellStart"/>
      <w:r w:rsidRPr="00910E38">
        <w:t>liraglutide</w:t>
      </w:r>
      <w:proofErr w:type="spellEnd"/>
      <w:r w:rsidRPr="00910E38">
        <w:t xml:space="preserve"> in combination than with </w:t>
      </w:r>
      <w:proofErr w:type="spellStart"/>
      <w:r w:rsidRPr="00910E38">
        <w:t>detemir</w:t>
      </w:r>
      <w:proofErr w:type="spellEnd"/>
      <w:r w:rsidRPr="00910E38">
        <w:t xml:space="preserve"> alone, but there was no significant difference compared with </w:t>
      </w:r>
      <w:proofErr w:type="spellStart"/>
      <w:r w:rsidRPr="00910E38">
        <w:t>liraglutide</w:t>
      </w:r>
      <w:proofErr w:type="spellEnd"/>
      <w:r w:rsidRPr="00910E38">
        <w:t xml:space="preserve"> alone (Table </w:t>
      </w:r>
      <w:r>
        <w:t>5</w:t>
      </w:r>
      <w:r w:rsidR="005E32AB">
        <w:t>)</w:t>
      </w:r>
      <w:r>
        <w:t>.</w:t>
      </w:r>
    </w:p>
    <w:p w:rsidR="00910E38" w:rsidRDefault="00910E38" w:rsidP="00910E38">
      <w:pPr>
        <w:pStyle w:val="TableTitle"/>
        <w:keepLines/>
      </w:pPr>
      <w:r w:rsidRPr="00B66E68">
        <w:lastRenderedPageBreak/>
        <w:t xml:space="preserve">Table </w:t>
      </w:r>
      <w:r>
        <w:t xml:space="preserve">5: </w:t>
      </w:r>
      <w:r w:rsidRPr="00B66E68">
        <w:t xml:space="preserve">Summary of </w:t>
      </w:r>
      <w:proofErr w:type="gramStart"/>
      <w:r w:rsidRPr="00B66E68">
        <w:t>AVG(</w:t>
      </w:r>
      <w:proofErr w:type="gramEnd"/>
      <w:r w:rsidRPr="00B66E68">
        <w:t xml:space="preserve">0-24 hour), </w:t>
      </w:r>
      <w:proofErr w:type="spellStart"/>
      <w:r w:rsidRPr="00B66E68">
        <w:t>C</w:t>
      </w:r>
      <w:r w:rsidRPr="00910E38">
        <w:rPr>
          <w:vertAlign w:val="subscript"/>
        </w:rPr>
        <w:t>max</w:t>
      </w:r>
      <w:proofErr w:type="spellEnd"/>
      <w:r w:rsidRPr="00B66E68">
        <w:t xml:space="preserve">, and </w:t>
      </w:r>
      <w:proofErr w:type="spellStart"/>
      <w:r w:rsidRPr="00B66E68">
        <w:t>C</w:t>
      </w:r>
      <w:r w:rsidRPr="00910E38">
        <w:rPr>
          <w:vertAlign w:val="subscript"/>
        </w:rPr>
        <w:t>min</w:t>
      </w:r>
      <w:proofErr w:type="spellEnd"/>
      <w:r w:rsidRPr="00B66E68">
        <w:t xml:space="preserve"> for Glucagon - Full Analysis Set</w:t>
      </w:r>
    </w:p>
    <w:p w:rsidR="00910E38" w:rsidRPr="00B66E68" w:rsidRDefault="00910E38" w:rsidP="00910E38">
      <w:pPr>
        <w:keepNext/>
        <w:keepLines/>
        <w:rPr>
          <w:rFonts w:ascii="Times New Roman" w:hAnsi="Times New Roman"/>
          <w:sz w:val="24"/>
        </w:rPr>
      </w:pPr>
      <w:r>
        <w:rPr>
          <w:rFonts w:ascii="Times New Roman" w:hAnsi="Times New Roman"/>
          <w:noProof/>
          <w:sz w:val="24"/>
          <w:lang w:eastAsia="en-AU"/>
        </w:rPr>
        <w:drawing>
          <wp:inline distT="0" distB="0" distL="0" distR="0" wp14:anchorId="6395E4C8" wp14:editId="0876AD2B">
            <wp:extent cx="5133975" cy="5038725"/>
            <wp:effectExtent l="0" t="0" r="9525" b="9525"/>
            <wp:docPr id="14" name="Picture 14" descr="Table 5: Summary of AVG(0-24 hour), Cmax, and Cmin for Glucagon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133975" cy="5038725"/>
                    </a:xfrm>
                    <a:prstGeom prst="rect">
                      <a:avLst/>
                    </a:prstGeom>
                    <a:noFill/>
                    <a:ln w="9525">
                      <a:noFill/>
                      <a:miter lim="800000"/>
                      <a:headEnd/>
                      <a:tailEnd/>
                    </a:ln>
                  </pic:spPr>
                </pic:pic>
              </a:graphicData>
            </a:graphic>
          </wp:inline>
        </w:drawing>
      </w:r>
    </w:p>
    <w:p w:rsidR="00910E38" w:rsidRPr="00910E38" w:rsidRDefault="00910E38" w:rsidP="00910E38">
      <w:pPr>
        <w:pStyle w:val="Heading3"/>
      </w:pPr>
      <w:bookmarkStart w:id="32" w:name="_Ref269983272"/>
      <w:bookmarkStart w:id="33" w:name="_Toc272414648"/>
      <w:bookmarkStart w:id="34" w:name="_Toc290846270"/>
      <w:bookmarkStart w:id="35" w:name="_Toc347931813"/>
      <w:bookmarkStart w:id="36" w:name="_Toc384108944"/>
      <w:r w:rsidRPr="00910E38">
        <w:t>Evaluator’s overall conclusions on pharmacodynamics</w:t>
      </w:r>
      <w:bookmarkEnd w:id="32"/>
      <w:bookmarkEnd w:id="33"/>
      <w:bookmarkEnd w:id="34"/>
      <w:bookmarkEnd w:id="35"/>
      <w:bookmarkEnd w:id="36"/>
    </w:p>
    <w:p w:rsidR="00910E38" w:rsidRPr="00910E38" w:rsidRDefault="00910E38" w:rsidP="00910E38">
      <w:r w:rsidRPr="00910E38">
        <w:t xml:space="preserve">Insulin </w:t>
      </w:r>
      <w:proofErr w:type="spellStart"/>
      <w:r w:rsidRPr="00910E38">
        <w:t>detemir</w:t>
      </w:r>
      <w:proofErr w:type="spellEnd"/>
      <w:r w:rsidRPr="00910E38">
        <w:t xml:space="preserve"> and </w:t>
      </w:r>
      <w:proofErr w:type="spellStart"/>
      <w:r w:rsidRPr="00910E38">
        <w:t>liraglutide</w:t>
      </w:r>
      <w:proofErr w:type="spellEnd"/>
      <w:r w:rsidRPr="00910E38">
        <w:t xml:space="preserve"> have a synergistic effect</w:t>
      </w:r>
      <w:r>
        <w:t xml:space="preserve"> in decreasing plasma glucose. </w:t>
      </w:r>
      <w:r w:rsidRPr="00910E38">
        <w:t xml:space="preserve">Insulin </w:t>
      </w:r>
      <w:proofErr w:type="spellStart"/>
      <w:r w:rsidRPr="00910E38">
        <w:t>detemir</w:t>
      </w:r>
      <w:proofErr w:type="spellEnd"/>
      <w:r w:rsidRPr="00910E38">
        <w:t xml:space="preserve"> when added to </w:t>
      </w:r>
      <w:proofErr w:type="spellStart"/>
      <w:r w:rsidRPr="00910E38">
        <w:t>liraglutide</w:t>
      </w:r>
      <w:proofErr w:type="spellEnd"/>
      <w:r w:rsidRPr="00910E38">
        <w:t xml:space="preserve"> decreases overall insulin secretion.</w:t>
      </w:r>
    </w:p>
    <w:p w:rsidR="00586F98" w:rsidRDefault="00C22678" w:rsidP="00586F98">
      <w:pPr>
        <w:pStyle w:val="Heading2"/>
      </w:pPr>
      <w:bookmarkStart w:id="37" w:name="_Toc384108945"/>
      <w:r>
        <w:t>Dosage selection for the pivotal studies</w:t>
      </w:r>
      <w:bookmarkEnd w:id="37"/>
    </w:p>
    <w:p w:rsidR="00910E38" w:rsidRPr="00910E38" w:rsidRDefault="00910E38" w:rsidP="00910E38">
      <w:r w:rsidRPr="00910E38">
        <w:t>Dosage selection was based on the approved dosing recommendations.</w:t>
      </w:r>
    </w:p>
    <w:p w:rsidR="00C22678" w:rsidRDefault="00C22678" w:rsidP="00C22678">
      <w:pPr>
        <w:pStyle w:val="Heading2"/>
      </w:pPr>
      <w:bookmarkStart w:id="38" w:name="_Toc384108946"/>
      <w:r>
        <w:lastRenderedPageBreak/>
        <w:t>Clinical efficacy</w:t>
      </w:r>
      <w:bookmarkEnd w:id="38"/>
    </w:p>
    <w:p w:rsidR="0047373B" w:rsidRPr="00622F6A" w:rsidRDefault="0047373B" w:rsidP="0047373B">
      <w:pPr>
        <w:pStyle w:val="Heading3"/>
      </w:pPr>
      <w:bookmarkStart w:id="39" w:name="_Toc347931816"/>
      <w:bookmarkStart w:id="40" w:name="_Toc384108947"/>
      <w:r w:rsidRPr="00622F6A">
        <w:t>Change 1</w:t>
      </w:r>
      <w:bookmarkEnd w:id="39"/>
      <w:bookmarkEnd w:id="40"/>
    </w:p>
    <w:p w:rsidR="0047373B" w:rsidRPr="00622F6A" w:rsidRDefault="0047373B" w:rsidP="0047373B">
      <w:pPr>
        <w:pStyle w:val="Heading4"/>
      </w:pPr>
      <w:bookmarkStart w:id="41" w:name="_Ref271037274"/>
      <w:bookmarkStart w:id="42" w:name="_Toc272414652"/>
      <w:bookmarkStart w:id="43" w:name="_Toc290846274"/>
      <w:bookmarkStart w:id="44" w:name="_Toc347931817"/>
      <w:r w:rsidRPr="00622F6A">
        <w:t>Pivotal efficacy stud</w:t>
      </w:r>
      <w:bookmarkEnd w:id="41"/>
      <w:bookmarkEnd w:id="42"/>
      <w:bookmarkEnd w:id="43"/>
      <w:r>
        <w:t>y</w:t>
      </w:r>
      <w:bookmarkEnd w:id="44"/>
    </w:p>
    <w:p w:rsidR="0047373B" w:rsidRPr="00622F6A" w:rsidRDefault="0047373B" w:rsidP="0047373B">
      <w:pPr>
        <w:pStyle w:val="Heading5"/>
        <w:rPr>
          <w:color w:val="auto"/>
        </w:rPr>
      </w:pPr>
      <w:bookmarkStart w:id="45" w:name="_Ref271040927"/>
      <w:bookmarkStart w:id="46" w:name="_Ref271040932"/>
      <w:bookmarkStart w:id="47" w:name="_Toc272414653"/>
      <w:bookmarkStart w:id="48" w:name="_Toc290846275"/>
      <w:bookmarkStart w:id="49" w:name="_Toc347931818"/>
      <w:r w:rsidRPr="00622F6A">
        <w:t>Study NN2211-1842</w:t>
      </w:r>
      <w:bookmarkEnd w:id="45"/>
      <w:bookmarkEnd w:id="46"/>
      <w:bookmarkEnd w:id="47"/>
      <w:bookmarkEnd w:id="48"/>
      <w:bookmarkEnd w:id="49"/>
    </w:p>
    <w:p w:rsidR="0047373B" w:rsidRPr="00622F6A" w:rsidRDefault="0047373B" w:rsidP="0047373B">
      <w:pPr>
        <w:pStyle w:val="Heading6"/>
      </w:pPr>
      <w:r w:rsidRPr="00622F6A">
        <w:t>Study design, objectives, locations and dates</w:t>
      </w:r>
    </w:p>
    <w:p w:rsidR="0047373B" w:rsidRPr="00704F9F" w:rsidRDefault="0047373B" w:rsidP="00704F9F">
      <w:r w:rsidRPr="00704F9F">
        <w:t>Study NN2211-1842 was a multicentre, randomised, open label, two arm, parallel group trial with an additional open-</w:t>
      </w:r>
      <w:proofErr w:type="gramStart"/>
      <w:r w:rsidRPr="00704F9F">
        <w:t>label,</w:t>
      </w:r>
      <w:proofErr w:type="gramEnd"/>
      <w:r w:rsidRPr="00704F9F">
        <w:t xml:space="preserve"> non-randomised arm carrying subjects who achieved target glycaemic control after the run-in period (Table </w:t>
      </w:r>
      <w:r w:rsidR="00704F9F">
        <w:t>6</w:t>
      </w:r>
      <w:r w:rsidR="0093155F">
        <w:t>, Appendix 1</w:t>
      </w:r>
      <w:r w:rsidRPr="00704F9F">
        <w:t xml:space="preserve">). The study design is summarised in </w:t>
      </w:r>
      <w:r w:rsidR="00704F9F">
        <w:t>Table 7</w:t>
      </w:r>
      <w:r w:rsidR="005E32AB">
        <w:t xml:space="preserve"> (Appendix 1)</w:t>
      </w:r>
      <w:r w:rsidRPr="00704F9F">
        <w:t>. The study was conducted at 202 centres in nine countries from March 2009 to April 2010.</w:t>
      </w:r>
    </w:p>
    <w:p w:rsidR="0047373B" w:rsidRPr="00622F6A" w:rsidRDefault="0047373B" w:rsidP="00704F9F">
      <w:pPr>
        <w:pStyle w:val="Heading6"/>
      </w:pPr>
      <w:r w:rsidRPr="00622F6A">
        <w:t>Inclusion and exclusion criteria</w:t>
      </w:r>
    </w:p>
    <w:p w:rsidR="0047373B" w:rsidRPr="00704F9F" w:rsidRDefault="0047373B" w:rsidP="00704F9F">
      <w:r w:rsidRPr="00704F9F">
        <w:t>The inclusion criteria included:</w:t>
      </w:r>
    </w:p>
    <w:p w:rsidR="0047373B" w:rsidRPr="00704F9F" w:rsidRDefault="0047373B" w:rsidP="00704F9F">
      <w:pPr>
        <w:pStyle w:val="ListBullet"/>
      </w:pPr>
      <w:r w:rsidRPr="00704F9F">
        <w:t xml:space="preserve">Subjects diagnosed with T2DM, insulin naïve and treated with metformin as </w:t>
      </w:r>
      <w:proofErr w:type="spellStart"/>
      <w:r w:rsidRPr="00704F9F">
        <w:t>monotherapy</w:t>
      </w:r>
      <w:proofErr w:type="spellEnd"/>
      <w:r w:rsidRPr="00704F9F">
        <w:t xml:space="preserve"> for ≥</w:t>
      </w:r>
      <w:r w:rsidR="00704F9F">
        <w:t xml:space="preserve"> three</w:t>
      </w:r>
      <w:r w:rsidRPr="00704F9F">
        <w:t xml:space="preserve"> months prior to screening, at a stable dose of </w:t>
      </w:r>
      <w:r w:rsidR="00704F9F">
        <w:t xml:space="preserve">≥ </w:t>
      </w:r>
      <w:r w:rsidRPr="00704F9F">
        <w:t>1500 mg/day or metformin (≥</w:t>
      </w:r>
      <w:r w:rsidR="00704F9F">
        <w:t> </w:t>
      </w:r>
      <w:r w:rsidRPr="00704F9F">
        <w:t xml:space="preserve">1500 mg/day) and a </w:t>
      </w:r>
      <w:proofErr w:type="spellStart"/>
      <w:r w:rsidRPr="00704F9F">
        <w:t>sulphonylurea</w:t>
      </w:r>
      <w:proofErr w:type="spellEnd"/>
      <w:r w:rsidRPr="00704F9F">
        <w:t xml:space="preserve"> (</w:t>
      </w:r>
      <w:r w:rsidR="00704F9F">
        <w:t>≤</w:t>
      </w:r>
      <w:r w:rsidRPr="00704F9F">
        <w:t xml:space="preserve"> </w:t>
      </w:r>
      <w:r w:rsidR="00704F9F">
        <w:t>half</w:t>
      </w:r>
      <w:r w:rsidRPr="00704F9F">
        <w:t xml:space="preserve"> of the maximum approved dose according to local label), both at a stable dose for ≥</w:t>
      </w:r>
      <w:r w:rsidR="00704F9F">
        <w:t xml:space="preserve"> </w:t>
      </w:r>
      <w:r w:rsidRPr="00704F9F">
        <w:t>3</w:t>
      </w:r>
      <w:r w:rsidR="00704F9F">
        <w:t xml:space="preserve"> three</w:t>
      </w:r>
      <w:r w:rsidRPr="00704F9F">
        <w:t xml:space="preserve"> months prior to screening. </w:t>
      </w:r>
    </w:p>
    <w:p w:rsidR="0047373B" w:rsidRPr="00704F9F" w:rsidRDefault="0047373B" w:rsidP="00704F9F">
      <w:pPr>
        <w:pStyle w:val="ListBullet"/>
      </w:pPr>
      <w:r w:rsidRPr="00704F9F">
        <w:t xml:space="preserve">HbA1c 7.0 to 10.0% inclusive for subjects on metformin </w:t>
      </w:r>
      <w:proofErr w:type="spellStart"/>
      <w:r w:rsidRPr="00704F9F">
        <w:t>monotherapy</w:t>
      </w:r>
      <w:proofErr w:type="spellEnd"/>
      <w:r w:rsidRPr="00704F9F">
        <w:t xml:space="preserve">, HbA1c 7.0 to 8.5% inclusive for subjects on metformin in combination with a </w:t>
      </w:r>
      <w:proofErr w:type="spellStart"/>
      <w:r w:rsidRPr="00704F9F">
        <w:t>sulphonylurea</w:t>
      </w:r>
      <w:proofErr w:type="spellEnd"/>
    </w:p>
    <w:p w:rsidR="0047373B" w:rsidRPr="00704F9F" w:rsidRDefault="0047373B" w:rsidP="00704F9F">
      <w:pPr>
        <w:pStyle w:val="ListBullet"/>
      </w:pPr>
      <w:r w:rsidRPr="00704F9F">
        <w:t xml:space="preserve">Age 18 to 80 years, inclusive </w:t>
      </w:r>
    </w:p>
    <w:p w:rsidR="0047373B" w:rsidRPr="00704F9F" w:rsidRDefault="0047373B" w:rsidP="00704F9F">
      <w:r w:rsidRPr="00704F9F">
        <w:t>The exclusion criteria included:</w:t>
      </w:r>
    </w:p>
    <w:p w:rsidR="0047373B" w:rsidRPr="00704F9F" w:rsidRDefault="0047373B" w:rsidP="00704F9F">
      <w:pPr>
        <w:pStyle w:val="ListBullet"/>
      </w:pPr>
      <w:r w:rsidRPr="00704F9F">
        <w:t>Previous treatment with insulin (except for short-term treatment in connection with inter-current illness at the discretion of the investigator)</w:t>
      </w:r>
    </w:p>
    <w:p w:rsidR="0047373B" w:rsidRPr="00704F9F" w:rsidRDefault="0047373B" w:rsidP="00704F9F">
      <w:pPr>
        <w:pStyle w:val="ListBullet"/>
      </w:pPr>
      <w:r w:rsidRPr="00704F9F">
        <w:t xml:space="preserve">Treatment with glucose-lowering agent(s) other than those stated in the inclusion criteria for a period of </w:t>
      </w:r>
      <w:r w:rsidR="00704F9F">
        <w:t>three</w:t>
      </w:r>
      <w:r w:rsidRPr="00704F9F">
        <w:t xml:space="preserve"> months prior to screening</w:t>
      </w:r>
    </w:p>
    <w:p w:rsidR="0047373B" w:rsidRPr="00704F9F" w:rsidRDefault="0047373B" w:rsidP="00704F9F">
      <w:pPr>
        <w:pStyle w:val="ListBullet"/>
      </w:pPr>
      <w:r w:rsidRPr="00704F9F">
        <w:t>Impaired liver function, ALT ≥</w:t>
      </w:r>
      <w:r w:rsidR="00704F9F">
        <w:t xml:space="preserve"> </w:t>
      </w:r>
      <w:r w:rsidRPr="00704F9F">
        <w:t>2.5</w:t>
      </w:r>
      <w:r w:rsidR="00704F9F">
        <w:t xml:space="preserve"> times </w:t>
      </w:r>
      <w:r w:rsidRPr="00704F9F">
        <w:t>ULN</w:t>
      </w:r>
    </w:p>
    <w:p w:rsidR="0047373B" w:rsidRPr="00704F9F" w:rsidRDefault="0047373B" w:rsidP="00704F9F">
      <w:pPr>
        <w:pStyle w:val="ListBullet"/>
      </w:pPr>
      <w:r w:rsidRPr="00704F9F">
        <w:t>Impaired renal function defined as serum-creatinine ≥</w:t>
      </w:r>
      <w:r w:rsidR="00704F9F">
        <w:t xml:space="preserve"> </w:t>
      </w:r>
      <w:r w:rsidRPr="00704F9F">
        <w:t xml:space="preserve">133 </w:t>
      </w:r>
      <w:proofErr w:type="spellStart"/>
      <w:r w:rsidRPr="00704F9F">
        <w:t>μmol</w:t>
      </w:r>
      <w:proofErr w:type="spellEnd"/>
      <w:r w:rsidRPr="00704F9F">
        <w:t>/L for males and ≥</w:t>
      </w:r>
      <w:r w:rsidR="00704F9F">
        <w:t> </w:t>
      </w:r>
      <w:r w:rsidRPr="00704F9F">
        <w:t>124</w:t>
      </w:r>
      <w:r w:rsidR="00704F9F">
        <w:t> </w:t>
      </w:r>
      <w:proofErr w:type="spellStart"/>
      <w:r w:rsidRPr="00704F9F">
        <w:t>μmol</w:t>
      </w:r>
      <w:proofErr w:type="spellEnd"/>
      <w:r w:rsidRPr="00704F9F">
        <w:t>/L for females</w:t>
      </w:r>
    </w:p>
    <w:p w:rsidR="0047373B" w:rsidRPr="00704F9F" w:rsidRDefault="0047373B" w:rsidP="00704F9F">
      <w:pPr>
        <w:pStyle w:val="ListBullet"/>
      </w:pPr>
      <w:r w:rsidRPr="00704F9F">
        <w:t>History of chronic pancreatitis or idiopathic acute pancreatitis</w:t>
      </w:r>
    </w:p>
    <w:p w:rsidR="0047373B" w:rsidRPr="00704F9F" w:rsidRDefault="0047373B" w:rsidP="00704F9F">
      <w:pPr>
        <w:pStyle w:val="ListBullet"/>
      </w:pPr>
      <w:r w:rsidRPr="00704F9F">
        <w:t xml:space="preserve">Known history of unstable angina, acute coronary event, other significant cardiac event, or cerebral stroke within the past </w:t>
      </w:r>
      <w:r w:rsidR="00704F9F">
        <w:t>six</w:t>
      </w:r>
      <w:r w:rsidRPr="00704F9F">
        <w:t xml:space="preserve"> months</w:t>
      </w:r>
    </w:p>
    <w:p w:rsidR="0047373B" w:rsidRPr="00704F9F" w:rsidRDefault="0047373B" w:rsidP="00704F9F">
      <w:pPr>
        <w:pStyle w:val="ListBullet"/>
      </w:pPr>
      <w:r w:rsidRPr="00704F9F">
        <w:t xml:space="preserve">Heart failure NYHA </w:t>
      </w:r>
      <w:r w:rsidR="00704F9F">
        <w:t>C</w:t>
      </w:r>
      <w:r w:rsidRPr="00704F9F">
        <w:t>lass IV</w:t>
      </w:r>
    </w:p>
    <w:p w:rsidR="0047373B" w:rsidRPr="00704F9F" w:rsidRDefault="0047373B" w:rsidP="00704F9F">
      <w:pPr>
        <w:pStyle w:val="ListBullet"/>
      </w:pPr>
      <w:r w:rsidRPr="00704F9F">
        <w:t xml:space="preserve">Known proliferative retinopathy or </w:t>
      </w:r>
      <w:proofErr w:type="spellStart"/>
      <w:r w:rsidRPr="00704F9F">
        <w:t>maculopathy</w:t>
      </w:r>
      <w:proofErr w:type="spellEnd"/>
      <w:r w:rsidRPr="00704F9F">
        <w:t xml:space="preserve"> requiring acute treatment </w:t>
      </w:r>
    </w:p>
    <w:p w:rsidR="0047373B" w:rsidRPr="00704F9F" w:rsidRDefault="0047373B" w:rsidP="00704F9F">
      <w:pPr>
        <w:pStyle w:val="ListBullet"/>
      </w:pPr>
      <w:r w:rsidRPr="00704F9F">
        <w:t>Uncontrolled treated or untreated hypertension (SBP ≥</w:t>
      </w:r>
      <w:r w:rsidR="00704F9F">
        <w:t xml:space="preserve"> </w:t>
      </w:r>
      <w:r w:rsidRPr="00704F9F">
        <w:t>180 mmHg and/or DBP</w:t>
      </w:r>
      <w:r w:rsidR="00704F9F">
        <w:t> </w:t>
      </w:r>
      <w:r w:rsidRPr="00704F9F">
        <w:t>≥</w:t>
      </w:r>
      <w:r w:rsidR="00704F9F">
        <w:t> </w:t>
      </w:r>
      <w:r w:rsidRPr="00704F9F">
        <w:t>110</w:t>
      </w:r>
      <w:r w:rsidR="00704F9F">
        <w:t> </w:t>
      </w:r>
      <w:r w:rsidRPr="00704F9F">
        <w:t>mmHg)</w:t>
      </w:r>
    </w:p>
    <w:p w:rsidR="0047373B" w:rsidRPr="00704F9F" w:rsidRDefault="0047373B" w:rsidP="00704F9F">
      <w:pPr>
        <w:pStyle w:val="ListBullet"/>
      </w:pPr>
      <w:r w:rsidRPr="00704F9F">
        <w:t>Cancer (except basal cell skin cancer or squamous cell skin cancer) or any clinically significant disorder, except for conditions associated with T2DM history, which in the investigator’s opinion could interfere with the results of the trial</w:t>
      </w:r>
    </w:p>
    <w:p w:rsidR="0047373B" w:rsidRPr="00704F9F" w:rsidRDefault="0047373B" w:rsidP="00704F9F">
      <w:pPr>
        <w:pStyle w:val="ListBullet"/>
      </w:pPr>
      <w:r w:rsidRPr="00704F9F">
        <w:t xml:space="preserve">Recurrent major hypoglycaemia or hypoglycaemic unawareness </w:t>
      </w:r>
    </w:p>
    <w:p w:rsidR="0047373B" w:rsidRPr="00704F9F" w:rsidRDefault="0047373B" w:rsidP="00704F9F">
      <w:pPr>
        <w:pStyle w:val="ListBullet"/>
      </w:pPr>
      <w:r w:rsidRPr="00704F9F">
        <w:t>Use of any drug (except for those stated in the inclusion criteria), which in the investigator’s opinion could interfere with the glucose level (</w:t>
      </w:r>
      <w:r w:rsidR="00704F9F">
        <w:t>such as s</w:t>
      </w:r>
      <w:r w:rsidRPr="00704F9F">
        <w:t>ystemic corticosteroids)</w:t>
      </w:r>
    </w:p>
    <w:p w:rsidR="0047373B" w:rsidRPr="00704F9F" w:rsidRDefault="0047373B" w:rsidP="00704F9F">
      <w:pPr>
        <w:pStyle w:val="ListBullet"/>
      </w:pPr>
      <w:r w:rsidRPr="00704F9F">
        <w:lastRenderedPageBreak/>
        <w:t>Surgery scheduled during the trial period (excluding minor surgical procedures performed under local anaesthesia)</w:t>
      </w:r>
    </w:p>
    <w:p w:rsidR="0047373B" w:rsidRPr="00704F9F" w:rsidRDefault="0047373B" w:rsidP="00704F9F">
      <w:pPr>
        <w:pStyle w:val="ListBullet"/>
      </w:pPr>
      <w:r w:rsidRPr="00704F9F">
        <w:t>Known or suspected abuse of alcohol or narcotics</w:t>
      </w:r>
    </w:p>
    <w:p w:rsidR="0047373B" w:rsidRPr="00704F9F" w:rsidRDefault="0047373B" w:rsidP="00704F9F">
      <w:pPr>
        <w:pStyle w:val="ListBullet"/>
      </w:pPr>
      <w:r w:rsidRPr="00704F9F">
        <w:t>Females of child bearing potential who were pregnant, breast-feeding or intended to become pregnant or were not using adequate contraceptive methods</w:t>
      </w:r>
    </w:p>
    <w:p w:rsidR="0047373B" w:rsidRDefault="0047373B" w:rsidP="00704F9F">
      <w:r w:rsidRPr="00704F9F">
        <w:t>The randomisation criterion was HbA1c measured at the randomisation visit ≥</w:t>
      </w:r>
      <w:r w:rsidR="00704F9F">
        <w:t xml:space="preserve"> </w:t>
      </w:r>
      <w:r w:rsidRPr="00704F9F">
        <w:t>7.0%.</w:t>
      </w:r>
    </w:p>
    <w:p w:rsidR="00704F9F" w:rsidRPr="00622F6A" w:rsidRDefault="00704F9F" w:rsidP="00704F9F">
      <w:pPr>
        <w:pStyle w:val="Heading6"/>
      </w:pPr>
      <w:r w:rsidRPr="00622F6A">
        <w:t>Study treatments</w:t>
      </w:r>
    </w:p>
    <w:p w:rsidR="00704F9F" w:rsidRPr="00704F9F" w:rsidRDefault="00704F9F" w:rsidP="00704F9F">
      <w:pPr>
        <w:pStyle w:val="Numberbullet0"/>
      </w:pPr>
      <w:r w:rsidRPr="00704F9F">
        <w:t xml:space="preserve">Insulin </w:t>
      </w:r>
      <w:proofErr w:type="spellStart"/>
      <w:r w:rsidRPr="00704F9F">
        <w:t>detemir</w:t>
      </w:r>
      <w:proofErr w:type="spellEnd"/>
      <w:r w:rsidRPr="00704F9F">
        <w:t xml:space="preserve">, starting at 10 U/day and adjusted by SMPG; </w:t>
      </w:r>
      <w:proofErr w:type="spellStart"/>
      <w:r w:rsidRPr="00704F9F">
        <w:t>liraglutide</w:t>
      </w:r>
      <w:proofErr w:type="spellEnd"/>
      <w:r w:rsidRPr="00704F9F">
        <w:t xml:space="preserve"> 1.8 mg</w:t>
      </w:r>
      <w:r>
        <w:t>/</w:t>
      </w:r>
      <w:r w:rsidRPr="00704F9F">
        <w:t>day; and metformin ≥</w:t>
      </w:r>
      <w:r>
        <w:t xml:space="preserve"> </w:t>
      </w:r>
      <w:r w:rsidRPr="00704F9F">
        <w:t>1500 mg</w:t>
      </w:r>
      <w:r>
        <w:t>/</w:t>
      </w:r>
      <w:r w:rsidRPr="00704F9F">
        <w:t xml:space="preserve">day </w:t>
      </w:r>
    </w:p>
    <w:p w:rsidR="00704F9F" w:rsidRPr="00704F9F" w:rsidRDefault="00704F9F" w:rsidP="00704F9F">
      <w:pPr>
        <w:pStyle w:val="Numberbullet0"/>
      </w:pPr>
      <w:proofErr w:type="spellStart"/>
      <w:r w:rsidRPr="00704F9F">
        <w:t>Liraglutide</w:t>
      </w:r>
      <w:proofErr w:type="spellEnd"/>
      <w:r w:rsidRPr="00704F9F">
        <w:t xml:space="preserve"> 1.8 mg </w:t>
      </w:r>
      <w:r>
        <w:t>/</w:t>
      </w:r>
      <w:r w:rsidRPr="00704F9F">
        <w:t>day and metformin ≥</w:t>
      </w:r>
      <w:r>
        <w:t xml:space="preserve"> </w:t>
      </w:r>
      <w:r w:rsidRPr="00704F9F">
        <w:t>1500 mg</w:t>
      </w:r>
      <w:r>
        <w:t>/</w:t>
      </w:r>
      <w:r w:rsidRPr="00704F9F">
        <w:t xml:space="preserve">day </w:t>
      </w:r>
    </w:p>
    <w:p w:rsidR="00704F9F" w:rsidRPr="00057652" w:rsidRDefault="00704F9F" w:rsidP="00057652">
      <w:pPr>
        <w:pStyle w:val="Heading6"/>
      </w:pPr>
      <w:r w:rsidRPr="00057652">
        <w:t>Efficacy variables and outcomes</w:t>
      </w:r>
    </w:p>
    <w:p w:rsidR="00704F9F" w:rsidRPr="00057652" w:rsidRDefault="00704F9F" w:rsidP="00057652">
      <w:r w:rsidRPr="00057652">
        <w:t>The primary efficacy outcome measure was the change in HbA1c from baseline to Week 26. The secondary outcome measures were:</w:t>
      </w:r>
    </w:p>
    <w:p w:rsidR="00704F9F" w:rsidRPr="00057652" w:rsidRDefault="00704F9F" w:rsidP="00057652">
      <w:pPr>
        <w:pStyle w:val="ListBullet"/>
      </w:pPr>
      <w:r w:rsidRPr="00057652">
        <w:t>Proportion of subjects reaching HbA1c targets: &lt;</w:t>
      </w:r>
      <w:r w:rsidR="00057652">
        <w:t xml:space="preserve"> </w:t>
      </w:r>
      <w:r w:rsidRPr="00057652">
        <w:t>7%, ≤</w:t>
      </w:r>
      <w:r w:rsidR="00057652">
        <w:t xml:space="preserve"> </w:t>
      </w:r>
      <w:r w:rsidRPr="00057652">
        <w:t>6.5%</w:t>
      </w:r>
    </w:p>
    <w:p w:rsidR="00704F9F" w:rsidRPr="00057652" w:rsidRDefault="00704F9F" w:rsidP="00057652">
      <w:pPr>
        <w:pStyle w:val="ListBullet"/>
      </w:pPr>
      <w:r w:rsidRPr="00057652">
        <w:t>FPG</w:t>
      </w:r>
    </w:p>
    <w:p w:rsidR="00704F9F" w:rsidRPr="00057652" w:rsidRDefault="00704F9F" w:rsidP="00057652">
      <w:pPr>
        <w:pStyle w:val="ListBullet"/>
      </w:pPr>
      <w:r w:rsidRPr="00057652">
        <w:t>Seven-point SMPG profiles</w:t>
      </w:r>
    </w:p>
    <w:p w:rsidR="00704F9F" w:rsidRPr="00057652" w:rsidRDefault="00704F9F" w:rsidP="00057652">
      <w:pPr>
        <w:pStyle w:val="ListBullet"/>
      </w:pPr>
      <w:r w:rsidRPr="00057652">
        <w:t>Body weight</w:t>
      </w:r>
    </w:p>
    <w:p w:rsidR="00704F9F" w:rsidRPr="00057652" w:rsidRDefault="00704F9F" w:rsidP="00057652">
      <w:pPr>
        <w:pStyle w:val="ListBullet"/>
      </w:pPr>
      <w:r w:rsidRPr="00057652">
        <w:t>Waist and hip circumference (and derived waist to hip ratio)</w:t>
      </w:r>
    </w:p>
    <w:p w:rsidR="00704F9F" w:rsidRPr="00057652" w:rsidRDefault="00704F9F" w:rsidP="00057652">
      <w:pPr>
        <w:pStyle w:val="ListBullet"/>
      </w:pPr>
      <w:r w:rsidRPr="00057652">
        <w:t>Beta-cell function: fasting insulin; fasting C-peptide; fasting pro-insulin (and derived pro-insulin to C-peptide ratio), HOMA-B, HOMA-IR</w:t>
      </w:r>
    </w:p>
    <w:p w:rsidR="00704F9F" w:rsidRPr="00057652" w:rsidRDefault="00704F9F" w:rsidP="00057652">
      <w:pPr>
        <w:pStyle w:val="ListBullet"/>
      </w:pPr>
      <w:r w:rsidRPr="00057652">
        <w:t>Fasting lipid profile: total cholesterol; HDL-C; LDL-C; VLDL-C; TG; and FFA</w:t>
      </w:r>
    </w:p>
    <w:p w:rsidR="00704F9F" w:rsidRPr="00057652" w:rsidRDefault="00704F9F" w:rsidP="00057652">
      <w:pPr>
        <w:pStyle w:val="ListBullet"/>
      </w:pPr>
      <w:r w:rsidRPr="00057652">
        <w:t>SBP and DBP</w:t>
      </w:r>
    </w:p>
    <w:p w:rsidR="00704F9F" w:rsidRPr="00057652" w:rsidRDefault="00704F9F" w:rsidP="00057652">
      <w:r w:rsidRPr="00057652">
        <w:t xml:space="preserve">However, due to cross-reactivity between insulin </w:t>
      </w:r>
      <w:proofErr w:type="spellStart"/>
      <w:r w:rsidRPr="00057652">
        <w:t>detemir</w:t>
      </w:r>
      <w:proofErr w:type="spellEnd"/>
      <w:r w:rsidRPr="00057652">
        <w:t xml:space="preserve"> and the insulin assay used to determine individual insulin concentrations in this trial, data on fasting insulin and HOMA-B and HOMA-IR indexes could not be assessed. </w:t>
      </w:r>
    </w:p>
    <w:p w:rsidR="00704F9F" w:rsidRDefault="00704F9F" w:rsidP="00057652">
      <w:r w:rsidRPr="00057652">
        <w:t xml:space="preserve">The safety endpoints were: AEs, hypoglycaemic episodes, physical examination, pulse, laboratory safety parameters, calcitonin and formation of </w:t>
      </w:r>
      <w:proofErr w:type="spellStart"/>
      <w:r w:rsidRPr="00057652">
        <w:t>liraglutide</w:t>
      </w:r>
      <w:proofErr w:type="spellEnd"/>
      <w:r w:rsidRPr="00057652">
        <w:t xml:space="preserve"> and insulin </w:t>
      </w:r>
      <w:proofErr w:type="spellStart"/>
      <w:r w:rsidRPr="00057652">
        <w:t>detemir</w:t>
      </w:r>
      <w:proofErr w:type="spellEnd"/>
      <w:r w:rsidRPr="00057652">
        <w:t xml:space="preserve"> antibodies.</w:t>
      </w:r>
    </w:p>
    <w:p w:rsidR="00057652" w:rsidRDefault="00057652" w:rsidP="00057652">
      <w:r w:rsidRPr="00057652">
        <w:t>The schedule of study visits is summarised in Table</w:t>
      </w:r>
      <w:r>
        <w:t xml:space="preserve"> 7 (</w:t>
      </w:r>
      <w:r w:rsidR="005E32AB">
        <w:t>Appendix 1).</w:t>
      </w:r>
    </w:p>
    <w:p w:rsidR="00057652" w:rsidRPr="00622F6A" w:rsidRDefault="00057652" w:rsidP="00057652">
      <w:pPr>
        <w:pStyle w:val="Heading6"/>
      </w:pPr>
      <w:r w:rsidRPr="00622F6A">
        <w:t>Randomisation and blinding methods</w:t>
      </w:r>
    </w:p>
    <w:p w:rsidR="00057652" w:rsidRPr="00057652" w:rsidRDefault="00057652" w:rsidP="00057652">
      <w:r w:rsidRPr="00057652">
        <w:t>Subjects were randomised 1:1 using IV/WRS</w:t>
      </w:r>
      <w:r>
        <w:t xml:space="preserve">. </w:t>
      </w:r>
      <w:r w:rsidRPr="00057652">
        <w:t xml:space="preserve">There was no blinding, and all treatments were open label. The Sponsor’s argument in defence of this is that blinded treat-to-target administration of insulin </w:t>
      </w:r>
      <w:proofErr w:type="spellStart"/>
      <w:r w:rsidRPr="00057652">
        <w:t>detemir</w:t>
      </w:r>
      <w:proofErr w:type="spellEnd"/>
      <w:r w:rsidRPr="00057652">
        <w:t xml:space="preserve"> placebo was not feasible.</w:t>
      </w:r>
    </w:p>
    <w:p w:rsidR="00057652" w:rsidRPr="00622F6A" w:rsidRDefault="00057652" w:rsidP="00057652">
      <w:pPr>
        <w:pStyle w:val="Heading6"/>
      </w:pPr>
      <w:r w:rsidRPr="00622F6A">
        <w:t>Analysis populations</w:t>
      </w:r>
    </w:p>
    <w:p w:rsidR="00057652" w:rsidRPr="00057652" w:rsidRDefault="00057652" w:rsidP="00057652">
      <w:r w:rsidRPr="00057652">
        <w:t>The FAS included all randomised subjects with at least one efficacy value after the randomisation visit. The safety analysis set included all exposed subjects.</w:t>
      </w:r>
    </w:p>
    <w:p w:rsidR="00057652" w:rsidRPr="00622F6A" w:rsidDel="0081373E" w:rsidRDefault="00057652" w:rsidP="00057652">
      <w:pPr>
        <w:pStyle w:val="Heading6"/>
      </w:pPr>
      <w:r w:rsidRPr="00622F6A" w:rsidDel="0081373E">
        <w:t>Sample size</w:t>
      </w:r>
    </w:p>
    <w:p w:rsidR="00057652" w:rsidRPr="00057652" w:rsidRDefault="00057652" w:rsidP="00057652">
      <w:r w:rsidRPr="00057652">
        <w:t xml:space="preserve">The sample size calculation was based on a treatment difference (in HbA1c) of 0.5% (based on the </w:t>
      </w:r>
      <w:proofErr w:type="spellStart"/>
      <w:r w:rsidRPr="00057652">
        <w:t>liraglutide</w:t>
      </w:r>
      <w:proofErr w:type="spellEnd"/>
      <w:r w:rsidRPr="00057652">
        <w:t xml:space="preserve"> </w:t>
      </w:r>
      <w:r>
        <w:t>P</w:t>
      </w:r>
      <w:r w:rsidRPr="00057652">
        <w:t xml:space="preserve">hase </w:t>
      </w:r>
      <w:r>
        <w:t>III</w:t>
      </w:r>
      <w:r w:rsidRPr="00057652">
        <w:t xml:space="preserve"> trials), SD of 1.2%, with a two-sided significance level of 0.05, a power of 90%, and a randomi</w:t>
      </w:r>
      <w:r>
        <w:t>s</w:t>
      </w:r>
      <w:r w:rsidRPr="00057652">
        <w:t>ation ratio of 1:1. This determined the sample size to be 123 subjects per group, and allowing for dropouts the final calculation was 150 subjects per treatment group.</w:t>
      </w:r>
    </w:p>
    <w:p w:rsidR="00057652" w:rsidRPr="00622F6A" w:rsidRDefault="00057652" w:rsidP="00057652">
      <w:pPr>
        <w:pStyle w:val="Heading6"/>
      </w:pPr>
      <w:r w:rsidRPr="00622F6A">
        <w:lastRenderedPageBreak/>
        <w:t>Statistical methods</w:t>
      </w:r>
    </w:p>
    <w:p w:rsidR="00057652" w:rsidRPr="00057652" w:rsidRDefault="00057652" w:rsidP="00057652">
      <w:r w:rsidRPr="00057652">
        <w:t>Hypothesis tests were performed using ANCOVA models with treatment, previous OAD and country as explanatory variables and baseline HbA1c as a covariate. Missing data were imputed using LOCF. A repeat measures analysis of HbA1c over the 26 weeks was also performed.</w:t>
      </w:r>
    </w:p>
    <w:p w:rsidR="00057652" w:rsidRPr="00622F6A" w:rsidRDefault="00057652" w:rsidP="00057652">
      <w:pPr>
        <w:pStyle w:val="Heading6"/>
      </w:pPr>
      <w:r w:rsidRPr="00622F6A">
        <w:t>Participant flow</w:t>
      </w:r>
    </w:p>
    <w:p w:rsidR="00057652" w:rsidRDefault="00057652" w:rsidP="00057652">
      <w:r w:rsidRPr="00057652">
        <w:t xml:space="preserve">A total of 1658 subjects were screened; 162 were randomised to the </w:t>
      </w:r>
      <w:proofErr w:type="spellStart"/>
      <w:r w:rsidRPr="00057652">
        <w:t>detemir</w:t>
      </w:r>
      <w:proofErr w:type="spellEnd"/>
      <w:r w:rsidRPr="00057652">
        <w:t xml:space="preserve"> group; 161 to the control; and 498 were included in </w:t>
      </w:r>
      <w:r>
        <w:t xml:space="preserve">the non-randomised group. </w:t>
      </w:r>
      <w:r w:rsidRPr="00057652">
        <w:t xml:space="preserve">The most common reason for screening failure was HbA1c outside of the range required for inclusion. There were 144 (88.9%) subjects in the </w:t>
      </w:r>
      <w:proofErr w:type="spellStart"/>
      <w:r w:rsidRPr="00057652">
        <w:t>detemir</w:t>
      </w:r>
      <w:proofErr w:type="spellEnd"/>
      <w:r w:rsidRPr="00057652">
        <w:t xml:space="preserve"> group, 127 (78.9%) in the control and 470 (94.4%) in the non-randomised that completed the study (Table</w:t>
      </w:r>
      <w:r>
        <w:t xml:space="preserve"> 8</w:t>
      </w:r>
      <w:r w:rsidRPr="00057652">
        <w:t xml:space="preserve">). There were 162 (100%) subjects in the </w:t>
      </w:r>
      <w:proofErr w:type="spellStart"/>
      <w:r w:rsidRPr="00057652">
        <w:t>detemir</w:t>
      </w:r>
      <w:proofErr w:type="spellEnd"/>
      <w:r w:rsidRPr="00057652">
        <w:t xml:space="preserve"> group and 157 (97.5%) in the control included in the FAS.</w:t>
      </w:r>
    </w:p>
    <w:p w:rsidR="002D1BE5" w:rsidRPr="002D1BE5" w:rsidRDefault="002D1BE5" w:rsidP="002D1BE5">
      <w:pPr>
        <w:pStyle w:val="TableTitle"/>
        <w:keepLines/>
      </w:pPr>
      <w:r w:rsidRPr="002D1BE5">
        <w:t xml:space="preserve">Table </w:t>
      </w:r>
      <w:r>
        <w:t xml:space="preserve">8: </w:t>
      </w:r>
      <w:r w:rsidRPr="002D1BE5">
        <w:t xml:space="preserve">Subject Disposition </w:t>
      </w:r>
    </w:p>
    <w:p w:rsidR="002D1BE5" w:rsidRPr="00BB4F4A" w:rsidRDefault="002D1BE5" w:rsidP="002D1BE5">
      <w:pPr>
        <w:keepNext/>
        <w:keepLines/>
        <w:rPr>
          <w:rFonts w:ascii="Times New Roman" w:hAnsi="Times New Roman"/>
          <w:sz w:val="24"/>
        </w:rPr>
      </w:pPr>
      <w:r>
        <w:rPr>
          <w:rFonts w:ascii="Times New Roman" w:hAnsi="Times New Roman"/>
          <w:noProof/>
          <w:sz w:val="24"/>
          <w:lang w:eastAsia="en-AU"/>
        </w:rPr>
        <w:drawing>
          <wp:inline distT="0" distB="0" distL="0" distR="0" wp14:anchorId="4BDDFC4C" wp14:editId="1E24D9DC">
            <wp:extent cx="5486400" cy="3771900"/>
            <wp:effectExtent l="0" t="0" r="0" b="0"/>
            <wp:docPr id="17" name="Picture 17" descr="Table 8: Subjec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486400" cy="3771900"/>
                    </a:xfrm>
                    <a:prstGeom prst="rect">
                      <a:avLst/>
                    </a:prstGeom>
                    <a:noFill/>
                    <a:ln w="9525">
                      <a:noFill/>
                      <a:miter lim="800000"/>
                      <a:headEnd/>
                      <a:tailEnd/>
                    </a:ln>
                  </pic:spPr>
                </pic:pic>
              </a:graphicData>
            </a:graphic>
          </wp:inline>
        </w:drawing>
      </w:r>
    </w:p>
    <w:p w:rsidR="00057652" w:rsidRPr="00622F6A" w:rsidRDefault="00057652" w:rsidP="00057652">
      <w:pPr>
        <w:pStyle w:val="Heading6"/>
      </w:pPr>
      <w:r w:rsidRPr="00622F6A">
        <w:t>Major protocol violations/deviations</w:t>
      </w:r>
    </w:p>
    <w:p w:rsidR="00057652" w:rsidRPr="00057652" w:rsidRDefault="00057652" w:rsidP="00057652">
      <w:r w:rsidRPr="00057652">
        <w:t>The most common protocol violation was non-compliance: 30% of protocol deviations.</w:t>
      </w:r>
    </w:p>
    <w:p w:rsidR="00057652" w:rsidRPr="00622F6A" w:rsidRDefault="00057652" w:rsidP="00057652">
      <w:pPr>
        <w:pStyle w:val="Heading6"/>
      </w:pPr>
      <w:r w:rsidRPr="00622F6A">
        <w:t>Baseline data</w:t>
      </w:r>
    </w:p>
    <w:p w:rsidR="00057652" w:rsidRPr="00057652" w:rsidRDefault="00057652" w:rsidP="00057652">
      <w:r w:rsidRPr="00057652">
        <w:t>In the randomised population there were 177 (54.8%) males, 146 (45.2%) females and the age range was 31 to 79 years. The treatm</w:t>
      </w:r>
      <w:r>
        <w:t>ent groups were similar in demog</w:t>
      </w:r>
      <w:r w:rsidRPr="00057652">
        <w:t>raphic characteristics (Table</w:t>
      </w:r>
      <w:r>
        <w:t xml:space="preserve"> 9 (</w:t>
      </w:r>
      <w:r w:rsidR="005E32AB">
        <w:t>Appendix 1)</w:t>
      </w:r>
      <w:r w:rsidRPr="00057652">
        <w:t>. Overall the BMI for the treatment groups was high: mean (SD) 34.4 (6.2) kg/m</w:t>
      </w:r>
      <w:r w:rsidRPr="00057652">
        <w:rPr>
          <w:vertAlign w:val="superscript"/>
        </w:rPr>
        <w:t>2</w:t>
      </w:r>
      <w:r w:rsidRPr="00057652">
        <w:t>. The treatment groups were similar in baseline efficacy outcome measures (Table</w:t>
      </w:r>
      <w:r>
        <w:t xml:space="preserve"> 10 (</w:t>
      </w:r>
      <w:r w:rsidR="005E32AB">
        <w:t>Appendix 1</w:t>
      </w:r>
      <w:r w:rsidRPr="00057652">
        <w:t>).</w:t>
      </w:r>
    </w:p>
    <w:p w:rsidR="00057652" w:rsidRPr="00622F6A" w:rsidRDefault="00057652" w:rsidP="00057652">
      <w:pPr>
        <w:pStyle w:val="Heading6"/>
      </w:pPr>
      <w:r w:rsidRPr="00622F6A">
        <w:t>Results for the primary efficacy outcome</w:t>
      </w:r>
    </w:p>
    <w:p w:rsidR="00057652" w:rsidRDefault="00057652" w:rsidP="00057652">
      <w:r w:rsidRPr="00057652">
        <w:t xml:space="preserve">There was a significant decrease in HbA1c to Week 26 in the </w:t>
      </w:r>
      <w:proofErr w:type="spellStart"/>
      <w:r w:rsidRPr="00057652">
        <w:t>detemir</w:t>
      </w:r>
      <w:proofErr w:type="spellEnd"/>
      <w:r w:rsidRPr="00057652">
        <w:t xml:space="preserve"> group compared with control. The LS mean (SE) change was -0.51 (0.07) % for </w:t>
      </w:r>
      <w:proofErr w:type="spellStart"/>
      <w:r w:rsidRPr="00057652">
        <w:t>detemir</w:t>
      </w:r>
      <w:proofErr w:type="spellEnd"/>
      <w:r w:rsidRPr="00057652">
        <w:t xml:space="preserve"> and 0.02 (0.07) % for control, LS mean (95% CI) difference -0.52 (-0.68 to -0.36) %, p &lt;0.0001 (Table</w:t>
      </w:r>
      <w:r>
        <w:t xml:space="preserve"> 11</w:t>
      </w:r>
      <w:r w:rsidRPr="00057652">
        <w:t xml:space="preserve">). The repeated measures ANOVA estimated a mean (95% CI) treatment difference of -0.43 (-0.55 to -0.31) p </w:t>
      </w:r>
      <w:r w:rsidRPr="00057652">
        <w:lastRenderedPageBreak/>
        <w:t>&lt;0.0001 at Week 12 and -0.49 (-0.62 to -0.36) p &lt;0.0001 at Week 26. A subgroup analysis was not performed for the primary efficacy outcome measure.</w:t>
      </w:r>
    </w:p>
    <w:p w:rsidR="002D1BE5" w:rsidRDefault="002D1BE5" w:rsidP="002D1BE5">
      <w:pPr>
        <w:pStyle w:val="TableTitle"/>
        <w:keepLines/>
      </w:pPr>
      <w:r w:rsidRPr="002D1BE5">
        <w:t xml:space="preserve">Table </w:t>
      </w:r>
      <w:r>
        <w:t xml:space="preserve">11: </w:t>
      </w:r>
      <w:r w:rsidRPr="002D1BE5">
        <w:t xml:space="preserve">Summary of Absolute Values and Change in HbA1c (%) - Full Analysis Set </w:t>
      </w:r>
    </w:p>
    <w:p w:rsidR="002D1BE5" w:rsidRDefault="002D1BE5" w:rsidP="002D1BE5">
      <w:pPr>
        <w:keepNext/>
        <w:keepLines/>
      </w:pPr>
      <w:r>
        <w:rPr>
          <w:rFonts w:ascii="Times New Roman" w:hAnsi="Times New Roman"/>
          <w:noProof/>
          <w:sz w:val="24"/>
          <w:lang w:eastAsia="en-AU"/>
        </w:rPr>
        <w:drawing>
          <wp:inline distT="0" distB="0" distL="0" distR="0" wp14:anchorId="06C69621" wp14:editId="0B7A353A">
            <wp:extent cx="4438650" cy="6629400"/>
            <wp:effectExtent l="0" t="0" r="0" b="0"/>
            <wp:docPr id="23" name="Picture 23" descr="Table 11: Summary of Absolute Values and Change in HbA1c (%) -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4438650" cy="6629400"/>
                    </a:xfrm>
                    <a:prstGeom prst="rect">
                      <a:avLst/>
                    </a:prstGeom>
                    <a:noFill/>
                    <a:ln w="9525">
                      <a:noFill/>
                      <a:miter lim="800000"/>
                      <a:headEnd/>
                      <a:tailEnd/>
                    </a:ln>
                  </pic:spPr>
                </pic:pic>
              </a:graphicData>
            </a:graphic>
          </wp:inline>
        </w:drawing>
      </w:r>
    </w:p>
    <w:p w:rsidR="00057652" w:rsidRPr="00622F6A" w:rsidRDefault="00057652" w:rsidP="00057652">
      <w:pPr>
        <w:pStyle w:val="Heading6"/>
      </w:pPr>
      <w:r w:rsidRPr="00622F6A">
        <w:t>Results for other efficacy outcomes</w:t>
      </w:r>
    </w:p>
    <w:p w:rsidR="00057652" w:rsidRPr="00057652" w:rsidRDefault="00057652" w:rsidP="00057652">
      <w:pPr>
        <w:pStyle w:val="ListBullet"/>
      </w:pPr>
      <w:r w:rsidRPr="00057652">
        <w:t>At Week 26 the proportion achieving HbA1c &lt;</w:t>
      </w:r>
      <w:r>
        <w:t xml:space="preserve"> </w:t>
      </w:r>
      <w:r w:rsidRPr="00057652">
        <w:t xml:space="preserve">7% was 71 (44.4%) subjects in the </w:t>
      </w:r>
      <w:proofErr w:type="spellStart"/>
      <w:r w:rsidRPr="00057652">
        <w:t>detemir</w:t>
      </w:r>
      <w:proofErr w:type="spellEnd"/>
      <w:r w:rsidRPr="00057652">
        <w:t xml:space="preserve"> group and 30 (20.1%) in the control, OR (95% CI) 3.75 (2.19 to 6.45), p &lt;0.0001.</w:t>
      </w:r>
    </w:p>
    <w:p w:rsidR="00057652" w:rsidRPr="00057652" w:rsidRDefault="00057652" w:rsidP="00057652">
      <w:pPr>
        <w:pStyle w:val="ListBullet"/>
      </w:pPr>
      <w:r w:rsidRPr="00057652">
        <w:t>At Week 26 the proportion achieving HbA1c ≤</w:t>
      </w:r>
      <w:r>
        <w:t xml:space="preserve"> </w:t>
      </w:r>
      <w:r w:rsidRPr="00057652">
        <w:t xml:space="preserve">6.5% was 31 (19.4%) subjects in the </w:t>
      </w:r>
      <w:proofErr w:type="spellStart"/>
      <w:r w:rsidRPr="00057652">
        <w:t>detemir</w:t>
      </w:r>
      <w:proofErr w:type="spellEnd"/>
      <w:r w:rsidRPr="00057652">
        <w:t xml:space="preserve"> group and 11 (7.4%) in the control, OR (95% CI) 3.32 (1.58 to 7.00), p = 0.0016.</w:t>
      </w:r>
    </w:p>
    <w:p w:rsidR="00057652" w:rsidRDefault="00057652" w:rsidP="00057652">
      <w:pPr>
        <w:pStyle w:val="ListBullet"/>
      </w:pPr>
      <w:r w:rsidRPr="00057652">
        <w:lastRenderedPageBreak/>
        <w:t xml:space="preserve">FPG decreased in the </w:t>
      </w:r>
      <w:proofErr w:type="spellStart"/>
      <w:r w:rsidRPr="00057652">
        <w:t>detemir</w:t>
      </w:r>
      <w:proofErr w:type="spellEnd"/>
      <w:r w:rsidRPr="00057652">
        <w:t xml:space="preserve"> group compared with control (Table </w:t>
      </w:r>
      <w:r>
        <w:t>12</w:t>
      </w:r>
      <w:r w:rsidRPr="00057652">
        <w:t xml:space="preserve">). The mean (SD) change from baseline was -2.13 (2.17) </w:t>
      </w:r>
      <w:proofErr w:type="spellStart"/>
      <w:r w:rsidRPr="00057652">
        <w:t>mmol</w:t>
      </w:r>
      <w:proofErr w:type="spellEnd"/>
      <w:r w:rsidRPr="00057652">
        <w:t xml:space="preserve">/L for </w:t>
      </w:r>
      <w:proofErr w:type="spellStart"/>
      <w:r w:rsidRPr="00057652">
        <w:t>detemir</w:t>
      </w:r>
      <w:proofErr w:type="spellEnd"/>
      <w:r w:rsidRPr="00057652">
        <w:t xml:space="preserve"> and -0.23 (2.13) </w:t>
      </w:r>
      <w:proofErr w:type="spellStart"/>
      <w:r w:rsidRPr="00057652">
        <w:t>mmol</w:t>
      </w:r>
      <w:proofErr w:type="spellEnd"/>
      <w:r w:rsidRPr="00057652">
        <w:t xml:space="preserve">/L for control; LS mean difference (95% CI) -1.73 (-2.16 to -1.30) </w:t>
      </w:r>
      <w:proofErr w:type="spellStart"/>
      <w:r w:rsidRPr="00057652">
        <w:t>mmol</w:t>
      </w:r>
      <w:proofErr w:type="spellEnd"/>
      <w:r w:rsidRPr="00057652">
        <w:t>/L, p &lt;0.0001.</w:t>
      </w:r>
    </w:p>
    <w:p w:rsidR="002D1BE5" w:rsidRPr="002D1BE5" w:rsidRDefault="002D1BE5" w:rsidP="002D1BE5">
      <w:pPr>
        <w:pStyle w:val="TableTitle"/>
        <w:keepLines/>
      </w:pPr>
      <w:r w:rsidRPr="002D1BE5">
        <w:t xml:space="preserve">Table </w:t>
      </w:r>
      <w:r>
        <w:t xml:space="preserve">12: </w:t>
      </w:r>
      <w:r w:rsidRPr="002D1BE5">
        <w:t>Summary of Absolute Values and Change in FPG (</w:t>
      </w:r>
      <w:proofErr w:type="spellStart"/>
      <w:r w:rsidRPr="002D1BE5">
        <w:t>mmol</w:t>
      </w:r>
      <w:proofErr w:type="spellEnd"/>
      <w:r w:rsidRPr="002D1BE5">
        <w:t>/L) - Full Analysis Set</w:t>
      </w:r>
    </w:p>
    <w:p w:rsidR="002D1BE5" w:rsidRPr="00BB4F4A" w:rsidRDefault="002D1BE5" w:rsidP="002D1BE5">
      <w:pPr>
        <w:keepNext/>
        <w:keepLines/>
        <w:rPr>
          <w:rFonts w:ascii="Times New Roman" w:hAnsi="Times New Roman"/>
          <w:sz w:val="24"/>
        </w:rPr>
      </w:pPr>
      <w:r>
        <w:rPr>
          <w:rFonts w:ascii="Times New Roman" w:hAnsi="Times New Roman"/>
          <w:noProof/>
          <w:sz w:val="24"/>
          <w:lang w:eastAsia="en-AU"/>
        </w:rPr>
        <w:drawing>
          <wp:inline distT="0" distB="0" distL="0" distR="0" wp14:anchorId="6A589F40" wp14:editId="64E24865">
            <wp:extent cx="4533900" cy="6677025"/>
            <wp:effectExtent l="0" t="0" r="0" b="9525"/>
            <wp:docPr id="24" name="Picture 24" descr="Table 12: Summary of Absolute Values and Change in FPG (mmol/L)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4533900" cy="6677025"/>
                    </a:xfrm>
                    <a:prstGeom prst="rect">
                      <a:avLst/>
                    </a:prstGeom>
                    <a:noFill/>
                    <a:ln w="9525">
                      <a:noFill/>
                      <a:miter lim="800000"/>
                      <a:headEnd/>
                      <a:tailEnd/>
                    </a:ln>
                  </pic:spPr>
                </pic:pic>
              </a:graphicData>
            </a:graphic>
          </wp:inline>
        </w:drawing>
      </w:r>
    </w:p>
    <w:p w:rsidR="00057652" w:rsidRPr="00057652" w:rsidRDefault="00057652" w:rsidP="00057652">
      <w:pPr>
        <w:pStyle w:val="ListBullet"/>
      </w:pPr>
      <w:r w:rsidRPr="00057652">
        <w:t xml:space="preserve">The SMPG profiles were improved in the </w:t>
      </w:r>
      <w:proofErr w:type="spellStart"/>
      <w:r w:rsidRPr="00057652">
        <w:t>detemir</w:t>
      </w:r>
      <w:proofErr w:type="spellEnd"/>
      <w:r w:rsidRPr="00057652">
        <w:t xml:space="preserve"> group compared with control (</w:t>
      </w:r>
      <w:r w:rsidR="002D1BE5">
        <w:t>Table 8</w:t>
      </w:r>
      <w:r w:rsidR="005E32AB">
        <w:t>)</w:t>
      </w:r>
      <w:r w:rsidRPr="00057652">
        <w:t>. The LS mean difference (95% CI) in post-prandial PG at breakfast was</w:t>
      </w:r>
      <w:r w:rsidR="005E32AB">
        <w:t xml:space="preserve"> </w:t>
      </w:r>
      <w:r w:rsidR="002D1BE5">
        <w:t>-</w:t>
      </w:r>
      <w:r w:rsidRPr="00057652">
        <w:t xml:space="preserve">1.12 (-1.72 to -0.51) </w:t>
      </w:r>
      <w:proofErr w:type="spellStart"/>
      <w:r w:rsidRPr="00057652">
        <w:t>mmol</w:t>
      </w:r>
      <w:proofErr w:type="spellEnd"/>
      <w:r w:rsidRPr="00057652">
        <w:t xml:space="preserve">/L, p = 0.0003; at lunch was -0.60 (-1.12 to -0.08) </w:t>
      </w:r>
      <w:proofErr w:type="spellStart"/>
      <w:r w:rsidRPr="00057652">
        <w:t>mmol</w:t>
      </w:r>
      <w:proofErr w:type="spellEnd"/>
      <w:r w:rsidRPr="00057652">
        <w:t>/L, p</w:t>
      </w:r>
      <w:r w:rsidR="002D1BE5">
        <w:t> </w:t>
      </w:r>
      <w:r w:rsidRPr="00057652">
        <w:t>=</w:t>
      </w:r>
      <w:r w:rsidR="002D1BE5">
        <w:t> </w:t>
      </w:r>
      <w:r w:rsidRPr="00057652">
        <w:t xml:space="preserve">0.0244; and at dinner was -0.70 (-1.25 to -0.14) </w:t>
      </w:r>
      <w:proofErr w:type="spellStart"/>
      <w:r w:rsidRPr="00057652">
        <w:t>mmol</w:t>
      </w:r>
      <w:proofErr w:type="spellEnd"/>
      <w:r w:rsidRPr="00057652">
        <w:t>/L, p = 0.0141. There was no significant difference between the groups in prandial increase in PG at breakfast, lunch or dinner.</w:t>
      </w:r>
    </w:p>
    <w:p w:rsidR="00057652" w:rsidRPr="00057652" w:rsidRDefault="00057652" w:rsidP="00057652">
      <w:pPr>
        <w:pStyle w:val="ListBullet"/>
      </w:pPr>
      <w:r w:rsidRPr="00057652">
        <w:lastRenderedPageBreak/>
        <w:t xml:space="preserve">The mean change in body weight to Week 26 was -0.31 (3.36) kg in the </w:t>
      </w:r>
      <w:proofErr w:type="spellStart"/>
      <w:r w:rsidRPr="00057652">
        <w:t>detemir</w:t>
      </w:r>
      <w:proofErr w:type="spellEnd"/>
      <w:r w:rsidRPr="00057652">
        <w:t xml:space="preserve"> group and </w:t>
      </w:r>
      <w:r w:rsidR="002D1BE5">
        <w:t xml:space="preserve">   </w:t>
      </w:r>
      <w:r w:rsidRPr="00057652">
        <w:t xml:space="preserve">-1.13 (3.17) in the control. The LS mean difference (95% CI) in the change in body weight was 0.79 (0.08 to 1.49) kg, p = 0.0283. This indicates greater weight loss in the control group. For waist circumference, there was no significant difference between treatments: LS mean difference (95% CI) </w:t>
      </w:r>
      <w:proofErr w:type="spellStart"/>
      <w:r w:rsidRPr="00057652">
        <w:t>detemir</w:t>
      </w:r>
      <w:proofErr w:type="spellEnd"/>
      <w:r w:rsidRPr="00057652">
        <w:t>-control: -0.12 (-1.17 to 0.93) cm, p = 0.8229. There was no significant difference in waist circumference or in waist to hip ratio.</w:t>
      </w:r>
    </w:p>
    <w:p w:rsidR="00057652" w:rsidRPr="00057652" w:rsidRDefault="00057652" w:rsidP="00057652">
      <w:pPr>
        <w:pStyle w:val="ListBullet"/>
      </w:pPr>
      <w:r w:rsidRPr="00057652">
        <w:t xml:space="preserve">Fasting insulin, HOMA-B and HOMA-IR could not be determined due to cross-reactivity between insulin </w:t>
      </w:r>
      <w:proofErr w:type="spellStart"/>
      <w:r w:rsidRPr="00057652">
        <w:t>detemir</w:t>
      </w:r>
      <w:proofErr w:type="spellEnd"/>
      <w:r w:rsidRPr="00057652">
        <w:t xml:space="preserve"> and the insulin assay.</w:t>
      </w:r>
    </w:p>
    <w:p w:rsidR="00057652" w:rsidRPr="00057652" w:rsidRDefault="00057652" w:rsidP="00057652">
      <w:pPr>
        <w:pStyle w:val="ListBullet"/>
      </w:pPr>
      <w:r w:rsidRPr="00057652">
        <w:t xml:space="preserve">There was a decrease in </w:t>
      </w:r>
      <w:proofErr w:type="spellStart"/>
      <w:r w:rsidRPr="00057652">
        <w:t>proinsulin</w:t>
      </w:r>
      <w:proofErr w:type="spellEnd"/>
      <w:r w:rsidRPr="00057652">
        <w:t xml:space="preserve"> in the </w:t>
      </w:r>
      <w:proofErr w:type="spellStart"/>
      <w:r w:rsidRPr="00057652">
        <w:t>detemir</w:t>
      </w:r>
      <w:proofErr w:type="spellEnd"/>
      <w:r w:rsidRPr="00057652">
        <w:t xml:space="preserve"> group compared with control: LS mean difference (95% CI) </w:t>
      </w:r>
      <w:proofErr w:type="spellStart"/>
      <w:r w:rsidRPr="00057652">
        <w:t>detemir</w:t>
      </w:r>
      <w:proofErr w:type="spellEnd"/>
      <w:r w:rsidRPr="00057652">
        <w:t xml:space="preserve">-control -8.66 (-16.1 to -1.21) </w:t>
      </w:r>
      <w:proofErr w:type="spellStart"/>
      <w:r w:rsidRPr="00057652">
        <w:t>pmol</w:t>
      </w:r>
      <w:proofErr w:type="spellEnd"/>
      <w:r w:rsidRPr="00057652">
        <w:t>/L, p = 0.0230.</w:t>
      </w:r>
    </w:p>
    <w:p w:rsidR="00057652" w:rsidRPr="00057652" w:rsidRDefault="00057652" w:rsidP="00057652">
      <w:pPr>
        <w:pStyle w:val="ListBullet"/>
      </w:pPr>
      <w:r w:rsidRPr="00057652">
        <w:t xml:space="preserve">There was a decrease in fasting C-peptide in the </w:t>
      </w:r>
      <w:proofErr w:type="spellStart"/>
      <w:r w:rsidRPr="00057652">
        <w:t>detemir</w:t>
      </w:r>
      <w:proofErr w:type="spellEnd"/>
      <w:r w:rsidRPr="00057652">
        <w:t xml:space="preserve"> group compared with control: LS mean difference (95% CI) </w:t>
      </w:r>
      <w:proofErr w:type="spellStart"/>
      <w:r w:rsidRPr="00057652">
        <w:t>detemir</w:t>
      </w:r>
      <w:proofErr w:type="spellEnd"/>
      <w:r w:rsidRPr="00057652">
        <w:t xml:space="preserve">-control -0.24 (-0.33 to -0.15) </w:t>
      </w:r>
      <w:proofErr w:type="spellStart"/>
      <w:r w:rsidRPr="00057652">
        <w:t>nmol</w:t>
      </w:r>
      <w:proofErr w:type="spellEnd"/>
      <w:r w:rsidRPr="00057652">
        <w:t xml:space="preserve">/L, p &lt;0.0001. There was no difference between the groups in </w:t>
      </w:r>
      <w:proofErr w:type="spellStart"/>
      <w:r w:rsidRPr="00057652">
        <w:t>proinsulin</w:t>
      </w:r>
      <w:proofErr w:type="spellEnd"/>
      <w:r w:rsidRPr="00057652">
        <w:t xml:space="preserve"> to C-peptide ratio.</w:t>
      </w:r>
    </w:p>
    <w:p w:rsidR="00057652" w:rsidRPr="00057652" w:rsidRDefault="00057652" w:rsidP="00057652">
      <w:pPr>
        <w:pStyle w:val="ListBullet"/>
      </w:pPr>
      <w:r w:rsidRPr="00057652">
        <w:t xml:space="preserve">There was no difference between the groups in the change in total cholesterol: LS mean difference (95% CI) </w:t>
      </w:r>
      <w:proofErr w:type="spellStart"/>
      <w:r w:rsidRPr="00057652">
        <w:t>detemir</w:t>
      </w:r>
      <w:proofErr w:type="spellEnd"/>
      <w:r w:rsidRPr="00057652">
        <w:t xml:space="preserve">-control 0.01 (-0.15 to 0.17) </w:t>
      </w:r>
      <w:proofErr w:type="spellStart"/>
      <w:r w:rsidRPr="00057652">
        <w:t>mmol</w:t>
      </w:r>
      <w:proofErr w:type="spellEnd"/>
      <w:r w:rsidRPr="00057652">
        <w:t>/L, p = 0.8600.</w:t>
      </w:r>
    </w:p>
    <w:p w:rsidR="00057652" w:rsidRPr="00057652" w:rsidRDefault="00057652" w:rsidP="00057652">
      <w:pPr>
        <w:pStyle w:val="ListBullet"/>
      </w:pPr>
      <w:r w:rsidRPr="00057652">
        <w:t xml:space="preserve">There was no difference between the groups in the change in LDL-C: LS mean difference (95% CI) </w:t>
      </w:r>
      <w:proofErr w:type="spellStart"/>
      <w:r w:rsidRPr="00057652">
        <w:t>detemir</w:t>
      </w:r>
      <w:proofErr w:type="spellEnd"/>
      <w:r w:rsidRPr="00057652">
        <w:t xml:space="preserve">-control 0.01 (-0.12 to 0.14) </w:t>
      </w:r>
      <w:proofErr w:type="spellStart"/>
      <w:r w:rsidRPr="00057652">
        <w:t>mmol</w:t>
      </w:r>
      <w:proofErr w:type="spellEnd"/>
      <w:r w:rsidRPr="00057652">
        <w:t>/L, p = 0.8354.</w:t>
      </w:r>
    </w:p>
    <w:p w:rsidR="009D72BC" w:rsidRPr="00622F6A" w:rsidRDefault="009D72BC" w:rsidP="009D72BC">
      <w:pPr>
        <w:pStyle w:val="ListBullet"/>
        <w:rPr>
          <w:lang w:val="en-US"/>
        </w:rPr>
      </w:pPr>
      <w:r w:rsidRPr="00622F6A">
        <w:rPr>
          <w:lang w:val="en-US"/>
        </w:rPr>
        <w:t xml:space="preserve">There was no difference between the groups in the change in VLDL-C: LS mean difference (95% CI) </w:t>
      </w:r>
      <w:proofErr w:type="spellStart"/>
      <w:r w:rsidRPr="00622F6A">
        <w:rPr>
          <w:lang w:val="en-US"/>
        </w:rPr>
        <w:t>detemir</w:t>
      </w:r>
      <w:proofErr w:type="spellEnd"/>
      <w:r w:rsidRPr="00622F6A">
        <w:rPr>
          <w:lang w:val="en-US"/>
        </w:rPr>
        <w:t xml:space="preserve">-control -0.04 (-0.11 to 0.03) </w:t>
      </w:r>
      <w:proofErr w:type="spellStart"/>
      <w:r w:rsidRPr="00622F6A">
        <w:rPr>
          <w:lang w:val="en-US"/>
        </w:rPr>
        <w:t>mmol</w:t>
      </w:r>
      <w:proofErr w:type="spellEnd"/>
      <w:r w:rsidRPr="00622F6A">
        <w:rPr>
          <w:lang w:val="en-US"/>
        </w:rPr>
        <w:t>/L, p = 0.3069.</w:t>
      </w:r>
    </w:p>
    <w:p w:rsidR="009D72BC" w:rsidRPr="00622F6A" w:rsidRDefault="009D72BC" w:rsidP="009D72BC">
      <w:pPr>
        <w:pStyle w:val="ListBullet"/>
        <w:rPr>
          <w:lang w:val="en-US"/>
        </w:rPr>
      </w:pPr>
      <w:r w:rsidRPr="00622F6A">
        <w:rPr>
          <w:lang w:val="en-US"/>
        </w:rPr>
        <w:t xml:space="preserve">There was no significant difference between the groups in the change in VLDL-C: LS mean difference (95% CI) </w:t>
      </w:r>
      <w:proofErr w:type="spellStart"/>
      <w:r w:rsidRPr="00622F6A">
        <w:rPr>
          <w:lang w:val="en-US"/>
        </w:rPr>
        <w:t>detemir</w:t>
      </w:r>
      <w:proofErr w:type="spellEnd"/>
      <w:r w:rsidRPr="00622F6A">
        <w:rPr>
          <w:lang w:val="en-US"/>
        </w:rPr>
        <w:t xml:space="preserve">-control 0.03 (-0.00 to 0.06) </w:t>
      </w:r>
      <w:proofErr w:type="spellStart"/>
      <w:r w:rsidRPr="00622F6A">
        <w:rPr>
          <w:lang w:val="en-US"/>
        </w:rPr>
        <w:t>mmol</w:t>
      </w:r>
      <w:proofErr w:type="spellEnd"/>
      <w:r w:rsidRPr="00622F6A">
        <w:rPr>
          <w:lang w:val="en-US"/>
        </w:rPr>
        <w:t>/L, p = 0.0902.</w:t>
      </w:r>
    </w:p>
    <w:p w:rsidR="009D72BC" w:rsidRPr="00622F6A" w:rsidRDefault="009D72BC" w:rsidP="009D72BC">
      <w:pPr>
        <w:pStyle w:val="ListBullet"/>
        <w:rPr>
          <w:lang w:val="en-US"/>
        </w:rPr>
      </w:pPr>
      <w:r w:rsidRPr="00622F6A">
        <w:rPr>
          <w:lang w:val="en-US"/>
        </w:rPr>
        <w:t xml:space="preserve">There was no significant difference between the groups in the change in TG: LS mean difference (95% CI) </w:t>
      </w:r>
      <w:proofErr w:type="spellStart"/>
      <w:r w:rsidRPr="00622F6A">
        <w:rPr>
          <w:lang w:val="en-US"/>
        </w:rPr>
        <w:t>detemir</w:t>
      </w:r>
      <w:proofErr w:type="spellEnd"/>
      <w:r w:rsidRPr="00622F6A">
        <w:rPr>
          <w:lang w:val="en-US"/>
        </w:rPr>
        <w:t xml:space="preserve">-control -0.09 (-0.34 to 0.15) </w:t>
      </w:r>
      <w:proofErr w:type="spellStart"/>
      <w:r w:rsidRPr="00622F6A">
        <w:rPr>
          <w:lang w:val="en-US"/>
        </w:rPr>
        <w:t>mmol</w:t>
      </w:r>
      <w:proofErr w:type="spellEnd"/>
      <w:r w:rsidRPr="00622F6A">
        <w:rPr>
          <w:lang w:val="en-US"/>
        </w:rPr>
        <w:t>/L, p = 0.4577.</w:t>
      </w:r>
    </w:p>
    <w:p w:rsidR="009D72BC" w:rsidRPr="00622F6A" w:rsidRDefault="009D72BC" w:rsidP="009D72BC">
      <w:pPr>
        <w:pStyle w:val="ListBullet"/>
        <w:rPr>
          <w:lang w:val="en-US"/>
        </w:rPr>
      </w:pPr>
      <w:r w:rsidRPr="00622F6A">
        <w:rPr>
          <w:lang w:val="en-US"/>
        </w:rPr>
        <w:t xml:space="preserve">FFA decreased to a greater extend in the </w:t>
      </w:r>
      <w:proofErr w:type="spellStart"/>
      <w:r w:rsidRPr="00622F6A">
        <w:rPr>
          <w:lang w:val="en-US"/>
        </w:rPr>
        <w:t>detemir</w:t>
      </w:r>
      <w:proofErr w:type="spellEnd"/>
      <w:r w:rsidRPr="00622F6A">
        <w:rPr>
          <w:lang w:val="en-US"/>
        </w:rPr>
        <w:t xml:space="preserve"> group: LS mean difference (95% CI) </w:t>
      </w:r>
      <w:proofErr w:type="spellStart"/>
      <w:r w:rsidRPr="00622F6A">
        <w:rPr>
          <w:lang w:val="en-US"/>
        </w:rPr>
        <w:t>detemir</w:t>
      </w:r>
      <w:proofErr w:type="spellEnd"/>
      <w:r w:rsidRPr="00622F6A">
        <w:rPr>
          <w:lang w:val="en-US"/>
        </w:rPr>
        <w:t xml:space="preserve">-control -0.08 (-0.13 to -0.03) </w:t>
      </w:r>
      <w:proofErr w:type="spellStart"/>
      <w:r w:rsidRPr="00622F6A">
        <w:rPr>
          <w:lang w:val="en-US"/>
        </w:rPr>
        <w:t>mmol</w:t>
      </w:r>
      <w:proofErr w:type="spellEnd"/>
      <w:r w:rsidRPr="00622F6A">
        <w:rPr>
          <w:lang w:val="en-US"/>
        </w:rPr>
        <w:t>/L, p = 0.0017.</w:t>
      </w:r>
    </w:p>
    <w:p w:rsidR="009D72BC" w:rsidRPr="00622F6A" w:rsidRDefault="009D72BC" w:rsidP="009D72BC">
      <w:pPr>
        <w:pStyle w:val="ListBullet"/>
        <w:rPr>
          <w:lang w:val="en-US"/>
        </w:rPr>
      </w:pPr>
      <w:r w:rsidRPr="00622F6A">
        <w:rPr>
          <w:lang w:val="en-US"/>
        </w:rPr>
        <w:t xml:space="preserve">There was no significant difference between the groups in the change in SBP: </w:t>
      </w:r>
      <w:r>
        <w:rPr>
          <w:lang w:val="en-US"/>
        </w:rPr>
        <w:t xml:space="preserve">the </w:t>
      </w:r>
      <w:r w:rsidRPr="00622F6A">
        <w:rPr>
          <w:lang w:val="en-US"/>
        </w:rPr>
        <w:t xml:space="preserve">LS mean difference (95% CI) </w:t>
      </w:r>
      <w:proofErr w:type="spellStart"/>
      <w:r w:rsidRPr="00622F6A">
        <w:rPr>
          <w:lang w:val="en-US"/>
        </w:rPr>
        <w:t>detemir</w:t>
      </w:r>
      <w:proofErr w:type="spellEnd"/>
      <w:r w:rsidRPr="00622F6A">
        <w:rPr>
          <w:lang w:val="en-US"/>
        </w:rPr>
        <w:t xml:space="preserve">-control </w:t>
      </w:r>
      <w:r>
        <w:rPr>
          <w:lang w:val="en-US"/>
        </w:rPr>
        <w:t xml:space="preserve">was </w:t>
      </w:r>
      <w:r w:rsidRPr="00622F6A">
        <w:rPr>
          <w:lang w:val="en-US"/>
        </w:rPr>
        <w:t>-0.70 (-3.48 to 2.07) mmHg, p = 0.6192.</w:t>
      </w:r>
    </w:p>
    <w:p w:rsidR="009D72BC" w:rsidRPr="00622F6A" w:rsidRDefault="009D72BC" w:rsidP="009D72BC">
      <w:pPr>
        <w:pStyle w:val="ListBullet"/>
        <w:rPr>
          <w:lang w:val="en-US"/>
        </w:rPr>
      </w:pPr>
      <w:r w:rsidRPr="00622F6A">
        <w:rPr>
          <w:lang w:val="en-US"/>
        </w:rPr>
        <w:t xml:space="preserve">There was no significant difference between the groups in the change in DBP: </w:t>
      </w:r>
      <w:r>
        <w:rPr>
          <w:lang w:val="en-US"/>
        </w:rPr>
        <w:t xml:space="preserve">the </w:t>
      </w:r>
      <w:r w:rsidRPr="00622F6A">
        <w:rPr>
          <w:lang w:val="en-US"/>
        </w:rPr>
        <w:t xml:space="preserve">LS mean difference (95% CI) </w:t>
      </w:r>
      <w:proofErr w:type="spellStart"/>
      <w:r w:rsidRPr="00622F6A">
        <w:rPr>
          <w:lang w:val="en-US"/>
        </w:rPr>
        <w:t>detemir</w:t>
      </w:r>
      <w:proofErr w:type="spellEnd"/>
      <w:r w:rsidRPr="00622F6A">
        <w:rPr>
          <w:lang w:val="en-US"/>
        </w:rPr>
        <w:t xml:space="preserve">-control </w:t>
      </w:r>
      <w:r>
        <w:rPr>
          <w:lang w:val="en-US"/>
        </w:rPr>
        <w:t xml:space="preserve">was </w:t>
      </w:r>
      <w:r w:rsidRPr="00622F6A">
        <w:rPr>
          <w:lang w:val="en-US"/>
        </w:rPr>
        <w:t>0.70 (-1.06 to 2.46) mmHg, p = 0.4325.</w:t>
      </w:r>
    </w:p>
    <w:p w:rsidR="009D72BC" w:rsidRPr="00426D7A" w:rsidRDefault="009D72BC" w:rsidP="009D72BC">
      <w:pPr>
        <w:pStyle w:val="Heading4"/>
      </w:pPr>
      <w:bookmarkStart w:id="50" w:name="_Toc347931819"/>
      <w:r w:rsidRPr="00426D7A">
        <w:t>Other efficacy studies</w:t>
      </w:r>
      <w:bookmarkEnd w:id="50"/>
    </w:p>
    <w:p w:rsidR="009D72BC" w:rsidRPr="009D72BC" w:rsidRDefault="009D72BC" w:rsidP="009D72BC">
      <w:r w:rsidRPr="009D72BC">
        <w:t xml:space="preserve">Study NN2211-1842-extension included 140 subjects from the </w:t>
      </w:r>
      <w:proofErr w:type="spellStart"/>
      <w:r w:rsidRPr="009D72BC">
        <w:t>detemir</w:t>
      </w:r>
      <w:proofErr w:type="spellEnd"/>
      <w:r w:rsidRPr="009D72BC">
        <w:t xml:space="preserve"> group and 122 from the control. Of these, there were 130 subjects in the </w:t>
      </w:r>
      <w:proofErr w:type="spellStart"/>
      <w:r w:rsidRPr="009D72BC">
        <w:t>detemir</w:t>
      </w:r>
      <w:proofErr w:type="spellEnd"/>
      <w:r w:rsidRPr="009D72BC">
        <w:t xml:space="preserve"> group and 92 in the control that completed the 52 weeks of treatment. The mean (SD) change in HbA1c to Week 52 in the extension study was -1.12 (1.16) % in the </w:t>
      </w:r>
      <w:proofErr w:type="spellStart"/>
      <w:r w:rsidRPr="009D72BC">
        <w:t>detemir</w:t>
      </w:r>
      <w:proofErr w:type="spellEnd"/>
      <w:r w:rsidRPr="009D72BC">
        <w:t xml:space="preserve"> group and -0.76 (1.11) % in the control. The repeat measures ANOVA estimated the treatment difference at Week 56 to be -0.34 (-0.56 to -0.12) %, p = 0.0023. At Week 52, HbA1c &lt;7% was achieved by 74 (59.2%) subjects in the </w:t>
      </w:r>
      <w:proofErr w:type="spellStart"/>
      <w:r w:rsidRPr="009D72BC">
        <w:t>detemir</w:t>
      </w:r>
      <w:proofErr w:type="spellEnd"/>
      <w:r w:rsidRPr="009D72BC">
        <w:t xml:space="preserve"> group and 27 (30.3%) in the control. HbA1c ≤6.5% was achieved by 37 (29.6%) subjects in the </w:t>
      </w:r>
      <w:proofErr w:type="spellStart"/>
      <w:r w:rsidRPr="009D72BC">
        <w:t>detemir</w:t>
      </w:r>
      <w:proofErr w:type="spellEnd"/>
      <w:r w:rsidRPr="009D72BC">
        <w:t xml:space="preserve"> group and ten (11.2%) in the control. The mean (SD) change from baseline in FPG was -2.18 (2.42) in the </w:t>
      </w:r>
      <w:proofErr w:type="spellStart"/>
      <w:r w:rsidRPr="009D72BC">
        <w:t>detemir</w:t>
      </w:r>
      <w:proofErr w:type="spellEnd"/>
      <w:r w:rsidRPr="009D72BC">
        <w:t xml:space="preserve"> group and -0.50 (1.90) in the control. The LS mean difference (95% CI) in post-prandial PG at breakfast was -1.74 (-2.32 to -1.16) </w:t>
      </w:r>
      <w:proofErr w:type="spellStart"/>
      <w:r w:rsidRPr="009D72BC">
        <w:t>mmol</w:t>
      </w:r>
      <w:proofErr w:type="spellEnd"/>
      <w:r w:rsidRPr="009D72BC">
        <w:t xml:space="preserve">/L, p &lt; 0.0001; at lunch was -0.63 (-1.21 to -0.04) </w:t>
      </w:r>
      <w:proofErr w:type="spellStart"/>
      <w:r w:rsidRPr="009D72BC">
        <w:t>mmol</w:t>
      </w:r>
      <w:proofErr w:type="spellEnd"/>
      <w:r w:rsidRPr="009D72BC">
        <w:t xml:space="preserve">/L, p = 0.0357; and at dinner was -0.44 (-1.04 to 0.16) </w:t>
      </w:r>
      <w:proofErr w:type="spellStart"/>
      <w:r w:rsidRPr="009D72BC">
        <w:t>mmol</w:t>
      </w:r>
      <w:proofErr w:type="spellEnd"/>
      <w:r w:rsidRPr="009D72BC">
        <w:t xml:space="preserve">/L, p = 0.1484. There was no significant difference between the groups in prandial increase in PG at breakfast, lunch or dinner. The mean (SD) change in body weight was -3.88 (5.49) kg in the </w:t>
      </w:r>
      <w:proofErr w:type="spellStart"/>
      <w:r w:rsidRPr="009D72BC">
        <w:t>detemir</w:t>
      </w:r>
      <w:proofErr w:type="spellEnd"/>
      <w:r w:rsidRPr="009D72BC">
        <w:t xml:space="preserve"> group and -5.09 (5.30) kg in the control.</w:t>
      </w:r>
    </w:p>
    <w:p w:rsidR="009D72BC" w:rsidRDefault="009D72BC" w:rsidP="009D72BC">
      <w:pPr>
        <w:rPr>
          <w:rFonts w:ascii="Times New Roman" w:hAnsi="Times New Roman"/>
          <w:sz w:val="24"/>
        </w:rPr>
      </w:pPr>
    </w:p>
    <w:p w:rsidR="009D72BC" w:rsidRPr="003C0A48" w:rsidRDefault="009D72BC" w:rsidP="009D72BC">
      <w:pPr>
        <w:pStyle w:val="Heading4"/>
      </w:pPr>
      <w:bookmarkStart w:id="51" w:name="_Toc347931820"/>
      <w:r w:rsidRPr="003C0A48">
        <w:lastRenderedPageBreak/>
        <w:t>Evaluator’s conclusions on clinical efficacy for</w:t>
      </w:r>
      <w:r>
        <w:t xml:space="preserve"> Change 1</w:t>
      </w:r>
      <w:bookmarkEnd w:id="51"/>
    </w:p>
    <w:p w:rsidR="009D72BC" w:rsidRPr="009D72BC" w:rsidRDefault="009D72BC" w:rsidP="009D72BC">
      <w:r w:rsidRPr="009D72BC">
        <w:t xml:space="preserve">Insulin </w:t>
      </w:r>
      <w:proofErr w:type="spellStart"/>
      <w:r w:rsidRPr="009D72BC">
        <w:t>detemir</w:t>
      </w:r>
      <w:proofErr w:type="spellEnd"/>
      <w:r w:rsidRPr="009D72BC">
        <w:t xml:space="preserve"> in combination with </w:t>
      </w:r>
      <w:proofErr w:type="spellStart"/>
      <w:r w:rsidRPr="009D72BC">
        <w:t>liraglutide</w:t>
      </w:r>
      <w:proofErr w:type="spellEnd"/>
      <w:r w:rsidRPr="009D72BC">
        <w:t xml:space="preserve"> and metformin resulted in an incremental decrease in mean</w:t>
      </w:r>
      <w:r>
        <w:t xml:space="preserve"> HbA1c of 0.51% over 26 weeks. </w:t>
      </w:r>
      <w:r w:rsidRPr="009D72BC">
        <w:t xml:space="preserve">This is a clinically significant improvement in diabetes control. The improvement was maintained over a 52 week period. There was weight loss in the group treated with </w:t>
      </w:r>
      <w:proofErr w:type="spellStart"/>
      <w:r w:rsidRPr="009D72BC">
        <w:t>detemir</w:t>
      </w:r>
      <w:proofErr w:type="spellEnd"/>
      <w:r w:rsidRPr="009D72BC">
        <w:t xml:space="preserve">, </w:t>
      </w:r>
      <w:proofErr w:type="spellStart"/>
      <w:r w:rsidRPr="009D72BC">
        <w:t>liraglutide</w:t>
      </w:r>
      <w:proofErr w:type="spellEnd"/>
      <w:r w:rsidRPr="009D72BC">
        <w:t xml:space="preserve"> and metformin in combination, but less than in those treated with </w:t>
      </w:r>
      <w:proofErr w:type="spellStart"/>
      <w:r w:rsidRPr="009D72BC">
        <w:t>liraglutide</w:t>
      </w:r>
      <w:proofErr w:type="spellEnd"/>
      <w:r w:rsidRPr="009D72BC">
        <w:t xml:space="preserve"> and metformin alone.</w:t>
      </w:r>
    </w:p>
    <w:p w:rsidR="009D72BC" w:rsidRPr="000D6380" w:rsidRDefault="009D72BC" w:rsidP="009D72BC">
      <w:pPr>
        <w:pStyle w:val="Heading3"/>
        <w:rPr>
          <w:lang w:val="en-US"/>
        </w:rPr>
      </w:pPr>
      <w:bookmarkStart w:id="52" w:name="_Toc347931821"/>
      <w:bookmarkStart w:id="53" w:name="_Toc384108948"/>
      <w:r w:rsidRPr="000D6380">
        <w:rPr>
          <w:lang w:val="en-US"/>
        </w:rPr>
        <w:t>Change 2</w:t>
      </w:r>
      <w:bookmarkEnd w:id="52"/>
      <w:bookmarkEnd w:id="53"/>
    </w:p>
    <w:p w:rsidR="009D72BC" w:rsidRPr="000D6380" w:rsidRDefault="009D72BC" w:rsidP="009D72BC">
      <w:pPr>
        <w:pStyle w:val="Heading5"/>
        <w:rPr>
          <w:szCs w:val="24"/>
        </w:rPr>
      </w:pPr>
      <w:bookmarkStart w:id="54" w:name="_Toc347931822"/>
      <w:r w:rsidRPr="000D6380">
        <w:t>Study NN304-1690</w:t>
      </w:r>
      <w:bookmarkEnd w:id="54"/>
    </w:p>
    <w:p w:rsidR="009D72BC" w:rsidRPr="009D72BC" w:rsidRDefault="009D72BC" w:rsidP="009D72BC">
      <w:r w:rsidRPr="009D72BC">
        <w:t xml:space="preserve">Study NN304-1690 was an open label, multicentre, single arm, 52-week extension of Study NN304-1689 investigating insulin </w:t>
      </w:r>
      <w:proofErr w:type="spellStart"/>
      <w:r w:rsidRPr="009D72BC">
        <w:t>detemir</w:t>
      </w:r>
      <w:proofErr w:type="spellEnd"/>
      <w:r w:rsidRPr="009D72BC">
        <w:t xml:space="preserve"> administered once or twice daily to children and adolescents diagnosed with T1DM (Table</w:t>
      </w:r>
      <w:r>
        <w:t xml:space="preserve"> 13</w:t>
      </w:r>
      <w:r w:rsidR="005E32AB">
        <w:t xml:space="preserve">, Appendix </w:t>
      </w:r>
      <w:r w:rsidRPr="009D72BC">
        <w:t>1). The Study was conducted at 29 sites in eleven countries from February 2008 to September 2009. The study included subjects who had completed 52 weeks of treatment in Study NN304-1689 (see Table</w:t>
      </w:r>
      <w:r>
        <w:t xml:space="preserve"> 14</w:t>
      </w:r>
      <w:r w:rsidRPr="009D72BC">
        <w:t xml:space="preserve">) previously evaluated in application TGA PM-2010-01598-3-5. Insulin </w:t>
      </w:r>
      <w:proofErr w:type="spellStart"/>
      <w:r w:rsidRPr="009D72BC">
        <w:t>detemir</w:t>
      </w:r>
      <w:proofErr w:type="spellEnd"/>
      <w:r w:rsidRPr="009D72BC">
        <w:t xml:space="preserve"> was administered as a subcutaneous injection in the thigh once or twice daily, with the dose adjusted individually and aiming for FPG of </w:t>
      </w:r>
      <w:smartTag w:uri="urn:schemas-microsoft-com:office:smarttags" w:element="time">
        <w:smartTagPr>
          <w:attr w:name="Hour" w:val="18"/>
          <w:attr w:name="Minute" w:val="56"/>
        </w:smartTagPr>
        <w:r w:rsidRPr="009D72BC">
          <w:t>4 to 7</w:t>
        </w:r>
      </w:smartTag>
      <w:r w:rsidRPr="009D72BC">
        <w:t xml:space="preserve"> </w:t>
      </w:r>
      <w:proofErr w:type="spellStart"/>
      <w:r w:rsidRPr="009D72BC">
        <w:t>mmol</w:t>
      </w:r>
      <w:proofErr w:type="spellEnd"/>
      <w:r w:rsidRPr="009D72BC">
        <w:t xml:space="preserve">/L. In addition, insulin </w:t>
      </w:r>
      <w:proofErr w:type="spellStart"/>
      <w:r w:rsidRPr="009D72BC">
        <w:t>aspart</w:t>
      </w:r>
      <w:proofErr w:type="spellEnd"/>
      <w:r w:rsidRPr="009D72BC">
        <w:t xml:space="preserve"> was administered as subcutaneous injections in the abdomen, pre-prandial, two to four times a day, in connection with main meals. The study was not primarily designed as an efficacy study, but some efficacy variables were included as secondary outcome measures. The outcome measures were: insulin </w:t>
      </w:r>
      <w:proofErr w:type="spellStart"/>
      <w:r w:rsidRPr="009D72BC">
        <w:t>detemir</w:t>
      </w:r>
      <w:proofErr w:type="spellEnd"/>
      <w:r w:rsidRPr="009D72BC">
        <w:t xml:space="preserve">-insulin </w:t>
      </w:r>
      <w:proofErr w:type="spellStart"/>
      <w:r w:rsidRPr="009D72BC">
        <w:t>aspart</w:t>
      </w:r>
      <w:proofErr w:type="spellEnd"/>
      <w:r w:rsidRPr="009D72BC">
        <w:t xml:space="preserve"> cross reacting antibodies, insulin </w:t>
      </w:r>
      <w:proofErr w:type="spellStart"/>
      <w:r w:rsidRPr="009D72BC">
        <w:t>detemir</w:t>
      </w:r>
      <w:proofErr w:type="spellEnd"/>
      <w:r w:rsidRPr="009D72BC">
        <w:t xml:space="preserve"> specific antibodies, insulin </w:t>
      </w:r>
      <w:proofErr w:type="spellStart"/>
      <w:r w:rsidRPr="009D72BC">
        <w:t>aspart</w:t>
      </w:r>
      <w:proofErr w:type="spellEnd"/>
      <w:r w:rsidRPr="009D72BC">
        <w:t xml:space="preserve"> specific antibodies, HbA1c, FPG, hypoglycaemic episodes, BMI, weight, AEs, diabetic ketoacidosis, laboratory safety parameters, and vital signs.</w:t>
      </w:r>
    </w:p>
    <w:p w:rsidR="009D72BC" w:rsidRDefault="009D72BC" w:rsidP="009D72BC">
      <w:r w:rsidRPr="009D72BC">
        <w:t>The study included 146 subjects</w:t>
      </w:r>
      <w:r>
        <w:t>: 37 were aged 2</w:t>
      </w:r>
      <w:r w:rsidRPr="009D72BC">
        <w:t xml:space="preserve"> to </w:t>
      </w:r>
      <w:r>
        <w:t>5</w:t>
      </w:r>
      <w:r w:rsidRPr="009D72BC">
        <w:t xml:space="preserve"> years, 59 were aged </w:t>
      </w:r>
      <w:r>
        <w:t>6</w:t>
      </w:r>
      <w:r w:rsidRPr="009D72BC">
        <w:t xml:space="preserve"> to 12 years, and 50 were aged 13 to 16 years. A total of 141 (96.6%) subjects completed the study. All the subjects were included in the efficacy and safety analyses. There were 77 (52.7%) females, 69 (47.3%) males, and the age range was 3.1 to 17.9 years. The subject demographics are summari</w:t>
      </w:r>
      <w:r>
        <w:t>s</w:t>
      </w:r>
      <w:r w:rsidRPr="009D72BC">
        <w:t>ed in Table</w:t>
      </w:r>
      <w:r>
        <w:t xml:space="preserve"> 14</w:t>
      </w:r>
      <w:r w:rsidR="005E32AB">
        <w:t>.</w:t>
      </w:r>
    </w:p>
    <w:p w:rsidR="009D72BC" w:rsidRDefault="009D72BC" w:rsidP="009D72BC"/>
    <w:p w:rsidR="009D72BC" w:rsidRPr="009D72BC" w:rsidRDefault="009D72BC" w:rsidP="009D72BC">
      <w:pPr>
        <w:pStyle w:val="TableTitle"/>
        <w:keepLines/>
      </w:pPr>
      <w:r w:rsidRPr="009D72BC">
        <w:lastRenderedPageBreak/>
        <w:t xml:space="preserve">Table 14: Subject Characteristics at Baseline by Age Group, SAS, Extension Period </w:t>
      </w:r>
    </w:p>
    <w:p w:rsidR="009D72BC" w:rsidRPr="0038471D" w:rsidRDefault="009D72BC" w:rsidP="009D72BC">
      <w:pPr>
        <w:keepNext/>
        <w:keepLines/>
        <w:rPr>
          <w:rFonts w:ascii="Times New Roman" w:hAnsi="Times New Roman"/>
          <w:sz w:val="24"/>
        </w:rPr>
      </w:pPr>
      <w:r>
        <w:rPr>
          <w:rFonts w:ascii="Times New Roman" w:hAnsi="Times New Roman"/>
          <w:noProof/>
          <w:sz w:val="24"/>
          <w:lang w:eastAsia="en-AU"/>
        </w:rPr>
        <w:drawing>
          <wp:inline distT="0" distB="0" distL="0" distR="0" wp14:anchorId="580024FB" wp14:editId="1897864E">
            <wp:extent cx="5486400" cy="6572250"/>
            <wp:effectExtent l="0" t="0" r="0" b="0"/>
            <wp:docPr id="25" name="Picture 25" descr="Table 14: Subject Characteristics at Baseline by Age Group, SAS, Extension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5486400" cy="6572250"/>
                    </a:xfrm>
                    <a:prstGeom prst="rect">
                      <a:avLst/>
                    </a:prstGeom>
                    <a:noFill/>
                    <a:ln w="9525">
                      <a:noFill/>
                      <a:miter lim="800000"/>
                      <a:headEnd/>
                      <a:tailEnd/>
                    </a:ln>
                  </pic:spPr>
                </pic:pic>
              </a:graphicData>
            </a:graphic>
          </wp:inline>
        </w:drawing>
      </w:r>
    </w:p>
    <w:p w:rsidR="009D72BC" w:rsidRPr="009D72BC" w:rsidRDefault="009D72BC" w:rsidP="009D72BC">
      <w:r w:rsidRPr="009D72BC">
        <w:t xml:space="preserve">Diabetic complications were not assessed when entering the extension period, but the most common other concomitant illnesses at the extension Visit 1 were </w:t>
      </w:r>
      <w:proofErr w:type="spellStart"/>
      <w:r w:rsidRPr="009D72BC">
        <w:t>lipohypertrophy</w:t>
      </w:r>
      <w:proofErr w:type="spellEnd"/>
      <w:r w:rsidRPr="009D72BC">
        <w:t xml:space="preserve"> (reported in 3.4 % of subjects), liver disorder and varicella (both reported in 2.7% of subjects), autoimmune thyroiditis, coeliac disease, dental caries, myopia, headache, asthma and adenoidectomy (reported in 2.1% of subjects). The daily dose of </w:t>
      </w:r>
      <w:proofErr w:type="spellStart"/>
      <w:r w:rsidRPr="009D72BC">
        <w:t>detemir</w:t>
      </w:r>
      <w:proofErr w:type="spellEnd"/>
      <w:r w:rsidRPr="009D72BC">
        <w:t xml:space="preserve"> ranged from 0.17 to 1.40 U/kg (Table</w:t>
      </w:r>
      <w:r w:rsidR="005E32AB">
        <w:t xml:space="preserve"> 15)</w:t>
      </w:r>
      <w:r w:rsidRPr="009D72BC">
        <w:t>.</w:t>
      </w:r>
    </w:p>
    <w:p w:rsidR="002E51CE" w:rsidRPr="002E51CE" w:rsidRDefault="002E51CE" w:rsidP="002E51CE">
      <w:pPr>
        <w:pStyle w:val="TableTitle"/>
        <w:keepLines/>
      </w:pPr>
      <w:r w:rsidRPr="002E51CE">
        <w:lastRenderedPageBreak/>
        <w:t xml:space="preserve">Table 15: Daily Basal and Bolus Insulin Doses (U/kg) at Baseline by Age Group, Extension Period </w:t>
      </w:r>
    </w:p>
    <w:p w:rsidR="002E51CE" w:rsidRPr="0038471D" w:rsidRDefault="002E51CE" w:rsidP="002E51CE">
      <w:pPr>
        <w:keepNext/>
        <w:keepLines/>
        <w:rPr>
          <w:rFonts w:ascii="Times New Roman" w:hAnsi="Times New Roman"/>
          <w:sz w:val="24"/>
        </w:rPr>
      </w:pPr>
      <w:r>
        <w:rPr>
          <w:rFonts w:ascii="Times New Roman" w:hAnsi="Times New Roman"/>
          <w:noProof/>
          <w:sz w:val="24"/>
          <w:lang w:eastAsia="en-AU"/>
        </w:rPr>
        <w:drawing>
          <wp:inline distT="0" distB="0" distL="0" distR="0" wp14:anchorId="08081F01" wp14:editId="3A9A1379">
            <wp:extent cx="5486400" cy="2314575"/>
            <wp:effectExtent l="0" t="0" r="0" b="9525"/>
            <wp:docPr id="26" name="Picture 26" descr="Table 15: Daily Basal and Bolus Insulin Doses (U/kg) at Baseline by Age Group, Extension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5486400" cy="2314575"/>
                    </a:xfrm>
                    <a:prstGeom prst="rect">
                      <a:avLst/>
                    </a:prstGeom>
                    <a:noFill/>
                    <a:ln w="9525">
                      <a:noFill/>
                      <a:miter lim="800000"/>
                      <a:headEnd/>
                      <a:tailEnd/>
                    </a:ln>
                  </pic:spPr>
                </pic:pic>
              </a:graphicData>
            </a:graphic>
          </wp:inline>
        </w:drawing>
      </w:r>
    </w:p>
    <w:p w:rsidR="009D72BC" w:rsidRPr="005E32AB" w:rsidRDefault="009D72BC" w:rsidP="005E32AB">
      <w:r w:rsidRPr="005E32AB">
        <w:t>There was a slight increase in HbA1c during the extension period for all the age groups: mean (SD) 0.10 (0.77) % for the 2 to 5 year age group, 0.27 (1.08) % for the 6 to 12 year, 0.11 (1.60) % for the 13 to 16 year and 0.17 (1.22) % for the total population (</w:t>
      </w:r>
      <w:r w:rsidR="005E32AB">
        <w:t xml:space="preserve">Table </w:t>
      </w:r>
      <w:r w:rsidR="002E51CE" w:rsidRPr="005E32AB">
        <w:t>1</w:t>
      </w:r>
      <w:r w:rsidR="005E32AB">
        <w:t>6</w:t>
      </w:r>
      <w:r w:rsidR="00055281">
        <w:t xml:space="preserve"> and Figure 1</w:t>
      </w:r>
      <w:r w:rsidR="005E32AB">
        <w:t>).</w:t>
      </w:r>
      <w:r w:rsidRPr="005E32AB">
        <w:t xml:space="preserve"> This translates to a mean (95% CI) change of 0.10 (-0.16 to 0.36) % for the 2 to 5 year age group, 0.27 (-0.01 to 0.55) % for the 6 to 12 year, 0.11 (-0.34 to 0.56) % for the 13 to 16 year and 0.17 (-0.03 to 0.37) % for the total population. Of the total population, 15 (10.3%) were within the target range for pre-prandial PG of ≥</w:t>
      </w:r>
      <w:r w:rsidR="002E51CE" w:rsidRPr="005E32AB">
        <w:t xml:space="preserve"> </w:t>
      </w:r>
      <w:r w:rsidRPr="005E32AB">
        <w:t xml:space="preserve">4 </w:t>
      </w:r>
      <w:proofErr w:type="spellStart"/>
      <w:r w:rsidRPr="005E32AB">
        <w:t>mmol</w:t>
      </w:r>
      <w:proofErr w:type="spellEnd"/>
      <w:r w:rsidRPr="005E32AB">
        <w:t>/L and ≤</w:t>
      </w:r>
      <w:r w:rsidR="002E51CE" w:rsidRPr="005E32AB">
        <w:t xml:space="preserve"> </w:t>
      </w:r>
      <w:r w:rsidRPr="005E32AB">
        <w:t xml:space="preserve">7 </w:t>
      </w:r>
      <w:proofErr w:type="spellStart"/>
      <w:r w:rsidRPr="005E32AB">
        <w:t>mmol</w:t>
      </w:r>
      <w:proofErr w:type="spellEnd"/>
      <w:r w:rsidRPr="005E32AB">
        <w:t xml:space="preserve">/L (Table </w:t>
      </w:r>
      <w:r w:rsidR="002E51CE" w:rsidRPr="005E32AB">
        <w:t>17</w:t>
      </w:r>
      <w:r w:rsidRPr="005E32AB">
        <w:t>). Mean FPG also increased slightly during the trial (</w:t>
      </w:r>
      <w:r w:rsidR="00055281">
        <w:t>Figure 2)</w:t>
      </w:r>
      <w:r w:rsidRPr="005E32AB">
        <w:t>.</w:t>
      </w:r>
    </w:p>
    <w:p w:rsidR="002E51CE" w:rsidRPr="002E51CE" w:rsidRDefault="002E51CE" w:rsidP="002E51CE">
      <w:pPr>
        <w:pStyle w:val="TableTitle"/>
        <w:keepLines/>
      </w:pPr>
      <w:r w:rsidRPr="002E51CE">
        <w:lastRenderedPageBreak/>
        <w:t xml:space="preserve">Table 16: Summary of Change from Visit 1 and Visit 1Ext in HbA1c (%) by Age Group, FAS </w:t>
      </w:r>
    </w:p>
    <w:p w:rsidR="002E51CE" w:rsidRDefault="002E51CE" w:rsidP="002E51CE">
      <w:pPr>
        <w:keepNext/>
        <w:keepLines/>
        <w:rPr>
          <w:rFonts w:ascii="Times New Roman" w:hAnsi="Times New Roman"/>
          <w:sz w:val="24"/>
        </w:rPr>
      </w:pPr>
      <w:r>
        <w:rPr>
          <w:rFonts w:ascii="Times New Roman" w:hAnsi="Times New Roman"/>
          <w:noProof/>
          <w:sz w:val="24"/>
          <w:lang w:eastAsia="en-AU"/>
        </w:rPr>
        <w:drawing>
          <wp:inline distT="0" distB="0" distL="0" distR="0" wp14:anchorId="43E9E5F1" wp14:editId="7F273859">
            <wp:extent cx="5486400" cy="1990725"/>
            <wp:effectExtent l="0" t="0" r="0" b="9525"/>
            <wp:docPr id="27" name="Picture 27" descr="Table 16: Summary of Change from Visit 1 and Visit 1Ext in HbA1c (%) by Age Group,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5486400" cy="1990725"/>
                    </a:xfrm>
                    <a:prstGeom prst="rect">
                      <a:avLst/>
                    </a:prstGeom>
                    <a:noFill/>
                    <a:ln w="9525">
                      <a:noFill/>
                      <a:miter lim="800000"/>
                      <a:headEnd/>
                      <a:tailEnd/>
                    </a:ln>
                  </pic:spPr>
                </pic:pic>
              </a:graphicData>
            </a:graphic>
          </wp:inline>
        </w:drawing>
      </w:r>
    </w:p>
    <w:p w:rsidR="00055281" w:rsidRDefault="00055281" w:rsidP="00055281">
      <w:pPr>
        <w:pStyle w:val="FigureTitle"/>
        <w:keepNext/>
        <w:keepLines/>
      </w:pPr>
      <w:r w:rsidRPr="00D15823">
        <w:t xml:space="preserve">Figure </w:t>
      </w:r>
      <w:r>
        <w:t xml:space="preserve">1: </w:t>
      </w:r>
      <w:r w:rsidRPr="00D15823">
        <w:t xml:space="preserve">Mean HbA1c (%) over Time by Age Group, FAS, Whole Treatment Period </w:t>
      </w:r>
      <w:r>
        <w:rPr>
          <w:noProof/>
          <w:lang w:eastAsia="en-AU"/>
        </w:rPr>
        <w:drawing>
          <wp:inline distT="0" distB="0" distL="0" distR="0" wp14:anchorId="1EA99A75" wp14:editId="6B97322C">
            <wp:extent cx="5486400" cy="3076575"/>
            <wp:effectExtent l="0" t="0" r="0" b="9525"/>
            <wp:docPr id="87" name="Picture 87" descr="Figure 1: Mean HbA1c (%) over Time by Age Group, FAS, Whole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srcRect/>
                    <a:stretch>
                      <a:fillRect/>
                    </a:stretch>
                  </pic:blipFill>
                  <pic:spPr bwMode="auto">
                    <a:xfrm>
                      <a:off x="0" y="0"/>
                      <a:ext cx="5486400" cy="3076575"/>
                    </a:xfrm>
                    <a:prstGeom prst="rect">
                      <a:avLst/>
                    </a:prstGeom>
                    <a:noFill/>
                    <a:ln w="9525">
                      <a:noFill/>
                      <a:miter lim="800000"/>
                      <a:headEnd/>
                      <a:tailEnd/>
                    </a:ln>
                  </pic:spPr>
                </pic:pic>
              </a:graphicData>
            </a:graphic>
          </wp:inline>
        </w:drawing>
      </w:r>
    </w:p>
    <w:p w:rsidR="00055281" w:rsidRDefault="00055281" w:rsidP="00055281">
      <w:pPr>
        <w:pStyle w:val="FigureTitle"/>
        <w:keepNext/>
        <w:keepLines/>
        <w:rPr>
          <w:rFonts w:ascii="Times New Roman" w:hAnsi="Times New Roman"/>
          <w:sz w:val="24"/>
        </w:rPr>
      </w:pPr>
      <w:r w:rsidRPr="00055281">
        <w:lastRenderedPageBreak/>
        <w:t>Figure 2: Mean FPG (</w:t>
      </w:r>
      <w:proofErr w:type="spellStart"/>
      <w:r w:rsidRPr="00055281">
        <w:t>mmol</w:t>
      </w:r>
      <w:proofErr w:type="spellEnd"/>
      <w:r w:rsidRPr="00055281">
        <w:t>/L) over Time by Age Group, FAS, Whole Treatment Period</w:t>
      </w:r>
      <w:r>
        <w:rPr>
          <w:rFonts w:ascii="Times New Roman" w:hAnsi="Times New Roman"/>
          <w:noProof/>
          <w:sz w:val="24"/>
          <w:lang w:eastAsia="en-AU"/>
        </w:rPr>
        <w:drawing>
          <wp:inline distT="0" distB="0" distL="0" distR="0" wp14:anchorId="226CC09E" wp14:editId="41261FD3">
            <wp:extent cx="5476875" cy="3095625"/>
            <wp:effectExtent l="0" t="0" r="9525" b="9525"/>
            <wp:docPr id="88" name="Picture 88" descr="Figure 2: Mean FPG (mmol/L) over Time by Age Group, FAS, Whole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srcRect/>
                    <a:stretch>
                      <a:fillRect/>
                    </a:stretch>
                  </pic:blipFill>
                  <pic:spPr bwMode="auto">
                    <a:xfrm>
                      <a:off x="0" y="0"/>
                      <a:ext cx="5476875" cy="3095625"/>
                    </a:xfrm>
                    <a:prstGeom prst="rect">
                      <a:avLst/>
                    </a:prstGeom>
                    <a:noFill/>
                    <a:ln w="9525">
                      <a:noFill/>
                      <a:miter lim="800000"/>
                      <a:headEnd/>
                      <a:tailEnd/>
                    </a:ln>
                  </pic:spPr>
                </pic:pic>
              </a:graphicData>
            </a:graphic>
          </wp:inline>
        </w:drawing>
      </w:r>
    </w:p>
    <w:p w:rsidR="002E51CE" w:rsidRPr="002E51CE" w:rsidRDefault="002E51CE" w:rsidP="002E51CE">
      <w:pPr>
        <w:pStyle w:val="TableTitle"/>
        <w:keepLines/>
      </w:pPr>
      <w:r w:rsidRPr="002E51CE">
        <w:t>Table 17: Subjects Having Targeted Glucose Values at End of Trial by Age Group, FAS, Whole Treatment Period</w:t>
      </w:r>
    </w:p>
    <w:p w:rsidR="002E51CE" w:rsidRPr="0038471D" w:rsidRDefault="002E51CE" w:rsidP="002E51CE">
      <w:pPr>
        <w:keepNext/>
        <w:keepLines/>
        <w:rPr>
          <w:rFonts w:ascii="Times New Roman" w:hAnsi="Times New Roman"/>
          <w:sz w:val="24"/>
        </w:rPr>
      </w:pPr>
      <w:r>
        <w:rPr>
          <w:rFonts w:ascii="Times New Roman" w:hAnsi="Times New Roman"/>
          <w:noProof/>
          <w:sz w:val="24"/>
          <w:lang w:eastAsia="en-AU"/>
        </w:rPr>
        <w:drawing>
          <wp:inline distT="0" distB="0" distL="0" distR="0" wp14:anchorId="6E9FC4DB" wp14:editId="024FF249">
            <wp:extent cx="5486400" cy="1181100"/>
            <wp:effectExtent l="0" t="0" r="0" b="0"/>
            <wp:docPr id="28" name="Picture 28" descr="Table 17: Subjects Having Targeted Glucose Values at End of Trial by Age Group, FAS, Whole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486400" cy="1181100"/>
                    </a:xfrm>
                    <a:prstGeom prst="rect">
                      <a:avLst/>
                    </a:prstGeom>
                    <a:noFill/>
                    <a:ln w="9525">
                      <a:noFill/>
                      <a:miter lim="800000"/>
                      <a:headEnd/>
                      <a:tailEnd/>
                    </a:ln>
                  </pic:spPr>
                </pic:pic>
              </a:graphicData>
            </a:graphic>
          </wp:inline>
        </w:drawing>
      </w:r>
    </w:p>
    <w:p w:rsidR="002E51CE" w:rsidRPr="002E51CE" w:rsidRDefault="002E51CE" w:rsidP="002E51CE">
      <w:pPr>
        <w:pStyle w:val="Heading4"/>
      </w:pPr>
      <w:bookmarkStart w:id="55" w:name="_Toc347931823"/>
      <w:r w:rsidRPr="002E51CE">
        <w:t>Evaluator’s conclusions on clinical efficacy for Change 2</w:t>
      </w:r>
      <w:bookmarkEnd w:id="55"/>
    </w:p>
    <w:p w:rsidR="002E51CE" w:rsidRPr="002E51CE" w:rsidRDefault="002E51CE" w:rsidP="002E51CE">
      <w:r w:rsidRPr="002E51CE">
        <w:t xml:space="preserve">The data presented for Change 2 were primarily intended as safety data. The efficacy data are difficult to interpret in the absence of a control group. There appears to be a loss of efficacy over the second year of treatment but this most likely reflects the natural history of  </w:t>
      </w:r>
      <w:r w:rsidR="007B007A">
        <w:t xml:space="preserve">T1DM </w:t>
      </w:r>
      <w:r w:rsidRPr="002E51CE">
        <w:t>in a paediatric clinical trial population.</w:t>
      </w:r>
    </w:p>
    <w:p w:rsidR="002E51CE" w:rsidRPr="00422072" w:rsidRDefault="002E51CE" w:rsidP="002E51CE">
      <w:pPr>
        <w:pStyle w:val="Heading3"/>
      </w:pPr>
      <w:bookmarkStart w:id="56" w:name="_Toc347931824"/>
      <w:bookmarkStart w:id="57" w:name="_Toc384108949"/>
      <w:r w:rsidRPr="00422072">
        <w:t>Change 3</w:t>
      </w:r>
      <w:bookmarkEnd w:id="56"/>
      <w:bookmarkEnd w:id="57"/>
    </w:p>
    <w:p w:rsidR="002E51CE" w:rsidRPr="00422072" w:rsidRDefault="002E51CE" w:rsidP="002E51CE">
      <w:pPr>
        <w:pStyle w:val="Heading5"/>
        <w:rPr>
          <w:color w:val="auto"/>
        </w:rPr>
      </w:pPr>
      <w:bookmarkStart w:id="58" w:name="_Toc347931825"/>
      <w:r w:rsidRPr="00422072">
        <w:t>Study NN304-1687</w:t>
      </w:r>
      <w:bookmarkEnd w:id="58"/>
    </w:p>
    <w:p w:rsidR="002E51CE" w:rsidRPr="00422072" w:rsidRDefault="002E51CE" w:rsidP="002E51CE">
      <w:pPr>
        <w:pStyle w:val="Heading6"/>
      </w:pPr>
      <w:r w:rsidRPr="00422072">
        <w:t>Study design, objectives, locations and dates</w:t>
      </w:r>
    </w:p>
    <w:p w:rsidR="002E51CE" w:rsidRPr="002E51CE" w:rsidRDefault="002E51CE" w:rsidP="002E51CE">
      <w:r w:rsidRPr="002E51CE">
        <w:t xml:space="preserve">Study NN304-1687 was a multicentre, open label, randomised, parallel group efficacy and safety study to compare </w:t>
      </w:r>
      <w:proofErr w:type="spellStart"/>
      <w:r w:rsidRPr="002E51CE">
        <w:t>detemir</w:t>
      </w:r>
      <w:proofErr w:type="spellEnd"/>
      <w:r w:rsidRPr="002E51CE">
        <w:t xml:space="preserve"> with NPH insulin, in combination with insulin </w:t>
      </w:r>
      <w:proofErr w:type="spellStart"/>
      <w:r w:rsidRPr="002E51CE">
        <w:t>aspart</w:t>
      </w:r>
      <w:proofErr w:type="spellEnd"/>
      <w:r w:rsidRPr="002E51CE">
        <w:t xml:space="preserve"> as bolus insulin, in the treatment of pregnant women with T1DM (Table </w:t>
      </w:r>
      <w:r w:rsidR="005E32AB">
        <w:t>18, Appendix 1</w:t>
      </w:r>
      <w:r w:rsidRPr="002E51CE">
        <w:t>). The study was conducted at 79 sites in 17 countries from May 2007 to August 2010.</w:t>
      </w:r>
    </w:p>
    <w:p w:rsidR="002E51CE" w:rsidRPr="00422072" w:rsidRDefault="002E51CE" w:rsidP="002E51CE">
      <w:pPr>
        <w:pStyle w:val="Heading6"/>
      </w:pPr>
      <w:r w:rsidRPr="00422072">
        <w:t>Inclusion and exclusion criteria</w:t>
      </w:r>
    </w:p>
    <w:p w:rsidR="002E51CE" w:rsidRPr="002E51CE" w:rsidRDefault="002E51CE" w:rsidP="002E51CE">
      <w:r w:rsidRPr="002E51CE">
        <w:t>The inclusion criteria included:</w:t>
      </w:r>
    </w:p>
    <w:p w:rsidR="002E51CE" w:rsidRPr="002E51CE" w:rsidRDefault="002E51CE" w:rsidP="002E51CE">
      <w:pPr>
        <w:pStyle w:val="ListBullet"/>
      </w:pPr>
      <w:r w:rsidRPr="002E51CE">
        <w:t>Female, aged ≥</w:t>
      </w:r>
      <w:r>
        <w:t xml:space="preserve"> </w:t>
      </w:r>
      <w:r w:rsidRPr="002E51CE">
        <w:t>18 years</w:t>
      </w:r>
    </w:p>
    <w:p w:rsidR="002E51CE" w:rsidRPr="002E51CE" w:rsidRDefault="002E51CE" w:rsidP="002E51CE">
      <w:pPr>
        <w:pStyle w:val="ListBullet"/>
      </w:pPr>
      <w:r w:rsidRPr="002E51CE">
        <w:t>T1DM treated with insulin for at least 12 months before randomisation</w:t>
      </w:r>
    </w:p>
    <w:p w:rsidR="002E51CE" w:rsidRPr="002E51CE" w:rsidRDefault="002E51CE" w:rsidP="002E51CE">
      <w:pPr>
        <w:pStyle w:val="ListBullet"/>
      </w:pPr>
      <w:r w:rsidRPr="002E51CE">
        <w:t>The subject was either:</w:t>
      </w:r>
    </w:p>
    <w:p w:rsidR="002E51CE" w:rsidRPr="002E51CE" w:rsidRDefault="002E51CE" w:rsidP="002E51CE">
      <w:pPr>
        <w:pStyle w:val="ListBullet2"/>
      </w:pPr>
      <w:r w:rsidRPr="002E51CE">
        <w:lastRenderedPageBreak/>
        <w:t>Planning to become pregnant in the immediate future and willing to undertake pregnancy counselling and a screening HbA1c ≤</w:t>
      </w:r>
      <w:r>
        <w:t xml:space="preserve"> </w:t>
      </w:r>
      <w:r w:rsidRPr="002E51CE">
        <w:t xml:space="preserve">9.0% (National </w:t>
      </w:r>
      <w:proofErr w:type="spellStart"/>
      <w:r w:rsidRPr="002E51CE">
        <w:t>Gl</w:t>
      </w:r>
      <w:r>
        <w:t>ycohaemoglobin</w:t>
      </w:r>
      <w:proofErr w:type="spellEnd"/>
      <w:r>
        <w:t xml:space="preserve"> Standardis</w:t>
      </w:r>
      <w:r w:rsidRPr="002E51CE">
        <w:t>ation Program) or</w:t>
      </w:r>
    </w:p>
    <w:p w:rsidR="002E51CE" w:rsidRPr="002E51CE" w:rsidRDefault="002E51CE" w:rsidP="002E51CE">
      <w:pPr>
        <w:pStyle w:val="ListBullet2"/>
      </w:pPr>
      <w:r w:rsidRPr="002E51CE">
        <w:t>Pregnant with an intrauterine singleton living foetus, GW = 8-12 at randomisation, confirmed by an ultra sound scan and an HbA1c ≤</w:t>
      </w:r>
      <w:r>
        <w:t xml:space="preserve"> </w:t>
      </w:r>
      <w:r w:rsidRPr="002E51CE">
        <w:t>8.0% at confirmation of pregnancy</w:t>
      </w:r>
    </w:p>
    <w:p w:rsidR="002E51CE" w:rsidRPr="00422CA0" w:rsidRDefault="002E51CE" w:rsidP="00422CA0">
      <w:pPr>
        <w:pStyle w:val="ListBullet"/>
      </w:pPr>
      <w:r w:rsidRPr="00422CA0">
        <w:t>Willingness to take folic acid before pregnancy and during the first trimester according to local guidelines</w:t>
      </w:r>
    </w:p>
    <w:p w:rsidR="002E51CE" w:rsidRPr="00422CA0" w:rsidRDefault="002E51CE" w:rsidP="00422CA0">
      <w:r w:rsidRPr="00422CA0">
        <w:t xml:space="preserve">For non-pregnant subjects only: willingness to discontinue any concomitant medication, </w:t>
      </w:r>
      <w:r w:rsidR="00422CA0">
        <w:t xml:space="preserve">for example, </w:t>
      </w:r>
      <w:r w:rsidRPr="00422CA0">
        <w:t>certain anti-</w:t>
      </w:r>
      <w:proofErr w:type="spellStart"/>
      <w:r w:rsidRPr="00422CA0">
        <w:t>hypertensives</w:t>
      </w:r>
      <w:proofErr w:type="spellEnd"/>
      <w:r w:rsidRPr="00422CA0">
        <w:t xml:space="preserve">, like angiotensin converting enzyme inhibitors, contraindicated in pregnancy according to local labelling </w:t>
      </w:r>
      <w:r w:rsidRPr="00422CA0">
        <w:rPr>
          <w:i/>
        </w:rPr>
        <w:t>prior</w:t>
      </w:r>
      <w:r w:rsidRPr="00422CA0">
        <w:t xml:space="preserve"> to conception</w:t>
      </w:r>
    </w:p>
    <w:p w:rsidR="002E51CE" w:rsidRPr="00422CA0" w:rsidRDefault="002E51CE" w:rsidP="00422CA0">
      <w:r w:rsidRPr="00422CA0">
        <w:t>The exclusion criteria included:</w:t>
      </w:r>
    </w:p>
    <w:p w:rsidR="002E51CE" w:rsidRPr="00422CA0" w:rsidRDefault="002E51CE" w:rsidP="00422CA0">
      <w:pPr>
        <w:pStyle w:val="ListBullet"/>
      </w:pPr>
      <w:r w:rsidRPr="00422CA0">
        <w:t>Untreated hyper or hypothyroidism</w:t>
      </w:r>
    </w:p>
    <w:p w:rsidR="002E51CE" w:rsidRPr="00422CA0" w:rsidRDefault="002E51CE" w:rsidP="00422CA0">
      <w:pPr>
        <w:pStyle w:val="ListBullet"/>
      </w:pPr>
      <w:r w:rsidRPr="00422CA0">
        <w:t>Known or suspected abuse of alcohol or narcotics</w:t>
      </w:r>
    </w:p>
    <w:p w:rsidR="002E51CE" w:rsidRPr="00422CA0" w:rsidRDefault="002E51CE" w:rsidP="00422CA0">
      <w:pPr>
        <w:pStyle w:val="ListBullet"/>
      </w:pPr>
      <w:r w:rsidRPr="00422CA0">
        <w:t>Cardiac problems as evaluated by either:</w:t>
      </w:r>
    </w:p>
    <w:p w:rsidR="002E51CE" w:rsidRPr="00422CA0" w:rsidRDefault="002E51CE" w:rsidP="00422CA0">
      <w:pPr>
        <w:pStyle w:val="ListBullet2"/>
      </w:pPr>
      <w:r w:rsidRPr="00422CA0">
        <w:t>Cardiac failure or</w:t>
      </w:r>
    </w:p>
    <w:p w:rsidR="002E51CE" w:rsidRPr="00422CA0" w:rsidRDefault="002E51CE" w:rsidP="00422CA0">
      <w:pPr>
        <w:pStyle w:val="ListBullet2"/>
      </w:pPr>
      <w:r w:rsidRPr="00422CA0">
        <w:t>Diagnosis of unstable angina pectoris or</w:t>
      </w:r>
    </w:p>
    <w:p w:rsidR="002E51CE" w:rsidRPr="00422CA0" w:rsidRDefault="002E51CE" w:rsidP="00422CA0">
      <w:pPr>
        <w:pStyle w:val="ListBullet2"/>
      </w:pPr>
      <w:r w:rsidRPr="00422CA0">
        <w:t>Previous myocardial infarction</w:t>
      </w:r>
    </w:p>
    <w:p w:rsidR="002E51CE" w:rsidRPr="00422CA0" w:rsidRDefault="002E51CE" w:rsidP="00422CA0">
      <w:pPr>
        <w:pStyle w:val="ListBullet"/>
      </w:pPr>
      <w:r w:rsidRPr="00422CA0">
        <w:t>Impaired renal function as evaluated by any of the following: diagnosis of diabetic nephropathy; serum creatinine ≥</w:t>
      </w:r>
      <w:r w:rsidR="00422CA0">
        <w:t xml:space="preserve"> </w:t>
      </w:r>
      <w:r w:rsidRPr="00422CA0">
        <w:t xml:space="preserve">125 </w:t>
      </w:r>
      <w:proofErr w:type="spellStart"/>
      <w:r w:rsidRPr="00422CA0">
        <w:t>mmol</w:t>
      </w:r>
      <w:proofErr w:type="spellEnd"/>
      <w:r w:rsidRPr="00422CA0">
        <w:t xml:space="preserve">/L; macro-albuminuria (urine </w:t>
      </w:r>
      <w:proofErr w:type="spellStart"/>
      <w:r w:rsidRPr="00422CA0">
        <w:t>albumin:creatinine</w:t>
      </w:r>
      <w:proofErr w:type="spellEnd"/>
      <w:r w:rsidRPr="00422CA0">
        <w:t xml:space="preserve"> ratio &gt; 300 mg/g in random spot urine sample)</w:t>
      </w:r>
    </w:p>
    <w:p w:rsidR="002E51CE" w:rsidRPr="00422CA0" w:rsidRDefault="002E51CE" w:rsidP="00422CA0">
      <w:pPr>
        <w:pStyle w:val="ListBullet"/>
      </w:pPr>
      <w:r w:rsidRPr="00422CA0">
        <w:t xml:space="preserve">History of severe hyperemesis </w:t>
      </w:r>
      <w:proofErr w:type="spellStart"/>
      <w:r w:rsidRPr="00422CA0">
        <w:t>gravidarum</w:t>
      </w:r>
      <w:proofErr w:type="spellEnd"/>
      <w:r w:rsidRPr="00422CA0">
        <w:t xml:space="preserve"> (requiring hospitalisation) </w:t>
      </w:r>
    </w:p>
    <w:p w:rsidR="002E51CE" w:rsidRPr="00422CA0" w:rsidRDefault="002E51CE" w:rsidP="00422CA0">
      <w:pPr>
        <w:pStyle w:val="ListBullet"/>
      </w:pPr>
      <w:r w:rsidRPr="00422CA0">
        <w:t>Subject being treated or became</w:t>
      </w:r>
      <w:r w:rsidR="00422CA0">
        <w:t xml:space="preserve"> pregnant with assistance of </w:t>
      </w:r>
      <w:r w:rsidR="00422CA0" w:rsidRPr="00422CA0">
        <w:rPr>
          <w:i/>
        </w:rPr>
        <w:t xml:space="preserve">in </w:t>
      </w:r>
      <w:r w:rsidRPr="00422CA0">
        <w:rPr>
          <w:i/>
        </w:rPr>
        <w:t>vitro</w:t>
      </w:r>
      <w:r w:rsidRPr="00422CA0">
        <w:t xml:space="preserve"> fertilisation or other medical infertility treatment</w:t>
      </w:r>
    </w:p>
    <w:p w:rsidR="002E51CE" w:rsidRPr="00422CA0" w:rsidRDefault="002E51CE" w:rsidP="00422CA0">
      <w:pPr>
        <w:pStyle w:val="ListBullet"/>
      </w:pPr>
      <w:r w:rsidRPr="00422CA0">
        <w:t>Impaired hepatic function as evaluated by ALT, or ALP ≥</w:t>
      </w:r>
      <w:r w:rsidR="00422CA0">
        <w:t xml:space="preserve"> two times</w:t>
      </w:r>
      <w:r w:rsidRPr="00422CA0">
        <w:t xml:space="preserve"> upper reference limit</w:t>
      </w:r>
    </w:p>
    <w:p w:rsidR="002E51CE" w:rsidRPr="00422CA0" w:rsidRDefault="002E51CE" w:rsidP="00422CA0">
      <w:pPr>
        <w:pStyle w:val="ListBullet"/>
      </w:pPr>
      <w:r w:rsidRPr="00422CA0">
        <w:t>Uncontrolled hypertension (SBP ≥</w:t>
      </w:r>
      <w:r w:rsidR="00422CA0">
        <w:t xml:space="preserve"> </w:t>
      </w:r>
      <w:r w:rsidRPr="00422CA0">
        <w:t>140 mmHg and/or DBP ≥</w:t>
      </w:r>
      <w:r w:rsidR="00422CA0">
        <w:t xml:space="preserve"> </w:t>
      </w:r>
      <w:r w:rsidRPr="00422CA0">
        <w:t>90 mmHg) in the supine position</w:t>
      </w:r>
    </w:p>
    <w:p w:rsidR="002E51CE" w:rsidRPr="00422CA0" w:rsidRDefault="002E51CE" w:rsidP="00422CA0">
      <w:pPr>
        <w:pStyle w:val="ListBullet"/>
      </w:pPr>
      <w:r w:rsidRPr="00422CA0">
        <w:t xml:space="preserve">Proliferative retinopathy or </w:t>
      </w:r>
      <w:proofErr w:type="spellStart"/>
      <w:r w:rsidRPr="00422CA0">
        <w:t>maculopathy</w:t>
      </w:r>
      <w:proofErr w:type="spellEnd"/>
      <w:r w:rsidRPr="00422CA0">
        <w:t xml:space="preserve"> requiring acute treatment</w:t>
      </w:r>
    </w:p>
    <w:p w:rsidR="002E51CE" w:rsidRPr="00422CA0" w:rsidRDefault="002E51CE" w:rsidP="00422CA0">
      <w:pPr>
        <w:pStyle w:val="ListBullet"/>
      </w:pPr>
      <w:r w:rsidRPr="00422CA0">
        <w:t xml:space="preserve">Any disease or condition which the investigator felt would interfere with the trial, </w:t>
      </w:r>
      <w:r w:rsidR="00422CA0">
        <w:t xml:space="preserve">for example, </w:t>
      </w:r>
      <w:r w:rsidRPr="00422CA0">
        <w:t>clinically significant gynaecological conditions</w:t>
      </w:r>
    </w:p>
    <w:p w:rsidR="002E51CE" w:rsidRPr="00422CA0" w:rsidRDefault="002E51CE" w:rsidP="00422CA0">
      <w:pPr>
        <w:pStyle w:val="ListBullet"/>
      </w:pPr>
      <w:r w:rsidRPr="00422CA0">
        <w:t>Known to be human immunodeficiency virus positive</w:t>
      </w:r>
    </w:p>
    <w:p w:rsidR="002E51CE" w:rsidRPr="00422CA0" w:rsidRDefault="002E51CE" w:rsidP="00422CA0">
      <w:pPr>
        <w:pStyle w:val="ListBullet"/>
      </w:pPr>
      <w:r w:rsidRPr="00422CA0">
        <w:t>Known to be Hepatitis B or C positive</w:t>
      </w:r>
    </w:p>
    <w:p w:rsidR="002E51CE" w:rsidRPr="00422CA0" w:rsidRDefault="002E51CE" w:rsidP="00422CA0">
      <w:pPr>
        <w:pStyle w:val="ListBullet"/>
      </w:pPr>
      <w:r w:rsidRPr="00422CA0">
        <w:t xml:space="preserve">Any concomitant medication, </w:t>
      </w:r>
      <w:r w:rsidR="00422CA0">
        <w:t xml:space="preserve">for example, </w:t>
      </w:r>
      <w:r w:rsidRPr="00422CA0">
        <w:t>certain anti-</w:t>
      </w:r>
      <w:proofErr w:type="spellStart"/>
      <w:r w:rsidRPr="00422CA0">
        <w:t>hypertensives</w:t>
      </w:r>
      <w:proofErr w:type="spellEnd"/>
      <w:r w:rsidRPr="00422CA0">
        <w:t xml:space="preserve"> like angiotensin converting enzyme inhibitors, contraindicated in pregnancy</w:t>
      </w:r>
    </w:p>
    <w:p w:rsidR="00EA56E0" w:rsidRPr="00422072" w:rsidRDefault="00EA56E0" w:rsidP="00EA56E0">
      <w:pPr>
        <w:pStyle w:val="Heading6"/>
      </w:pPr>
      <w:r w:rsidRPr="00422072">
        <w:t>Study treatments</w:t>
      </w:r>
    </w:p>
    <w:p w:rsidR="00EA56E0" w:rsidRPr="00EA56E0" w:rsidRDefault="00EA56E0" w:rsidP="00EA56E0">
      <w:r w:rsidRPr="00EA56E0">
        <w:t>The study treatments were:</w:t>
      </w:r>
    </w:p>
    <w:p w:rsidR="00EA56E0" w:rsidRPr="00EA56E0" w:rsidRDefault="00EA56E0" w:rsidP="00C34244">
      <w:pPr>
        <w:pStyle w:val="Numberbullet0"/>
        <w:numPr>
          <w:ilvl w:val="0"/>
          <w:numId w:val="8"/>
        </w:numPr>
      </w:pPr>
      <w:r w:rsidRPr="00EA56E0">
        <w:t xml:space="preserve">Insulin </w:t>
      </w:r>
      <w:proofErr w:type="spellStart"/>
      <w:r w:rsidRPr="00EA56E0">
        <w:t>detemir</w:t>
      </w:r>
      <w:proofErr w:type="spellEnd"/>
      <w:r w:rsidRPr="00EA56E0">
        <w:t xml:space="preserve"> 100 U/mL, 3 mL cartridge, administered using a </w:t>
      </w:r>
      <w:proofErr w:type="spellStart"/>
      <w:r w:rsidRPr="00EA56E0">
        <w:t>NovoPen</w:t>
      </w:r>
      <w:proofErr w:type="spellEnd"/>
    </w:p>
    <w:p w:rsidR="00EA56E0" w:rsidRPr="00EA56E0" w:rsidRDefault="00EA56E0" w:rsidP="00EA56E0">
      <w:pPr>
        <w:pStyle w:val="Numberbullet0"/>
      </w:pPr>
      <w:r w:rsidRPr="00EA56E0">
        <w:t xml:space="preserve">NPH insulin 100 U/mL, 3 mL cartridge, administered using a </w:t>
      </w:r>
      <w:proofErr w:type="spellStart"/>
      <w:r w:rsidRPr="00EA56E0">
        <w:t>NovoPen</w:t>
      </w:r>
      <w:proofErr w:type="spellEnd"/>
    </w:p>
    <w:p w:rsidR="00EA56E0" w:rsidRPr="00EA56E0" w:rsidRDefault="00EA56E0" w:rsidP="00EA56E0">
      <w:r w:rsidRPr="00EA56E0">
        <w:t xml:space="preserve">All subjects also received insulin </w:t>
      </w:r>
      <w:proofErr w:type="spellStart"/>
      <w:r w:rsidRPr="00EA56E0">
        <w:t>aspart</w:t>
      </w:r>
      <w:proofErr w:type="spellEnd"/>
      <w:r w:rsidRPr="00EA56E0">
        <w:t xml:space="preserve"> as bolus insulin. The insulin dose was adjusted in order to achieve </w:t>
      </w:r>
      <w:proofErr w:type="spellStart"/>
      <w:r w:rsidRPr="00EA56E0">
        <w:t>preprandial</w:t>
      </w:r>
      <w:proofErr w:type="spellEnd"/>
      <w:r w:rsidRPr="00EA56E0">
        <w:t xml:space="preserve"> PG in the range 4.0 to 6.0 </w:t>
      </w:r>
      <w:proofErr w:type="spellStart"/>
      <w:r w:rsidRPr="00EA56E0">
        <w:t>mmol</w:t>
      </w:r>
      <w:proofErr w:type="spellEnd"/>
      <w:r w:rsidRPr="00EA56E0">
        <w:t>/L, and 2 hour postprandial PG &lt;</w:t>
      </w:r>
      <w:r>
        <w:t xml:space="preserve"> </w:t>
      </w:r>
      <w:r w:rsidRPr="00EA56E0">
        <w:t xml:space="preserve">7.0 </w:t>
      </w:r>
      <w:proofErr w:type="spellStart"/>
      <w:r w:rsidRPr="00EA56E0">
        <w:t>mmol</w:t>
      </w:r>
      <w:proofErr w:type="spellEnd"/>
      <w:r w:rsidRPr="00EA56E0">
        <w:t>/L.</w:t>
      </w:r>
    </w:p>
    <w:p w:rsidR="00EA56E0" w:rsidRPr="00422072" w:rsidRDefault="00EA56E0" w:rsidP="00EA56E0">
      <w:pPr>
        <w:pStyle w:val="Heading6"/>
      </w:pPr>
      <w:r w:rsidRPr="00422072">
        <w:lastRenderedPageBreak/>
        <w:t>Efficacy variables and outcomes</w:t>
      </w:r>
    </w:p>
    <w:p w:rsidR="00EA56E0" w:rsidRPr="00EA56E0" w:rsidRDefault="00EA56E0" w:rsidP="00EA56E0">
      <w:r w:rsidRPr="00EA56E0">
        <w:t>The primary efficacy outcome measure was HbA1c at GW36. Secondary efficacy outcome measures were:</w:t>
      </w:r>
    </w:p>
    <w:p w:rsidR="00EA56E0" w:rsidRPr="00EA56E0" w:rsidRDefault="00EA56E0" w:rsidP="00EA56E0">
      <w:pPr>
        <w:pStyle w:val="ListBullet"/>
      </w:pPr>
      <w:r w:rsidRPr="00EA56E0">
        <w:t>HbA1c through pregnancy</w:t>
      </w:r>
    </w:p>
    <w:p w:rsidR="00EA56E0" w:rsidRPr="00EA56E0" w:rsidRDefault="00EA56E0" w:rsidP="00EA56E0">
      <w:pPr>
        <w:pStyle w:val="ListBullet"/>
      </w:pPr>
      <w:r w:rsidRPr="00EA56E0">
        <w:t>Response categories: HbA1c ≤</w:t>
      </w:r>
      <w:r>
        <w:t xml:space="preserve"> </w:t>
      </w:r>
      <w:r w:rsidRPr="00EA56E0">
        <w:t>6.0% at GW24 and GW36</w:t>
      </w:r>
    </w:p>
    <w:p w:rsidR="00EA56E0" w:rsidRPr="00EA56E0" w:rsidRDefault="00EA56E0" w:rsidP="00EA56E0">
      <w:pPr>
        <w:pStyle w:val="ListBullet"/>
      </w:pPr>
      <w:r w:rsidRPr="00EA56E0">
        <w:t>8-point SMPG</w:t>
      </w:r>
    </w:p>
    <w:p w:rsidR="00EA56E0" w:rsidRPr="00EA56E0" w:rsidRDefault="00EA56E0" w:rsidP="00EA56E0">
      <w:pPr>
        <w:pStyle w:val="ListBullet"/>
      </w:pPr>
      <w:r w:rsidRPr="00EA56E0">
        <w:t>FPG</w:t>
      </w:r>
    </w:p>
    <w:p w:rsidR="00EA56E0" w:rsidRPr="00EA56E0" w:rsidRDefault="00EA56E0" w:rsidP="00EA56E0">
      <w:r w:rsidRPr="00EA56E0">
        <w:t xml:space="preserve">The safety outcome measures were: hypoglycaemic episodes; mode of delivery; AEs and laboratory parameters during pregnancy; insulin antibodies; diabetic complications; birth weight; prematurity; perinatal mortality; neonatal mortality; insulin antibodies in cord blood; and presence of </w:t>
      </w:r>
      <w:proofErr w:type="spellStart"/>
      <w:r w:rsidRPr="00EA56E0">
        <w:t>detemir</w:t>
      </w:r>
      <w:proofErr w:type="spellEnd"/>
      <w:r w:rsidRPr="00EA56E0">
        <w:t xml:space="preserve"> in cord blood. The definition of neonatal hypoglycaemia as an AE was restrictive: AEs of neonatal hypoglycaemia were recorded only when they were SAEs according to the following: the infant had severe symptoms of hypoglycaemia (</w:t>
      </w:r>
      <w:r>
        <w:t xml:space="preserve">for example, </w:t>
      </w:r>
      <w:r w:rsidRPr="00EA56E0">
        <w:t xml:space="preserve">convulsions) disappearing after treatment with glucose (irrespectively of whether it was per oral or as </w:t>
      </w:r>
      <w:r>
        <w:t>intravenous</w:t>
      </w:r>
      <w:r w:rsidRPr="00EA56E0">
        <w:t xml:space="preserve"> glucose).</w:t>
      </w:r>
    </w:p>
    <w:p w:rsidR="00EA56E0" w:rsidRPr="00EA56E0" w:rsidRDefault="00EA56E0" w:rsidP="00EA56E0">
      <w:r w:rsidRPr="00EA56E0">
        <w:t xml:space="preserve">The schedule of study visits is summarised in Table </w:t>
      </w:r>
      <w:r>
        <w:t>1</w:t>
      </w:r>
      <w:r w:rsidR="009951AB">
        <w:t>9</w:t>
      </w:r>
      <w:r w:rsidRPr="00EA56E0">
        <w:t>.</w:t>
      </w:r>
    </w:p>
    <w:p w:rsidR="006725EA" w:rsidRPr="00EA56E0" w:rsidRDefault="00EA56E0" w:rsidP="006725EA">
      <w:pPr>
        <w:pStyle w:val="TableTitle"/>
        <w:keepLines/>
      </w:pPr>
      <w:r w:rsidRPr="00EA56E0">
        <w:lastRenderedPageBreak/>
        <w:t>Table 1</w:t>
      </w:r>
      <w:r w:rsidR="009951AB">
        <w:t>9</w:t>
      </w:r>
      <w:r w:rsidRPr="00EA56E0">
        <w:t xml:space="preserve">: Trial Flow Chart </w:t>
      </w:r>
      <w:r w:rsidR="006725EA">
        <w:rPr>
          <w:noProof/>
          <w:lang w:eastAsia="en-AU"/>
        </w:rPr>
        <w:drawing>
          <wp:inline distT="0" distB="0" distL="0" distR="0" wp14:anchorId="7A80634A" wp14:editId="2A6E1115">
            <wp:extent cx="5143500" cy="7496175"/>
            <wp:effectExtent l="0" t="0" r="0" b="9525"/>
            <wp:docPr id="65" name="Picture 65" descr="Table 19: Trial Flow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43500" cy="7496175"/>
                    </a:xfrm>
                    <a:prstGeom prst="rect">
                      <a:avLst/>
                    </a:prstGeom>
                  </pic:spPr>
                </pic:pic>
              </a:graphicData>
            </a:graphic>
          </wp:inline>
        </w:drawing>
      </w:r>
    </w:p>
    <w:p w:rsidR="006731B6" w:rsidRPr="00422072" w:rsidRDefault="006731B6" w:rsidP="006731B6">
      <w:pPr>
        <w:pStyle w:val="Heading6"/>
      </w:pPr>
      <w:r w:rsidRPr="00422072">
        <w:t>Randomisation and blinding methods</w:t>
      </w:r>
    </w:p>
    <w:p w:rsidR="006731B6" w:rsidRPr="006731B6" w:rsidRDefault="006731B6" w:rsidP="006731B6">
      <w:r w:rsidRPr="006731B6">
        <w:t>Randomisation was performed using IV/WRS. The study was open label.</w:t>
      </w:r>
    </w:p>
    <w:p w:rsidR="006731B6" w:rsidRPr="00422072" w:rsidRDefault="006731B6" w:rsidP="006731B6">
      <w:pPr>
        <w:pStyle w:val="Heading6"/>
      </w:pPr>
      <w:r w:rsidRPr="00422072">
        <w:t>Analysis populations</w:t>
      </w:r>
    </w:p>
    <w:p w:rsidR="006731B6" w:rsidRPr="006731B6" w:rsidRDefault="006731B6" w:rsidP="006731B6">
      <w:r w:rsidRPr="006731B6">
        <w:t>The FAS for pregnant subjects (</w:t>
      </w:r>
      <w:proofErr w:type="spellStart"/>
      <w:r w:rsidRPr="006731B6">
        <w:t>FAS</w:t>
      </w:r>
      <w:r w:rsidRPr="006731B6">
        <w:rPr>
          <w:vertAlign w:val="subscript"/>
        </w:rPr>
        <w:t>Pregnant</w:t>
      </w:r>
      <w:proofErr w:type="spellEnd"/>
      <w:r w:rsidRPr="006731B6">
        <w:t xml:space="preserve">) comprised all randomised subjects who were exposed to at least one dose of trial product and who were pregnant during the trial. The </w:t>
      </w:r>
      <w:proofErr w:type="spellStart"/>
      <w:r w:rsidRPr="006731B6">
        <w:lastRenderedPageBreak/>
        <w:t>PP</w:t>
      </w:r>
      <w:r w:rsidRPr="006731B6">
        <w:rPr>
          <w:vertAlign w:val="subscript"/>
        </w:rPr>
        <w:t>Pregnant</w:t>
      </w:r>
      <w:proofErr w:type="spellEnd"/>
      <w:r w:rsidRPr="006731B6">
        <w:t xml:space="preserve"> comprised all subjects from the </w:t>
      </w:r>
      <w:proofErr w:type="spellStart"/>
      <w:r w:rsidRPr="006731B6">
        <w:t>FAS</w:t>
      </w:r>
      <w:r w:rsidRPr="006731B6">
        <w:rPr>
          <w:vertAlign w:val="subscript"/>
        </w:rPr>
        <w:t>Pregnant</w:t>
      </w:r>
      <w:proofErr w:type="spellEnd"/>
      <w:r w:rsidRPr="006731B6">
        <w:t xml:space="preserve"> analysis set except subjects who significantly violated the inclusion/exclusion criteria or other aspects of the protocol considered to potentially affect the primary endpoint.</w:t>
      </w:r>
    </w:p>
    <w:p w:rsidR="006731B6" w:rsidRPr="00422072" w:rsidDel="0081373E" w:rsidRDefault="006731B6" w:rsidP="006731B6">
      <w:pPr>
        <w:pStyle w:val="Heading6"/>
      </w:pPr>
      <w:r w:rsidRPr="00422072" w:rsidDel="0081373E">
        <w:t>Sample size</w:t>
      </w:r>
    </w:p>
    <w:p w:rsidR="006731B6" w:rsidRPr="006731B6" w:rsidRDefault="006731B6" w:rsidP="006731B6">
      <w:pPr>
        <w:autoSpaceDE w:val="0"/>
        <w:autoSpaceDN w:val="0"/>
        <w:adjustRightInd w:val="0"/>
      </w:pPr>
      <w:r w:rsidRPr="006731B6">
        <w:t xml:space="preserve">The sample size calculation was performed for a non-inferiority analysis in the </w:t>
      </w:r>
      <w:proofErr w:type="spellStart"/>
      <w:r w:rsidRPr="006731B6">
        <w:t>PP</w:t>
      </w:r>
      <w:r w:rsidRPr="006731B6">
        <w:rPr>
          <w:vertAlign w:val="subscript"/>
        </w:rPr>
        <w:t>Pregnant</w:t>
      </w:r>
      <w:proofErr w:type="spellEnd"/>
      <w:r w:rsidRPr="006731B6">
        <w:rPr>
          <w:vertAlign w:val="subscript"/>
        </w:rPr>
        <w:t xml:space="preserve"> </w:t>
      </w:r>
      <w:r w:rsidRPr="006731B6">
        <w:t>population for the primary efficacy outcome measure. In previous trials, the range of SD for HbA1c was 0.8 to 1.5; and a SD of 1.1 was used for the calculation. The non-inferiority margin was 0.4%, the level of significance was 0.05, and the power was 80%. A total of 120 subjects in each treatment group would be required to complete to GW36. Given an expected dropout rate of 20%, and the expected pregnancy rate in randomi</w:t>
      </w:r>
      <w:r>
        <w:t>s</w:t>
      </w:r>
      <w:r w:rsidRPr="006731B6">
        <w:t>ed subjects, the final calculation was for 460 subjects.</w:t>
      </w:r>
    </w:p>
    <w:p w:rsidR="006731B6" w:rsidRPr="00422072" w:rsidRDefault="006731B6" w:rsidP="006731B6">
      <w:pPr>
        <w:pStyle w:val="Heading6"/>
      </w:pPr>
      <w:r w:rsidRPr="00422072">
        <w:t>Statistical methods</w:t>
      </w:r>
    </w:p>
    <w:p w:rsidR="006731B6" w:rsidRPr="006731B6" w:rsidRDefault="006731B6" w:rsidP="006731B6">
      <w:r w:rsidRPr="006731B6">
        <w:t>The study was designed as a non-inferiority study with the margin for non-inferiority for the primary efficacy outcome measure (HbA1c at GW36) being 0.4%. Hypothesis tests were performed using the 95% CI. Missing values were imputed using LOCF.</w:t>
      </w:r>
    </w:p>
    <w:p w:rsidR="006731B6" w:rsidRPr="00422072" w:rsidRDefault="006731B6" w:rsidP="006731B6">
      <w:pPr>
        <w:pStyle w:val="Heading6"/>
      </w:pPr>
      <w:r w:rsidRPr="00422072">
        <w:t>Participant flow</w:t>
      </w:r>
    </w:p>
    <w:p w:rsidR="00055281" w:rsidRDefault="006731B6" w:rsidP="006731B6">
      <w:r w:rsidRPr="006731B6">
        <w:t xml:space="preserve">There were 600 subjects screened, and 470 were randomised to treatment: 233 to </w:t>
      </w:r>
      <w:proofErr w:type="spellStart"/>
      <w:r w:rsidRPr="006731B6">
        <w:t>detemir</w:t>
      </w:r>
      <w:proofErr w:type="spellEnd"/>
      <w:r w:rsidRPr="006731B6">
        <w:t xml:space="preserve"> and 237 to NPH. Of these, 263 subjects completed: 127 (83.6%) in the </w:t>
      </w:r>
      <w:proofErr w:type="spellStart"/>
      <w:r w:rsidRPr="006731B6">
        <w:t>detemir</w:t>
      </w:r>
      <w:proofErr w:type="spellEnd"/>
      <w:r w:rsidRPr="006731B6">
        <w:t xml:space="preserve"> group and 136 (84.5%) in the NPH (</w:t>
      </w:r>
      <w:r w:rsidR="00055281">
        <w:t>Figure 3</w:t>
      </w:r>
      <w:r w:rsidRPr="006731B6">
        <w:t>).</w:t>
      </w:r>
    </w:p>
    <w:p w:rsidR="00055281" w:rsidRDefault="00055281" w:rsidP="00055281">
      <w:pPr>
        <w:pStyle w:val="FigureTitle"/>
        <w:keepNext/>
        <w:keepLines/>
      </w:pPr>
      <w:r w:rsidRPr="00D15823">
        <w:t>Figure 3</w:t>
      </w:r>
      <w:r>
        <w:t xml:space="preserve">: </w:t>
      </w:r>
      <w:r w:rsidRPr="00D15823">
        <w:t>Subject Disposition by Pregnancy Status –</w:t>
      </w:r>
      <w:r w:rsidRPr="00055281">
        <w:t xml:space="preserve"> </w:t>
      </w:r>
      <w:proofErr w:type="spellStart"/>
      <w:r w:rsidRPr="00D15823">
        <w:t>Safety</w:t>
      </w:r>
      <w:r w:rsidRPr="00D15823">
        <w:rPr>
          <w:vertAlign w:val="subscript"/>
        </w:rPr>
        <w:t>Pregnant</w:t>
      </w:r>
      <w:proofErr w:type="spellEnd"/>
    </w:p>
    <w:p w:rsidR="00055281" w:rsidRDefault="00055281" w:rsidP="00055281">
      <w:pPr>
        <w:keepNext/>
        <w:keepLines/>
      </w:pPr>
      <w:r w:rsidRPr="00055281">
        <w:rPr>
          <w:rFonts w:ascii="Times New Roman" w:hAnsi="Times New Roman"/>
          <w:noProof/>
          <w:sz w:val="24"/>
          <w:lang w:eastAsia="en-AU"/>
        </w:rPr>
        <w:drawing>
          <wp:inline distT="0" distB="0" distL="0" distR="0" wp14:anchorId="5B922E91" wp14:editId="121145A6">
            <wp:extent cx="5486400" cy="4429125"/>
            <wp:effectExtent l="0" t="0" r="0" b="9525"/>
            <wp:docPr id="89" name="Picture 89" descr="Figure 3: Subject Disposition by Pregnancy Status – Safety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a:stretch>
                      <a:fillRect/>
                    </a:stretch>
                  </pic:blipFill>
                  <pic:spPr bwMode="auto">
                    <a:xfrm>
                      <a:off x="0" y="0"/>
                      <a:ext cx="5486400" cy="4429125"/>
                    </a:xfrm>
                    <a:prstGeom prst="rect">
                      <a:avLst/>
                    </a:prstGeom>
                    <a:noFill/>
                    <a:ln w="9525">
                      <a:noFill/>
                      <a:miter lim="800000"/>
                      <a:headEnd/>
                      <a:tailEnd/>
                    </a:ln>
                  </pic:spPr>
                </pic:pic>
              </a:graphicData>
            </a:graphic>
          </wp:inline>
        </w:drawing>
      </w:r>
    </w:p>
    <w:p w:rsidR="00055281" w:rsidRDefault="00055281" w:rsidP="006731B6"/>
    <w:p w:rsidR="006731B6" w:rsidRPr="006731B6" w:rsidRDefault="006731B6" w:rsidP="006731B6">
      <w:r w:rsidRPr="006731B6">
        <w:lastRenderedPageBreak/>
        <w:t xml:space="preserve">There were 152 (65.2%) subjects in the </w:t>
      </w:r>
      <w:proofErr w:type="spellStart"/>
      <w:r w:rsidRPr="006731B6">
        <w:t>FAS</w:t>
      </w:r>
      <w:r w:rsidRPr="006731B6">
        <w:rPr>
          <w:vertAlign w:val="subscript"/>
        </w:rPr>
        <w:t>Pregnant</w:t>
      </w:r>
      <w:proofErr w:type="spellEnd"/>
      <w:r w:rsidRPr="006731B6">
        <w:t xml:space="preserve"> population exposed to </w:t>
      </w:r>
      <w:proofErr w:type="spellStart"/>
      <w:r w:rsidRPr="006731B6">
        <w:t>detemir</w:t>
      </w:r>
      <w:proofErr w:type="spellEnd"/>
      <w:r w:rsidRPr="006731B6">
        <w:t xml:space="preserve"> and 158 (66.7%) exposed to NPH; and 127 (54.2%) in the </w:t>
      </w:r>
      <w:proofErr w:type="spellStart"/>
      <w:r w:rsidRPr="006731B6">
        <w:t>PP</w:t>
      </w:r>
      <w:r w:rsidRPr="006731B6">
        <w:rPr>
          <w:vertAlign w:val="subscript"/>
        </w:rPr>
        <w:t>Pregnant</w:t>
      </w:r>
      <w:proofErr w:type="spellEnd"/>
      <w:r w:rsidRPr="006731B6">
        <w:rPr>
          <w:vertAlign w:val="subscript"/>
        </w:rPr>
        <w:t xml:space="preserve"> </w:t>
      </w:r>
      <w:r w:rsidRPr="006731B6">
        <w:t xml:space="preserve">population exposed to </w:t>
      </w:r>
      <w:proofErr w:type="spellStart"/>
      <w:r w:rsidRPr="006731B6">
        <w:t>detemir</w:t>
      </w:r>
      <w:proofErr w:type="spellEnd"/>
      <w:r w:rsidRPr="006731B6">
        <w:t xml:space="preserve"> and 137 (57.8%) exposed to NPH (Table </w:t>
      </w:r>
      <w:r w:rsidR="009951AB">
        <w:t>20</w:t>
      </w:r>
      <w:r w:rsidRPr="006731B6">
        <w:t>).</w:t>
      </w:r>
    </w:p>
    <w:p w:rsidR="006731B6" w:rsidRDefault="006731B6" w:rsidP="006731B6">
      <w:pPr>
        <w:pStyle w:val="TableTitle"/>
        <w:keepLines/>
      </w:pPr>
      <w:r w:rsidRPr="006731B6">
        <w:t xml:space="preserve">Table </w:t>
      </w:r>
      <w:r w:rsidR="009951AB">
        <w:t>20</w:t>
      </w:r>
      <w:r w:rsidRPr="006731B6">
        <w:t>: Subject Disposition, All Subjects</w:t>
      </w:r>
      <w:r>
        <w:rPr>
          <w:rFonts w:ascii="Times New Roman" w:hAnsi="Times New Roman"/>
          <w:noProof/>
          <w:sz w:val="24"/>
          <w:lang w:eastAsia="en-AU"/>
        </w:rPr>
        <w:drawing>
          <wp:inline distT="0" distB="0" distL="0" distR="0" wp14:anchorId="3BA9A408" wp14:editId="76069F9E">
            <wp:extent cx="5486400" cy="4133850"/>
            <wp:effectExtent l="0" t="0" r="0" b="0"/>
            <wp:docPr id="31" name="Picture 31" descr="Table 20: Subject Disposition, Al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486400" cy="4133850"/>
                    </a:xfrm>
                    <a:prstGeom prst="rect">
                      <a:avLst/>
                    </a:prstGeom>
                    <a:noFill/>
                    <a:ln w="9525">
                      <a:noFill/>
                      <a:miter lim="800000"/>
                      <a:headEnd/>
                      <a:tailEnd/>
                    </a:ln>
                  </pic:spPr>
                </pic:pic>
              </a:graphicData>
            </a:graphic>
          </wp:inline>
        </w:drawing>
      </w:r>
    </w:p>
    <w:p w:rsidR="006731B6" w:rsidRPr="006731B6" w:rsidRDefault="006731B6" w:rsidP="006731B6"/>
    <w:p w:rsidR="006731B6" w:rsidRPr="006731B6" w:rsidRDefault="006731B6" w:rsidP="006731B6">
      <w:pPr>
        <w:pStyle w:val="Heading6"/>
      </w:pPr>
      <w:r w:rsidRPr="006731B6">
        <w:t>Major protocol violations/deviations</w:t>
      </w:r>
    </w:p>
    <w:p w:rsidR="006731B6" w:rsidRPr="006731B6" w:rsidRDefault="006731B6" w:rsidP="006731B6">
      <w:r w:rsidRPr="006731B6">
        <w:t xml:space="preserve">For all the subjects that were included in the </w:t>
      </w:r>
      <w:proofErr w:type="spellStart"/>
      <w:r w:rsidRPr="006731B6">
        <w:t>FAS</w:t>
      </w:r>
      <w:r w:rsidRPr="006731B6">
        <w:rPr>
          <w:vertAlign w:val="subscript"/>
        </w:rPr>
        <w:t>Pregnant</w:t>
      </w:r>
      <w:proofErr w:type="spellEnd"/>
      <w:r>
        <w:t>, but excluded f</w:t>
      </w:r>
      <w:r w:rsidRPr="006731B6">
        <w:t>r</w:t>
      </w:r>
      <w:r>
        <w:t>o</w:t>
      </w:r>
      <w:r w:rsidRPr="006731B6">
        <w:t xml:space="preserve">m the </w:t>
      </w:r>
      <w:proofErr w:type="spellStart"/>
      <w:r w:rsidRPr="006731B6">
        <w:t>PP</w:t>
      </w:r>
      <w:r w:rsidRPr="006731B6">
        <w:rPr>
          <w:vertAlign w:val="subscript"/>
        </w:rPr>
        <w:t>Pregnant</w:t>
      </w:r>
      <w:proofErr w:type="spellEnd"/>
      <w:r w:rsidRPr="006731B6">
        <w:t>, the reason for exclusion was “delivery not after Gestational Week 32”.</w:t>
      </w:r>
    </w:p>
    <w:p w:rsidR="006731B6" w:rsidRPr="00422072" w:rsidRDefault="006731B6" w:rsidP="006731B6">
      <w:pPr>
        <w:pStyle w:val="Heading6"/>
      </w:pPr>
      <w:r w:rsidRPr="00422072">
        <w:t>Baseline data</w:t>
      </w:r>
    </w:p>
    <w:p w:rsidR="006731B6" w:rsidRDefault="006731B6" w:rsidP="006731B6">
      <w:r w:rsidRPr="006731B6">
        <w:t xml:space="preserve">All subjects were female and the age range was 20 to 43 years. The treatment groups were similar in demographic characteristics (Table </w:t>
      </w:r>
      <w:r>
        <w:t>2</w:t>
      </w:r>
      <w:r w:rsidR="00132916">
        <w:t>1</w:t>
      </w:r>
      <w:r w:rsidRPr="006731B6">
        <w:t xml:space="preserve">). </w:t>
      </w:r>
    </w:p>
    <w:p w:rsidR="006731B6" w:rsidRPr="006731B6" w:rsidRDefault="006731B6" w:rsidP="006731B6">
      <w:pPr>
        <w:pStyle w:val="TableTitle"/>
        <w:keepLines/>
      </w:pPr>
      <w:r w:rsidRPr="006731B6">
        <w:lastRenderedPageBreak/>
        <w:t>Table 2</w:t>
      </w:r>
      <w:r w:rsidR="00132916">
        <w:t>1</w:t>
      </w:r>
      <w:r w:rsidRPr="006731B6">
        <w:t>: Subject Characteristics, Safety Pregnant</w:t>
      </w:r>
    </w:p>
    <w:p w:rsidR="006731B6" w:rsidRPr="00371AFF" w:rsidRDefault="006731B6" w:rsidP="006731B6">
      <w:pPr>
        <w:keepNext/>
        <w:keepLines/>
        <w:rPr>
          <w:rFonts w:ascii="Times New Roman" w:hAnsi="Times New Roman"/>
          <w:sz w:val="24"/>
        </w:rPr>
      </w:pPr>
      <w:r>
        <w:rPr>
          <w:rFonts w:ascii="Times New Roman" w:hAnsi="Times New Roman"/>
          <w:noProof/>
          <w:sz w:val="24"/>
          <w:lang w:eastAsia="en-AU"/>
        </w:rPr>
        <w:drawing>
          <wp:inline distT="0" distB="0" distL="0" distR="0" wp14:anchorId="772672FF" wp14:editId="1916918E">
            <wp:extent cx="5476875" cy="5686425"/>
            <wp:effectExtent l="0" t="0" r="9525" b="9525"/>
            <wp:docPr id="32" name="Picture 32" descr="Table 21: Subject Characteristics, Safety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5476875" cy="5686425"/>
                    </a:xfrm>
                    <a:prstGeom prst="rect">
                      <a:avLst/>
                    </a:prstGeom>
                    <a:noFill/>
                    <a:ln w="9525">
                      <a:noFill/>
                      <a:miter lim="800000"/>
                      <a:headEnd/>
                      <a:tailEnd/>
                    </a:ln>
                  </pic:spPr>
                </pic:pic>
              </a:graphicData>
            </a:graphic>
          </wp:inline>
        </w:drawing>
      </w:r>
    </w:p>
    <w:p w:rsidR="006731B6" w:rsidRDefault="006731B6" w:rsidP="006731B6">
      <w:r w:rsidRPr="006731B6">
        <w:t xml:space="preserve">The treatment groups were similar in baseline efficacy measures and duration of diabetes (Table </w:t>
      </w:r>
      <w:r>
        <w:t>2</w:t>
      </w:r>
      <w:r w:rsidR="00132916">
        <w:t>2</w:t>
      </w:r>
      <w:r>
        <w:t>)</w:t>
      </w:r>
      <w:r w:rsidRPr="006731B6">
        <w:t xml:space="preserve">. </w:t>
      </w:r>
    </w:p>
    <w:p w:rsidR="006731B6" w:rsidRPr="00371AFF" w:rsidRDefault="006731B6" w:rsidP="00BE414A">
      <w:pPr>
        <w:pStyle w:val="TableTitle"/>
        <w:keepLines/>
        <w:rPr>
          <w:rFonts w:ascii="Times New Roman" w:hAnsi="Times New Roman"/>
          <w:sz w:val="24"/>
        </w:rPr>
      </w:pPr>
      <w:r w:rsidRPr="00371AFF">
        <w:lastRenderedPageBreak/>
        <w:t>Table</w:t>
      </w:r>
      <w:r>
        <w:t xml:space="preserve"> 2</w:t>
      </w:r>
      <w:r w:rsidR="00132916">
        <w:t>2</w:t>
      </w:r>
      <w:r>
        <w:t xml:space="preserve">: </w:t>
      </w:r>
      <w:r w:rsidRPr="00371AFF">
        <w:t>Diabetes History, Safety Pregnant</w:t>
      </w:r>
      <w:r>
        <w:rPr>
          <w:rFonts w:ascii="Times New Roman" w:hAnsi="Times New Roman"/>
          <w:noProof/>
          <w:sz w:val="24"/>
          <w:lang w:eastAsia="en-AU"/>
        </w:rPr>
        <w:drawing>
          <wp:inline distT="0" distB="0" distL="0" distR="0" wp14:anchorId="11DAC43D" wp14:editId="10A70EDC">
            <wp:extent cx="5486400" cy="2676525"/>
            <wp:effectExtent l="0" t="0" r="0" b="9525"/>
            <wp:docPr id="33" name="Picture 33" descr="Table 22: Diabetes History, Safety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5486400" cy="2676525"/>
                    </a:xfrm>
                    <a:prstGeom prst="rect">
                      <a:avLst/>
                    </a:prstGeom>
                    <a:noFill/>
                    <a:ln w="9525">
                      <a:noFill/>
                      <a:miter lim="800000"/>
                      <a:headEnd/>
                      <a:tailEnd/>
                    </a:ln>
                  </pic:spPr>
                </pic:pic>
              </a:graphicData>
            </a:graphic>
          </wp:inline>
        </w:drawing>
      </w:r>
    </w:p>
    <w:p w:rsidR="00BE414A" w:rsidRDefault="006731B6" w:rsidP="006731B6">
      <w:r w:rsidRPr="006731B6">
        <w:t xml:space="preserve">More subjects in the </w:t>
      </w:r>
      <w:proofErr w:type="spellStart"/>
      <w:r w:rsidRPr="006731B6">
        <w:t>detemir</w:t>
      </w:r>
      <w:proofErr w:type="spellEnd"/>
      <w:r w:rsidRPr="006731B6">
        <w:t xml:space="preserve"> group had diabetic neuropathy at baseline: seven (4.6%) compared with three (1.9%) in the NPH (Table</w:t>
      </w:r>
      <w:r w:rsidR="00BE414A">
        <w:t xml:space="preserve"> 2</w:t>
      </w:r>
      <w:r w:rsidR="00132916">
        <w:t>3</w:t>
      </w:r>
      <w:r w:rsidRPr="006731B6">
        <w:t xml:space="preserve">). </w:t>
      </w:r>
    </w:p>
    <w:p w:rsidR="00BE414A" w:rsidRPr="00371AFF" w:rsidRDefault="00BE414A" w:rsidP="00BE414A">
      <w:pPr>
        <w:pStyle w:val="TableTitle"/>
        <w:keepLines/>
      </w:pPr>
      <w:r w:rsidRPr="00371AFF">
        <w:t xml:space="preserve">Table </w:t>
      </w:r>
      <w:r>
        <w:t>2</w:t>
      </w:r>
      <w:r w:rsidR="00132916">
        <w:t>3</w:t>
      </w:r>
      <w:r>
        <w:t xml:space="preserve">: </w:t>
      </w:r>
      <w:r w:rsidRPr="00371AFF">
        <w:t>Diabetic Complications at Baseline, Safety Pregnant</w:t>
      </w:r>
      <w:r>
        <w:rPr>
          <w:noProof/>
          <w:lang w:eastAsia="en-AU"/>
        </w:rPr>
        <w:drawing>
          <wp:inline distT="0" distB="0" distL="0" distR="0" wp14:anchorId="73F1D853" wp14:editId="2004D028">
            <wp:extent cx="5495925" cy="3905250"/>
            <wp:effectExtent l="0" t="0" r="9525" b="0"/>
            <wp:docPr id="34" name="Picture 34" descr="Table 23: Diabetic Complications at Baseline, Safety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5495925" cy="3905250"/>
                    </a:xfrm>
                    <a:prstGeom prst="rect">
                      <a:avLst/>
                    </a:prstGeom>
                    <a:noFill/>
                    <a:ln w="9525">
                      <a:noFill/>
                      <a:miter lim="800000"/>
                      <a:headEnd/>
                      <a:tailEnd/>
                    </a:ln>
                  </pic:spPr>
                </pic:pic>
              </a:graphicData>
            </a:graphic>
          </wp:inline>
        </w:drawing>
      </w:r>
    </w:p>
    <w:p w:rsidR="006731B6" w:rsidRPr="006731B6" w:rsidRDefault="006731B6" w:rsidP="006731B6">
      <w:r w:rsidRPr="006731B6">
        <w:t xml:space="preserve">Clinically significant </w:t>
      </w:r>
      <w:proofErr w:type="spellStart"/>
      <w:r w:rsidRPr="006731B6">
        <w:t>fundoscopic</w:t>
      </w:r>
      <w:proofErr w:type="spellEnd"/>
      <w:r w:rsidRPr="006731B6">
        <w:t xml:space="preserve"> abnormalities were present in 12 subjects in each group. Obstetric history was similar for the two treatment groups (Table </w:t>
      </w:r>
      <w:r w:rsidR="00BE414A">
        <w:t>2</w:t>
      </w:r>
      <w:r w:rsidR="00132916">
        <w:t>4</w:t>
      </w:r>
      <w:r w:rsidR="00BE414A">
        <w:t>)</w:t>
      </w:r>
      <w:r w:rsidRPr="006731B6">
        <w:t>.</w:t>
      </w:r>
    </w:p>
    <w:p w:rsidR="00BE414A" w:rsidRPr="00371AFF" w:rsidRDefault="00BE414A" w:rsidP="00BE414A">
      <w:pPr>
        <w:pStyle w:val="TableTitle"/>
        <w:keepLines/>
        <w:rPr>
          <w:rFonts w:ascii="Times New Roman" w:hAnsi="Times New Roman"/>
          <w:sz w:val="24"/>
        </w:rPr>
      </w:pPr>
      <w:r w:rsidRPr="00371AFF">
        <w:lastRenderedPageBreak/>
        <w:t xml:space="preserve">Table </w:t>
      </w:r>
      <w:r>
        <w:t>2</w:t>
      </w:r>
      <w:r w:rsidR="00132916">
        <w:t>4</w:t>
      </w:r>
      <w:r>
        <w:t xml:space="preserve">: </w:t>
      </w:r>
      <w:r w:rsidRPr="00371AFF">
        <w:t>Obstetric History at Baseline, Safety Pregnant</w:t>
      </w:r>
      <w:r>
        <w:rPr>
          <w:rFonts w:ascii="Times New Roman" w:hAnsi="Times New Roman"/>
          <w:noProof/>
          <w:sz w:val="24"/>
          <w:lang w:eastAsia="en-AU"/>
        </w:rPr>
        <w:drawing>
          <wp:inline distT="0" distB="0" distL="0" distR="0" wp14:anchorId="73B24680" wp14:editId="194790A4">
            <wp:extent cx="5476875" cy="4914900"/>
            <wp:effectExtent l="0" t="0" r="9525" b="0"/>
            <wp:docPr id="35" name="Picture 35" descr="Table 24: Obstetric History at Baseline, Safety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5476875" cy="4914900"/>
                    </a:xfrm>
                    <a:prstGeom prst="rect">
                      <a:avLst/>
                    </a:prstGeom>
                    <a:noFill/>
                    <a:ln w="9525">
                      <a:noFill/>
                      <a:miter lim="800000"/>
                      <a:headEnd/>
                      <a:tailEnd/>
                    </a:ln>
                  </pic:spPr>
                </pic:pic>
              </a:graphicData>
            </a:graphic>
          </wp:inline>
        </w:drawing>
      </w:r>
    </w:p>
    <w:p w:rsidR="006731B6" w:rsidRPr="00422072" w:rsidRDefault="006731B6" w:rsidP="00BE414A">
      <w:pPr>
        <w:pStyle w:val="Heading6"/>
      </w:pPr>
      <w:r w:rsidRPr="00422072">
        <w:t>Results for the primary efficacy outcome</w:t>
      </w:r>
    </w:p>
    <w:p w:rsidR="006731B6" w:rsidRPr="00BE414A" w:rsidRDefault="006731B6" w:rsidP="00BE414A">
      <w:r w:rsidRPr="00BE414A">
        <w:t xml:space="preserve">Insulin </w:t>
      </w:r>
      <w:proofErr w:type="spellStart"/>
      <w:r w:rsidRPr="00BE414A">
        <w:t>detemir</w:t>
      </w:r>
      <w:proofErr w:type="spellEnd"/>
      <w:r w:rsidRPr="00BE414A">
        <w:t xml:space="preserve"> wa</w:t>
      </w:r>
      <w:r w:rsidR="00BE414A">
        <w:t xml:space="preserve">s not inferior to insulin NPH. </w:t>
      </w:r>
      <w:r w:rsidRPr="00BE414A">
        <w:t xml:space="preserve">The mean (SE) HbA1c at GW36 for the PP population was 6.22 (0.069) % for </w:t>
      </w:r>
      <w:proofErr w:type="spellStart"/>
      <w:r w:rsidRPr="00BE414A">
        <w:t>detemir</w:t>
      </w:r>
      <w:proofErr w:type="spellEnd"/>
      <w:r w:rsidRPr="00BE414A">
        <w:t xml:space="preserve"> and 6.37 (0.067) % for NPH, mean (95% CI) difference -0.15 (-0.34 to 0.04) %. For the FAS the mean (SE) HbA1c at GW36 was 6.27 (0.053) % for </w:t>
      </w:r>
      <w:proofErr w:type="spellStart"/>
      <w:r w:rsidRPr="00BE414A">
        <w:t>detemir</w:t>
      </w:r>
      <w:proofErr w:type="spellEnd"/>
      <w:r w:rsidRPr="00BE414A">
        <w:t xml:space="preserve"> and 6.33 (0.052) % for NPH, mean (95% CI) difference -0.06 (-0.21 to 0.08) %. For subjects pregnant at randomisation, mean (SE) HbA1c was 6.39 (0.072) % in the </w:t>
      </w:r>
      <w:proofErr w:type="spellStart"/>
      <w:r w:rsidRPr="00BE414A">
        <w:t>detemir</w:t>
      </w:r>
      <w:proofErr w:type="spellEnd"/>
      <w:r w:rsidRPr="00BE414A">
        <w:t xml:space="preserve"> group and 6.44 (0.070) % in the NPH. For subjects pregnant after randomisation mean (SE) HbA1c was 6.11 (0.080) % in the </w:t>
      </w:r>
      <w:proofErr w:type="spellStart"/>
      <w:r w:rsidRPr="00BE414A">
        <w:t>detemir</w:t>
      </w:r>
      <w:proofErr w:type="spellEnd"/>
      <w:r w:rsidRPr="00BE414A">
        <w:t xml:space="preserve"> group and 6.19 (0.082) % in the NPH.</w:t>
      </w:r>
    </w:p>
    <w:p w:rsidR="006F25EB" w:rsidRPr="00422072" w:rsidRDefault="006F25EB" w:rsidP="006F25EB">
      <w:pPr>
        <w:pStyle w:val="Heading6"/>
      </w:pPr>
      <w:r w:rsidRPr="00422072">
        <w:t>Results for other efficacy outcomes</w:t>
      </w:r>
    </w:p>
    <w:p w:rsidR="006F25EB" w:rsidRDefault="006F25EB" w:rsidP="006F25EB">
      <w:pPr>
        <w:pStyle w:val="ListBullet"/>
      </w:pPr>
      <w:r w:rsidRPr="006F25EB">
        <w:t xml:space="preserve">At each time point there was no significant difference between </w:t>
      </w:r>
      <w:proofErr w:type="spellStart"/>
      <w:r w:rsidRPr="006F25EB">
        <w:t>detemir</w:t>
      </w:r>
      <w:proofErr w:type="spellEnd"/>
      <w:r w:rsidRPr="006F25EB">
        <w:t xml:space="preserve"> and NPH in HbA1c (</w:t>
      </w:r>
      <w:r w:rsidR="00132916">
        <w:t>Figure 4)</w:t>
      </w:r>
      <w:r w:rsidRPr="006F25EB">
        <w:t xml:space="preserve">. At GW24 mean SE HbA1c was 6.04 (0.050) % in the </w:t>
      </w:r>
      <w:proofErr w:type="spellStart"/>
      <w:r w:rsidRPr="006F25EB">
        <w:t>detemir</w:t>
      </w:r>
      <w:proofErr w:type="spellEnd"/>
      <w:r w:rsidRPr="006F25EB">
        <w:t xml:space="preserve"> group and 6.14 (0.049) % in the NPH.</w:t>
      </w:r>
    </w:p>
    <w:p w:rsidR="00132916" w:rsidRPr="00D15823" w:rsidRDefault="00132916" w:rsidP="00132916">
      <w:pPr>
        <w:pStyle w:val="FigureTitle"/>
        <w:keepNext/>
        <w:keepLines/>
      </w:pPr>
      <w:r w:rsidRPr="00132916">
        <w:lastRenderedPageBreak/>
        <w:t xml:space="preserve">Figure </w:t>
      </w:r>
      <w:r>
        <w:t xml:space="preserve">4: </w:t>
      </w:r>
      <w:r w:rsidRPr="00132916">
        <w:t>Mean (</w:t>
      </w:r>
      <w:r>
        <w:t>±</w:t>
      </w:r>
      <w:r w:rsidRPr="00132916">
        <w:t>SEM) HbA1c (%) during Pregnancy and at Follow-up, LOCF, Full Analysis Set Pregnant</w:t>
      </w:r>
      <w:r>
        <w:rPr>
          <w:noProof/>
          <w:lang w:eastAsia="en-AU"/>
        </w:rPr>
        <w:drawing>
          <wp:inline distT="0" distB="0" distL="0" distR="0" wp14:anchorId="6984ABE2" wp14:editId="21C2E1CF">
            <wp:extent cx="5486400" cy="3162300"/>
            <wp:effectExtent l="0" t="0" r="0" b="0"/>
            <wp:docPr id="95" name="Picture 95" descr="Figure 4: Mean (±SEM) HbA1c (%) during Pregnancy and at Follow-up, LOCF, Full Analysis Set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cstate="print"/>
                    <a:srcRect/>
                    <a:stretch>
                      <a:fillRect/>
                    </a:stretch>
                  </pic:blipFill>
                  <pic:spPr bwMode="auto">
                    <a:xfrm>
                      <a:off x="0" y="0"/>
                      <a:ext cx="5486400" cy="3162300"/>
                    </a:xfrm>
                    <a:prstGeom prst="rect">
                      <a:avLst/>
                    </a:prstGeom>
                    <a:noFill/>
                    <a:ln w="9525">
                      <a:noFill/>
                      <a:miter lim="800000"/>
                      <a:headEnd/>
                      <a:tailEnd/>
                    </a:ln>
                  </pic:spPr>
                </pic:pic>
              </a:graphicData>
            </a:graphic>
          </wp:inline>
        </w:drawing>
      </w:r>
    </w:p>
    <w:p w:rsidR="006F25EB" w:rsidRPr="006F25EB" w:rsidRDefault="006F25EB" w:rsidP="006F25EB">
      <w:pPr>
        <w:pStyle w:val="ListBullet"/>
      </w:pPr>
      <w:r w:rsidRPr="006F25EB">
        <w:t>HbA1c ≤</w:t>
      </w:r>
      <w:r>
        <w:t xml:space="preserve"> </w:t>
      </w:r>
      <w:r w:rsidRPr="006F25EB">
        <w:t xml:space="preserve">6% at GW24 and GW36 was achieved by 57 (41.3%) subjects in the </w:t>
      </w:r>
      <w:proofErr w:type="spellStart"/>
      <w:r w:rsidRPr="006F25EB">
        <w:t>detemir</w:t>
      </w:r>
      <w:proofErr w:type="spellEnd"/>
      <w:r w:rsidRPr="006F25EB">
        <w:t xml:space="preserve"> group and 46 (31.5%) in the NPH.</w:t>
      </w:r>
    </w:p>
    <w:p w:rsidR="006F25EB" w:rsidRPr="006F25EB" w:rsidRDefault="006F25EB" w:rsidP="006F25EB">
      <w:pPr>
        <w:pStyle w:val="ListBullet"/>
      </w:pPr>
      <w:r w:rsidRPr="006F25EB">
        <w:t xml:space="preserve">At the GW24 visit mean (SE) FPG was 5.38 (0.271) </w:t>
      </w:r>
      <w:proofErr w:type="spellStart"/>
      <w:r w:rsidRPr="006F25EB">
        <w:t>mmol</w:t>
      </w:r>
      <w:proofErr w:type="spellEnd"/>
      <w:r w:rsidRPr="006F25EB">
        <w:t xml:space="preserve">/L in the </w:t>
      </w:r>
      <w:proofErr w:type="spellStart"/>
      <w:r w:rsidRPr="006F25EB">
        <w:t>detemir</w:t>
      </w:r>
      <w:proofErr w:type="spellEnd"/>
      <w:r w:rsidRPr="006F25EB">
        <w:t xml:space="preserve"> group and 6.32 (0.255) </w:t>
      </w:r>
      <w:proofErr w:type="spellStart"/>
      <w:r w:rsidRPr="006F25EB">
        <w:t>mmol</w:t>
      </w:r>
      <w:proofErr w:type="spellEnd"/>
      <w:r w:rsidRPr="006F25EB">
        <w:t xml:space="preserve">/L in the NPH, mean (95% CI) difference -0.94 (-1.67 to -0.21) </w:t>
      </w:r>
      <w:proofErr w:type="spellStart"/>
      <w:r w:rsidRPr="006F25EB">
        <w:t>mmol</w:t>
      </w:r>
      <w:proofErr w:type="spellEnd"/>
      <w:r w:rsidRPr="006F25EB">
        <w:t>, p = 0.012.</w:t>
      </w:r>
    </w:p>
    <w:p w:rsidR="006F25EB" w:rsidRPr="006F25EB" w:rsidRDefault="006F25EB" w:rsidP="006F25EB">
      <w:pPr>
        <w:pStyle w:val="ListBullet"/>
      </w:pPr>
      <w:r w:rsidRPr="006F25EB">
        <w:t xml:space="preserve">At the GW36 visit mean (SE) FPG was 4.76 (0.200) </w:t>
      </w:r>
      <w:proofErr w:type="spellStart"/>
      <w:r w:rsidRPr="006F25EB">
        <w:t>mmol</w:t>
      </w:r>
      <w:proofErr w:type="spellEnd"/>
      <w:r w:rsidRPr="006F25EB">
        <w:t xml:space="preserve">/L in the </w:t>
      </w:r>
      <w:proofErr w:type="spellStart"/>
      <w:r w:rsidRPr="006F25EB">
        <w:t>detemir</w:t>
      </w:r>
      <w:proofErr w:type="spellEnd"/>
      <w:r w:rsidRPr="006F25EB">
        <w:t xml:space="preserve"> group and 5.41 (0.187) </w:t>
      </w:r>
      <w:proofErr w:type="spellStart"/>
      <w:r w:rsidRPr="006F25EB">
        <w:t>mmol</w:t>
      </w:r>
      <w:proofErr w:type="spellEnd"/>
      <w:r w:rsidRPr="006F25EB">
        <w:t xml:space="preserve">/L in the NPH, mean (95% CI) difference -0.94 (-1.19 to -0.12) </w:t>
      </w:r>
      <w:proofErr w:type="spellStart"/>
      <w:r w:rsidRPr="006F25EB">
        <w:t>mmol</w:t>
      </w:r>
      <w:proofErr w:type="spellEnd"/>
      <w:r w:rsidRPr="006F25EB">
        <w:t>, p = 0.017.</w:t>
      </w:r>
    </w:p>
    <w:p w:rsidR="006F25EB" w:rsidRDefault="006F25EB" w:rsidP="006F25EB">
      <w:pPr>
        <w:pStyle w:val="ListBullet"/>
      </w:pPr>
      <w:r w:rsidRPr="006F25EB">
        <w:t>The 8 point SMPG profiles were similar for the two treatment groups at the GW24 and GW36 visits (</w:t>
      </w:r>
      <w:r w:rsidR="00132916">
        <w:t>Figure 5</w:t>
      </w:r>
      <w:r w:rsidR="00851A1B">
        <w:t>)</w:t>
      </w:r>
      <w:r w:rsidRPr="006F25EB">
        <w:t xml:space="preserve">. A mixed model estimation of mean (SE) plasma glucose at GW24 was 6.95 (0.105) </w:t>
      </w:r>
      <w:proofErr w:type="spellStart"/>
      <w:r w:rsidRPr="006F25EB">
        <w:t>mmol</w:t>
      </w:r>
      <w:proofErr w:type="spellEnd"/>
      <w:r w:rsidRPr="006F25EB">
        <w:t xml:space="preserve">/L for </w:t>
      </w:r>
      <w:proofErr w:type="spellStart"/>
      <w:r w:rsidRPr="006F25EB">
        <w:t>detemir</w:t>
      </w:r>
      <w:proofErr w:type="spellEnd"/>
      <w:r w:rsidRPr="006F25EB">
        <w:t xml:space="preserve"> and 7.38 (0.101) </w:t>
      </w:r>
      <w:proofErr w:type="spellStart"/>
      <w:r w:rsidRPr="006F25EB">
        <w:t>mmol</w:t>
      </w:r>
      <w:proofErr w:type="spellEnd"/>
      <w:r w:rsidRPr="006F25EB">
        <w:t xml:space="preserve">/L for NPH, mean (95% CI) difference -0.43 (-0.72 to -0.14) </w:t>
      </w:r>
      <w:proofErr w:type="spellStart"/>
      <w:r w:rsidRPr="006F25EB">
        <w:t>mmol</w:t>
      </w:r>
      <w:proofErr w:type="spellEnd"/>
      <w:r w:rsidRPr="006F25EB">
        <w:t xml:space="preserve">/L, p = 0.003; and at GW36 was 6.61 (0.098) </w:t>
      </w:r>
      <w:proofErr w:type="spellStart"/>
      <w:r w:rsidRPr="006F25EB">
        <w:t>mmol</w:t>
      </w:r>
      <w:proofErr w:type="spellEnd"/>
      <w:r w:rsidRPr="006F25EB">
        <w:t xml:space="preserve">/L for </w:t>
      </w:r>
      <w:proofErr w:type="spellStart"/>
      <w:r w:rsidRPr="006F25EB">
        <w:t>detemir</w:t>
      </w:r>
      <w:proofErr w:type="spellEnd"/>
      <w:r w:rsidRPr="006F25EB">
        <w:t xml:space="preserve"> and 6.85 (0.094) </w:t>
      </w:r>
      <w:proofErr w:type="spellStart"/>
      <w:r w:rsidRPr="006F25EB">
        <w:t>mmol</w:t>
      </w:r>
      <w:proofErr w:type="spellEnd"/>
      <w:r w:rsidRPr="006F25EB">
        <w:t xml:space="preserve">/L for NPH, mean (95% CI) difference -0.24 (-0.51 to 0.03) </w:t>
      </w:r>
      <w:proofErr w:type="spellStart"/>
      <w:r w:rsidRPr="006F25EB">
        <w:t>mmol</w:t>
      </w:r>
      <w:proofErr w:type="spellEnd"/>
      <w:r w:rsidRPr="006F25EB">
        <w:t>/L, p = 0.082.</w:t>
      </w:r>
    </w:p>
    <w:p w:rsidR="00132916" w:rsidRPr="00132916" w:rsidRDefault="00184435" w:rsidP="00184435">
      <w:pPr>
        <w:pStyle w:val="FigureTitle"/>
        <w:keepNext/>
        <w:keepLines/>
      </w:pPr>
      <w:r>
        <w:lastRenderedPageBreak/>
        <w:t xml:space="preserve">Figure 5: </w:t>
      </w:r>
      <w:r w:rsidR="00132916" w:rsidRPr="00132916">
        <w:t>Mean (</w:t>
      </w:r>
      <w:r w:rsidR="00132916">
        <w:t>±</w:t>
      </w:r>
      <w:r w:rsidR="00132916" w:rsidRPr="00132916">
        <w:t>SEM) 8-point PG Profile (</w:t>
      </w:r>
      <w:proofErr w:type="spellStart"/>
      <w:r w:rsidR="00132916" w:rsidRPr="00132916">
        <w:t>mmol</w:t>
      </w:r>
      <w:proofErr w:type="spellEnd"/>
      <w:r w:rsidR="00132916" w:rsidRPr="00132916">
        <w:t>/L) at GW24 (Top) and GW36 (Bottom), LOCF, FAS Pregnant</w:t>
      </w:r>
    </w:p>
    <w:p w:rsidR="00132916" w:rsidRDefault="00132916" w:rsidP="00184435">
      <w:pPr>
        <w:pStyle w:val="ListBullet"/>
        <w:keepNext/>
        <w:keepLines/>
        <w:numPr>
          <w:ilvl w:val="0"/>
          <w:numId w:val="0"/>
        </w:numPr>
        <w:ind w:left="360" w:hanging="360"/>
      </w:pPr>
      <w:r>
        <w:rPr>
          <w:rFonts w:ascii="Times New Roman" w:hAnsi="Times New Roman"/>
          <w:noProof/>
          <w:sz w:val="24"/>
          <w:lang w:eastAsia="en-AU"/>
        </w:rPr>
        <w:drawing>
          <wp:inline distT="0" distB="0" distL="0" distR="0" wp14:anchorId="4C5D7A78" wp14:editId="3930373E">
            <wp:extent cx="5486400" cy="6381750"/>
            <wp:effectExtent l="0" t="0" r="0" b="0"/>
            <wp:docPr id="91" name="Picture 91" descr="Figure 5: Mean (±SEM) 8-point PG Profile (mmol/L) at GW24 (Top) and GW36 (Bottom), LOCF, FAS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srcRect/>
                    <a:stretch>
                      <a:fillRect/>
                    </a:stretch>
                  </pic:blipFill>
                  <pic:spPr bwMode="auto">
                    <a:xfrm>
                      <a:off x="0" y="0"/>
                      <a:ext cx="5486400" cy="6381750"/>
                    </a:xfrm>
                    <a:prstGeom prst="rect">
                      <a:avLst/>
                    </a:prstGeom>
                    <a:noFill/>
                    <a:ln w="9525">
                      <a:noFill/>
                      <a:miter lim="800000"/>
                      <a:headEnd/>
                      <a:tailEnd/>
                    </a:ln>
                  </pic:spPr>
                </pic:pic>
              </a:graphicData>
            </a:graphic>
          </wp:inline>
        </w:drawing>
      </w:r>
    </w:p>
    <w:p w:rsidR="006F25EB" w:rsidRPr="00422072" w:rsidRDefault="006F25EB" w:rsidP="006F25EB">
      <w:pPr>
        <w:pStyle w:val="Heading4"/>
      </w:pPr>
      <w:bookmarkStart w:id="59" w:name="_Ref271126605"/>
      <w:bookmarkStart w:id="60" w:name="_Toc272414657"/>
      <w:bookmarkStart w:id="61" w:name="_Toc290846282"/>
      <w:bookmarkStart w:id="62" w:name="_Toc347931826"/>
      <w:r w:rsidRPr="00422072">
        <w:t xml:space="preserve">Evaluator’s conclusions on clinical efficacy for </w:t>
      </w:r>
      <w:bookmarkEnd w:id="59"/>
      <w:bookmarkEnd w:id="60"/>
      <w:bookmarkEnd w:id="61"/>
      <w:r w:rsidRPr="00422072">
        <w:t>Change 3</w:t>
      </w:r>
      <w:bookmarkEnd w:id="62"/>
    </w:p>
    <w:p w:rsidR="006F25EB" w:rsidRPr="006F25EB" w:rsidRDefault="006F25EB" w:rsidP="006F25EB">
      <w:r w:rsidRPr="006F25EB">
        <w:t xml:space="preserve">Insulin </w:t>
      </w:r>
      <w:proofErr w:type="spellStart"/>
      <w:r w:rsidRPr="006F25EB">
        <w:t>detemir</w:t>
      </w:r>
      <w:proofErr w:type="spellEnd"/>
      <w:r w:rsidRPr="006F25EB">
        <w:t xml:space="preserve"> has similar efficacy to NPH in the management</w:t>
      </w:r>
      <w:r>
        <w:t xml:space="preserve"> of diabetes during pregnancy. </w:t>
      </w:r>
    </w:p>
    <w:p w:rsidR="00C22678" w:rsidRDefault="00C22678" w:rsidP="00C22678">
      <w:pPr>
        <w:pStyle w:val="Heading2"/>
      </w:pPr>
      <w:bookmarkStart w:id="63" w:name="_Toc384108950"/>
      <w:r>
        <w:t>Clinical safety</w:t>
      </w:r>
      <w:bookmarkEnd w:id="63"/>
    </w:p>
    <w:p w:rsidR="00AC6C92" w:rsidRPr="00E61C31" w:rsidRDefault="00AC6C92" w:rsidP="00AC6C92">
      <w:pPr>
        <w:pStyle w:val="Heading3"/>
      </w:pPr>
      <w:bookmarkStart w:id="64" w:name="_Toc272414659"/>
      <w:bookmarkStart w:id="65" w:name="_Toc290846284"/>
      <w:bookmarkStart w:id="66" w:name="_Toc347931828"/>
      <w:bookmarkStart w:id="67" w:name="_Toc384108951"/>
      <w:r w:rsidRPr="00E61C31">
        <w:t>Studies providing evaluable safety data</w:t>
      </w:r>
      <w:bookmarkEnd w:id="64"/>
      <w:bookmarkEnd w:id="65"/>
      <w:bookmarkEnd w:id="66"/>
      <w:bookmarkEnd w:id="67"/>
    </w:p>
    <w:p w:rsidR="00AC6C92" w:rsidRPr="00E91DCB" w:rsidRDefault="00AC6C92" w:rsidP="00E91DCB">
      <w:bookmarkStart w:id="68" w:name="_Ref268776745"/>
      <w:r w:rsidRPr="00E91DCB">
        <w:t>Evaluable safety data were available from all the clinical studies. These were:</w:t>
      </w:r>
    </w:p>
    <w:p w:rsidR="00AC6C92" w:rsidRPr="00E91DCB" w:rsidRDefault="00AC6C92" w:rsidP="00E91DCB">
      <w:pPr>
        <w:pStyle w:val="ListBullet"/>
      </w:pPr>
      <w:r w:rsidRPr="00E91DCB">
        <w:lastRenderedPageBreak/>
        <w:t>Change 1: Study NN2211-3673 (PK/PD), Study NN2211-1842 (efficacy and safety), and Study NN2211-1842-extension (long-term safety).</w:t>
      </w:r>
    </w:p>
    <w:p w:rsidR="00AC6C92" w:rsidRPr="00E91DCB" w:rsidRDefault="00AC6C92" w:rsidP="00E91DCB">
      <w:pPr>
        <w:pStyle w:val="ListBullet"/>
      </w:pPr>
      <w:r w:rsidRPr="00E91DCB">
        <w:t>Change 2: Study NN304-1690 (long-term open label safety in children)</w:t>
      </w:r>
    </w:p>
    <w:p w:rsidR="00AC6C92" w:rsidRPr="00E91DCB" w:rsidRDefault="00AC6C92" w:rsidP="00E91DCB">
      <w:pPr>
        <w:pStyle w:val="ListBullet"/>
      </w:pPr>
      <w:r w:rsidRPr="00E91DCB">
        <w:t>Change 3: Study NN304-1687 (efficacy and safety in pregnancy)</w:t>
      </w:r>
    </w:p>
    <w:p w:rsidR="00AC6C92" w:rsidRPr="00E61C31" w:rsidRDefault="00AC6C92" w:rsidP="00E91DCB">
      <w:pPr>
        <w:pStyle w:val="Heading3"/>
      </w:pPr>
      <w:bookmarkStart w:id="69" w:name="_Ref269204367"/>
      <w:bookmarkStart w:id="70" w:name="_Ref271195835"/>
      <w:bookmarkStart w:id="71" w:name="_Ref271195841"/>
      <w:bookmarkStart w:id="72" w:name="_Toc272414660"/>
      <w:bookmarkStart w:id="73" w:name="_Toc290846285"/>
      <w:bookmarkStart w:id="74" w:name="_Toc347931829"/>
      <w:bookmarkStart w:id="75" w:name="_Toc384108952"/>
      <w:bookmarkEnd w:id="68"/>
      <w:r w:rsidRPr="00E61C31">
        <w:t>Pivotal studies that assessed safety as a primary outcome</w:t>
      </w:r>
      <w:bookmarkEnd w:id="69"/>
      <w:bookmarkEnd w:id="70"/>
      <w:bookmarkEnd w:id="71"/>
      <w:bookmarkEnd w:id="72"/>
      <w:bookmarkEnd w:id="73"/>
      <w:bookmarkEnd w:id="74"/>
      <w:bookmarkEnd w:id="75"/>
    </w:p>
    <w:p w:rsidR="00AC6C92" w:rsidRPr="00E91DCB" w:rsidRDefault="00AC6C92" w:rsidP="00E91DCB">
      <w:r w:rsidRPr="00E91DCB">
        <w:t>There were no additional pivotal safety studies.</w:t>
      </w:r>
    </w:p>
    <w:p w:rsidR="00AC6C92" w:rsidRPr="00E61C31" w:rsidRDefault="00AC6C92" w:rsidP="00E91DCB">
      <w:pPr>
        <w:pStyle w:val="Heading3"/>
      </w:pPr>
      <w:bookmarkStart w:id="76" w:name="_Toc241374318"/>
      <w:bookmarkStart w:id="77" w:name="_Ref271196630"/>
      <w:bookmarkStart w:id="78" w:name="_Toc272414662"/>
      <w:bookmarkStart w:id="79" w:name="_Toc290846300"/>
      <w:bookmarkStart w:id="80" w:name="_Toc347931830"/>
      <w:bookmarkStart w:id="81" w:name="_Toc384108953"/>
      <w:r w:rsidRPr="00E61C31">
        <w:t>Patient exposure</w:t>
      </w:r>
      <w:bookmarkEnd w:id="76"/>
      <w:bookmarkEnd w:id="77"/>
      <w:bookmarkEnd w:id="78"/>
      <w:bookmarkEnd w:id="79"/>
      <w:bookmarkEnd w:id="80"/>
      <w:bookmarkEnd w:id="81"/>
    </w:p>
    <w:p w:rsidR="00AC6C92" w:rsidRPr="00E91DCB" w:rsidRDefault="00AC6C92" w:rsidP="00E91DCB">
      <w:pPr>
        <w:rPr>
          <w:b/>
        </w:rPr>
      </w:pPr>
      <w:r w:rsidRPr="00E91DCB">
        <w:rPr>
          <w:b/>
        </w:rPr>
        <w:t>Change 1:</w:t>
      </w:r>
    </w:p>
    <w:p w:rsidR="00AC6C92" w:rsidRPr="00E91DCB" w:rsidRDefault="00AC6C92" w:rsidP="00851A1B">
      <w:pPr>
        <w:spacing w:before="240"/>
      </w:pPr>
      <w:r w:rsidRPr="00E91DCB">
        <w:t xml:space="preserve">In </w:t>
      </w:r>
      <w:r w:rsidR="00E91DCB">
        <w:t xml:space="preserve">Study NN2211-3673, </w:t>
      </w:r>
      <w:r w:rsidRPr="00E91DCB">
        <w:t>summari</w:t>
      </w:r>
      <w:r w:rsidR="00E91DCB">
        <w:t>s</w:t>
      </w:r>
      <w:r w:rsidRPr="00E91DCB">
        <w:t>ed in Table</w:t>
      </w:r>
      <w:r w:rsidR="00E91DCB">
        <w:t xml:space="preserve"> 1(</w:t>
      </w:r>
      <w:r w:rsidR="00851A1B">
        <w:t xml:space="preserve">Appendix </w:t>
      </w:r>
      <w:r w:rsidRPr="00E91DCB">
        <w:t>1</w:t>
      </w:r>
      <w:r w:rsidR="00851A1B">
        <w:t>)</w:t>
      </w:r>
      <w:r w:rsidRPr="00E91DCB">
        <w:t xml:space="preserve">, there were 32 subjects exposed to a single dose of </w:t>
      </w:r>
      <w:proofErr w:type="spellStart"/>
      <w:r w:rsidRPr="00E91DCB">
        <w:t>detemir</w:t>
      </w:r>
      <w:proofErr w:type="spellEnd"/>
      <w:r w:rsidRPr="00E91DCB">
        <w:t xml:space="preserve"> 0.5 U/kg in combination with </w:t>
      </w:r>
      <w:proofErr w:type="spellStart"/>
      <w:r w:rsidRPr="00E91DCB">
        <w:t>liraglutide</w:t>
      </w:r>
      <w:proofErr w:type="spellEnd"/>
      <w:r w:rsidRPr="00E91DCB">
        <w:t xml:space="preserve"> 1.8 mg during a PK/PD study. </w:t>
      </w:r>
    </w:p>
    <w:p w:rsidR="00AC6C92" w:rsidRPr="00E91DCB" w:rsidRDefault="00AC6C92" w:rsidP="00E91DCB">
      <w:r w:rsidRPr="00E91DCB">
        <w:t>In Study NN2211-1842, summari</w:t>
      </w:r>
      <w:r w:rsidR="00E91DCB">
        <w:t>s</w:t>
      </w:r>
      <w:r w:rsidRPr="00E91DCB">
        <w:t xml:space="preserve">ed in Table </w:t>
      </w:r>
      <w:r w:rsidR="00E91DCB">
        <w:t>6 (</w:t>
      </w:r>
      <w:r w:rsidR="0093155F">
        <w:t>Appendix 1)</w:t>
      </w:r>
      <w:r w:rsidRPr="00E91DCB">
        <w:t xml:space="preserve">, there were 162 subjects exposed to </w:t>
      </w:r>
      <w:proofErr w:type="spellStart"/>
      <w:r w:rsidRPr="00E91DCB">
        <w:t>detemir</w:t>
      </w:r>
      <w:proofErr w:type="spellEnd"/>
      <w:r w:rsidRPr="00E91DCB">
        <w:t xml:space="preserve"> in combination with </w:t>
      </w:r>
      <w:proofErr w:type="spellStart"/>
      <w:r w:rsidRPr="00E91DCB">
        <w:t>liraglutide</w:t>
      </w:r>
      <w:proofErr w:type="spellEnd"/>
      <w:r w:rsidRPr="00E91DCB">
        <w:t xml:space="preserve"> and metf</w:t>
      </w:r>
      <w:r w:rsidR="0093155F">
        <w:t>o</w:t>
      </w:r>
      <w:r w:rsidRPr="00E91DCB">
        <w:t xml:space="preserve">rmin for up to 26 weeks. The median duration of exposure was 182.5 days. In the extension study, Study NN2211-1842-extension, 140 subjects from the </w:t>
      </w:r>
      <w:proofErr w:type="spellStart"/>
      <w:r w:rsidRPr="00E91DCB">
        <w:t>detemir</w:t>
      </w:r>
      <w:proofErr w:type="spellEnd"/>
      <w:r w:rsidRPr="00E91DCB">
        <w:t xml:space="preserve"> group and that had completed 26 weeks treatment were included. Of these, 130 subjects completed the 52 weeks of treatment. The total patient years exposure to </w:t>
      </w:r>
      <w:proofErr w:type="spellStart"/>
      <w:r w:rsidRPr="00E91DCB">
        <w:t>detemir</w:t>
      </w:r>
      <w:proofErr w:type="spellEnd"/>
      <w:r w:rsidRPr="00E91DCB">
        <w:t xml:space="preserve"> in this study was 144.5 years.</w:t>
      </w:r>
    </w:p>
    <w:p w:rsidR="00AC6C92" w:rsidRPr="00E91DCB" w:rsidRDefault="00AC6C92" w:rsidP="00E91DCB">
      <w:pPr>
        <w:rPr>
          <w:b/>
        </w:rPr>
      </w:pPr>
      <w:r w:rsidRPr="00E91DCB">
        <w:rPr>
          <w:b/>
        </w:rPr>
        <w:t>Change 2:</w:t>
      </w:r>
    </w:p>
    <w:p w:rsidR="00AC6C92" w:rsidRPr="00E61C31" w:rsidRDefault="00AC6C92" w:rsidP="00E91DCB">
      <w:r w:rsidRPr="00E91DCB">
        <w:t>In Study NN304-1690 summari</w:t>
      </w:r>
      <w:r w:rsidR="00E91DCB">
        <w:t>s</w:t>
      </w:r>
      <w:r w:rsidRPr="00E91DCB">
        <w:t xml:space="preserve">ed in Table </w:t>
      </w:r>
      <w:r w:rsidR="00E91DCB">
        <w:t>13 (</w:t>
      </w:r>
      <w:r w:rsidR="005E32AB">
        <w:t>Appendix 1)</w:t>
      </w:r>
      <w:r w:rsidRPr="00E91DCB">
        <w:t xml:space="preserve">, there were 146 subjects exposed to </w:t>
      </w:r>
      <w:proofErr w:type="spellStart"/>
      <w:r w:rsidRPr="00E91DCB">
        <w:t>detemir</w:t>
      </w:r>
      <w:proofErr w:type="spellEnd"/>
      <w:r w:rsidRPr="00E91DCB">
        <w:t xml:space="preserve"> for up to one year. There were 37 subjects aged 2 to 5 years, 59 aged 6 to 12 years and 50 aged 13 to 16 years. There were 105 subjects exposed to </w:t>
      </w:r>
      <w:proofErr w:type="spellStart"/>
      <w:r w:rsidRPr="00E91DCB">
        <w:t>detemir</w:t>
      </w:r>
      <w:proofErr w:type="spellEnd"/>
      <w:r w:rsidRPr="00E61C31">
        <w:rPr>
          <w:rFonts w:eastAsia="TimesNewRoman"/>
        </w:rPr>
        <w:t xml:space="preserve"> for a total duration of 104 weeks in the original and extension studies. At the end of the study the median (range) daily dose of </w:t>
      </w:r>
      <w:proofErr w:type="spellStart"/>
      <w:r w:rsidRPr="00E61C31">
        <w:rPr>
          <w:rFonts w:eastAsia="TimesNewRoman"/>
        </w:rPr>
        <w:t>detemir</w:t>
      </w:r>
      <w:proofErr w:type="spellEnd"/>
      <w:r w:rsidRPr="00E61C31">
        <w:rPr>
          <w:rFonts w:eastAsia="TimesNewRoman"/>
        </w:rPr>
        <w:t xml:space="preserve"> was 0.61 (0.09 to 1.63) U/kg.</w:t>
      </w:r>
    </w:p>
    <w:p w:rsidR="00AC6C92" w:rsidRPr="00E91DCB" w:rsidRDefault="00AC6C92" w:rsidP="00E91DCB">
      <w:pPr>
        <w:rPr>
          <w:b/>
        </w:rPr>
      </w:pPr>
      <w:r w:rsidRPr="00E91DCB">
        <w:rPr>
          <w:b/>
        </w:rPr>
        <w:t>Change 3:</w:t>
      </w:r>
    </w:p>
    <w:p w:rsidR="00AC6C92" w:rsidRDefault="00AC6C92" w:rsidP="00E91DCB">
      <w:r w:rsidRPr="00E91DCB">
        <w:t>In Study NN304-1687, summari</w:t>
      </w:r>
      <w:r w:rsidR="00E91DCB">
        <w:t>s</w:t>
      </w:r>
      <w:r w:rsidRPr="00E91DCB">
        <w:t xml:space="preserve">ed in Table </w:t>
      </w:r>
      <w:r w:rsidR="00E91DCB">
        <w:t>18 (</w:t>
      </w:r>
      <w:r w:rsidR="009951AB">
        <w:t xml:space="preserve">Appendix </w:t>
      </w:r>
      <w:r w:rsidRPr="00E91DCB">
        <w:t>1</w:t>
      </w:r>
      <w:r w:rsidR="00E91DCB">
        <w:t>)</w:t>
      </w:r>
      <w:r w:rsidRPr="00E91DCB">
        <w:t xml:space="preserve">, there were 152 subjects exposed to </w:t>
      </w:r>
      <w:proofErr w:type="spellStart"/>
      <w:r w:rsidRPr="00E91DCB">
        <w:t>detemir</w:t>
      </w:r>
      <w:proofErr w:type="spellEnd"/>
      <w:r w:rsidRPr="00E91DCB">
        <w:t xml:space="preserve"> during pregnancy, corresponding to 119.4 subject years exposure. The mean duration of exposure during pregnancy was 6.5 months.</w:t>
      </w:r>
    </w:p>
    <w:p w:rsidR="00E91DCB" w:rsidRPr="00E61C31" w:rsidRDefault="00E91DCB" w:rsidP="00E91DCB">
      <w:pPr>
        <w:pStyle w:val="Heading3"/>
      </w:pPr>
      <w:bookmarkStart w:id="82" w:name="_Toc241374319"/>
      <w:bookmarkStart w:id="83" w:name="_Ref271044764"/>
      <w:bookmarkStart w:id="84" w:name="_Toc272414663"/>
      <w:bookmarkStart w:id="85" w:name="_Toc290846301"/>
      <w:bookmarkStart w:id="86" w:name="_Toc347931831"/>
      <w:bookmarkStart w:id="87" w:name="_Toc384108954"/>
      <w:r w:rsidRPr="00E61C31">
        <w:t>Adverse events</w:t>
      </w:r>
      <w:bookmarkEnd w:id="82"/>
      <w:bookmarkEnd w:id="83"/>
      <w:bookmarkEnd w:id="84"/>
      <w:bookmarkEnd w:id="85"/>
      <w:bookmarkEnd w:id="86"/>
      <w:bookmarkEnd w:id="87"/>
    </w:p>
    <w:p w:rsidR="00E91DCB" w:rsidRPr="00E61C31" w:rsidRDefault="00E91DCB" w:rsidP="00E91DCB">
      <w:pPr>
        <w:pStyle w:val="Heading4"/>
      </w:pPr>
      <w:bookmarkStart w:id="88" w:name="_Ref272317284"/>
      <w:bookmarkStart w:id="89" w:name="_Ref272333565"/>
      <w:bookmarkStart w:id="90" w:name="_Toc272414664"/>
      <w:bookmarkStart w:id="91" w:name="_Toc290846302"/>
      <w:bookmarkStart w:id="92" w:name="_Toc347931832"/>
      <w:r w:rsidRPr="00E61C31">
        <w:t>All adverse events (irrespective of relationship to study treatment)</w:t>
      </w:r>
      <w:bookmarkEnd w:id="88"/>
      <w:bookmarkEnd w:id="89"/>
      <w:bookmarkEnd w:id="90"/>
      <w:bookmarkEnd w:id="91"/>
      <w:bookmarkEnd w:id="92"/>
    </w:p>
    <w:p w:rsidR="00E91DCB" w:rsidRPr="00E91DCB" w:rsidRDefault="00E91DCB" w:rsidP="00E91DCB">
      <w:pPr>
        <w:rPr>
          <w:b/>
        </w:rPr>
      </w:pPr>
      <w:r w:rsidRPr="00E91DCB">
        <w:rPr>
          <w:b/>
        </w:rPr>
        <w:t>Change 1:</w:t>
      </w:r>
    </w:p>
    <w:p w:rsidR="00E91DCB" w:rsidRPr="00E91DCB" w:rsidRDefault="00E91DCB" w:rsidP="00E91DCB">
      <w:r w:rsidRPr="00E91DCB">
        <w:t>In Study NN2211-3673, summari</w:t>
      </w:r>
      <w:r>
        <w:t>s</w:t>
      </w:r>
      <w:r w:rsidRPr="00E91DCB">
        <w:t xml:space="preserve">ed in Table </w:t>
      </w:r>
      <w:r>
        <w:t>1 (</w:t>
      </w:r>
      <w:r w:rsidR="00184435">
        <w:t xml:space="preserve">Appendix </w:t>
      </w:r>
      <w:r w:rsidRPr="00E91DCB">
        <w:t>1</w:t>
      </w:r>
      <w:r w:rsidR="00184435">
        <w:t>)</w:t>
      </w:r>
      <w:r w:rsidRPr="00E91DCB">
        <w:t xml:space="preserve">, there were 16 TEAEs reported in 14 (42%) subjects with insulin </w:t>
      </w:r>
      <w:proofErr w:type="spellStart"/>
      <w:r w:rsidRPr="00E91DCB">
        <w:t>detemir</w:t>
      </w:r>
      <w:proofErr w:type="spellEnd"/>
      <w:r w:rsidRPr="00E91DCB">
        <w:t xml:space="preserve"> alone (Day 1), 20 in 17 (52%) treated with </w:t>
      </w:r>
      <w:proofErr w:type="spellStart"/>
      <w:r w:rsidRPr="00E91DCB">
        <w:t>liraglutide</w:t>
      </w:r>
      <w:proofErr w:type="spellEnd"/>
      <w:r w:rsidRPr="00E91DCB">
        <w:t xml:space="preserve"> at steady state; and 13 in 13 (39%) when both trial drugs were co-administered. </w:t>
      </w:r>
      <w:proofErr w:type="spellStart"/>
      <w:r w:rsidRPr="00E91DCB">
        <w:t>Detemir</w:t>
      </w:r>
      <w:proofErr w:type="spellEnd"/>
      <w:r w:rsidRPr="00E91DCB">
        <w:t xml:space="preserve"> in combination with </w:t>
      </w:r>
      <w:proofErr w:type="spellStart"/>
      <w:r w:rsidRPr="00E91DCB">
        <w:t>liraglutide</w:t>
      </w:r>
      <w:proofErr w:type="spellEnd"/>
      <w:r w:rsidRPr="00E91DCB">
        <w:t xml:space="preserve"> did not appear to result in an increased rate of TEAEs (Table </w:t>
      </w:r>
      <w:r w:rsidR="00184435">
        <w:t xml:space="preserve">25, Appendix </w:t>
      </w:r>
      <w:r w:rsidRPr="00E91DCB">
        <w:t>1</w:t>
      </w:r>
      <w:r>
        <w:t>)</w:t>
      </w:r>
      <w:r w:rsidRPr="00E91DCB">
        <w:t>.</w:t>
      </w:r>
    </w:p>
    <w:p w:rsidR="00E91DCB" w:rsidRPr="00E91DCB" w:rsidRDefault="00E91DCB" w:rsidP="00E91DCB">
      <w:r w:rsidRPr="00E91DCB">
        <w:t xml:space="preserve">In Study NN2211-1842 and its extension, there were 845 TEAEs reported in 132 (81.0%) subjects in the </w:t>
      </w:r>
      <w:proofErr w:type="spellStart"/>
      <w:r w:rsidRPr="00E91DCB">
        <w:t>detemir</w:t>
      </w:r>
      <w:proofErr w:type="spellEnd"/>
      <w:r w:rsidRPr="00E91DCB">
        <w:t xml:space="preserve"> group and 716 in 124 (78.0%) in the control. The non-randomised group, which was not exposed to </w:t>
      </w:r>
      <w:proofErr w:type="spellStart"/>
      <w:r w:rsidRPr="00E91DCB">
        <w:t>detemir</w:t>
      </w:r>
      <w:proofErr w:type="spellEnd"/>
      <w:r w:rsidRPr="00E91DCB">
        <w:t xml:space="preserve">, had 2389 TEAEs reported in 433 (86.8%) subjects. Increased serum lipase was reported as a TEAE in 26 (16.0%) subjects in the </w:t>
      </w:r>
      <w:proofErr w:type="spellStart"/>
      <w:r w:rsidRPr="00E91DCB">
        <w:t>detemir</w:t>
      </w:r>
      <w:proofErr w:type="spellEnd"/>
      <w:r w:rsidRPr="00E91DCB">
        <w:t xml:space="preserve"> group compared with 16 (10.1%) in the control (Table </w:t>
      </w:r>
      <w:r w:rsidR="00184435">
        <w:t xml:space="preserve">26, Appendix </w:t>
      </w:r>
      <w:r w:rsidRPr="00E91DCB">
        <w:t>1).</w:t>
      </w:r>
      <w:r>
        <w:t xml:space="preserve"> </w:t>
      </w:r>
      <w:r w:rsidRPr="00E91DCB">
        <w:t>The most commonly reported TEAEs were diarrhoea, nausea and vomiting.</w:t>
      </w:r>
    </w:p>
    <w:p w:rsidR="00E91DCB" w:rsidRPr="00E91DCB" w:rsidRDefault="00E91DCB" w:rsidP="00E91DCB">
      <w:pPr>
        <w:rPr>
          <w:b/>
        </w:rPr>
      </w:pPr>
      <w:r w:rsidRPr="00E91DCB">
        <w:rPr>
          <w:b/>
        </w:rPr>
        <w:t>Change 2:</w:t>
      </w:r>
    </w:p>
    <w:p w:rsidR="00E91DCB" w:rsidRPr="00E91DCB" w:rsidRDefault="00E91DCB" w:rsidP="00E91DCB">
      <w:r w:rsidRPr="00E91DCB">
        <w:lastRenderedPageBreak/>
        <w:t>In Study NN304-1690, there were 714 TEAEs reported in 116 (79.5%) subjects in the combined population including 178 in 29 (78.4%) subjects in the 2 to 5 year age group, 383 in 50 (84.7%) in the 6 to 12 year and 153 in 37 (74.0%) in the 13 to 16 year. The overall rate of TEAEs was 246.9/100 exposure years, in the 2 to 5 year group 243.1/100 exposure years, in the 6 to 12 year group 325.9/100 patient years exposure and in the 13 to 16 year group 155.4/100 patient years exposure. The most common TEAEs fitted the pattern of common childhood illnesses (Table</w:t>
      </w:r>
      <w:r>
        <w:t xml:space="preserve"> 2</w:t>
      </w:r>
      <w:r w:rsidR="00184435">
        <w:t>7</w:t>
      </w:r>
      <w:r w:rsidRPr="00E91DCB">
        <w:t>).</w:t>
      </w:r>
    </w:p>
    <w:p w:rsidR="00E91DCB" w:rsidRPr="000C79BC" w:rsidRDefault="00E91DCB" w:rsidP="00E91DCB">
      <w:pPr>
        <w:pStyle w:val="TableTitle"/>
        <w:keepLines/>
        <w:rPr>
          <w:rFonts w:ascii="Times New Roman" w:hAnsi="Times New Roman"/>
        </w:rPr>
      </w:pPr>
      <w:r w:rsidRPr="000C79BC">
        <w:t xml:space="preserve">Table </w:t>
      </w:r>
      <w:r w:rsidR="00184435">
        <w:t>27</w:t>
      </w:r>
      <w:r>
        <w:t xml:space="preserve">: </w:t>
      </w:r>
      <w:r w:rsidRPr="000C79BC">
        <w:t>Common Treatment Emergent AEs (&gt;</w:t>
      </w:r>
      <w:r>
        <w:t xml:space="preserve"> </w:t>
      </w:r>
      <w:r w:rsidRPr="000C79BC">
        <w:t>5%) by System Organ Class, SAS, Whole Treatment Period</w:t>
      </w:r>
      <w:r>
        <w:rPr>
          <w:rFonts w:ascii="Times New Roman" w:hAnsi="Times New Roman"/>
          <w:noProof/>
          <w:lang w:eastAsia="en-AU"/>
        </w:rPr>
        <w:drawing>
          <wp:inline distT="0" distB="0" distL="0" distR="0" wp14:anchorId="09C423B6" wp14:editId="449ABCF5">
            <wp:extent cx="5486400" cy="2571750"/>
            <wp:effectExtent l="0" t="0" r="0" b="0"/>
            <wp:docPr id="38" name="Picture 38" descr="Table 27: Common Treatment Emergent AEs (&gt;5%) by System Organ Class, SAS, Whole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5486400" cy="2571750"/>
                    </a:xfrm>
                    <a:prstGeom prst="rect">
                      <a:avLst/>
                    </a:prstGeom>
                    <a:noFill/>
                    <a:ln w="9525">
                      <a:noFill/>
                      <a:miter lim="800000"/>
                      <a:headEnd/>
                      <a:tailEnd/>
                    </a:ln>
                  </pic:spPr>
                </pic:pic>
              </a:graphicData>
            </a:graphic>
          </wp:inline>
        </w:drawing>
      </w:r>
    </w:p>
    <w:p w:rsidR="00E91DCB" w:rsidRPr="00E91DCB" w:rsidRDefault="00E91DCB" w:rsidP="00E91DCB">
      <w:pPr>
        <w:rPr>
          <w:b/>
        </w:rPr>
      </w:pPr>
      <w:r w:rsidRPr="00E91DCB">
        <w:rPr>
          <w:b/>
        </w:rPr>
        <w:t>Change 3:</w:t>
      </w:r>
    </w:p>
    <w:p w:rsidR="00E91DCB" w:rsidRDefault="00E91DCB" w:rsidP="00E91DCB">
      <w:r w:rsidRPr="00E91DCB">
        <w:t xml:space="preserve">In Study NN304-1687, there were 650 TEAEs reported in 138 (90.8%) subjects in the </w:t>
      </w:r>
      <w:proofErr w:type="spellStart"/>
      <w:r w:rsidRPr="00E91DCB">
        <w:t>detemir</w:t>
      </w:r>
      <w:proofErr w:type="spellEnd"/>
      <w:r w:rsidRPr="00E91DCB">
        <w:t xml:space="preserve"> group (corresponding to an event rate of 788.9/100 exposure years) and 678 in 141 (89.2%) in the NPH (corresponding to an event rate of 785.9/100 exposure years). The pattern of TEAEs was similar for the two groups (Table </w:t>
      </w:r>
      <w:r>
        <w:t>2</w:t>
      </w:r>
      <w:r w:rsidR="00184435">
        <w:t>8</w:t>
      </w:r>
      <w:r w:rsidR="00640F89">
        <w:t xml:space="preserve">, Appendix </w:t>
      </w:r>
      <w:r w:rsidRPr="00E91DCB">
        <w:t>1).</w:t>
      </w:r>
    </w:p>
    <w:p w:rsidR="00AB79D9" w:rsidRPr="00AB79D9" w:rsidRDefault="00AB79D9" w:rsidP="00AB79D9">
      <w:r w:rsidRPr="00AB79D9">
        <w:t xml:space="preserve">In the neonatal population, there were 121 TEAEs reported in 56 (36.8%) subjects in the </w:t>
      </w:r>
      <w:proofErr w:type="spellStart"/>
      <w:r w:rsidRPr="00AB79D9">
        <w:t>detemir</w:t>
      </w:r>
      <w:proofErr w:type="spellEnd"/>
      <w:r w:rsidRPr="00AB79D9">
        <w:t xml:space="preserve"> group and 152 in 55 (34.8%) in the NPH. The pattern of TEAEs was similar for the two groups (Table 2</w:t>
      </w:r>
      <w:r w:rsidR="00640F89">
        <w:t xml:space="preserve">9, Appendix </w:t>
      </w:r>
      <w:r w:rsidRPr="00AB79D9">
        <w:t>1).</w:t>
      </w:r>
    </w:p>
    <w:p w:rsidR="00E91DCB" w:rsidRPr="00E91DCB" w:rsidRDefault="00E91DCB" w:rsidP="00E91DCB">
      <w:pPr>
        <w:pStyle w:val="Heading4"/>
      </w:pPr>
      <w:bookmarkStart w:id="93" w:name="_Ref272333567"/>
      <w:bookmarkStart w:id="94" w:name="_Toc272414665"/>
      <w:bookmarkStart w:id="95" w:name="_Toc290846303"/>
      <w:bookmarkStart w:id="96" w:name="_Toc347931833"/>
      <w:r w:rsidRPr="00E91DCB">
        <w:t>Treatment-related adverse events (adverse drug reactions)</w:t>
      </w:r>
      <w:bookmarkEnd w:id="93"/>
      <w:bookmarkEnd w:id="94"/>
      <w:bookmarkEnd w:id="95"/>
      <w:bookmarkEnd w:id="96"/>
    </w:p>
    <w:p w:rsidR="00E91DCB" w:rsidRPr="007C5A3C" w:rsidRDefault="00E91DCB" w:rsidP="007C5A3C">
      <w:r w:rsidRPr="007C5A3C">
        <w:rPr>
          <w:b/>
        </w:rPr>
        <w:t>Change 1</w:t>
      </w:r>
      <w:r w:rsidRPr="007C5A3C">
        <w:t>:</w:t>
      </w:r>
    </w:p>
    <w:p w:rsidR="007C5A3C" w:rsidRDefault="00E91DCB" w:rsidP="007C5A3C">
      <w:r w:rsidRPr="007C5A3C">
        <w:t xml:space="preserve">In Study NN2211-1842 there were 95 treatment related TEAEs in 46 (28.2%) subjects in the </w:t>
      </w:r>
      <w:proofErr w:type="spellStart"/>
      <w:r w:rsidRPr="007C5A3C">
        <w:t>detemir</w:t>
      </w:r>
      <w:proofErr w:type="spellEnd"/>
      <w:r w:rsidRPr="007C5A3C">
        <w:t xml:space="preserve"> group and 57 in 29 (18.2%) in the control. There were more subjects with diarrhoea and vomiting attributed to treatment in the </w:t>
      </w:r>
      <w:proofErr w:type="spellStart"/>
      <w:r w:rsidRPr="007C5A3C">
        <w:t>detemir</w:t>
      </w:r>
      <w:proofErr w:type="spellEnd"/>
      <w:r w:rsidRPr="007C5A3C">
        <w:t xml:space="preserve"> group than in the control group (Table </w:t>
      </w:r>
      <w:r w:rsidR="00640F89">
        <w:t>30</w:t>
      </w:r>
      <w:r w:rsidRPr="007C5A3C">
        <w:t>).</w:t>
      </w:r>
    </w:p>
    <w:p w:rsidR="006725EA" w:rsidRDefault="007C5A3C" w:rsidP="009F1AA1">
      <w:pPr>
        <w:pStyle w:val="TableTitle"/>
        <w:keepLines/>
      </w:pPr>
      <w:r w:rsidRPr="00AD3579">
        <w:lastRenderedPageBreak/>
        <w:t xml:space="preserve">Table </w:t>
      </w:r>
      <w:r w:rsidR="00640F89">
        <w:t>30</w:t>
      </w:r>
      <w:r>
        <w:t xml:space="preserve">: </w:t>
      </w:r>
      <w:r w:rsidRPr="00AD3579">
        <w:t>Possibly or Probably Related to Treatment Emergent Adverse Events</w:t>
      </w:r>
      <w:r>
        <w:t xml:space="preserve"> </w:t>
      </w:r>
      <w:r w:rsidRPr="00AD3579">
        <w:t>(TEAE) During Main Period by System Organ Class and Preferred Term - Safety Analysis Set</w:t>
      </w:r>
      <w:r w:rsidR="006725EA">
        <w:rPr>
          <w:noProof/>
          <w:lang w:eastAsia="en-AU"/>
        </w:rPr>
        <w:drawing>
          <wp:inline distT="0" distB="0" distL="0" distR="0" wp14:anchorId="7F4FD38C" wp14:editId="3473AC2E">
            <wp:extent cx="5486400" cy="6067425"/>
            <wp:effectExtent l="0" t="0" r="0" b="9525"/>
            <wp:docPr id="66" name="Picture 66" descr="Table 30: Possibly or Probably Related to Treatment Emergent Adverse Events (TEAE) During Main Period by System Organ Class and Preferred Term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6067425"/>
                    </a:xfrm>
                    <a:prstGeom prst="rect">
                      <a:avLst/>
                    </a:prstGeom>
                  </pic:spPr>
                </pic:pic>
              </a:graphicData>
            </a:graphic>
          </wp:inline>
        </w:drawing>
      </w:r>
    </w:p>
    <w:p w:rsidR="006725EA" w:rsidRPr="00AD3579" w:rsidRDefault="006725EA" w:rsidP="007C5A3C">
      <w:pPr>
        <w:pStyle w:val="TableTitle"/>
        <w:keepNext w:val="0"/>
      </w:pPr>
    </w:p>
    <w:p w:rsidR="007C5A3C" w:rsidRPr="00AD3579" w:rsidRDefault="007C5A3C" w:rsidP="007C5A3C">
      <w:pPr>
        <w:rPr>
          <w:rFonts w:ascii="Times New Roman" w:hAnsi="Times New Roman"/>
          <w:sz w:val="24"/>
        </w:rPr>
      </w:pPr>
    </w:p>
    <w:p w:rsidR="009F1AA1" w:rsidRDefault="009F1AA1" w:rsidP="009F1AA1">
      <w:pPr>
        <w:pStyle w:val="TableTitle"/>
        <w:keepLines/>
        <w:rPr>
          <w:rFonts w:ascii="Times New Roman" w:hAnsi="Times New Roman"/>
          <w:noProof/>
          <w:sz w:val="24"/>
          <w:lang w:eastAsia="en-AU"/>
        </w:rPr>
      </w:pPr>
      <w:r w:rsidRPr="009F1AA1">
        <w:lastRenderedPageBreak/>
        <w:t xml:space="preserve">Table </w:t>
      </w:r>
      <w:r w:rsidR="00640F89">
        <w:t>30</w:t>
      </w:r>
      <w:r w:rsidRPr="009F1AA1">
        <w:t>: Possibly or Probably Related to Treatment Emergent Adverse Events (TEAE) During Main Period by System Organ Class and Preferred Term - Safety Analysis Set continued</w:t>
      </w:r>
      <w:r>
        <w:rPr>
          <w:noProof/>
          <w:lang w:eastAsia="en-AU"/>
        </w:rPr>
        <w:drawing>
          <wp:inline distT="0" distB="0" distL="0" distR="0" wp14:anchorId="54A12006" wp14:editId="445672AD">
            <wp:extent cx="5419725" cy="5410200"/>
            <wp:effectExtent l="0" t="0" r="9525" b="0"/>
            <wp:docPr id="67" name="Picture 67" descr="Table 30: Possibly or Probably Related to Treatment Emergent Adverse Events (TEAE) During Main Period by System Organ Class and Preferred Term - Safety Analysis S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19725" cy="5410200"/>
                    </a:xfrm>
                    <a:prstGeom prst="rect">
                      <a:avLst/>
                    </a:prstGeom>
                  </pic:spPr>
                </pic:pic>
              </a:graphicData>
            </a:graphic>
          </wp:inline>
        </w:drawing>
      </w:r>
    </w:p>
    <w:p w:rsidR="00E91DCB" w:rsidRPr="007C5A3C" w:rsidRDefault="00E91DCB" w:rsidP="007C5A3C">
      <w:r w:rsidRPr="007C5A3C">
        <w:t xml:space="preserve">In the extension there were 14 treatment related TEAEs in 12 (7.4%) subjects in the </w:t>
      </w:r>
      <w:proofErr w:type="spellStart"/>
      <w:r w:rsidRPr="007C5A3C">
        <w:t>detemir</w:t>
      </w:r>
      <w:proofErr w:type="spellEnd"/>
      <w:r w:rsidRPr="007C5A3C">
        <w:t xml:space="preserve"> group and 17 in 12 (7.5%) in the control. The patterns of treatment related TEAEs were similar for the </w:t>
      </w:r>
      <w:proofErr w:type="spellStart"/>
      <w:r w:rsidRPr="007C5A3C">
        <w:t>detemir</w:t>
      </w:r>
      <w:proofErr w:type="spellEnd"/>
      <w:r w:rsidRPr="007C5A3C">
        <w:t xml:space="preserve"> and control groups (Table </w:t>
      </w:r>
      <w:r w:rsidR="00AB79D9">
        <w:t>3</w:t>
      </w:r>
      <w:r w:rsidR="00640F89">
        <w:t>1</w:t>
      </w:r>
      <w:r w:rsidRPr="007C5A3C">
        <w:t>).</w:t>
      </w:r>
    </w:p>
    <w:p w:rsidR="009F1AA1" w:rsidRDefault="007C5A3C" w:rsidP="009F1AA1">
      <w:pPr>
        <w:pStyle w:val="TableTitle"/>
        <w:keepLines/>
      </w:pPr>
      <w:r w:rsidRPr="00AD3579">
        <w:lastRenderedPageBreak/>
        <w:t xml:space="preserve">Table </w:t>
      </w:r>
      <w:r w:rsidR="00AB79D9">
        <w:t>3</w:t>
      </w:r>
      <w:r w:rsidR="00640F89">
        <w:t>1</w:t>
      </w:r>
      <w:r>
        <w:t xml:space="preserve">: </w:t>
      </w:r>
      <w:r w:rsidRPr="00AD3579">
        <w:t>Possibly or Probably Related to Treatment Emergent Adverse Events</w:t>
      </w:r>
      <w:r>
        <w:t xml:space="preserve"> </w:t>
      </w:r>
      <w:r w:rsidRPr="00AD3579">
        <w:t xml:space="preserve">(TEAE) During Extension Period by System Organ Class and Preferred Term - Safety Analysis Set </w:t>
      </w:r>
      <w:r w:rsidR="009F1AA1">
        <w:rPr>
          <w:noProof/>
          <w:lang w:eastAsia="en-AU"/>
        </w:rPr>
        <w:drawing>
          <wp:inline distT="0" distB="0" distL="0" distR="0" wp14:anchorId="437A3149" wp14:editId="41C1A093">
            <wp:extent cx="5638800" cy="7258050"/>
            <wp:effectExtent l="0" t="0" r="0" b="0"/>
            <wp:docPr id="68" name="Picture 68" descr="Table 31: Possibly or Probably Related to Treatment Emergent Adverse Events (TEAE) During Extension Period by System Organ Class and Preferred Term -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38800" cy="7258050"/>
                    </a:xfrm>
                    <a:prstGeom prst="rect">
                      <a:avLst/>
                    </a:prstGeom>
                  </pic:spPr>
                </pic:pic>
              </a:graphicData>
            </a:graphic>
          </wp:inline>
        </w:drawing>
      </w:r>
    </w:p>
    <w:p w:rsidR="00E91DCB" w:rsidRPr="007C5A3C" w:rsidRDefault="00E91DCB" w:rsidP="007C5A3C">
      <w:pPr>
        <w:rPr>
          <w:b/>
        </w:rPr>
      </w:pPr>
      <w:r w:rsidRPr="007C5A3C">
        <w:rPr>
          <w:b/>
        </w:rPr>
        <w:t>Change 2:</w:t>
      </w:r>
    </w:p>
    <w:p w:rsidR="00E91DCB" w:rsidRDefault="00E91DCB" w:rsidP="007C5A3C">
      <w:r w:rsidRPr="007C5A3C">
        <w:t xml:space="preserve">In Study NN304-1690, there were ten probable treatment (with </w:t>
      </w:r>
      <w:proofErr w:type="spellStart"/>
      <w:r w:rsidRPr="007C5A3C">
        <w:t>detemir</w:t>
      </w:r>
      <w:proofErr w:type="spellEnd"/>
      <w:r w:rsidRPr="007C5A3C">
        <w:t xml:space="preserve">) related TEAEs reported in nine (6.2%) subjects in the combined population including one in one (2.7%) subjects in the 2 to 5 year age group, four in three (5.1%) in the 6 to 12 year and five in five (10.0%) in the 13 to 16 year. The overall rate of TEAEs was 3.5/100 exposure years, in the 2 to 5 year group 1.4/100 exposure years, in the 6 to 12 year group 3.4/100 patient years exposure </w:t>
      </w:r>
      <w:r w:rsidRPr="007C5A3C">
        <w:lastRenderedPageBreak/>
        <w:t xml:space="preserve">and in the 13 to 16 year group 5.1/100 patient years exposure. Most of the </w:t>
      </w:r>
      <w:proofErr w:type="spellStart"/>
      <w:r w:rsidRPr="007C5A3C">
        <w:t>detemir</w:t>
      </w:r>
      <w:proofErr w:type="spellEnd"/>
      <w:r w:rsidRPr="007C5A3C">
        <w:t xml:space="preserve"> treatment related TEAEs were those commonly associated with insulin administration but there were three subjects with pruritus and one with </w:t>
      </w:r>
      <w:proofErr w:type="spellStart"/>
      <w:r w:rsidRPr="007C5A3C">
        <w:t>urticaria</w:t>
      </w:r>
      <w:proofErr w:type="spellEnd"/>
      <w:r w:rsidRPr="007C5A3C">
        <w:t xml:space="preserve"> (Table </w:t>
      </w:r>
      <w:r w:rsidR="007C5A3C">
        <w:t>3</w:t>
      </w:r>
      <w:r w:rsidR="00640F89">
        <w:t>2</w:t>
      </w:r>
      <w:r w:rsidRPr="007C5A3C">
        <w:t>).</w:t>
      </w:r>
    </w:p>
    <w:p w:rsidR="007C5A3C" w:rsidRPr="000C79BC" w:rsidRDefault="007C5A3C" w:rsidP="007C5A3C">
      <w:pPr>
        <w:pStyle w:val="TableTitle"/>
        <w:keepLines/>
      </w:pPr>
      <w:r>
        <w:t>Table 3</w:t>
      </w:r>
      <w:r w:rsidR="00640F89">
        <w:t>2</w:t>
      </w:r>
      <w:r>
        <w:t xml:space="preserve">: </w:t>
      </w:r>
      <w:r w:rsidRPr="000C79BC">
        <w:t xml:space="preserve">Treatment Emergent AEs Probably/Possibly Related to Basal Insulin by </w:t>
      </w:r>
      <w:r>
        <w:t>S</w:t>
      </w:r>
      <w:r w:rsidRPr="000C79BC">
        <w:t>ystem Organ Clas</w:t>
      </w:r>
      <w:r>
        <w:t xml:space="preserve">s, SAS, Whole Treatment Period </w:t>
      </w:r>
      <w:r>
        <w:rPr>
          <w:noProof/>
          <w:lang w:eastAsia="en-AU"/>
        </w:rPr>
        <w:drawing>
          <wp:inline distT="0" distB="0" distL="0" distR="0" wp14:anchorId="3C3A0630" wp14:editId="190C30AA">
            <wp:extent cx="5486400" cy="3943350"/>
            <wp:effectExtent l="0" t="0" r="0" b="0"/>
            <wp:docPr id="48" name="Picture 48" descr="Table 32: Treatment Emergent AEs Probably/Possibly Related to Basal Insulin by System Organ Class, SAS, Whole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srcRect/>
                    <a:stretch>
                      <a:fillRect/>
                    </a:stretch>
                  </pic:blipFill>
                  <pic:spPr bwMode="auto">
                    <a:xfrm>
                      <a:off x="0" y="0"/>
                      <a:ext cx="5486400" cy="3943350"/>
                    </a:xfrm>
                    <a:prstGeom prst="rect">
                      <a:avLst/>
                    </a:prstGeom>
                    <a:noFill/>
                    <a:ln w="9525">
                      <a:noFill/>
                      <a:miter lim="800000"/>
                      <a:headEnd/>
                      <a:tailEnd/>
                    </a:ln>
                  </pic:spPr>
                </pic:pic>
              </a:graphicData>
            </a:graphic>
          </wp:inline>
        </w:drawing>
      </w:r>
    </w:p>
    <w:p w:rsidR="00E91DCB" w:rsidRPr="007C5A3C" w:rsidRDefault="00E91DCB" w:rsidP="007C5A3C">
      <w:pPr>
        <w:rPr>
          <w:b/>
        </w:rPr>
      </w:pPr>
      <w:r w:rsidRPr="007C5A3C">
        <w:rPr>
          <w:b/>
        </w:rPr>
        <w:t>Change 3:</w:t>
      </w:r>
    </w:p>
    <w:p w:rsidR="007C5A3C" w:rsidRDefault="00E91DCB" w:rsidP="007C5A3C">
      <w:r w:rsidRPr="007C5A3C">
        <w:t xml:space="preserve">In Study NN304-1687, there were 21 treatment related TEAEs reported in 18 (11.8%) subjects in the </w:t>
      </w:r>
      <w:proofErr w:type="spellStart"/>
      <w:r w:rsidRPr="007C5A3C">
        <w:t>detemir</w:t>
      </w:r>
      <w:proofErr w:type="spellEnd"/>
      <w:r w:rsidRPr="007C5A3C">
        <w:t xml:space="preserve"> group (corresponding to an event rate of 25.5/100 exposure years) and 27 in 16 (10.1%) in the NPH (corresponding to an event rate of 31.3/100 exposure years). Four subjects in each group were reported with hypoglycaemia. Hypoglycaemic unconsciousness was reported in one subject in the </w:t>
      </w:r>
      <w:proofErr w:type="spellStart"/>
      <w:r w:rsidRPr="007C5A3C">
        <w:t>detemir</w:t>
      </w:r>
      <w:proofErr w:type="spellEnd"/>
      <w:r w:rsidRPr="007C5A3C">
        <w:t xml:space="preserve"> group and seven in the NPH (Table </w:t>
      </w:r>
      <w:r w:rsidR="007C5A3C">
        <w:t>3</w:t>
      </w:r>
      <w:r w:rsidR="00640F89">
        <w:t>3</w:t>
      </w:r>
      <w:r w:rsidR="007C5A3C">
        <w:t>)</w:t>
      </w:r>
      <w:r w:rsidRPr="007C5A3C">
        <w:t xml:space="preserve">. </w:t>
      </w:r>
    </w:p>
    <w:p w:rsidR="004F6B20" w:rsidRDefault="00AB79D9" w:rsidP="004F6B20">
      <w:pPr>
        <w:pStyle w:val="TableTitle"/>
        <w:keepLines/>
      </w:pPr>
      <w:r>
        <w:lastRenderedPageBreak/>
        <w:t>Table 3</w:t>
      </w:r>
      <w:r w:rsidR="00640F89">
        <w:t>3</w:t>
      </w:r>
      <w:r w:rsidR="007C5A3C">
        <w:t>: T</w:t>
      </w:r>
      <w:r w:rsidR="007C5A3C" w:rsidRPr="00743E43">
        <w:t>reatment Emergent AEs Possibly/Probably Related to Basal Insulin by System Organ Class and Preferred Term, During Pregnancy, Mothe</w:t>
      </w:r>
      <w:r w:rsidR="007C5A3C">
        <w:t xml:space="preserve">r, Safety Pregnant </w:t>
      </w:r>
      <w:r w:rsidR="004F6B20">
        <w:rPr>
          <w:noProof/>
          <w:lang w:eastAsia="en-AU"/>
        </w:rPr>
        <w:drawing>
          <wp:inline distT="0" distB="0" distL="0" distR="0" wp14:anchorId="03B39957" wp14:editId="1C0E5F32">
            <wp:extent cx="5534025" cy="4438650"/>
            <wp:effectExtent l="0" t="0" r="9525" b="0"/>
            <wp:docPr id="15" name="Picture 15" descr="Table 33: Treatment Emergent AEs Possibly/Probably Related to Basal Insulin by System Organ Class and Preferred Term, During Pregnancy, Mother, Safety Preg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34025" cy="4438650"/>
                    </a:xfrm>
                    <a:prstGeom prst="rect">
                      <a:avLst/>
                    </a:prstGeom>
                  </pic:spPr>
                </pic:pic>
              </a:graphicData>
            </a:graphic>
          </wp:inline>
        </w:drawing>
      </w:r>
    </w:p>
    <w:p w:rsidR="00E91DCB" w:rsidRPr="007C5A3C" w:rsidRDefault="00E91DCB" w:rsidP="004F6B20">
      <w:r w:rsidRPr="007C5A3C">
        <w:t xml:space="preserve">In </w:t>
      </w:r>
      <w:r w:rsidR="004F6B20">
        <w:t xml:space="preserve">In </w:t>
      </w:r>
      <w:r w:rsidRPr="007C5A3C">
        <w:t xml:space="preserve">the neonatal population, treatment related TEAEs were reported in one (0.7%) subject in the </w:t>
      </w:r>
      <w:proofErr w:type="spellStart"/>
      <w:r w:rsidRPr="007C5A3C">
        <w:t>detemir</w:t>
      </w:r>
      <w:proofErr w:type="spellEnd"/>
      <w:r w:rsidRPr="007C5A3C">
        <w:t xml:space="preserve"> group (foetal distress syndrome) and none in the NPH.</w:t>
      </w:r>
    </w:p>
    <w:p w:rsidR="004F6B20" w:rsidRPr="004F6B20" w:rsidRDefault="004F6B20" w:rsidP="00C34244">
      <w:pPr>
        <w:pStyle w:val="Heading4"/>
        <w:numPr>
          <w:ilvl w:val="2"/>
          <w:numId w:val="9"/>
        </w:numPr>
      </w:pPr>
      <w:bookmarkStart w:id="97" w:name="_Toc241374320"/>
      <w:bookmarkStart w:id="98" w:name="_Ref272333507"/>
      <w:bookmarkStart w:id="99" w:name="_Toc272414666"/>
      <w:bookmarkStart w:id="100" w:name="_Toc290846304"/>
      <w:bookmarkStart w:id="101" w:name="_Toc347931834"/>
      <w:r w:rsidRPr="004F6B20">
        <w:t>Deaths and other serious adverse events</w:t>
      </w:r>
      <w:bookmarkEnd w:id="97"/>
      <w:bookmarkEnd w:id="98"/>
      <w:bookmarkEnd w:id="99"/>
      <w:bookmarkEnd w:id="100"/>
      <w:bookmarkEnd w:id="101"/>
    </w:p>
    <w:p w:rsidR="004F6B20" w:rsidRPr="004F6B20" w:rsidRDefault="004F6B20" w:rsidP="004F6B20">
      <w:pPr>
        <w:rPr>
          <w:b/>
        </w:rPr>
      </w:pPr>
      <w:r w:rsidRPr="004F6B20">
        <w:rPr>
          <w:b/>
        </w:rPr>
        <w:t>Change 1:</w:t>
      </w:r>
    </w:p>
    <w:p w:rsidR="004F6B20" w:rsidRPr="004F6B20" w:rsidRDefault="004F6B20" w:rsidP="004F6B20">
      <w:r w:rsidRPr="004F6B20">
        <w:t>In Study NN2211-3673 there were no deaths or SAEs.</w:t>
      </w:r>
    </w:p>
    <w:p w:rsidR="004F6B20" w:rsidRDefault="004F6B20" w:rsidP="004F6B20">
      <w:r w:rsidRPr="004F6B20">
        <w:t xml:space="preserve">In Study NN2211-1842, there were no deaths reported during the main period of the trial (to Week 26) but there were two deaths in the control groups (treated with </w:t>
      </w:r>
      <w:proofErr w:type="spellStart"/>
      <w:r w:rsidRPr="004F6B20">
        <w:t>liraglutide</w:t>
      </w:r>
      <w:proofErr w:type="spellEnd"/>
      <w:r w:rsidRPr="004F6B20">
        <w:t xml:space="preserve"> and metformin): bronchogenic cancer, gall bladder cancer. There were 21 SAEs reported in 17 (10.4%) subjects in the </w:t>
      </w:r>
      <w:proofErr w:type="spellStart"/>
      <w:r w:rsidRPr="004F6B20">
        <w:t>detemir</w:t>
      </w:r>
      <w:proofErr w:type="spellEnd"/>
      <w:r w:rsidRPr="004F6B20">
        <w:t xml:space="preserve"> group and 16 in eleven (6.9%) in the control. There was no clear pattern to the SAEs to Week 26 (Table </w:t>
      </w:r>
      <w:r w:rsidR="006725EA">
        <w:t>3</w:t>
      </w:r>
      <w:r w:rsidR="00640F89">
        <w:t>4</w:t>
      </w:r>
      <w:r w:rsidRPr="004F6B20">
        <w:t>).</w:t>
      </w:r>
    </w:p>
    <w:p w:rsidR="004F6B20" w:rsidRDefault="004F6B20" w:rsidP="004F6B20">
      <w:pPr>
        <w:pStyle w:val="TableTitle"/>
        <w:keepLines/>
      </w:pPr>
      <w:r w:rsidRPr="00BB4F4A">
        <w:lastRenderedPageBreak/>
        <w:t xml:space="preserve">Table </w:t>
      </w:r>
      <w:r>
        <w:t>3</w:t>
      </w:r>
      <w:r w:rsidR="00640F89">
        <w:t>4</w:t>
      </w:r>
      <w:r>
        <w:t xml:space="preserve">: </w:t>
      </w:r>
      <w:r w:rsidRPr="00BB4F4A">
        <w:t>SAEs during Main Period by System Organ Class and Preferred Term - Safety Analy</w:t>
      </w:r>
      <w:r>
        <w:t>sis Set</w:t>
      </w:r>
      <w:r>
        <w:rPr>
          <w:noProof/>
          <w:lang w:eastAsia="en-AU"/>
        </w:rPr>
        <w:drawing>
          <wp:inline distT="0" distB="0" distL="0" distR="0" wp14:anchorId="6E66CAAB" wp14:editId="7879E33A">
            <wp:extent cx="5076825" cy="7477125"/>
            <wp:effectExtent l="0" t="0" r="9525" b="9525"/>
            <wp:docPr id="6" name="Picture 6" descr="Table 34: SAEs during Main Period by System Organ Class and Preferred Term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76825" cy="7477125"/>
                    </a:xfrm>
                    <a:prstGeom prst="rect">
                      <a:avLst/>
                    </a:prstGeom>
                  </pic:spPr>
                </pic:pic>
              </a:graphicData>
            </a:graphic>
          </wp:inline>
        </w:drawing>
      </w:r>
    </w:p>
    <w:p w:rsidR="004F6B20" w:rsidRDefault="004F6B20" w:rsidP="004F6B20">
      <w:r w:rsidRPr="004F6B20">
        <w:t xml:space="preserve">Chronic pancreatitis was reported in one subject in the control group. In the extension study there were four subjects in the </w:t>
      </w:r>
      <w:proofErr w:type="spellStart"/>
      <w:r w:rsidRPr="004F6B20">
        <w:t>detemir</w:t>
      </w:r>
      <w:proofErr w:type="spellEnd"/>
      <w:r w:rsidRPr="004F6B20">
        <w:t xml:space="preserve"> group with </w:t>
      </w:r>
      <w:proofErr w:type="spellStart"/>
      <w:r w:rsidRPr="004F6B20">
        <w:t>neoplasia</w:t>
      </w:r>
      <w:proofErr w:type="spellEnd"/>
      <w:r w:rsidRPr="004F6B20">
        <w:t xml:space="preserve">, but none in the control (Table </w:t>
      </w:r>
      <w:r w:rsidR="00C575D7">
        <w:t>3</w:t>
      </w:r>
      <w:r w:rsidR="00640F89">
        <w:t>5</w:t>
      </w:r>
      <w:r w:rsidRPr="004F6B20">
        <w:t xml:space="preserve">). </w:t>
      </w:r>
    </w:p>
    <w:p w:rsidR="004F6B20" w:rsidRPr="004F6B20" w:rsidRDefault="004F6B20" w:rsidP="00C575D7">
      <w:pPr>
        <w:pStyle w:val="TableTitle"/>
        <w:keepLines/>
      </w:pPr>
      <w:r w:rsidRPr="00746184">
        <w:lastRenderedPageBreak/>
        <w:t xml:space="preserve">Table </w:t>
      </w:r>
      <w:r w:rsidR="00C575D7">
        <w:t>3</w:t>
      </w:r>
      <w:r w:rsidR="00640F89">
        <w:t>5</w:t>
      </w:r>
      <w:r w:rsidR="00C575D7">
        <w:t xml:space="preserve">: </w:t>
      </w:r>
      <w:r w:rsidRPr="00746184">
        <w:t>Serious Treatment Emergent Adverse Event</w:t>
      </w:r>
      <w:r>
        <w:t xml:space="preserve"> </w:t>
      </w:r>
      <w:r w:rsidRPr="00746184">
        <w:t xml:space="preserve">(TEAE) during Extension Period by System Organ Class and Preferred Term </w:t>
      </w:r>
      <w:r>
        <w:t>–</w:t>
      </w:r>
      <w:r w:rsidRPr="00746184">
        <w:t xml:space="preserve"> Safety</w:t>
      </w:r>
      <w:r>
        <w:t xml:space="preserve"> </w:t>
      </w:r>
      <w:r w:rsidRPr="00746184">
        <w:t>Analysis Set</w:t>
      </w:r>
      <w:r>
        <w:rPr>
          <w:noProof/>
          <w:lang w:eastAsia="en-AU"/>
        </w:rPr>
        <w:drawing>
          <wp:inline distT="0" distB="0" distL="0" distR="0" wp14:anchorId="770F117E" wp14:editId="181EFE7F">
            <wp:extent cx="5495925" cy="6162675"/>
            <wp:effectExtent l="0" t="0" r="9525" b="9525"/>
            <wp:docPr id="16" name="Picture 16" descr="Table 35: Serious Treatment Emergent Adverse Event (TEAE) during Extension Period by System Organ Class and Preferred Term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95925" cy="6162675"/>
                    </a:xfrm>
                    <a:prstGeom prst="rect">
                      <a:avLst/>
                    </a:prstGeom>
                  </pic:spPr>
                </pic:pic>
              </a:graphicData>
            </a:graphic>
          </wp:inline>
        </w:drawing>
      </w:r>
    </w:p>
    <w:p w:rsidR="004F6B20" w:rsidRPr="00C575D7" w:rsidRDefault="004F6B20" w:rsidP="004F6B20">
      <w:pPr>
        <w:rPr>
          <w:b/>
        </w:rPr>
      </w:pPr>
      <w:r w:rsidRPr="00C575D7">
        <w:rPr>
          <w:b/>
        </w:rPr>
        <w:t>Change 2:</w:t>
      </w:r>
    </w:p>
    <w:p w:rsidR="004F6B20" w:rsidRPr="004F6B20" w:rsidRDefault="004F6B20" w:rsidP="004F6B20">
      <w:r w:rsidRPr="004F6B20">
        <w:t xml:space="preserve">In Study NN304-1690, there were no deaths reported during the study. There were 17 SAEs reported in 116 (79.5%) subjects in the combined population including four in three (8.1%) subjects in the 2 to 5 year age group, nine in six (10.2%) in the 6 to 12 year and four in three (6.0%) in the 13 to 16 year. The overall rate of SAEs was 5.9/100 exposure years, in the 2 to 5 year group 5.5/100 exposure years, in the 6 to 12 year group 7.7/100 patient years exposure and in the 13 to 16 year group 4.1/100 patient years exposure. There were three subjects with ketoacidosis and two with hypoglycaemia (Table </w:t>
      </w:r>
      <w:r w:rsidR="00C575D7">
        <w:t>3</w:t>
      </w:r>
      <w:r w:rsidR="00640F89">
        <w:t>6</w:t>
      </w:r>
      <w:r w:rsidRPr="004F6B20">
        <w:t>).</w:t>
      </w:r>
    </w:p>
    <w:p w:rsidR="00C575D7" w:rsidRPr="000C79BC" w:rsidRDefault="00C575D7" w:rsidP="00C575D7">
      <w:pPr>
        <w:pStyle w:val="TableTitle"/>
        <w:keepLines/>
      </w:pPr>
      <w:r w:rsidRPr="000C79BC">
        <w:lastRenderedPageBreak/>
        <w:t xml:space="preserve">Table </w:t>
      </w:r>
      <w:r>
        <w:t>3</w:t>
      </w:r>
      <w:r w:rsidR="00640F89">
        <w:t>6</w:t>
      </w:r>
      <w:r>
        <w:t xml:space="preserve">: </w:t>
      </w:r>
      <w:r w:rsidRPr="000C79BC">
        <w:t xml:space="preserve">Treatment Emergent SAEs by System Organ Class, SAS, Whole Treatment Period </w:t>
      </w:r>
      <w:r>
        <w:rPr>
          <w:noProof/>
          <w:lang w:eastAsia="en-AU"/>
        </w:rPr>
        <w:drawing>
          <wp:inline distT="0" distB="0" distL="0" distR="0" wp14:anchorId="7815FB04" wp14:editId="7E4BC116">
            <wp:extent cx="5486400" cy="3133725"/>
            <wp:effectExtent l="0" t="0" r="0" b="9525"/>
            <wp:docPr id="57" name="Picture 57" descr="Table 36: Treatment Emergent SAEs by System Organ Class, SAS, Whole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a:stretch>
                      <a:fillRect/>
                    </a:stretch>
                  </pic:blipFill>
                  <pic:spPr bwMode="auto">
                    <a:xfrm>
                      <a:off x="0" y="0"/>
                      <a:ext cx="5486400" cy="3133725"/>
                    </a:xfrm>
                    <a:prstGeom prst="rect">
                      <a:avLst/>
                    </a:prstGeom>
                    <a:noFill/>
                    <a:ln w="9525">
                      <a:noFill/>
                      <a:miter lim="800000"/>
                      <a:headEnd/>
                      <a:tailEnd/>
                    </a:ln>
                  </pic:spPr>
                </pic:pic>
              </a:graphicData>
            </a:graphic>
          </wp:inline>
        </w:drawing>
      </w:r>
    </w:p>
    <w:p w:rsidR="004F6B20" w:rsidRPr="001E22BF" w:rsidRDefault="004F6B20" w:rsidP="001E22BF">
      <w:pPr>
        <w:rPr>
          <w:b/>
        </w:rPr>
      </w:pPr>
      <w:r w:rsidRPr="001E22BF">
        <w:rPr>
          <w:b/>
        </w:rPr>
        <w:t>Change 3:</w:t>
      </w:r>
    </w:p>
    <w:p w:rsidR="001E22BF" w:rsidRDefault="004F6B20" w:rsidP="001E22BF">
      <w:r w:rsidRPr="001E22BF">
        <w:t xml:space="preserve">In Study NN304-1687 there were no maternal deaths. There were three perinatal deaths: two in the </w:t>
      </w:r>
      <w:proofErr w:type="spellStart"/>
      <w:r w:rsidRPr="001E22BF">
        <w:t>detemir</w:t>
      </w:r>
      <w:proofErr w:type="spellEnd"/>
      <w:r w:rsidRPr="001E22BF">
        <w:t xml:space="preserve"> group (stillbirth, intrauterine death) and one in the NPH (Dandy-Walker malformation/pulmonary hypoplasia). In addition there were two early pregnancy losses: one in the </w:t>
      </w:r>
      <w:proofErr w:type="spellStart"/>
      <w:r w:rsidRPr="001E22BF">
        <w:t>detemir</w:t>
      </w:r>
      <w:proofErr w:type="spellEnd"/>
      <w:r w:rsidRPr="001E22BF">
        <w:t xml:space="preserve"> group (intrauterine death) and one in the NPH (spontaneous abortion). There were 94 SAEs reported in 61 (40.1%) maternal subjects in the </w:t>
      </w:r>
      <w:proofErr w:type="spellStart"/>
      <w:r w:rsidRPr="001E22BF">
        <w:t>detemir</w:t>
      </w:r>
      <w:proofErr w:type="spellEnd"/>
      <w:r w:rsidRPr="001E22BF">
        <w:t xml:space="preserve"> group (corresponding to an event rate of 114.1/100 exposure years) and 76 in 49 (31.0%) in the NPH (corresponding to an event rate of 88.1/100 exposure years). There was a higher rate of spontaneous abortion in the </w:t>
      </w:r>
      <w:proofErr w:type="spellStart"/>
      <w:r w:rsidRPr="001E22BF">
        <w:t>detemir</w:t>
      </w:r>
      <w:proofErr w:type="spellEnd"/>
      <w:r w:rsidRPr="001E22BF">
        <w:t xml:space="preserve"> group: eight (5.3%) subjects compared with four (2.5%) in the NPH; and also of pre-</w:t>
      </w:r>
      <w:proofErr w:type="spellStart"/>
      <w:r w:rsidRPr="001E22BF">
        <w:t>eclampsia</w:t>
      </w:r>
      <w:proofErr w:type="spellEnd"/>
      <w:r w:rsidRPr="001E22BF">
        <w:t>: eight (5.3%) subjects compared with one (0.6%) in the NPH (Table</w:t>
      </w:r>
      <w:r w:rsidR="001E22BF">
        <w:t xml:space="preserve"> 3</w:t>
      </w:r>
      <w:r w:rsidR="00640F89">
        <w:t>7</w:t>
      </w:r>
      <w:r w:rsidRPr="001E22BF">
        <w:t>).</w:t>
      </w:r>
    </w:p>
    <w:p w:rsidR="001E22BF" w:rsidRDefault="001E22BF" w:rsidP="001E22BF">
      <w:pPr>
        <w:pStyle w:val="TableTitle"/>
        <w:keepLines/>
      </w:pPr>
      <w:r w:rsidRPr="00743E43">
        <w:lastRenderedPageBreak/>
        <w:t xml:space="preserve">Table </w:t>
      </w:r>
      <w:r>
        <w:t>3</w:t>
      </w:r>
      <w:r w:rsidR="00640F89">
        <w:t>7</w:t>
      </w:r>
      <w:r>
        <w:t xml:space="preserve">: </w:t>
      </w:r>
      <w:r w:rsidRPr="00743E43">
        <w:t xml:space="preserve">Treatment Emergent Serious AEs by System Organ Class and Preferred Term, During Pregnancy, Mother, Safety Pregnant </w:t>
      </w:r>
      <w:r>
        <w:rPr>
          <w:noProof/>
          <w:lang w:eastAsia="en-AU"/>
        </w:rPr>
        <w:drawing>
          <wp:inline distT="0" distB="0" distL="0" distR="0" wp14:anchorId="3B3B53C4" wp14:editId="6E0959E5">
            <wp:extent cx="4943475" cy="7324725"/>
            <wp:effectExtent l="0" t="0" r="9525" b="9525"/>
            <wp:docPr id="2" name="Picture 2" descr="Table 37: Treatment Emergent Serious AEs by System Organ Class and Preferred Term, During Pregnancy, Mother, Safety Preg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43475" cy="7324725"/>
                    </a:xfrm>
                    <a:prstGeom prst="rect">
                      <a:avLst/>
                    </a:prstGeom>
                  </pic:spPr>
                </pic:pic>
              </a:graphicData>
            </a:graphic>
          </wp:inline>
        </w:drawing>
      </w:r>
    </w:p>
    <w:p w:rsidR="001E22BF" w:rsidRDefault="004F6B20" w:rsidP="001E22BF">
      <w:pPr>
        <w:rPr>
          <w:rFonts w:ascii="Times New Roman" w:hAnsi="Times New Roman"/>
          <w:sz w:val="24"/>
        </w:rPr>
      </w:pPr>
      <w:r w:rsidRPr="001E22BF">
        <w:t xml:space="preserve">In the neonatal population, there were 51 SAEs reported in 36 (23.7%) subjects in the </w:t>
      </w:r>
      <w:proofErr w:type="spellStart"/>
      <w:r w:rsidRPr="001E22BF">
        <w:t>detemir</w:t>
      </w:r>
      <w:proofErr w:type="spellEnd"/>
      <w:r w:rsidRPr="001E22BF">
        <w:t xml:space="preserve"> group and 53 in 32 (20.3%) in the NPH. The pattern of SAEs in neonates was similar for the two treatment groups (Table</w:t>
      </w:r>
      <w:r w:rsidR="001E22BF">
        <w:t xml:space="preserve"> 3</w:t>
      </w:r>
      <w:r w:rsidR="00640F89">
        <w:t>8</w:t>
      </w:r>
      <w:r w:rsidRPr="001E22BF">
        <w:t>).</w:t>
      </w:r>
    </w:p>
    <w:p w:rsidR="001E22BF" w:rsidRDefault="001E22BF" w:rsidP="001E22BF">
      <w:pPr>
        <w:pStyle w:val="TableTitle"/>
        <w:keepLines/>
      </w:pPr>
      <w:r w:rsidRPr="00743E43">
        <w:lastRenderedPageBreak/>
        <w:t xml:space="preserve">Table </w:t>
      </w:r>
      <w:r>
        <w:t>3</w:t>
      </w:r>
      <w:r w:rsidR="00640F89">
        <w:t>8</w:t>
      </w:r>
      <w:r>
        <w:t xml:space="preserve">: </w:t>
      </w:r>
      <w:r w:rsidRPr="00743E43">
        <w:t>Treatment Emergent Serious AEs by System Organ Class and Preferred Term, Child, Safety Pregnant</w:t>
      </w:r>
      <w:r>
        <w:rPr>
          <w:noProof/>
          <w:lang w:eastAsia="en-AU"/>
        </w:rPr>
        <w:drawing>
          <wp:inline distT="0" distB="0" distL="0" distR="0" wp14:anchorId="77CAA245" wp14:editId="33C0297A">
            <wp:extent cx="5114925" cy="7000875"/>
            <wp:effectExtent l="0" t="0" r="9525" b="9525"/>
            <wp:docPr id="3" name="Picture 3" descr="Table 38: Treatment Emergent Serious AEs by System Organ Class and Preferred Term, Child, Safety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14925" cy="7000875"/>
                    </a:xfrm>
                    <a:prstGeom prst="rect">
                      <a:avLst/>
                    </a:prstGeom>
                  </pic:spPr>
                </pic:pic>
              </a:graphicData>
            </a:graphic>
          </wp:inline>
        </w:drawing>
      </w:r>
    </w:p>
    <w:p w:rsidR="004F6B20" w:rsidRPr="001E22BF" w:rsidRDefault="004F6B20" w:rsidP="001E22BF">
      <w:r w:rsidRPr="001E22BF">
        <w:t xml:space="preserve">The rates and patterns of congenital malformations for both populations were consistent with the known patterns of malformations in infants of diabetic mothers (Table </w:t>
      </w:r>
      <w:r w:rsidR="001E22BF">
        <w:t>3</w:t>
      </w:r>
      <w:r w:rsidR="00640F89">
        <w:t>9</w:t>
      </w:r>
      <w:r w:rsidRPr="001E22BF">
        <w:t>).</w:t>
      </w:r>
    </w:p>
    <w:p w:rsidR="001E22BF" w:rsidRPr="00743E43" w:rsidRDefault="001E22BF" w:rsidP="001E22BF">
      <w:pPr>
        <w:pStyle w:val="TableTitle"/>
        <w:keepLines/>
      </w:pPr>
      <w:r w:rsidRPr="00743E43">
        <w:lastRenderedPageBreak/>
        <w:t>Table</w:t>
      </w:r>
      <w:r>
        <w:t xml:space="preserve"> 3</w:t>
      </w:r>
      <w:r w:rsidR="00640F89">
        <w:t>9</w:t>
      </w:r>
      <w:r>
        <w:t xml:space="preserve">: </w:t>
      </w:r>
      <w:r w:rsidRPr="00743E43">
        <w:t>Congenital Malformations</w:t>
      </w:r>
      <w:r w:rsidR="00640F89" w:rsidRPr="00640F89">
        <w:rPr>
          <w:rFonts w:ascii="Times New Roman" w:eastAsia="TimesNewRoman,Bold" w:hAnsi="Times New Roman"/>
          <w:bCs/>
          <w:sz w:val="24"/>
          <w:lang w:val="en-US"/>
        </w:rPr>
        <w:t xml:space="preserve"> </w:t>
      </w:r>
      <w:r>
        <w:rPr>
          <w:noProof/>
          <w:lang w:eastAsia="en-AU"/>
        </w:rPr>
        <w:drawing>
          <wp:inline distT="0" distB="0" distL="0" distR="0" wp14:anchorId="6E040343" wp14:editId="2AFE084B">
            <wp:extent cx="5486400" cy="5934075"/>
            <wp:effectExtent l="0" t="0" r="0" b="9525"/>
            <wp:docPr id="64" name="Picture 64" descr="Table 39: Congenital Mal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a:stretch>
                      <a:fillRect/>
                    </a:stretch>
                  </pic:blipFill>
                  <pic:spPr bwMode="auto">
                    <a:xfrm>
                      <a:off x="0" y="0"/>
                      <a:ext cx="5486400" cy="5934075"/>
                    </a:xfrm>
                    <a:prstGeom prst="rect">
                      <a:avLst/>
                    </a:prstGeom>
                    <a:noFill/>
                    <a:ln w="9525">
                      <a:noFill/>
                      <a:miter lim="800000"/>
                      <a:headEnd/>
                      <a:tailEnd/>
                    </a:ln>
                  </pic:spPr>
                </pic:pic>
              </a:graphicData>
            </a:graphic>
          </wp:inline>
        </w:drawing>
      </w:r>
    </w:p>
    <w:p w:rsidR="004202DE" w:rsidRPr="004202DE" w:rsidRDefault="004202DE" w:rsidP="00C34244">
      <w:pPr>
        <w:pStyle w:val="Heading4"/>
        <w:numPr>
          <w:ilvl w:val="2"/>
          <w:numId w:val="10"/>
        </w:numPr>
      </w:pPr>
      <w:bookmarkStart w:id="102" w:name="_Toc241374325"/>
      <w:bookmarkStart w:id="103" w:name="_Ref272333477"/>
      <w:bookmarkStart w:id="104" w:name="_Toc272414667"/>
      <w:bookmarkStart w:id="105" w:name="_Toc290846305"/>
      <w:bookmarkStart w:id="106" w:name="_Toc347931835"/>
      <w:r w:rsidRPr="004202DE">
        <w:t>Discontinuation due to adverse events</w:t>
      </w:r>
      <w:bookmarkEnd w:id="102"/>
      <w:bookmarkEnd w:id="103"/>
      <w:bookmarkEnd w:id="104"/>
      <w:bookmarkEnd w:id="105"/>
      <w:bookmarkEnd w:id="106"/>
    </w:p>
    <w:p w:rsidR="004202DE" w:rsidRPr="004202DE" w:rsidRDefault="004202DE" w:rsidP="004202DE">
      <w:pPr>
        <w:rPr>
          <w:b/>
        </w:rPr>
      </w:pPr>
      <w:r w:rsidRPr="004202DE">
        <w:rPr>
          <w:b/>
        </w:rPr>
        <w:t>Change 1:</w:t>
      </w:r>
    </w:p>
    <w:p w:rsidR="004202DE" w:rsidRPr="004202DE" w:rsidRDefault="004202DE" w:rsidP="004202DE">
      <w:r w:rsidRPr="004202DE">
        <w:t>In Study NN2211-3673 there were no DAEs.</w:t>
      </w:r>
    </w:p>
    <w:p w:rsidR="004202DE" w:rsidRPr="004202DE" w:rsidRDefault="004202DE" w:rsidP="004202DE">
      <w:r w:rsidRPr="004202DE">
        <w:t xml:space="preserve">In Study NN2211-1842 and its extension, there were eight DAEs in seven (4.3%) subjects in the </w:t>
      </w:r>
      <w:proofErr w:type="spellStart"/>
      <w:r w:rsidRPr="004202DE">
        <w:t>detemir</w:t>
      </w:r>
      <w:proofErr w:type="spellEnd"/>
      <w:r w:rsidRPr="004202DE">
        <w:t xml:space="preserve"> group and 13 in nine (5.7%) in the control discontinued due to AEs (Table </w:t>
      </w:r>
      <w:r w:rsidR="00C04EC2">
        <w:t>40</w:t>
      </w:r>
      <w:r w:rsidR="007A3B31">
        <w:t xml:space="preserve">, Appendix </w:t>
      </w:r>
      <w:r w:rsidRPr="004202DE">
        <w:t>1</w:t>
      </w:r>
      <w:r w:rsidR="00C34244">
        <w:t>)</w:t>
      </w:r>
      <w:r w:rsidRPr="004202DE">
        <w:t xml:space="preserve">. The events in the </w:t>
      </w:r>
      <w:proofErr w:type="spellStart"/>
      <w:r w:rsidRPr="004202DE">
        <w:t>detemir</w:t>
      </w:r>
      <w:proofErr w:type="spellEnd"/>
      <w:r w:rsidRPr="004202DE">
        <w:t xml:space="preserve"> group were: lipase increased, pancreatic enzymes increased, convulsion, </w:t>
      </w:r>
      <w:proofErr w:type="spellStart"/>
      <w:r w:rsidRPr="004202DE">
        <w:t>bronchopulmonary</w:t>
      </w:r>
      <w:proofErr w:type="spellEnd"/>
      <w:r w:rsidRPr="004202DE">
        <w:t xml:space="preserve"> disease, abdominal pain/diarrhoea, breast cancer and renal failure.</w:t>
      </w:r>
    </w:p>
    <w:p w:rsidR="004202DE" w:rsidRPr="00C34244" w:rsidRDefault="004202DE" w:rsidP="004202DE">
      <w:pPr>
        <w:rPr>
          <w:b/>
        </w:rPr>
      </w:pPr>
      <w:r w:rsidRPr="00C34244">
        <w:rPr>
          <w:b/>
        </w:rPr>
        <w:t>Change 2:</w:t>
      </w:r>
    </w:p>
    <w:p w:rsidR="004202DE" w:rsidRPr="00C34244" w:rsidRDefault="004202DE" w:rsidP="00C34244">
      <w:r w:rsidRPr="00C34244">
        <w:t>In Study NN304-1690 there were no DAEs.</w:t>
      </w:r>
    </w:p>
    <w:p w:rsidR="004202DE" w:rsidRPr="00C34244" w:rsidRDefault="004202DE" w:rsidP="00C34244">
      <w:pPr>
        <w:rPr>
          <w:b/>
        </w:rPr>
      </w:pPr>
      <w:r w:rsidRPr="00C34244">
        <w:rPr>
          <w:b/>
        </w:rPr>
        <w:t>Change 3:</w:t>
      </w:r>
    </w:p>
    <w:p w:rsidR="004202DE" w:rsidRDefault="004202DE" w:rsidP="00C34244">
      <w:r w:rsidRPr="00C34244">
        <w:lastRenderedPageBreak/>
        <w:t xml:space="preserve">In Study NN304-1687, DAE occurred in 13 (8.6%) subjects in the </w:t>
      </w:r>
      <w:proofErr w:type="spellStart"/>
      <w:r w:rsidRPr="00C34244">
        <w:t>detemir</w:t>
      </w:r>
      <w:proofErr w:type="spellEnd"/>
      <w:r w:rsidRPr="00C34244">
        <w:t xml:space="preserve"> gr</w:t>
      </w:r>
      <w:r w:rsidR="00C34244">
        <w:t xml:space="preserve">oup and six (3.8%) in the NPH. </w:t>
      </w:r>
      <w:r w:rsidRPr="00C34244">
        <w:t>The AEs leading to discontinuation primarily related to pregnancy loss (Table</w:t>
      </w:r>
      <w:r w:rsidR="00DC0413">
        <w:t xml:space="preserve"> 41)</w:t>
      </w:r>
      <w:r w:rsidRPr="00C34244">
        <w:t>. One AE in a neonate in the NPH group resulted in withdrawal: neonatal death.</w:t>
      </w:r>
    </w:p>
    <w:p w:rsidR="00DC0413" w:rsidRDefault="006725EA" w:rsidP="00DC0413">
      <w:pPr>
        <w:pStyle w:val="TableTitle"/>
        <w:keepLines/>
      </w:pPr>
      <w:r w:rsidRPr="00AD3579">
        <w:t xml:space="preserve">Table </w:t>
      </w:r>
      <w:r w:rsidR="00DC0413">
        <w:t>41</w:t>
      </w:r>
      <w:r>
        <w:t xml:space="preserve">: </w:t>
      </w:r>
      <w:r w:rsidRPr="00AD3579">
        <w:t>Possibly or Probably Related to Treatment Emergent Adverse Events</w:t>
      </w:r>
      <w:r>
        <w:t xml:space="preserve"> </w:t>
      </w:r>
      <w:r w:rsidRPr="00AD3579">
        <w:t>(TEAE) During Extension Period by System Organ Class and Preferred Term - Safety Analysis Set</w:t>
      </w:r>
      <w:r>
        <w:rPr>
          <w:noProof/>
          <w:lang w:eastAsia="en-AU"/>
        </w:rPr>
        <w:drawing>
          <wp:inline distT="0" distB="0" distL="0" distR="0" wp14:anchorId="6E90EEC0" wp14:editId="49241CDB">
            <wp:extent cx="5731510" cy="7083461"/>
            <wp:effectExtent l="0" t="0" r="2540" b="3175"/>
            <wp:docPr id="60" name="Picture 60" descr="Table 41: Possibly or Probably Related to Treatment Emergent Adverse Events (TEAE) During Extension Period by System Organ Class and Preferred Term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7083461"/>
                    </a:xfrm>
                    <a:prstGeom prst="rect">
                      <a:avLst/>
                    </a:prstGeom>
                  </pic:spPr>
                </pic:pic>
              </a:graphicData>
            </a:graphic>
          </wp:inline>
        </w:drawing>
      </w:r>
      <w:bookmarkStart w:id="107" w:name="_Toc241374321"/>
      <w:bookmarkStart w:id="108" w:name="_Ref271044780"/>
      <w:bookmarkStart w:id="109" w:name="_Ref271196640"/>
      <w:bookmarkStart w:id="110" w:name="_Ref272333085"/>
      <w:bookmarkStart w:id="111" w:name="_Toc272414668"/>
      <w:bookmarkStart w:id="112" w:name="_Toc290846306"/>
      <w:bookmarkStart w:id="113" w:name="_Toc347931836"/>
    </w:p>
    <w:p w:rsidR="00DC0413" w:rsidRPr="00DC0413" w:rsidRDefault="00DC0413" w:rsidP="00DC0413"/>
    <w:p w:rsidR="004202DE" w:rsidRPr="00DC0413" w:rsidRDefault="004202DE" w:rsidP="00DC0413">
      <w:pPr>
        <w:pStyle w:val="Heading3"/>
        <w:rPr>
          <w:rStyle w:val="Heading3Char"/>
          <w:b/>
          <w:bCs/>
        </w:rPr>
      </w:pPr>
      <w:bookmarkStart w:id="114" w:name="_Toc384108955"/>
      <w:r w:rsidRPr="00DC0413">
        <w:rPr>
          <w:rStyle w:val="Heading3Char"/>
          <w:b/>
          <w:bCs/>
        </w:rPr>
        <w:lastRenderedPageBreak/>
        <w:t>Laboratory tests</w:t>
      </w:r>
      <w:bookmarkEnd w:id="107"/>
      <w:bookmarkEnd w:id="108"/>
      <w:bookmarkEnd w:id="109"/>
      <w:bookmarkEnd w:id="110"/>
      <w:bookmarkEnd w:id="111"/>
      <w:bookmarkEnd w:id="112"/>
      <w:bookmarkEnd w:id="113"/>
      <w:bookmarkEnd w:id="114"/>
    </w:p>
    <w:p w:rsidR="004202DE" w:rsidRPr="00E61C31" w:rsidRDefault="004202DE" w:rsidP="00C34244">
      <w:pPr>
        <w:pStyle w:val="Heading4"/>
      </w:pPr>
      <w:bookmarkStart w:id="115" w:name="_Toc272414669"/>
      <w:bookmarkStart w:id="116" w:name="_Toc290846307"/>
      <w:bookmarkStart w:id="117" w:name="_Toc347931837"/>
      <w:r w:rsidRPr="00E61C31">
        <w:t>Liver function</w:t>
      </w:r>
      <w:bookmarkEnd w:id="115"/>
      <w:bookmarkEnd w:id="116"/>
      <w:bookmarkEnd w:id="117"/>
    </w:p>
    <w:p w:rsidR="004202DE" w:rsidRPr="00C34244" w:rsidRDefault="004202DE" w:rsidP="00C34244">
      <w:r w:rsidRPr="00C34244">
        <w:t>There were no indications of drug induced liver injury.</w:t>
      </w:r>
    </w:p>
    <w:p w:rsidR="004202DE" w:rsidRPr="00C34244" w:rsidRDefault="004202DE" w:rsidP="00C34244">
      <w:pPr>
        <w:pStyle w:val="Heading4"/>
      </w:pPr>
      <w:bookmarkStart w:id="118" w:name="_Toc272414670"/>
      <w:bookmarkStart w:id="119" w:name="_Toc290846308"/>
      <w:bookmarkStart w:id="120" w:name="_Toc347931838"/>
      <w:r w:rsidRPr="00C34244">
        <w:t>Kidney function</w:t>
      </w:r>
      <w:bookmarkEnd w:id="118"/>
      <w:bookmarkEnd w:id="119"/>
      <w:bookmarkEnd w:id="120"/>
    </w:p>
    <w:p w:rsidR="004202DE" w:rsidRPr="00C34244" w:rsidRDefault="004202DE" w:rsidP="00C34244">
      <w:r w:rsidRPr="00C34244">
        <w:t>There were no indications of drug induced renal injury.</w:t>
      </w:r>
    </w:p>
    <w:p w:rsidR="004202DE" w:rsidRPr="00C34244" w:rsidRDefault="004202DE" w:rsidP="00C34244">
      <w:pPr>
        <w:pStyle w:val="Heading4"/>
      </w:pPr>
      <w:bookmarkStart w:id="121" w:name="_Toc272414671"/>
      <w:bookmarkStart w:id="122" w:name="_Toc290846309"/>
      <w:bookmarkStart w:id="123" w:name="_Toc347931839"/>
      <w:r w:rsidRPr="00C34244">
        <w:t>Other clinical chemistry</w:t>
      </w:r>
      <w:bookmarkEnd w:id="121"/>
      <w:bookmarkEnd w:id="122"/>
      <w:bookmarkEnd w:id="123"/>
    </w:p>
    <w:p w:rsidR="004202DE" w:rsidRPr="00C34244" w:rsidRDefault="004202DE" w:rsidP="00C34244">
      <w:pPr>
        <w:rPr>
          <w:b/>
        </w:rPr>
      </w:pPr>
      <w:r w:rsidRPr="00C34244">
        <w:rPr>
          <w:b/>
        </w:rPr>
        <w:t>Change 1:</w:t>
      </w:r>
    </w:p>
    <w:p w:rsidR="004202DE" w:rsidRPr="00C34244" w:rsidRDefault="004202DE" w:rsidP="00C34244">
      <w:r w:rsidRPr="00C34244">
        <w:t xml:space="preserve">In Study NN2211-3673 there were no clinically significant treatment emergent abnormalities of laboratory tests. There were no </w:t>
      </w:r>
      <w:r w:rsidR="00C34244" w:rsidRPr="00C34244">
        <w:t>hypoglycaemic</w:t>
      </w:r>
      <w:r w:rsidRPr="00C34244">
        <w:t xml:space="preserve"> episodes on study days.</w:t>
      </w:r>
    </w:p>
    <w:p w:rsidR="004202DE" w:rsidRPr="00C34244" w:rsidRDefault="004202DE" w:rsidP="00C34244">
      <w:r w:rsidRPr="00C34244">
        <w:t xml:space="preserve">In Study NN2211-1842 and its extension, to Week 52 the most commonly reported clinically significant abnormality in laboratory tests was elevated lipase: 26 (16.0%) subjects in the </w:t>
      </w:r>
      <w:proofErr w:type="spellStart"/>
      <w:r w:rsidRPr="00C34244">
        <w:t>detemir</w:t>
      </w:r>
      <w:proofErr w:type="spellEnd"/>
      <w:r w:rsidRPr="00C34244">
        <w:t xml:space="preserve"> group compared with 16 (10.1%) in the control (Table </w:t>
      </w:r>
      <w:r w:rsidR="006725EA">
        <w:t>4</w:t>
      </w:r>
      <w:r w:rsidR="00DC0413">
        <w:t>2</w:t>
      </w:r>
      <w:r w:rsidR="00244016">
        <w:t>, Appendix 1</w:t>
      </w:r>
      <w:r w:rsidRPr="00C34244">
        <w:t xml:space="preserve">). Two subjects in the </w:t>
      </w:r>
      <w:proofErr w:type="spellStart"/>
      <w:r w:rsidRPr="00C34244">
        <w:t>detemir</w:t>
      </w:r>
      <w:proofErr w:type="spellEnd"/>
      <w:r w:rsidRPr="00C34244">
        <w:t xml:space="preserve"> group and one in the control were reported with elevated ALT.</w:t>
      </w:r>
    </w:p>
    <w:p w:rsidR="004202DE" w:rsidRPr="00C34244" w:rsidRDefault="004202DE" w:rsidP="00C34244">
      <w:pPr>
        <w:rPr>
          <w:b/>
        </w:rPr>
      </w:pPr>
      <w:r w:rsidRPr="00C34244">
        <w:rPr>
          <w:b/>
        </w:rPr>
        <w:t>Change 2:</w:t>
      </w:r>
    </w:p>
    <w:p w:rsidR="004202DE" w:rsidRPr="00C34244" w:rsidRDefault="004202DE" w:rsidP="00C34244">
      <w:r w:rsidRPr="00C34244">
        <w:t>In Study NN304-1690, there were no clinically significant abnormalities in biochemistry or haematology reported during the study.</w:t>
      </w:r>
    </w:p>
    <w:p w:rsidR="004202DE" w:rsidRPr="00C34244" w:rsidRDefault="004202DE" w:rsidP="00C34244">
      <w:pPr>
        <w:rPr>
          <w:b/>
        </w:rPr>
      </w:pPr>
      <w:r w:rsidRPr="00C34244">
        <w:rPr>
          <w:b/>
        </w:rPr>
        <w:t>Change 3:</w:t>
      </w:r>
    </w:p>
    <w:p w:rsidR="004202DE" w:rsidRPr="00C34244" w:rsidRDefault="004202DE" w:rsidP="00C34244">
      <w:r w:rsidRPr="00C34244">
        <w:t xml:space="preserve">The abnormalities in laboratory values were consistent with those seen in normal pregnancy. These were primarily anaemia (28 events in the </w:t>
      </w:r>
      <w:proofErr w:type="spellStart"/>
      <w:r w:rsidRPr="00C34244">
        <w:t>detemir</w:t>
      </w:r>
      <w:proofErr w:type="spellEnd"/>
      <w:r w:rsidRPr="00C34244">
        <w:t xml:space="preserve"> group and 27 in the NPH). No subjects were withdrawn due to laboratory AEs.</w:t>
      </w:r>
    </w:p>
    <w:p w:rsidR="004202DE" w:rsidRPr="00E61C31" w:rsidRDefault="004202DE" w:rsidP="00C34244">
      <w:pPr>
        <w:pStyle w:val="Heading4"/>
      </w:pPr>
      <w:bookmarkStart w:id="124" w:name="_Toc272414672"/>
      <w:bookmarkStart w:id="125" w:name="_Toc290846310"/>
      <w:bookmarkStart w:id="126" w:name="_Toc347931840"/>
      <w:r w:rsidRPr="00E61C31">
        <w:t>Haematology</w:t>
      </w:r>
      <w:bookmarkEnd w:id="124"/>
      <w:bookmarkEnd w:id="125"/>
      <w:bookmarkEnd w:id="126"/>
    </w:p>
    <w:p w:rsidR="004202DE" w:rsidRPr="00C34244" w:rsidRDefault="004202DE" w:rsidP="00C34244">
      <w:pPr>
        <w:rPr>
          <w:b/>
        </w:rPr>
      </w:pPr>
      <w:r w:rsidRPr="00C34244">
        <w:rPr>
          <w:b/>
        </w:rPr>
        <w:t>Change 3:</w:t>
      </w:r>
    </w:p>
    <w:p w:rsidR="004202DE" w:rsidRPr="00C34244" w:rsidRDefault="004202DE" w:rsidP="00C34244">
      <w:r w:rsidRPr="00C34244">
        <w:t xml:space="preserve">Anaemia was reported at a similar rate in the </w:t>
      </w:r>
      <w:proofErr w:type="spellStart"/>
      <w:r w:rsidRPr="00C34244">
        <w:t>detemir</w:t>
      </w:r>
      <w:proofErr w:type="spellEnd"/>
      <w:r w:rsidRPr="00C34244">
        <w:t xml:space="preserve"> group and the NPH.</w:t>
      </w:r>
    </w:p>
    <w:p w:rsidR="004202DE" w:rsidRPr="00E61C31" w:rsidRDefault="004202DE" w:rsidP="00B16E0C">
      <w:pPr>
        <w:pStyle w:val="Heading4"/>
      </w:pPr>
      <w:bookmarkStart w:id="127" w:name="_Toc347931841"/>
      <w:r w:rsidRPr="00E61C31">
        <w:t>Immunology</w:t>
      </w:r>
      <w:bookmarkEnd w:id="127"/>
    </w:p>
    <w:p w:rsidR="004202DE" w:rsidRPr="00E61C31" w:rsidRDefault="004202DE" w:rsidP="00B16E0C">
      <w:pPr>
        <w:pStyle w:val="Heading6"/>
      </w:pPr>
      <w:r w:rsidRPr="00E61C31">
        <w:t>Pivotal studies</w:t>
      </w:r>
    </w:p>
    <w:p w:rsidR="004202DE" w:rsidRPr="00B16E0C" w:rsidRDefault="004202DE" w:rsidP="00B16E0C">
      <w:pPr>
        <w:rPr>
          <w:b/>
        </w:rPr>
      </w:pPr>
      <w:r w:rsidRPr="00B16E0C">
        <w:rPr>
          <w:b/>
        </w:rPr>
        <w:t xml:space="preserve">Change 1: </w:t>
      </w:r>
    </w:p>
    <w:p w:rsidR="004202DE" w:rsidRPr="00B16E0C" w:rsidRDefault="004202DE" w:rsidP="00B16E0C">
      <w:r w:rsidRPr="00B16E0C">
        <w:t xml:space="preserve">In Study NN2211-3673 no subjects were positive for antibodies to insulin </w:t>
      </w:r>
      <w:proofErr w:type="spellStart"/>
      <w:r w:rsidRPr="00B16E0C">
        <w:t>detemir</w:t>
      </w:r>
      <w:proofErr w:type="spellEnd"/>
      <w:r w:rsidRPr="00B16E0C">
        <w:t>.</w:t>
      </w:r>
    </w:p>
    <w:p w:rsidR="004202DE" w:rsidRPr="00B16E0C" w:rsidRDefault="004202DE" w:rsidP="00B16E0C">
      <w:r w:rsidRPr="00B16E0C">
        <w:t xml:space="preserve">In Study NN2211-1842 and its extension two subjects in the </w:t>
      </w:r>
      <w:proofErr w:type="spellStart"/>
      <w:r w:rsidRPr="00B16E0C">
        <w:t>detemir</w:t>
      </w:r>
      <w:proofErr w:type="spellEnd"/>
      <w:r w:rsidRPr="00B16E0C">
        <w:t xml:space="preserve"> group developed antibodies to </w:t>
      </w:r>
      <w:proofErr w:type="spellStart"/>
      <w:r w:rsidRPr="00B16E0C">
        <w:t>liraglutide</w:t>
      </w:r>
      <w:proofErr w:type="spellEnd"/>
      <w:r w:rsidRPr="00B16E0C">
        <w:t xml:space="preserve">. The level of antibodies to </w:t>
      </w:r>
      <w:proofErr w:type="spellStart"/>
      <w:r w:rsidRPr="00B16E0C">
        <w:t>detemir</w:t>
      </w:r>
      <w:proofErr w:type="spellEnd"/>
      <w:r w:rsidRPr="00B16E0C">
        <w:t xml:space="preserve"> was mean 1.59 %</w:t>
      </w:r>
      <w:r w:rsidR="00B16E0C">
        <w:t xml:space="preserve"> </w:t>
      </w:r>
      <w:r w:rsidRPr="00B16E0C">
        <w:t>B/T at Week 0; 2.20 %</w:t>
      </w:r>
      <w:r w:rsidR="00B16E0C">
        <w:t xml:space="preserve"> </w:t>
      </w:r>
      <w:r w:rsidRPr="00B16E0C">
        <w:t>B/T at Week 26; and 4.30 %</w:t>
      </w:r>
      <w:r w:rsidR="00B16E0C">
        <w:t xml:space="preserve"> </w:t>
      </w:r>
      <w:r w:rsidRPr="00B16E0C">
        <w:t>B/T at Week 53.</w:t>
      </w:r>
    </w:p>
    <w:p w:rsidR="004202DE" w:rsidRPr="00B16E0C" w:rsidRDefault="004202DE" w:rsidP="00B16E0C">
      <w:pPr>
        <w:rPr>
          <w:b/>
        </w:rPr>
      </w:pPr>
      <w:r w:rsidRPr="00B16E0C">
        <w:rPr>
          <w:b/>
        </w:rPr>
        <w:t>Change 2:</w:t>
      </w:r>
    </w:p>
    <w:p w:rsidR="004202DE" w:rsidRPr="00B16E0C" w:rsidRDefault="004202DE" w:rsidP="00B16E0C">
      <w:r w:rsidRPr="00B16E0C">
        <w:t xml:space="preserve">Levels of cross-reacting, </w:t>
      </w:r>
      <w:proofErr w:type="spellStart"/>
      <w:r w:rsidRPr="00B16E0C">
        <w:t>detemir</w:t>
      </w:r>
      <w:proofErr w:type="spellEnd"/>
      <w:r w:rsidRPr="00B16E0C">
        <w:t xml:space="preserve">-specific and </w:t>
      </w:r>
      <w:proofErr w:type="spellStart"/>
      <w:r w:rsidRPr="00B16E0C">
        <w:t>aspart</w:t>
      </w:r>
      <w:proofErr w:type="spellEnd"/>
      <w:r w:rsidRPr="00B16E0C">
        <w:t xml:space="preserve">-specific antibodies increased during the first year of treatment, </w:t>
      </w:r>
      <w:r w:rsidR="009D3131" w:rsidRPr="00B16E0C">
        <w:t>and then</w:t>
      </w:r>
      <w:r w:rsidRPr="00B16E0C">
        <w:t xml:space="preserve"> decreased during the second year</w:t>
      </w:r>
      <w:r w:rsidR="00244016">
        <w:t xml:space="preserve"> - </w:t>
      </w:r>
      <w:r w:rsidRPr="00B16E0C">
        <w:t xml:space="preserve">Table </w:t>
      </w:r>
      <w:r w:rsidR="00B16E0C">
        <w:t>4</w:t>
      </w:r>
      <w:r w:rsidR="00244016">
        <w:t>3</w:t>
      </w:r>
      <w:r w:rsidRPr="00B16E0C">
        <w:t xml:space="preserve">, Table </w:t>
      </w:r>
      <w:r w:rsidR="00B16E0C">
        <w:t>4</w:t>
      </w:r>
      <w:r w:rsidR="00244016">
        <w:t>4</w:t>
      </w:r>
      <w:r w:rsidR="00B16E0C">
        <w:t xml:space="preserve"> </w:t>
      </w:r>
      <w:r w:rsidR="00244016">
        <w:t>an</w:t>
      </w:r>
      <w:r w:rsidRPr="00B16E0C">
        <w:t xml:space="preserve">d Table </w:t>
      </w:r>
      <w:r w:rsidR="009D3131">
        <w:t>4</w:t>
      </w:r>
      <w:r w:rsidR="00244016">
        <w:t>5</w:t>
      </w:r>
      <w:r w:rsidRPr="00B16E0C">
        <w:t>. At end of study the levels were slightly higher than at baseline.</w:t>
      </w:r>
    </w:p>
    <w:p w:rsidR="00B16E0C" w:rsidRPr="00B16E0C" w:rsidRDefault="00B16E0C" w:rsidP="006725EA">
      <w:pPr>
        <w:pStyle w:val="TableTitle"/>
        <w:keepLines/>
      </w:pPr>
      <w:r w:rsidRPr="00B16E0C">
        <w:lastRenderedPageBreak/>
        <w:t xml:space="preserve">Table </w:t>
      </w:r>
      <w:r>
        <w:t>4</w:t>
      </w:r>
      <w:r w:rsidR="00244016">
        <w:t>3</w:t>
      </w:r>
      <w:r>
        <w:t>: E</w:t>
      </w:r>
      <w:r w:rsidRPr="00B16E0C">
        <w:t xml:space="preserve">stimated Cross-reacting Antibodies (% B/T), Time Intervals 3 h, 2.5 h, Sensitivity, Corrected Data, SAS, Whole Treatment Period </w:t>
      </w:r>
    </w:p>
    <w:p w:rsidR="00B16E0C" w:rsidRDefault="00B16E0C" w:rsidP="006725EA">
      <w:pPr>
        <w:keepNext/>
        <w:keepLines/>
        <w:rPr>
          <w:rFonts w:ascii="Times New Roman" w:hAnsi="Times New Roman"/>
        </w:rPr>
      </w:pPr>
      <w:r>
        <w:rPr>
          <w:rFonts w:ascii="Times New Roman" w:hAnsi="Times New Roman"/>
          <w:noProof/>
          <w:lang w:eastAsia="en-AU"/>
        </w:rPr>
        <w:drawing>
          <wp:inline distT="0" distB="0" distL="0" distR="0" wp14:anchorId="0973E6FD" wp14:editId="3E711AD4">
            <wp:extent cx="5486400" cy="1543050"/>
            <wp:effectExtent l="0" t="0" r="0" b="0"/>
            <wp:docPr id="73" name="Picture 73" descr="Table 43: Estimated Cross-reacting Antibodies (% B/T), Time Intervals 3 h, 2.5 h, Sensitivity, Corrected Data, SAS, Whole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srcRect/>
                    <a:stretch>
                      <a:fillRect/>
                    </a:stretch>
                  </pic:blipFill>
                  <pic:spPr bwMode="auto">
                    <a:xfrm>
                      <a:off x="0" y="0"/>
                      <a:ext cx="5486400" cy="1543050"/>
                    </a:xfrm>
                    <a:prstGeom prst="rect">
                      <a:avLst/>
                    </a:prstGeom>
                    <a:noFill/>
                    <a:ln w="9525">
                      <a:noFill/>
                      <a:miter lim="800000"/>
                      <a:headEnd/>
                      <a:tailEnd/>
                    </a:ln>
                  </pic:spPr>
                </pic:pic>
              </a:graphicData>
            </a:graphic>
          </wp:inline>
        </w:drawing>
      </w:r>
    </w:p>
    <w:p w:rsidR="009D3131" w:rsidRPr="009D3131" w:rsidRDefault="009D3131" w:rsidP="009D3131"/>
    <w:p w:rsidR="00B16E0C" w:rsidRDefault="00B16E0C" w:rsidP="009D3131">
      <w:pPr>
        <w:pStyle w:val="TableTitle"/>
        <w:keepLines/>
      </w:pPr>
      <w:r w:rsidRPr="000C79BC">
        <w:t xml:space="preserve">Table </w:t>
      </w:r>
      <w:r w:rsidR="006725EA">
        <w:t>4</w:t>
      </w:r>
      <w:r w:rsidR="00244016">
        <w:t>4</w:t>
      </w:r>
      <w:r>
        <w:t xml:space="preserve"> </w:t>
      </w:r>
      <w:r w:rsidRPr="000C79BC">
        <w:t xml:space="preserve">Estimated Insulin </w:t>
      </w:r>
      <w:proofErr w:type="spellStart"/>
      <w:r w:rsidRPr="000C79BC">
        <w:t>Detemir</w:t>
      </w:r>
      <w:proofErr w:type="spellEnd"/>
      <w:r w:rsidRPr="000C79BC">
        <w:t xml:space="preserve"> Specific Antibodies (% B/T), Time Intervals 3 h, 2.5 H, Sensitivity, Corrected Dat</w:t>
      </w:r>
      <w:r>
        <w:t xml:space="preserve">a, SAS, Whole Treatment Period </w:t>
      </w:r>
      <w:r>
        <w:rPr>
          <w:rFonts w:ascii="Times New Roman" w:hAnsi="Times New Roman"/>
          <w:noProof/>
          <w:lang w:eastAsia="en-AU"/>
        </w:rPr>
        <w:drawing>
          <wp:inline distT="0" distB="0" distL="0" distR="0" wp14:anchorId="141F0339" wp14:editId="04CB4AC6">
            <wp:extent cx="5486400" cy="1543050"/>
            <wp:effectExtent l="0" t="0" r="0" b="0"/>
            <wp:docPr id="74" name="Picture 74" descr="Table 44: Estimated Insulin Detemir Specific Antibodies (% B/T), Time Intervals 3 h, 2.5 H, Sensitivity, Corrected Data, SAS, Whole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cstate="print"/>
                    <a:srcRect/>
                    <a:stretch>
                      <a:fillRect/>
                    </a:stretch>
                  </pic:blipFill>
                  <pic:spPr bwMode="auto">
                    <a:xfrm>
                      <a:off x="0" y="0"/>
                      <a:ext cx="5486400" cy="1543050"/>
                    </a:xfrm>
                    <a:prstGeom prst="rect">
                      <a:avLst/>
                    </a:prstGeom>
                    <a:noFill/>
                    <a:ln w="9525">
                      <a:noFill/>
                      <a:miter lim="800000"/>
                      <a:headEnd/>
                      <a:tailEnd/>
                    </a:ln>
                  </pic:spPr>
                </pic:pic>
              </a:graphicData>
            </a:graphic>
          </wp:inline>
        </w:drawing>
      </w:r>
    </w:p>
    <w:p w:rsidR="009D3131" w:rsidRPr="009D3131" w:rsidRDefault="009D3131" w:rsidP="009D3131"/>
    <w:p w:rsidR="009D3131" w:rsidRPr="000C79BC" w:rsidRDefault="009D3131" w:rsidP="009D3131">
      <w:pPr>
        <w:pStyle w:val="TableTitle"/>
        <w:keepLines/>
      </w:pPr>
      <w:r w:rsidRPr="000C79BC">
        <w:t xml:space="preserve">Table </w:t>
      </w:r>
      <w:r>
        <w:t>4</w:t>
      </w:r>
      <w:r w:rsidR="00244016">
        <w:t>5</w:t>
      </w:r>
      <w:r>
        <w:t xml:space="preserve">: </w:t>
      </w:r>
      <w:r w:rsidRPr="000C79BC">
        <w:t xml:space="preserve">Estimated Insulin </w:t>
      </w:r>
      <w:proofErr w:type="spellStart"/>
      <w:r w:rsidRPr="000C79BC">
        <w:t>Aspart</w:t>
      </w:r>
      <w:proofErr w:type="spellEnd"/>
      <w:r w:rsidRPr="000C79BC">
        <w:t xml:space="preserve">-specific Antibodies (% B/T), Time Intervals 3 h, 2.5 H, Sensitivity, Corrected Data, SAS, Whole Treatment Period </w:t>
      </w:r>
      <w:r>
        <w:rPr>
          <w:noProof/>
          <w:lang w:eastAsia="en-AU"/>
        </w:rPr>
        <w:drawing>
          <wp:inline distT="0" distB="0" distL="0" distR="0" wp14:anchorId="06002FBA" wp14:editId="5033A2F9">
            <wp:extent cx="5486400" cy="1543050"/>
            <wp:effectExtent l="0" t="0" r="0" b="0"/>
            <wp:docPr id="75" name="Picture 75" descr="Table 45: Estimated Insulin Aspart-specific Antibodies (% B/T), Time Intervals 3 h, 2.5 H, Sensitivity, Corrected Data, SAS, Whole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srcRect/>
                    <a:stretch>
                      <a:fillRect/>
                    </a:stretch>
                  </pic:blipFill>
                  <pic:spPr bwMode="auto">
                    <a:xfrm>
                      <a:off x="0" y="0"/>
                      <a:ext cx="5486400" cy="1543050"/>
                    </a:xfrm>
                    <a:prstGeom prst="rect">
                      <a:avLst/>
                    </a:prstGeom>
                    <a:noFill/>
                    <a:ln w="9525">
                      <a:noFill/>
                      <a:miter lim="800000"/>
                      <a:headEnd/>
                      <a:tailEnd/>
                    </a:ln>
                  </pic:spPr>
                </pic:pic>
              </a:graphicData>
            </a:graphic>
          </wp:inline>
        </w:drawing>
      </w:r>
    </w:p>
    <w:p w:rsidR="004202DE" w:rsidRPr="009D3131" w:rsidRDefault="004202DE" w:rsidP="00B16E0C">
      <w:pPr>
        <w:rPr>
          <w:b/>
        </w:rPr>
      </w:pPr>
      <w:r w:rsidRPr="009D3131">
        <w:rPr>
          <w:b/>
        </w:rPr>
        <w:t>Change 3:</w:t>
      </w:r>
    </w:p>
    <w:p w:rsidR="004202DE" w:rsidRPr="00B16E0C" w:rsidRDefault="004202DE" w:rsidP="00B16E0C">
      <w:r w:rsidRPr="00B16E0C">
        <w:t xml:space="preserve">The mean (SD) level of </w:t>
      </w:r>
      <w:proofErr w:type="spellStart"/>
      <w:r w:rsidRPr="00B16E0C">
        <w:t>detemir</w:t>
      </w:r>
      <w:proofErr w:type="spellEnd"/>
      <w:r w:rsidRPr="00B16E0C">
        <w:t xml:space="preserve"> specific antibodies was 1.29 (0.98) % B/T at baseline and 1.80 (1.72) % B/T at GW36.</w:t>
      </w:r>
    </w:p>
    <w:p w:rsidR="004202DE" w:rsidRPr="001B6746" w:rsidRDefault="004202DE" w:rsidP="009D3131">
      <w:pPr>
        <w:pStyle w:val="Heading4"/>
      </w:pPr>
      <w:bookmarkStart w:id="128" w:name="_Toc272414675"/>
      <w:bookmarkStart w:id="129" w:name="_Toc290846313"/>
      <w:bookmarkStart w:id="130" w:name="_Toc347931842"/>
      <w:r w:rsidRPr="001B6746">
        <w:t>Electrocardiograph</w:t>
      </w:r>
      <w:bookmarkEnd w:id="128"/>
      <w:bookmarkEnd w:id="129"/>
      <w:bookmarkEnd w:id="130"/>
    </w:p>
    <w:p w:rsidR="004202DE" w:rsidRPr="009D3131" w:rsidRDefault="004202DE" w:rsidP="009D3131">
      <w:pPr>
        <w:rPr>
          <w:b/>
        </w:rPr>
      </w:pPr>
      <w:r w:rsidRPr="009D3131">
        <w:rPr>
          <w:b/>
        </w:rPr>
        <w:t>Change 1:</w:t>
      </w:r>
    </w:p>
    <w:p w:rsidR="004202DE" w:rsidRPr="009D3131" w:rsidRDefault="004202DE" w:rsidP="009D3131">
      <w:r w:rsidRPr="009D3131">
        <w:t xml:space="preserve">In Study NN2211-1842 and its extension in the </w:t>
      </w:r>
      <w:proofErr w:type="spellStart"/>
      <w:r w:rsidRPr="009D3131">
        <w:t>detemir</w:t>
      </w:r>
      <w:proofErr w:type="spellEnd"/>
      <w:r w:rsidRPr="009D3131">
        <w:t xml:space="preserve"> group, there was one shift in ECG finding from abnormal not clinically significant to abnormal clinically significant at Week 26. There were no changes to Week 52.</w:t>
      </w:r>
    </w:p>
    <w:p w:rsidR="004202DE" w:rsidRPr="001B6746" w:rsidRDefault="004202DE" w:rsidP="009D3131">
      <w:pPr>
        <w:pStyle w:val="Heading4"/>
      </w:pPr>
      <w:bookmarkStart w:id="131" w:name="_Toc272414676"/>
      <w:bookmarkStart w:id="132" w:name="_Toc290846314"/>
      <w:bookmarkStart w:id="133" w:name="_Toc347931843"/>
      <w:r w:rsidRPr="001B6746">
        <w:t>Vital signs</w:t>
      </w:r>
      <w:bookmarkEnd w:id="131"/>
      <w:bookmarkEnd w:id="132"/>
      <w:bookmarkEnd w:id="133"/>
    </w:p>
    <w:p w:rsidR="004202DE" w:rsidRPr="009D3131" w:rsidRDefault="004202DE" w:rsidP="009D3131">
      <w:r w:rsidRPr="009D3131">
        <w:rPr>
          <w:b/>
        </w:rPr>
        <w:t>Change 1</w:t>
      </w:r>
      <w:r w:rsidRPr="009D3131">
        <w:t>:</w:t>
      </w:r>
    </w:p>
    <w:p w:rsidR="004202DE" w:rsidRPr="009D3131" w:rsidRDefault="004202DE" w:rsidP="009D3131">
      <w:r w:rsidRPr="009D3131">
        <w:lastRenderedPageBreak/>
        <w:t xml:space="preserve">In Study NN2211-1842 and its extension, to Week 52 there were eleven (6.75%) subjects with a change in physical examination in the </w:t>
      </w:r>
      <w:proofErr w:type="spellStart"/>
      <w:r w:rsidRPr="009D3131">
        <w:t>detemir</w:t>
      </w:r>
      <w:proofErr w:type="spellEnd"/>
      <w:r w:rsidRPr="009D3131">
        <w:t xml:space="preserve"> group and five (3.52%) in the control.</w:t>
      </w:r>
    </w:p>
    <w:p w:rsidR="004202DE" w:rsidRPr="009D3131" w:rsidRDefault="004202DE" w:rsidP="004202DE">
      <w:pPr>
        <w:rPr>
          <w:rFonts w:ascii="Times New Roman" w:hAnsi="Times New Roman"/>
          <w:b/>
          <w:sz w:val="24"/>
        </w:rPr>
      </w:pPr>
      <w:r w:rsidRPr="009D3131">
        <w:rPr>
          <w:rFonts w:ascii="Times New Roman" w:hAnsi="Times New Roman"/>
          <w:b/>
          <w:sz w:val="24"/>
        </w:rPr>
        <w:t>Change 2:</w:t>
      </w:r>
    </w:p>
    <w:p w:rsidR="004202DE" w:rsidRPr="009D3131" w:rsidRDefault="004202DE" w:rsidP="009D3131">
      <w:r w:rsidRPr="009D3131">
        <w:t xml:space="preserve">There were no clinically significant changes in vital signs. Weight SD did not change significantly during the study (Figure </w:t>
      </w:r>
      <w:r w:rsidR="003C68BF">
        <w:t>6</w:t>
      </w:r>
      <w:r w:rsidRPr="009D3131">
        <w:t xml:space="preserve">). Mean BMI did not change significantly during the study (Figure </w:t>
      </w:r>
      <w:r w:rsidR="003C68BF">
        <w:t>7</w:t>
      </w:r>
      <w:r w:rsidRPr="009D3131">
        <w:t>).</w:t>
      </w:r>
    </w:p>
    <w:p w:rsidR="009D3131" w:rsidRPr="000C79BC" w:rsidRDefault="009D3131" w:rsidP="009D3131">
      <w:pPr>
        <w:pStyle w:val="FigureTitle"/>
        <w:keepNext/>
        <w:keepLines/>
      </w:pPr>
      <w:r>
        <w:t xml:space="preserve">Figure </w:t>
      </w:r>
      <w:r w:rsidR="003C68BF">
        <w:t>6</w:t>
      </w:r>
      <w:r>
        <w:t xml:space="preserve">: </w:t>
      </w:r>
      <w:r w:rsidRPr="000C79BC">
        <w:t>Mean Weight SD-score over Time by Age Grou</w:t>
      </w:r>
      <w:r>
        <w:t xml:space="preserve">p, SAS, Whole Treatment Period </w:t>
      </w:r>
      <w:r>
        <w:rPr>
          <w:noProof/>
          <w:lang w:eastAsia="en-AU"/>
        </w:rPr>
        <w:drawing>
          <wp:inline distT="0" distB="0" distL="0" distR="0" wp14:anchorId="68001155" wp14:editId="65A5D2C7">
            <wp:extent cx="5476875" cy="3133725"/>
            <wp:effectExtent l="0" t="0" r="9525" b="9525"/>
            <wp:docPr id="92" name="Picture 92" descr="Figure 6: Mean Weight SD-score over Time by Age Group, SAS, Whole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cstate="print"/>
                    <a:srcRect/>
                    <a:stretch>
                      <a:fillRect/>
                    </a:stretch>
                  </pic:blipFill>
                  <pic:spPr bwMode="auto">
                    <a:xfrm>
                      <a:off x="0" y="0"/>
                      <a:ext cx="5476875" cy="3133725"/>
                    </a:xfrm>
                    <a:prstGeom prst="rect">
                      <a:avLst/>
                    </a:prstGeom>
                    <a:noFill/>
                    <a:ln w="9525">
                      <a:noFill/>
                      <a:miter lim="800000"/>
                      <a:headEnd/>
                      <a:tailEnd/>
                    </a:ln>
                  </pic:spPr>
                </pic:pic>
              </a:graphicData>
            </a:graphic>
          </wp:inline>
        </w:drawing>
      </w:r>
      <w:r w:rsidRPr="000C79BC">
        <w:t xml:space="preserve"> </w:t>
      </w:r>
    </w:p>
    <w:p w:rsidR="009D3131" w:rsidRPr="00BE59CB" w:rsidRDefault="009D3131" w:rsidP="009D3131">
      <w:pPr>
        <w:pStyle w:val="FigureTitle"/>
        <w:keepNext/>
        <w:keepLines/>
      </w:pPr>
      <w:r w:rsidRPr="000C79BC">
        <w:t xml:space="preserve">Figure </w:t>
      </w:r>
      <w:r w:rsidR="003C68BF">
        <w:t>7</w:t>
      </w:r>
      <w:r>
        <w:t xml:space="preserve">: </w:t>
      </w:r>
      <w:r w:rsidRPr="000C79BC">
        <w:t>Mean BMI (kg/m</w:t>
      </w:r>
      <w:r w:rsidRPr="00D15823">
        <w:rPr>
          <w:vertAlign w:val="superscript"/>
        </w:rPr>
        <w:t>2</w:t>
      </w:r>
      <w:r w:rsidRPr="000C79BC">
        <w:t xml:space="preserve">) over Time by Age Group, SAS, Whole Treatment Period </w:t>
      </w:r>
      <w:r>
        <w:rPr>
          <w:noProof/>
          <w:lang w:eastAsia="en-AU"/>
        </w:rPr>
        <w:drawing>
          <wp:inline distT="0" distB="0" distL="0" distR="0" wp14:anchorId="25940186" wp14:editId="3A0B345E">
            <wp:extent cx="5486400" cy="3124200"/>
            <wp:effectExtent l="0" t="0" r="0" b="0"/>
            <wp:docPr id="93" name="Picture 93" descr="Figure 7: Mean BMI (kg/m2) over Time by Age Group, SAS, Whole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cstate="print"/>
                    <a:srcRect/>
                    <a:stretch>
                      <a:fillRect/>
                    </a:stretch>
                  </pic:blipFill>
                  <pic:spPr bwMode="auto">
                    <a:xfrm>
                      <a:off x="0" y="0"/>
                      <a:ext cx="5486400" cy="3124200"/>
                    </a:xfrm>
                    <a:prstGeom prst="rect">
                      <a:avLst/>
                    </a:prstGeom>
                    <a:noFill/>
                    <a:ln w="9525">
                      <a:noFill/>
                      <a:miter lim="800000"/>
                      <a:headEnd/>
                      <a:tailEnd/>
                    </a:ln>
                  </pic:spPr>
                </pic:pic>
              </a:graphicData>
            </a:graphic>
          </wp:inline>
        </w:drawing>
      </w:r>
    </w:p>
    <w:p w:rsidR="004202DE" w:rsidRPr="009D3131" w:rsidRDefault="004202DE" w:rsidP="009D3131">
      <w:pPr>
        <w:pStyle w:val="Heading4"/>
      </w:pPr>
      <w:bookmarkStart w:id="134" w:name="_Toc347931844"/>
      <w:r w:rsidRPr="009D3131">
        <w:t>Pancreatitis</w:t>
      </w:r>
      <w:bookmarkEnd w:id="134"/>
    </w:p>
    <w:p w:rsidR="004202DE" w:rsidRPr="009D3131" w:rsidRDefault="004202DE" w:rsidP="009D3131">
      <w:r w:rsidRPr="009D3131">
        <w:t>Change 1:</w:t>
      </w:r>
    </w:p>
    <w:p w:rsidR="004202DE" w:rsidRPr="009D3131" w:rsidRDefault="004202DE" w:rsidP="009D3131">
      <w:r w:rsidRPr="009D3131">
        <w:t>In Study NN2211-1842, there were two subjects with pancreatitis, both during the run-in period (</w:t>
      </w:r>
      <w:proofErr w:type="spellStart"/>
      <w:r w:rsidRPr="009D3131">
        <w:t>liraglutide</w:t>
      </w:r>
      <w:proofErr w:type="spellEnd"/>
      <w:r w:rsidRPr="009D3131">
        <w:t xml:space="preserve"> and metformin treated). Pancreas related AEs were reported in 18 (11%) </w:t>
      </w:r>
      <w:r w:rsidRPr="009D3131">
        <w:lastRenderedPageBreak/>
        <w:t xml:space="preserve">subjects in the </w:t>
      </w:r>
      <w:proofErr w:type="spellStart"/>
      <w:r w:rsidRPr="009D3131">
        <w:t>detemir</w:t>
      </w:r>
      <w:proofErr w:type="spellEnd"/>
      <w:r w:rsidRPr="009D3131">
        <w:t xml:space="preserve"> group and 14 (8.8%) in the control (Table </w:t>
      </w:r>
      <w:r w:rsidR="009D3131">
        <w:t>4</w:t>
      </w:r>
      <w:r w:rsidR="003C68BF">
        <w:t xml:space="preserve">6, Appendix </w:t>
      </w:r>
      <w:r w:rsidRPr="009D3131">
        <w:t>1</w:t>
      </w:r>
      <w:r w:rsidR="009D3131">
        <w:t>)</w:t>
      </w:r>
      <w:r w:rsidRPr="009D3131">
        <w:t>. There was one report of chronic pancreatitis and one of acute pancreatitis in the control group.</w:t>
      </w:r>
    </w:p>
    <w:p w:rsidR="004202DE" w:rsidRPr="00EF5773" w:rsidRDefault="004202DE" w:rsidP="009D3131">
      <w:pPr>
        <w:pStyle w:val="Heading4"/>
      </w:pPr>
      <w:bookmarkStart w:id="135" w:name="_Toc347931845"/>
      <w:r w:rsidRPr="00EF5773">
        <w:t>Medullary C-cell carcinoma</w:t>
      </w:r>
      <w:bookmarkEnd w:id="135"/>
    </w:p>
    <w:p w:rsidR="004202DE" w:rsidRPr="009D3131" w:rsidRDefault="004202DE" w:rsidP="009D3131">
      <w:pPr>
        <w:rPr>
          <w:b/>
        </w:rPr>
      </w:pPr>
      <w:r w:rsidRPr="009D3131">
        <w:rPr>
          <w:b/>
        </w:rPr>
        <w:t>Change 1:</w:t>
      </w:r>
    </w:p>
    <w:p w:rsidR="004202DE" w:rsidRPr="009D3131" w:rsidRDefault="004202DE" w:rsidP="009D3131">
      <w:r w:rsidRPr="009D3131">
        <w:t>In Study NN2211-1842, one subject was diagnosed with medullary C-call thyroid cancer but this appears to have been pre-existing. One subject discontinued due to suspected medullary C-cell carcinoma but this was not proven.</w:t>
      </w:r>
    </w:p>
    <w:p w:rsidR="004202DE" w:rsidRPr="002C3633" w:rsidRDefault="004202DE" w:rsidP="002C3633">
      <w:pPr>
        <w:pStyle w:val="Heading4"/>
      </w:pPr>
      <w:bookmarkStart w:id="136" w:name="_Toc347931846"/>
      <w:r w:rsidRPr="002C3633">
        <w:t>Hypoglycaemia</w:t>
      </w:r>
      <w:bookmarkEnd w:id="136"/>
    </w:p>
    <w:p w:rsidR="004202DE" w:rsidRPr="002C3633" w:rsidRDefault="004202DE" w:rsidP="002C3633">
      <w:pPr>
        <w:rPr>
          <w:b/>
        </w:rPr>
      </w:pPr>
      <w:r w:rsidRPr="002C3633">
        <w:rPr>
          <w:b/>
        </w:rPr>
        <w:t>Change 1:</w:t>
      </w:r>
    </w:p>
    <w:p w:rsidR="004202DE" w:rsidRPr="002C3633" w:rsidRDefault="004202DE" w:rsidP="002C3633">
      <w:r w:rsidRPr="002C3633">
        <w:t>In Study NN2211-1842 and its extension one major hypoglycaemic event was reported in a subject during the run-in period (</w:t>
      </w:r>
      <w:proofErr w:type="spellStart"/>
      <w:r w:rsidRPr="002C3633">
        <w:t>liraglutide</w:t>
      </w:r>
      <w:proofErr w:type="spellEnd"/>
      <w:r w:rsidRPr="002C3633">
        <w:t xml:space="preserve"> and metformin). To Week 52, minor hypoglycaemic events were reported in 21 (12.9%) subjects in the </w:t>
      </w:r>
      <w:proofErr w:type="spellStart"/>
      <w:r w:rsidRPr="002C3633">
        <w:t>detemir</w:t>
      </w:r>
      <w:proofErr w:type="spellEnd"/>
      <w:r w:rsidRPr="002C3633">
        <w:t xml:space="preserve"> group and four (2.5%) in the control. The rate ratio (95% CI) for hypoglycaemic episodes (</w:t>
      </w:r>
      <w:proofErr w:type="spellStart"/>
      <w:r w:rsidRPr="002C3633">
        <w:t>detemir</w:t>
      </w:r>
      <w:proofErr w:type="spellEnd"/>
      <w:r w:rsidRPr="002C3633">
        <w:t xml:space="preserve"> compared with control) was 4.13 (1.75 to 9.73) p = 0.0012.</w:t>
      </w:r>
    </w:p>
    <w:p w:rsidR="004202DE" w:rsidRPr="002C3633" w:rsidRDefault="004202DE" w:rsidP="002C3633">
      <w:pPr>
        <w:rPr>
          <w:b/>
        </w:rPr>
      </w:pPr>
      <w:r w:rsidRPr="002C3633">
        <w:rPr>
          <w:b/>
        </w:rPr>
        <w:t>Change 2:</w:t>
      </w:r>
    </w:p>
    <w:p w:rsidR="004202DE" w:rsidRPr="002C3633" w:rsidRDefault="004202DE" w:rsidP="002C3633">
      <w:r w:rsidRPr="002C3633">
        <w:t>In Study NN304-1690, there were 16074 hypoglycaemic episodes reported in 145 (99.3%) subjects in the combined population including 4028 in 37 (100%) subjects in the 2 to 5 year age group, 7438 in 59 (100%) in the 6 to 12 year and 4608 in 49 (98.0%) in the 13 to 16 year. Severe hypoglycaemic episodes were reported in two (5.4%) subjects in the 2 to 5 year age group, two (3.4%) in the 6 to 12 year and tw</w:t>
      </w:r>
      <w:r w:rsidR="00C11173">
        <w:t xml:space="preserve">o (4.0%) in the 13 to 16 year. </w:t>
      </w:r>
      <w:r w:rsidRPr="002C3633">
        <w:t>Severe nocturnal hypoglycaemic episodes were reported in one subject in each age group.</w:t>
      </w:r>
    </w:p>
    <w:p w:rsidR="004202DE" w:rsidRPr="000C2688" w:rsidRDefault="004202DE" w:rsidP="000C2688">
      <w:r w:rsidRPr="000C2688">
        <w:t>Change 3:</w:t>
      </w:r>
    </w:p>
    <w:p w:rsidR="000C2688" w:rsidRDefault="004202DE" w:rsidP="000C2688">
      <w:r w:rsidRPr="000C2688">
        <w:t xml:space="preserve">The rates of hypoglycaemic events were similar for the two treatment groups (Table </w:t>
      </w:r>
      <w:r w:rsidR="000C2688">
        <w:t>4</w:t>
      </w:r>
      <w:r w:rsidR="003C68BF">
        <w:t>7</w:t>
      </w:r>
      <w:r w:rsidRPr="000C2688">
        <w:t>).</w:t>
      </w:r>
    </w:p>
    <w:p w:rsidR="000C2688" w:rsidRPr="00374CE5" w:rsidRDefault="000C2688" w:rsidP="000C2688">
      <w:pPr>
        <w:pStyle w:val="TableTitle"/>
        <w:keepLines/>
      </w:pPr>
      <w:r w:rsidRPr="00374CE5">
        <w:t xml:space="preserve">Table </w:t>
      </w:r>
      <w:r>
        <w:t>4</w:t>
      </w:r>
      <w:r w:rsidR="003C68BF">
        <w:t>7</w:t>
      </w:r>
      <w:r>
        <w:t xml:space="preserve">: </w:t>
      </w:r>
      <w:r w:rsidRPr="00374CE5">
        <w:t xml:space="preserve">All Hypoglycaemic Episodes during Pregnancy, Safety Pregnant </w:t>
      </w:r>
      <w:r>
        <w:rPr>
          <w:noProof/>
          <w:lang w:eastAsia="en-AU"/>
        </w:rPr>
        <w:drawing>
          <wp:inline distT="0" distB="0" distL="0" distR="0" wp14:anchorId="5AE4C6F3" wp14:editId="15B13916">
            <wp:extent cx="5476875" cy="2695575"/>
            <wp:effectExtent l="0" t="0" r="9525" b="9525"/>
            <wp:docPr id="77" name="Picture 77" descr="Table 47: All Hypoglycaemic Episodes during Pregnancy, Safety Preg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srcRect/>
                    <a:stretch>
                      <a:fillRect/>
                    </a:stretch>
                  </pic:blipFill>
                  <pic:spPr bwMode="auto">
                    <a:xfrm>
                      <a:off x="0" y="0"/>
                      <a:ext cx="5476875" cy="2695575"/>
                    </a:xfrm>
                    <a:prstGeom prst="rect">
                      <a:avLst/>
                    </a:prstGeom>
                    <a:noFill/>
                    <a:ln w="9525">
                      <a:noFill/>
                      <a:miter lim="800000"/>
                      <a:headEnd/>
                      <a:tailEnd/>
                    </a:ln>
                  </pic:spPr>
                </pic:pic>
              </a:graphicData>
            </a:graphic>
          </wp:inline>
        </w:drawing>
      </w:r>
    </w:p>
    <w:p w:rsidR="004202DE" w:rsidRPr="000C2688" w:rsidRDefault="004202DE" w:rsidP="000C2688">
      <w:r w:rsidRPr="000C2688">
        <w:t xml:space="preserve">There were 9496 hypoglycaemic events reported in 144 (95.0%) subjects in the </w:t>
      </w:r>
      <w:proofErr w:type="spellStart"/>
      <w:r w:rsidRPr="000C2688">
        <w:t>detemir</w:t>
      </w:r>
      <w:proofErr w:type="spellEnd"/>
      <w:r w:rsidRPr="000C2688">
        <w:t xml:space="preserve"> group (corresponding to an event rate of 115.3/100 exposure years) and 9453 in 146 (92.0%) in the NPH (corresponding to an event rate</w:t>
      </w:r>
      <w:r w:rsidR="000C2688">
        <w:t xml:space="preserve"> of 109.6/100 exposure years). </w:t>
      </w:r>
      <w:r w:rsidRPr="000C2688">
        <w:t xml:space="preserve">There were 90 major hypoglycaemic events reported in 25 (16.0%) subjects in the </w:t>
      </w:r>
      <w:proofErr w:type="spellStart"/>
      <w:r w:rsidRPr="000C2688">
        <w:t>detemir</w:t>
      </w:r>
      <w:proofErr w:type="spellEnd"/>
      <w:r w:rsidRPr="000C2688">
        <w:t xml:space="preserve"> group (corresponding to an event rate of 1.1/100 exposure years) and 105 in 33 (21.0%) in the NPH (corresponding to an event rate of 1.2/100 exposure years). There were 24 major nocturnal hypoglycaemic events reported in 13 (9.0%) subjects in the </w:t>
      </w:r>
      <w:proofErr w:type="spellStart"/>
      <w:r w:rsidRPr="000C2688">
        <w:t>detemir</w:t>
      </w:r>
      <w:proofErr w:type="spellEnd"/>
      <w:r w:rsidRPr="000C2688">
        <w:t xml:space="preserve"> group (corresponding to an event rate of 0.3/100 </w:t>
      </w:r>
      <w:r w:rsidRPr="000C2688">
        <w:lastRenderedPageBreak/>
        <w:t>exposure years) and 21 in ten (6.0%) in the NPH (corresponding to an event ra</w:t>
      </w:r>
      <w:r w:rsidR="000C2688">
        <w:t xml:space="preserve">te of 0.2/100 exposure years). </w:t>
      </w:r>
    </w:p>
    <w:p w:rsidR="004202DE" w:rsidRPr="00E61C31" w:rsidRDefault="004202DE" w:rsidP="000C2688">
      <w:pPr>
        <w:pStyle w:val="Heading4"/>
      </w:pPr>
      <w:bookmarkStart w:id="137" w:name="_Toc347931847"/>
      <w:r w:rsidRPr="00E61C31">
        <w:t>Pregnancy</w:t>
      </w:r>
      <w:bookmarkEnd w:id="137"/>
    </w:p>
    <w:p w:rsidR="004202DE" w:rsidRPr="000C2688" w:rsidRDefault="004202DE" w:rsidP="000C2688">
      <w:pPr>
        <w:rPr>
          <w:b/>
        </w:rPr>
      </w:pPr>
      <w:r w:rsidRPr="000C2688">
        <w:rPr>
          <w:b/>
        </w:rPr>
        <w:t>Change 3:</w:t>
      </w:r>
    </w:p>
    <w:p w:rsidR="004202DE" w:rsidRPr="000C2688" w:rsidRDefault="004202DE" w:rsidP="000C2688">
      <w:r w:rsidRPr="000C2688">
        <w:t xml:space="preserve">Pregnancy outcome was slightly better in the NPH group. There were 128 (90.14%) live children at follow up in the </w:t>
      </w:r>
      <w:proofErr w:type="spellStart"/>
      <w:r w:rsidRPr="000C2688">
        <w:t>detemir</w:t>
      </w:r>
      <w:proofErr w:type="spellEnd"/>
      <w:r w:rsidRPr="000C2688">
        <w:t xml:space="preserve"> group and 135 (93.10%) in the NPH (Table </w:t>
      </w:r>
      <w:r w:rsidR="003C68BF">
        <w:t>48</w:t>
      </w:r>
      <w:r w:rsidR="000C2688">
        <w:t>)</w:t>
      </w:r>
      <w:r w:rsidRPr="000C2688">
        <w:t>.</w:t>
      </w:r>
    </w:p>
    <w:p w:rsidR="000C2688" w:rsidRPr="00374CE5" w:rsidRDefault="000C2688" w:rsidP="000C2688">
      <w:pPr>
        <w:pStyle w:val="TableTitle"/>
        <w:keepLines/>
      </w:pPr>
      <w:r w:rsidRPr="00374CE5">
        <w:t xml:space="preserve">Table </w:t>
      </w:r>
      <w:r>
        <w:t>4</w:t>
      </w:r>
      <w:r w:rsidR="003C68BF">
        <w:t>8</w:t>
      </w:r>
      <w:r>
        <w:t xml:space="preserve">: </w:t>
      </w:r>
      <w:r w:rsidRPr="00374CE5">
        <w:t xml:space="preserve">Pregnancy Outcome at Follow-up, Safety Pregnant </w:t>
      </w:r>
      <w:r>
        <w:rPr>
          <w:noProof/>
          <w:lang w:eastAsia="en-AU"/>
        </w:rPr>
        <w:drawing>
          <wp:inline distT="0" distB="0" distL="0" distR="0" wp14:anchorId="4AE7CE8B" wp14:editId="39EB8443">
            <wp:extent cx="5486400" cy="2409825"/>
            <wp:effectExtent l="0" t="0" r="0" b="9525"/>
            <wp:docPr id="78" name="Picture 78" descr="Table 48: Pregnancy Outcome at Follow-up, Safety Preg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cstate="print"/>
                    <a:srcRect/>
                    <a:stretch>
                      <a:fillRect/>
                    </a:stretch>
                  </pic:blipFill>
                  <pic:spPr bwMode="auto">
                    <a:xfrm>
                      <a:off x="0" y="0"/>
                      <a:ext cx="5486400" cy="2409825"/>
                    </a:xfrm>
                    <a:prstGeom prst="rect">
                      <a:avLst/>
                    </a:prstGeom>
                    <a:noFill/>
                    <a:ln w="9525">
                      <a:noFill/>
                      <a:miter lim="800000"/>
                      <a:headEnd/>
                      <a:tailEnd/>
                    </a:ln>
                  </pic:spPr>
                </pic:pic>
              </a:graphicData>
            </a:graphic>
          </wp:inline>
        </w:drawing>
      </w:r>
    </w:p>
    <w:p w:rsidR="004202DE" w:rsidRPr="000C2688" w:rsidRDefault="004202DE" w:rsidP="000C2688">
      <w:r w:rsidRPr="000C2688">
        <w:t xml:space="preserve">Three subjects in the </w:t>
      </w:r>
      <w:proofErr w:type="spellStart"/>
      <w:r w:rsidRPr="000C2688">
        <w:t>detemir</w:t>
      </w:r>
      <w:proofErr w:type="spellEnd"/>
      <w:r w:rsidRPr="000C2688">
        <w:t xml:space="preserve"> group and six in the NPH developed clinically significant abnormalities in </w:t>
      </w:r>
      <w:proofErr w:type="spellStart"/>
      <w:r w:rsidRPr="000C2688">
        <w:t>fundoscopy</w:t>
      </w:r>
      <w:proofErr w:type="spellEnd"/>
      <w:r w:rsidRPr="000C2688">
        <w:t xml:space="preserve">. Two subjects in the </w:t>
      </w:r>
      <w:proofErr w:type="spellStart"/>
      <w:r w:rsidRPr="000C2688">
        <w:t>detemir</w:t>
      </w:r>
      <w:proofErr w:type="spellEnd"/>
      <w:r w:rsidRPr="000C2688">
        <w:t xml:space="preserve"> group and one in the NPH developed a high urine albumin creatinine ratio</w:t>
      </w:r>
      <w:r w:rsidR="000C2688">
        <w:t>.</w:t>
      </w:r>
    </w:p>
    <w:p w:rsidR="004202DE" w:rsidRPr="000C2688" w:rsidRDefault="004202DE" w:rsidP="000C2688">
      <w:r w:rsidRPr="000C2688">
        <w:t xml:space="preserve">A total of 26 (26.5%) of 98 neonates had quantifiable </w:t>
      </w:r>
      <w:proofErr w:type="spellStart"/>
      <w:r w:rsidRPr="000C2688">
        <w:t>detimir</w:t>
      </w:r>
      <w:proofErr w:type="spellEnd"/>
      <w:r w:rsidR="000C2688">
        <w:t xml:space="preserve"> concentrations in cord blood. </w:t>
      </w:r>
      <w:r w:rsidRPr="000C2688">
        <w:t xml:space="preserve">The highest concentration was 209.6 </w:t>
      </w:r>
      <w:proofErr w:type="spellStart"/>
      <w:r w:rsidRPr="000C2688">
        <w:t>pmol</w:t>
      </w:r>
      <w:proofErr w:type="spellEnd"/>
      <w:r w:rsidRPr="000C2688">
        <w:t>/L.</w:t>
      </w:r>
    </w:p>
    <w:p w:rsidR="004202DE" w:rsidRPr="00120919" w:rsidRDefault="004202DE" w:rsidP="000C2688">
      <w:pPr>
        <w:pStyle w:val="Heading3"/>
      </w:pPr>
      <w:bookmarkStart w:id="138" w:name="_Toc241374326"/>
      <w:bookmarkStart w:id="139" w:name="_Ref272333048"/>
      <w:bookmarkStart w:id="140" w:name="_Toc272414679"/>
      <w:bookmarkStart w:id="141" w:name="_Toc290846317"/>
      <w:bookmarkStart w:id="142" w:name="_Toc347931848"/>
      <w:bookmarkStart w:id="143" w:name="_Toc384108956"/>
      <w:r w:rsidRPr="00120919">
        <w:t>Post-marketing experience</w:t>
      </w:r>
      <w:bookmarkEnd w:id="138"/>
      <w:bookmarkEnd w:id="139"/>
      <w:bookmarkEnd w:id="140"/>
      <w:bookmarkEnd w:id="141"/>
      <w:bookmarkEnd w:id="142"/>
      <w:bookmarkEnd w:id="143"/>
    </w:p>
    <w:p w:rsidR="004202DE" w:rsidRPr="000C2688" w:rsidRDefault="004202DE" w:rsidP="000C2688">
      <w:r w:rsidRPr="000C2688">
        <w:t>No post-marketing data were included in the submission for Change 1 or Change 2.</w:t>
      </w:r>
    </w:p>
    <w:p w:rsidR="0011228E" w:rsidRDefault="004202DE" w:rsidP="000C2688">
      <w:r w:rsidRPr="000C2688">
        <w:t>The amendments to the PI for the section on pregnancy refer to post-marketing data presented in the Summary of</w:t>
      </w:r>
      <w:r w:rsidR="000C2688">
        <w:t xml:space="preserve"> Clinical Safety for Change 3. </w:t>
      </w:r>
      <w:r w:rsidRPr="000C2688">
        <w:t>These data relate to a total of 528 p</w:t>
      </w:r>
      <w:r w:rsidR="000C2688">
        <w:t>r</w:t>
      </w:r>
      <w:r w:rsidRPr="000C2688">
        <w:t xml:space="preserve">egnancies and are limited in detail (Table </w:t>
      </w:r>
      <w:r w:rsidR="0011228E">
        <w:t>4</w:t>
      </w:r>
      <w:r w:rsidR="003C68BF">
        <w:t>9</w:t>
      </w:r>
      <w:r w:rsidRPr="000C2688">
        <w:t>).</w:t>
      </w:r>
    </w:p>
    <w:p w:rsidR="0011228E" w:rsidRPr="00D15823" w:rsidRDefault="0011228E" w:rsidP="0011228E">
      <w:pPr>
        <w:pStyle w:val="TableTitle"/>
        <w:keepLines/>
      </w:pPr>
      <w:r w:rsidRPr="00D15823">
        <w:lastRenderedPageBreak/>
        <w:t xml:space="preserve">Table </w:t>
      </w:r>
      <w:r w:rsidR="003C68BF">
        <w:t>49</w:t>
      </w:r>
      <w:r>
        <w:t xml:space="preserve">: </w:t>
      </w:r>
      <w:r w:rsidRPr="00D15823">
        <w:t xml:space="preserve">Pregnancy Outcomes Based on Post-marketing Surveillance </w:t>
      </w:r>
      <w:r>
        <w:rPr>
          <w:noProof/>
          <w:lang w:eastAsia="en-AU"/>
        </w:rPr>
        <w:drawing>
          <wp:inline distT="0" distB="0" distL="0" distR="0" wp14:anchorId="1B3DC90C" wp14:editId="2C568882">
            <wp:extent cx="5486400" cy="2495550"/>
            <wp:effectExtent l="0" t="0" r="0" b="0"/>
            <wp:docPr id="79" name="Picture 79" descr="Table 49: Pregnancy Outcomes Based on Post-marketing Surveill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cstate="print"/>
                    <a:srcRect/>
                    <a:stretch>
                      <a:fillRect/>
                    </a:stretch>
                  </pic:blipFill>
                  <pic:spPr bwMode="auto">
                    <a:xfrm>
                      <a:off x="0" y="0"/>
                      <a:ext cx="5486400" cy="2495550"/>
                    </a:xfrm>
                    <a:prstGeom prst="rect">
                      <a:avLst/>
                    </a:prstGeom>
                    <a:noFill/>
                    <a:ln w="9525">
                      <a:noFill/>
                      <a:miter lim="800000"/>
                      <a:headEnd/>
                      <a:tailEnd/>
                    </a:ln>
                  </pic:spPr>
                </pic:pic>
              </a:graphicData>
            </a:graphic>
          </wp:inline>
        </w:drawing>
      </w:r>
    </w:p>
    <w:p w:rsidR="004202DE" w:rsidRDefault="004202DE" w:rsidP="000C2688">
      <w:r w:rsidRPr="000C2688">
        <w:t>In the absence of a comparator group it is difficult to make conclusions from these data but the outcomes, and spectrum of congenital malformations, appear to be typical for T1DM in pregnancy (Table</w:t>
      </w:r>
      <w:r w:rsidR="009A06A4">
        <w:t xml:space="preserve"> </w:t>
      </w:r>
      <w:r w:rsidR="003C68BF">
        <w:t>50</w:t>
      </w:r>
      <w:r w:rsidRPr="000C2688">
        <w:t>).</w:t>
      </w:r>
    </w:p>
    <w:p w:rsidR="009A06A4" w:rsidRDefault="009A06A4" w:rsidP="009A06A4">
      <w:pPr>
        <w:pStyle w:val="TableTitle"/>
      </w:pPr>
      <w:r w:rsidRPr="00D15823">
        <w:t>Table</w:t>
      </w:r>
      <w:r>
        <w:t xml:space="preserve"> </w:t>
      </w:r>
      <w:r w:rsidR="003C68BF">
        <w:t>50</w:t>
      </w:r>
      <w:r>
        <w:t>: P</w:t>
      </w:r>
      <w:r w:rsidRPr="00D15823">
        <w:t>ost-marketing Cases with Congenital Anomalies or Foetal Defects</w:t>
      </w:r>
    </w:p>
    <w:p w:rsidR="0011228E" w:rsidRDefault="0011228E" w:rsidP="000C2688">
      <w:r>
        <w:rPr>
          <w:rFonts w:ascii="Times New Roman" w:hAnsi="Times New Roman"/>
          <w:noProof/>
          <w:sz w:val="24"/>
          <w:lang w:eastAsia="en-AU"/>
        </w:rPr>
        <mc:AlternateContent>
          <mc:Choice Requires="wps">
            <w:drawing>
              <wp:anchor distT="0" distB="0" distL="114300" distR="114300" simplePos="0" relativeHeight="251659264" behindDoc="0" locked="0" layoutInCell="1" allowOverlap="1" wp14:anchorId="0EBFB115" wp14:editId="6AF91B8A">
                <wp:simplePos x="0" y="0"/>
                <wp:positionH relativeFrom="column">
                  <wp:posOffset>19050</wp:posOffset>
                </wp:positionH>
                <wp:positionV relativeFrom="paragraph">
                  <wp:posOffset>3303270</wp:posOffset>
                </wp:positionV>
                <wp:extent cx="54673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467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60.1pt" to="6in,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5DuAEAAMMDAAAOAAAAZHJzL2Uyb0RvYy54bWysU8GOEzEMvSPxD1HudKYLu0WjTvfQFVwQ&#10;VCx8QDbjdCIlceSETvv3OGk7iwAJgbh44sTP9nv2rO+P3okDULIYerlctFJA0DjYsO/l1y/vXr2V&#10;ImUVBuUwQC9PkOT95uWL9RQ7uMER3QAkOElI3RR7OeYcu6ZJegSv0gIjBH40SF5ldmnfDKQmzu5d&#10;c9O2d82ENERCDSnx7cP5UW5qfmNA50/GJMjC9ZJ7y9VStU/FNpu16vak4mj1pQ31D114ZQMXnVM9&#10;qKzEN7K/pPJWEyY0eaHRN2iM1VA5MJtl+xObx1FFqFxYnBRnmdL/S6s/HnYk7NDLlRRBeR7RYyZl&#10;92MWWwyBBUQSq6LTFFPH4duwo4uX4o4K6aMhX75MRxyrtqdZWzhmofny9s3d6vUtj0Bf35pnYKSU&#10;3wN6UQ69dDYU2qpThw8pczEOvYawUxo5l66nfHJQgl34DIapcLFlRdclgq0jcVA8fqU1hLwsVDhf&#10;jS4wY52bge2fgZf4AoW6YH8DnhG1MoY8g70NSL+rno/Xls05/qrAmXeR4AmHUx1KlYY3pTK8bHVZ&#10;xR/9Cn/+9zbfAQAA//8DAFBLAwQUAAYACAAAACEAQUsEgt4AAAAJAQAADwAAAGRycy9kb3ducmV2&#10;LnhtbEyPUUvDQBCE3wX/w7GCL2IvxqaENJeiQumDitj4A665bRLM7YXcJU399a4g6OPODLPf5JvZ&#10;dmLCwbeOFNwtIhBIlTMt1Qo+yu1tCsIHTUZ3jlDBGT1sisuLXGfGnegdp32oBZeQz7SCJoQ+k9JX&#10;DVrtF65HYu/oBqsDn0MtzaBPXG47GUfRSlrdEn9odI9PDVaf+9Eq2G0f8Tk5j/XSJLvyZipfXr/e&#10;UqWur+aHNYiAc/gLww8+o0PBTAc3kvGiU3DPS4KCJI5iEOynqyUrh19FFrn8v6D4BgAA//8DAFBL&#10;AQItABQABgAIAAAAIQC2gziS/gAAAOEBAAATAAAAAAAAAAAAAAAAAAAAAABbQ29udGVudF9UeXBl&#10;c10ueG1sUEsBAi0AFAAGAAgAAAAhADj9If/WAAAAlAEAAAsAAAAAAAAAAAAAAAAALwEAAF9yZWxz&#10;Ly5yZWxzUEsBAi0AFAAGAAgAAAAhAKDx/kO4AQAAwwMAAA4AAAAAAAAAAAAAAAAALgIAAGRycy9l&#10;Mm9Eb2MueG1sUEsBAi0AFAAGAAgAAAAhAEFLBILeAAAACQEAAA8AAAAAAAAAAAAAAAAAEgQAAGRy&#10;cy9kb3ducmV2LnhtbFBLBQYAAAAABAAEAPMAAAAdBQAAAAA=&#10;" strokecolor="#002943 [3044]"/>
            </w:pict>
          </mc:Fallback>
        </mc:AlternateContent>
      </w:r>
      <w:r>
        <w:rPr>
          <w:rFonts w:ascii="Times New Roman" w:hAnsi="Times New Roman"/>
          <w:noProof/>
          <w:sz w:val="24"/>
          <w:lang w:eastAsia="en-AU"/>
        </w:rPr>
        <w:drawing>
          <wp:inline distT="0" distB="0" distL="0" distR="0" wp14:anchorId="71A25DB6" wp14:editId="7CF21490">
            <wp:extent cx="5486400" cy="3305175"/>
            <wp:effectExtent l="0" t="0" r="0" b="9525"/>
            <wp:docPr id="80" name="Picture 80" descr="Table 50: Post-marketing Cases with Congenital Anomalies or Foetal De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cstate="print"/>
                    <a:srcRect/>
                    <a:stretch>
                      <a:fillRect/>
                    </a:stretch>
                  </pic:blipFill>
                  <pic:spPr bwMode="auto">
                    <a:xfrm>
                      <a:off x="0" y="0"/>
                      <a:ext cx="5486400" cy="3305175"/>
                    </a:xfrm>
                    <a:prstGeom prst="rect">
                      <a:avLst/>
                    </a:prstGeom>
                    <a:noFill/>
                    <a:ln w="9525">
                      <a:noFill/>
                      <a:miter lim="800000"/>
                      <a:headEnd/>
                      <a:tailEnd/>
                    </a:ln>
                  </pic:spPr>
                </pic:pic>
              </a:graphicData>
            </a:graphic>
          </wp:inline>
        </w:drawing>
      </w:r>
    </w:p>
    <w:p w:rsidR="006725EA" w:rsidRDefault="006725EA">
      <w:pPr>
        <w:spacing w:before="0" w:after="200" w:line="0" w:lineRule="auto"/>
      </w:pPr>
      <w:r>
        <w:br w:type="page"/>
      </w:r>
    </w:p>
    <w:p w:rsidR="006725EA" w:rsidRPr="000C2688" w:rsidRDefault="006725EA" w:rsidP="006725EA">
      <w:pPr>
        <w:pStyle w:val="TableTitle"/>
        <w:keepLines/>
      </w:pPr>
      <w:r>
        <w:lastRenderedPageBreak/>
        <w:t xml:space="preserve">Table </w:t>
      </w:r>
      <w:r w:rsidR="003C68BF">
        <w:t>50:</w:t>
      </w:r>
      <w:r>
        <w:t xml:space="preserve"> P</w:t>
      </w:r>
      <w:r w:rsidRPr="00D15823">
        <w:t>ost-marketing Cases with Congenital Anomalies or Foetal Defects</w:t>
      </w:r>
      <w:r>
        <w:t xml:space="preserve"> continued</w:t>
      </w:r>
    </w:p>
    <w:p w:rsidR="004202DE" w:rsidRPr="00120919" w:rsidRDefault="0011228E" w:rsidP="006725EA">
      <w:pPr>
        <w:keepNext/>
        <w:keepLines/>
        <w:autoSpaceDE w:val="0"/>
        <w:autoSpaceDN w:val="0"/>
        <w:adjustRightInd w:val="0"/>
        <w:rPr>
          <w:rFonts w:ascii="Times New Roman" w:hAnsi="Times New Roman"/>
          <w:sz w:val="24"/>
        </w:rPr>
      </w:pPr>
      <w:r>
        <w:rPr>
          <w:noProof/>
          <w:lang w:eastAsia="en-AU"/>
        </w:rPr>
        <w:drawing>
          <wp:inline distT="0" distB="0" distL="0" distR="0" wp14:anchorId="6E0BC57B" wp14:editId="54A3F28C">
            <wp:extent cx="5505450" cy="7839075"/>
            <wp:effectExtent l="0" t="0" r="0" b="9525"/>
            <wp:docPr id="8" name="Picture 8" descr="Table 50: Post-marketing Cases with Congenital Anomalies or Foetal Defect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505450" cy="7839075"/>
                    </a:xfrm>
                    <a:prstGeom prst="rect">
                      <a:avLst/>
                    </a:prstGeom>
                  </pic:spPr>
                </pic:pic>
              </a:graphicData>
            </a:graphic>
          </wp:inline>
        </w:drawing>
      </w:r>
      <w:r w:rsidR="009A06A4" w:rsidRPr="009A06A4">
        <w:rPr>
          <w:rFonts w:ascii="Times New Roman" w:hAnsi="Times New Roman"/>
          <w:sz w:val="24"/>
        </w:rPr>
        <w:t xml:space="preserve"> </w:t>
      </w:r>
    </w:p>
    <w:p w:rsidR="004202DE" w:rsidRPr="00120919" w:rsidRDefault="004202DE" w:rsidP="009A06A4">
      <w:pPr>
        <w:pStyle w:val="Heading3"/>
      </w:pPr>
      <w:bookmarkStart w:id="144" w:name="_Toc241374328"/>
      <w:bookmarkStart w:id="145" w:name="_Toc272414691"/>
      <w:bookmarkStart w:id="146" w:name="_Toc290846329"/>
      <w:bookmarkStart w:id="147" w:name="_Toc347931849"/>
      <w:bookmarkStart w:id="148" w:name="_Toc384108957"/>
      <w:r w:rsidRPr="00120919">
        <w:t>Evaluator’s overall conclusions on clinical safety</w:t>
      </w:r>
      <w:bookmarkEnd w:id="144"/>
      <w:bookmarkEnd w:id="145"/>
      <w:bookmarkEnd w:id="146"/>
      <w:bookmarkEnd w:id="147"/>
      <w:bookmarkEnd w:id="148"/>
    </w:p>
    <w:p w:rsidR="004202DE" w:rsidRPr="009A06A4" w:rsidRDefault="004202DE" w:rsidP="009A06A4">
      <w:r w:rsidRPr="009A06A4">
        <w:rPr>
          <w:b/>
        </w:rPr>
        <w:t>Change 1</w:t>
      </w:r>
      <w:r w:rsidRPr="009A06A4">
        <w:t>:</w:t>
      </w:r>
    </w:p>
    <w:p w:rsidR="004202DE" w:rsidRPr="00120919" w:rsidRDefault="004202DE" w:rsidP="004202DE">
      <w:pPr>
        <w:rPr>
          <w:rFonts w:ascii="Times New Roman" w:hAnsi="Times New Roman"/>
          <w:sz w:val="24"/>
        </w:rPr>
      </w:pPr>
      <w:r w:rsidRPr="009A06A4">
        <w:lastRenderedPageBreak/>
        <w:t xml:space="preserve">The rate of TEAEs with </w:t>
      </w:r>
      <w:proofErr w:type="spellStart"/>
      <w:r w:rsidRPr="009A06A4">
        <w:t>detemir</w:t>
      </w:r>
      <w:proofErr w:type="spellEnd"/>
      <w:r w:rsidRPr="009A06A4">
        <w:t xml:space="preserve"> in combination with </w:t>
      </w:r>
      <w:proofErr w:type="spellStart"/>
      <w:r w:rsidRPr="009A06A4">
        <w:t>liraglutide</w:t>
      </w:r>
      <w:proofErr w:type="spellEnd"/>
      <w:r w:rsidRPr="009A06A4">
        <w:t xml:space="preserve"> and metformin was similar to that for </w:t>
      </w:r>
      <w:proofErr w:type="spellStart"/>
      <w:r w:rsidRPr="009A06A4">
        <w:t>liraglutide</w:t>
      </w:r>
      <w:proofErr w:type="spellEnd"/>
      <w:r w:rsidRPr="009A06A4">
        <w:t xml:space="preserve"> and metformin. There were no deaths in the </w:t>
      </w:r>
      <w:proofErr w:type="spellStart"/>
      <w:r w:rsidRPr="009A06A4">
        <w:t>detemir</w:t>
      </w:r>
      <w:proofErr w:type="spellEnd"/>
      <w:r w:rsidRPr="009A06A4">
        <w:t xml:space="preserve"> treated patients. More subjects were reported with </w:t>
      </w:r>
      <w:proofErr w:type="spellStart"/>
      <w:r w:rsidRPr="009A06A4">
        <w:t>neoplasia</w:t>
      </w:r>
      <w:proofErr w:type="spellEnd"/>
      <w:r w:rsidRPr="009A06A4">
        <w:t xml:space="preserve"> in the </w:t>
      </w:r>
      <w:proofErr w:type="spellStart"/>
      <w:r w:rsidRPr="009A06A4">
        <w:t>detemir</w:t>
      </w:r>
      <w:proofErr w:type="spellEnd"/>
      <w:r w:rsidRPr="009A06A4">
        <w:t xml:space="preserve"> group in the extension study but there was no apparent pattern to this. The rates of DAE were similar for </w:t>
      </w:r>
      <w:proofErr w:type="spellStart"/>
      <w:r w:rsidRPr="009A06A4">
        <w:t>detemir</w:t>
      </w:r>
      <w:proofErr w:type="spellEnd"/>
      <w:r w:rsidRPr="009A06A4">
        <w:t xml:space="preserve"> and control. To Week 52, elevated lipase was reported at a greater rate in the </w:t>
      </w:r>
      <w:proofErr w:type="spellStart"/>
      <w:r w:rsidRPr="009A06A4">
        <w:t>detemir</w:t>
      </w:r>
      <w:proofErr w:type="spellEnd"/>
      <w:r w:rsidRPr="009A06A4">
        <w:t xml:space="preserve"> group than in the control: 26 (16.0%) subjects in the </w:t>
      </w:r>
      <w:proofErr w:type="spellStart"/>
      <w:r w:rsidRPr="009A06A4">
        <w:t>detemir</w:t>
      </w:r>
      <w:proofErr w:type="spellEnd"/>
      <w:r w:rsidRPr="009A06A4">
        <w:t xml:space="preserve"> group compared with 16 (10.1%) in the control. Levels of antibodies to </w:t>
      </w:r>
      <w:proofErr w:type="spellStart"/>
      <w:r w:rsidRPr="009A06A4">
        <w:t>detemir</w:t>
      </w:r>
      <w:proofErr w:type="spellEnd"/>
      <w:r w:rsidRPr="009A06A4">
        <w:t xml:space="preserve"> increased through the study to 4.30 %</w:t>
      </w:r>
      <w:r w:rsidR="009A06A4">
        <w:t xml:space="preserve"> </w:t>
      </w:r>
      <w:r w:rsidRPr="009A06A4">
        <w:t xml:space="preserve">B/T at Week 53. Minor hypoglycaemic events were more common with </w:t>
      </w:r>
      <w:proofErr w:type="spellStart"/>
      <w:r w:rsidRPr="009A06A4">
        <w:t>detemir</w:t>
      </w:r>
      <w:proofErr w:type="spellEnd"/>
      <w:r w:rsidRPr="009A06A4">
        <w:t xml:space="preserve"> than control: 21 (12.9%) subjects in the </w:t>
      </w:r>
      <w:proofErr w:type="spellStart"/>
      <w:r w:rsidRPr="009A06A4">
        <w:t>detemir</w:t>
      </w:r>
      <w:proofErr w:type="spellEnd"/>
      <w:r w:rsidRPr="009A06A4">
        <w:t xml:space="preserve"> group and four (2.5%) in the control. </w:t>
      </w:r>
    </w:p>
    <w:p w:rsidR="004202DE" w:rsidRPr="009A06A4" w:rsidRDefault="004202DE" w:rsidP="009A06A4">
      <w:pPr>
        <w:rPr>
          <w:b/>
        </w:rPr>
      </w:pPr>
      <w:r w:rsidRPr="009A06A4">
        <w:rPr>
          <w:b/>
        </w:rPr>
        <w:t>Change 2:</w:t>
      </w:r>
    </w:p>
    <w:p w:rsidR="004202DE" w:rsidRPr="009A06A4" w:rsidRDefault="004202DE" w:rsidP="009A06A4">
      <w:r w:rsidRPr="009A06A4">
        <w:t xml:space="preserve">The rate of TEAEs with </w:t>
      </w:r>
      <w:proofErr w:type="spellStart"/>
      <w:r w:rsidRPr="009A06A4">
        <w:t>detemir</w:t>
      </w:r>
      <w:proofErr w:type="spellEnd"/>
      <w:r w:rsidRPr="009A06A4">
        <w:t xml:space="preserve"> was not influenced by age and the profile was predominantly that expected for the paediatric age group alone. Treatment related TEAEs were as expected for </w:t>
      </w:r>
      <w:proofErr w:type="spellStart"/>
      <w:r w:rsidRPr="009A06A4">
        <w:t>insulins</w:t>
      </w:r>
      <w:proofErr w:type="spellEnd"/>
      <w:r w:rsidRPr="009A06A4">
        <w:t>. The rate of SAEs was not affected by age group. The</w:t>
      </w:r>
      <w:r w:rsidR="009A06A4">
        <w:t xml:space="preserve"> rate of hypoglycaemic events was</w:t>
      </w:r>
      <w:r w:rsidRPr="009A06A4">
        <w:t xml:space="preserve"> similar for the three age groups.</w:t>
      </w:r>
    </w:p>
    <w:p w:rsidR="004202DE" w:rsidRPr="009A06A4" w:rsidRDefault="004202DE" w:rsidP="009A06A4">
      <w:pPr>
        <w:rPr>
          <w:b/>
        </w:rPr>
      </w:pPr>
      <w:r w:rsidRPr="009A06A4">
        <w:rPr>
          <w:b/>
        </w:rPr>
        <w:t>Change 3:</w:t>
      </w:r>
    </w:p>
    <w:p w:rsidR="004202DE" w:rsidRPr="009A06A4" w:rsidRDefault="004202DE" w:rsidP="009A06A4">
      <w:r w:rsidRPr="009A06A4">
        <w:t xml:space="preserve">The rates and patterns of TEAEs were similar for </w:t>
      </w:r>
      <w:proofErr w:type="spellStart"/>
      <w:r w:rsidRPr="009A06A4">
        <w:t>detemir</w:t>
      </w:r>
      <w:proofErr w:type="spellEnd"/>
      <w:r w:rsidRPr="009A06A4">
        <w:t xml:space="preserve"> and NPH for both mothers and infants. Treatment related TEAEs were similar for </w:t>
      </w:r>
      <w:proofErr w:type="spellStart"/>
      <w:r w:rsidRPr="009A06A4">
        <w:t>detemir</w:t>
      </w:r>
      <w:proofErr w:type="spellEnd"/>
      <w:r w:rsidRPr="009A06A4">
        <w:t xml:space="preserve"> and NPH. There were no maternal deaths. There were three perinatal deaths: two in the </w:t>
      </w:r>
      <w:proofErr w:type="spellStart"/>
      <w:r w:rsidRPr="009A06A4">
        <w:t>detemir</w:t>
      </w:r>
      <w:proofErr w:type="spellEnd"/>
      <w:r w:rsidRPr="009A06A4">
        <w:t xml:space="preserve"> group (stillbirth, intrauterine death) and one in the NPH (Dandy-Walker malformation/pulmonary hypoplasia). In addition there were two early pregnancy losses: one in the </w:t>
      </w:r>
      <w:proofErr w:type="spellStart"/>
      <w:r w:rsidRPr="009A06A4">
        <w:t>detemir</w:t>
      </w:r>
      <w:proofErr w:type="spellEnd"/>
      <w:r w:rsidRPr="009A06A4">
        <w:t xml:space="preserve"> group (intrauterine death) and one in the NPH (spontaneous abortion). There was a higher rate of spontaneous abortion in the </w:t>
      </w:r>
      <w:proofErr w:type="spellStart"/>
      <w:r w:rsidRPr="009A06A4">
        <w:t>detemir</w:t>
      </w:r>
      <w:proofErr w:type="spellEnd"/>
      <w:r w:rsidRPr="009A06A4">
        <w:t xml:space="preserve"> group: eight (5.3%) subjects compared with four (2.5%) in the NPH; and also of pre-</w:t>
      </w:r>
      <w:proofErr w:type="spellStart"/>
      <w:r w:rsidRPr="009A06A4">
        <w:t>eclampsia</w:t>
      </w:r>
      <w:proofErr w:type="spellEnd"/>
      <w:r w:rsidRPr="009A06A4">
        <w:t xml:space="preserve">: eight (5.3%) subjects compared with one (0.6%) in the NPH. The rates of SAEs for infants were similar for </w:t>
      </w:r>
      <w:proofErr w:type="spellStart"/>
      <w:r w:rsidRPr="009A06A4">
        <w:t>detemir</w:t>
      </w:r>
      <w:proofErr w:type="spellEnd"/>
      <w:r w:rsidRPr="009A06A4">
        <w:t xml:space="preserve"> and NPH. The rates and patterns of congenital malformations for both populations were consistent with the known patterns of malformations in infants of diabetic mothers. DAE occurred at a higher rate in the </w:t>
      </w:r>
      <w:proofErr w:type="spellStart"/>
      <w:r w:rsidRPr="009A06A4">
        <w:t>detemir</w:t>
      </w:r>
      <w:proofErr w:type="spellEnd"/>
      <w:r w:rsidRPr="009A06A4">
        <w:t xml:space="preserve"> group: 13 (8.6%) subjects compared with six (3.8%) in the NPH. The rates of hypoglycaemia were similar for </w:t>
      </w:r>
      <w:proofErr w:type="spellStart"/>
      <w:r w:rsidRPr="009A06A4">
        <w:t>detemir</w:t>
      </w:r>
      <w:proofErr w:type="spellEnd"/>
      <w:r w:rsidRPr="009A06A4">
        <w:t xml:space="preserve"> and NPH.</w:t>
      </w:r>
      <w:r w:rsidR="009A06A4">
        <w:t xml:space="preserve"> </w:t>
      </w:r>
    </w:p>
    <w:p w:rsidR="004202DE" w:rsidRPr="009A06A4" w:rsidRDefault="004202DE" w:rsidP="009A06A4">
      <w:r w:rsidRPr="009A06A4">
        <w:t xml:space="preserve">Pregnancy outcome was slightly better in the NPH group. There were 128 (90.14%) live </w:t>
      </w:r>
      <w:proofErr w:type="spellStart"/>
      <w:r w:rsidRPr="009A06A4">
        <w:t>ldren</w:t>
      </w:r>
      <w:proofErr w:type="spellEnd"/>
      <w:r w:rsidRPr="009A06A4">
        <w:t xml:space="preserve"> at follow up in the </w:t>
      </w:r>
      <w:proofErr w:type="spellStart"/>
      <w:r w:rsidRPr="009A06A4">
        <w:t>detemir</w:t>
      </w:r>
      <w:proofErr w:type="spellEnd"/>
      <w:r w:rsidRPr="009A06A4">
        <w:t xml:space="preserve"> group and 135 (93.10%) in the NPH. This was not statistically significant (Chi2 Fisher’s exact test performed by the Evaluator, p = 0.40). </w:t>
      </w:r>
    </w:p>
    <w:p w:rsidR="00C22678" w:rsidRDefault="00C22678" w:rsidP="00C22678">
      <w:pPr>
        <w:pStyle w:val="Heading2"/>
      </w:pPr>
      <w:bookmarkStart w:id="149" w:name="_Toc384108958"/>
      <w:r>
        <w:t>First round benefit-risk assessment</w:t>
      </w:r>
      <w:bookmarkEnd w:id="149"/>
    </w:p>
    <w:p w:rsidR="009C3259" w:rsidRPr="00E61C31" w:rsidRDefault="009C3259" w:rsidP="009C3259">
      <w:pPr>
        <w:pStyle w:val="Heading3"/>
      </w:pPr>
      <w:bookmarkStart w:id="150" w:name="_Toc236802592"/>
      <w:bookmarkStart w:id="151" w:name="_Toc241374331"/>
      <w:bookmarkStart w:id="152" w:name="_Ref272160836"/>
      <w:bookmarkStart w:id="153" w:name="_Toc272414693"/>
      <w:bookmarkStart w:id="154" w:name="_Toc290846331"/>
      <w:bookmarkStart w:id="155" w:name="_Toc347931851"/>
      <w:bookmarkStart w:id="156" w:name="_Toc384108959"/>
      <w:r w:rsidRPr="00E61C31">
        <w:t>First round assessment of benefits</w:t>
      </w:r>
      <w:bookmarkEnd w:id="150"/>
      <w:bookmarkEnd w:id="151"/>
      <w:bookmarkEnd w:id="152"/>
      <w:bookmarkEnd w:id="153"/>
      <w:bookmarkEnd w:id="154"/>
      <w:bookmarkEnd w:id="155"/>
      <w:bookmarkEnd w:id="156"/>
    </w:p>
    <w:p w:rsidR="009C3259" w:rsidRPr="009C3259" w:rsidRDefault="009C3259" w:rsidP="009C3259">
      <w:pPr>
        <w:rPr>
          <w:b/>
        </w:rPr>
      </w:pPr>
      <w:r w:rsidRPr="009C3259">
        <w:rPr>
          <w:b/>
        </w:rPr>
        <w:t>Change 1:</w:t>
      </w:r>
    </w:p>
    <w:p w:rsidR="009C3259" w:rsidRPr="009C3259" w:rsidRDefault="009C3259" w:rsidP="009C3259">
      <w:r w:rsidRPr="009C3259">
        <w:t xml:space="preserve">Insulin </w:t>
      </w:r>
      <w:proofErr w:type="spellStart"/>
      <w:r w:rsidRPr="009C3259">
        <w:t>detemir</w:t>
      </w:r>
      <w:proofErr w:type="spellEnd"/>
      <w:r w:rsidRPr="009C3259">
        <w:t xml:space="preserve"> in combination with </w:t>
      </w:r>
      <w:proofErr w:type="spellStart"/>
      <w:r w:rsidRPr="009C3259">
        <w:t>liraglutide</w:t>
      </w:r>
      <w:proofErr w:type="spellEnd"/>
      <w:r w:rsidRPr="009C3259">
        <w:t xml:space="preserve"> and metformin resulted in an incremental decrease in mean HbA1c of 0.51% over 26 weeks. This is a clinically significant improvement in diabetes control. The improvement was maintained over a 52 week period. There was weight loss in the group treated with </w:t>
      </w:r>
      <w:proofErr w:type="spellStart"/>
      <w:r w:rsidRPr="009C3259">
        <w:t>detemir</w:t>
      </w:r>
      <w:proofErr w:type="spellEnd"/>
      <w:r w:rsidRPr="009C3259">
        <w:t xml:space="preserve">, </w:t>
      </w:r>
      <w:proofErr w:type="spellStart"/>
      <w:r w:rsidRPr="009C3259">
        <w:t>liraglutide</w:t>
      </w:r>
      <w:proofErr w:type="spellEnd"/>
      <w:r w:rsidRPr="009C3259">
        <w:t xml:space="preserve"> and metformin in combination, but less than in those treated with </w:t>
      </w:r>
      <w:proofErr w:type="spellStart"/>
      <w:r w:rsidRPr="009C3259">
        <w:t>liraglutide</w:t>
      </w:r>
      <w:proofErr w:type="spellEnd"/>
      <w:r w:rsidRPr="009C3259">
        <w:t xml:space="preserve"> and metformin alone. The </w:t>
      </w:r>
      <w:r>
        <w:t>e</w:t>
      </w:r>
      <w:r w:rsidRPr="009C3259">
        <w:t xml:space="preserve">valuator considers that the usual sequence of treatment would be </w:t>
      </w:r>
      <w:proofErr w:type="spellStart"/>
      <w:r w:rsidRPr="009C3259">
        <w:t>liraglutide</w:t>
      </w:r>
      <w:proofErr w:type="spellEnd"/>
      <w:r w:rsidRPr="009C3259">
        <w:t xml:space="preserve"> and metformin, with </w:t>
      </w:r>
      <w:proofErr w:type="spellStart"/>
      <w:r w:rsidRPr="009C3259">
        <w:t>detemir</w:t>
      </w:r>
      <w:proofErr w:type="spellEnd"/>
      <w:r w:rsidRPr="009C3259">
        <w:t xml:space="preserve"> added if patients were not adequately controlled on that combination.</w:t>
      </w:r>
    </w:p>
    <w:p w:rsidR="009C3259" w:rsidRPr="009C3259" w:rsidRDefault="009C3259" w:rsidP="009C3259">
      <w:pPr>
        <w:rPr>
          <w:b/>
        </w:rPr>
      </w:pPr>
      <w:r w:rsidRPr="009C3259">
        <w:rPr>
          <w:b/>
        </w:rPr>
        <w:t>Change 2:</w:t>
      </w:r>
    </w:p>
    <w:p w:rsidR="009C3259" w:rsidRPr="009C3259" w:rsidRDefault="009C3259" w:rsidP="009C3259">
      <w:r w:rsidRPr="009C3259">
        <w:t>The data presented for Change 2 were prim</w:t>
      </w:r>
      <w:r>
        <w:t xml:space="preserve">arily intended as safety data. </w:t>
      </w:r>
      <w:r w:rsidRPr="009C3259">
        <w:t xml:space="preserve">The efficacy data are difficult to interpret in the absence of a control group. There appears to be a loss of efficacy over </w:t>
      </w:r>
      <w:r w:rsidRPr="009C3259">
        <w:lastRenderedPageBreak/>
        <w:t xml:space="preserve">the second year of treatment but this most likely reflects the natural history of </w:t>
      </w:r>
      <w:r w:rsidR="007B007A">
        <w:t>T1DM</w:t>
      </w:r>
      <w:r w:rsidRPr="009C3259">
        <w:t xml:space="preserve"> in a paediatric clinical trial population.</w:t>
      </w:r>
    </w:p>
    <w:p w:rsidR="009C3259" w:rsidRPr="009C3259" w:rsidRDefault="009C3259" w:rsidP="009C3259">
      <w:pPr>
        <w:rPr>
          <w:b/>
        </w:rPr>
      </w:pPr>
      <w:r w:rsidRPr="009C3259">
        <w:rPr>
          <w:b/>
        </w:rPr>
        <w:t>Change 3:</w:t>
      </w:r>
    </w:p>
    <w:p w:rsidR="009C3259" w:rsidRDefault="009C3259" w:rsidP="009C3259">
      <w:r w:rsidRPr="009C3259">
        <w:t xml:space="preserve">Insulin </w:t>
      </w:r>
      <w:proofErr w:type="spellStart"/>
      <w:r w:rsidRPr="009C3259">
        <w:t>detemir</w:t>
      </w:r>
      <w:proofErr w:type="spellEnd"/>
      <w:r w:rsidRPr="009C3259">
        <w:t xml:space="preserve"> has similar efficacy to NPH in the management</w:t>
      </w:r>
      <w:r>
        <w:t xml:space="preserve"> of diabetes during pregnancy. </w:t>
      </w:r>
    </w:p>
    <w:p w:rsidR="009C3259" w:rsidRPr="00120919" w:rsidRDefault="009C3259" w:rsidP="009C3259">
      <w:pPr>
        <w:pStyle w:val="Heading3"/>
      </w:pPr>
      <w:bookmarkStart w:id="157" w:name="_Toc236802596"/>
      <w:bookmarkStart w:id="158" w:name="_Toc241374334"/>
      <w:bookmarkStart w:id="159" w:name="_Ref272160964"/>
      <w:bookmarkStart w:id="160" w:name="_Toc272414694"/>
      <w:bookmarkStart w:id="161" w:name="_Toc290846332"/>
      <w:bookmarkStart w:id="162" w:name="_Toc347931852"/>
      <w:bookmarkStart w:id="163" w:name="_Toc384108960"/>
      <w:r w:rsidRPr="00120919">
        <w:t>First round assessment of risks</w:t>
      </w:r>
      <w:bookmarkEnd w:id="157"/>
      <w:bookmarkEnd w:id="158"/>
      <w:bookmarkEnd w:id="159"/>
      <w:bookmarkEnd w:id="160"/>
      <w:bookmarkEnd w:id="161"/>
      <w:bookmarkEnd w:id="162"/>
      <w:bookmarkEnd w:id="163"/>
    </w:p>
    <w:p w:rsidR="009C3259" w:rsidRPr="009C3259" w:rsidRDefault="009C3259" w:rsidP="009C3259">
      <w:pPr>
        <w:rPr>
          <w:b/>
        </w:rPr>
      </w:pPr>
      <w:r w:rsidRPr="009C3259">
        <w:rPr>
          <w:b/>
        </w:rPr>
        <w:t>Change 1:</w:t>
      </w:r>
    </w:p>
    <w:p w:rsidR="009C3259" w:rsidRPr="009C3259" w:rsidRDefault="009C3259" w:rsidP="009C3259">
      <w:r w:rsidRPr="009C3259">
        <w:t xml:space="preserve">The rate of TEAEs with </w:t>
      </w:r>
      <w:proofErr w:type="spellStart"/>
      <w:r w:rsidRPr="009C3259">
        <w:t>detemir</w:t>
      </w:r>
      <w:proofErr w:type="spellEnd"/>
      <w:r w:rsidRPr="009C3259">
        <w:t xml:space="preserve"> in combination with </w:t>
      </w:r>
      <w:proofErr w:type="spellStart"/>
      <w:r w:rsidRPr="009C3259">
        <w:t>liraglutide</w:t>
      </w:r>
      <w:proofErr w:type="spellEnd"/>
      <w:r w:rsidRPr="009C3259">
        <w:t xml:space="preserve"> and metformin was similar to that for </w:t>
      </w:r>
      <w:proofErr w:type="spellStart"/>
      <w:r w:rsidRPr="009C3259">
        <w:t>liraglutide</w:t>
      </w:r>
      <w:proofErr w:type="spellEnd"/>
      <w:r w:rsidRPr="009C3259">
        <w:t xml:space="preserve"> and metformin. There were no deaths in the </w:t>
      </w:r>
      <w:proofErr w:type="spellStart"/>
      <w:r w:rsidRPr="009C3259">
        <w:t>detemir</w:t>
      </w:r>
      <w:proofErr w:type="spellEnd"/>
      <w:r w:rsidRPr="009C3259">
        <w:t xml:space="preserve"> treated patients. More subjects were reported with </w:t>
      </w:r>
      <w:proofErr w:type="spellStart"/>
      <w:r w:rsidRPr="009C3259">
        <w:t>neoplasia</w:t>
      </w:r>
      <w:proofErr w:type="spellEnd"/>
      <w:r w:rsidRPr="009C3259">
        <w:t xml:space="preserve"> in the </w:t>
      </w:r>
      <w:proofErr w:type="spellStart"/>
      <w:r w:rsidRPr="009C3259">
        <w:t>detemir</w:t>
      </w:r>
      <w:proofErr w:type="spellEnd"/>
      <w:r w:rsidRPr="009C3259">
        <w:t xml:space="preserve"> group in the extension study but there was no apparent pattern to this. The rates of DAE were similar for </w:t>
      </w:r>
      <w:proofErr w:type="spellStart"/>
      <w:r w:rsidRPr="009C3259">
        <w:t>detemir</w:t>
      </w:r>
      <w:proofErr w:type="spellEnd"/>
      <w:r w:rsidRPr="009C3259">
        <w:t xml:space="preserve"> and control. To Week 52, elevated lipase was reported at a greater rate in the </w:t>
      </w:r>
      <w:proofErr w:type="spellStart"/>
      <w:r w:rsidRPr="009C3259">
        <w:t>detemir</w:t>
      </w:r>
      <w:proofErr w:type="spellEnd"/>
      <w:r w:rsidRPr="009C3259">
        <w:t xml:space="preserve"> group than in the control: 26 (16.0%) subjects in the </w:t>
      </w:r>
      <w:proofErr w:type="spellStart"/>
      <w:r w:rsidRPr="009C3259">
        <w:t>detemir</w:t>
      </w:r>
      <w:proofErr w:type="spellEnd"/>
      <w:r w:rsidRPr="009C3259">
        <w:t xml:space="preserve"> group compared with 16 (10.1%) in the control. Levels of antibodies to </w:t>
      </w:r>
      <w:proofErr w:type="spellStart"/>
      <w:r w:rsidRPr="009C3259">
        <w:t>detemir</w:t>
      </w:r>
      <w:proofErr w:type="spellEnd"/>
      <w:r w:rsidRPr="009C3259">
        <w:t xml:space="preserve"> increased through the study to 4.30 %</w:t>
      </w:r>
      <w:r>
        <w:t xml:space="preserve"> </w:t>
      </w:r>
      <w:r w:rsidRPr="009C3259">
        <w:t xml:space="preserve">B/T at Week 53. Minor hypoglycaemic events were more common with </w:t>
      </w:r>
      <w:proofErr w:type="spellStart"/>
      <w:r w:rsidRPr="009C3259">
        <w:t>detemir</w:t>
      </w:r>
      <w:proofErr w:type="spellEnd"/>
      <w:r w:rsidRPr="009C3259">
        <w:t xml:space="preserve"> than control: 21 (12.9%) subjects in the </w:t>
      </w:r>
      <w:proofErr w:type="spellStart"/>
      <w:r w:rsidRPr="009C3259">
        <w:t>detemir</w:t>
      </w:r>
      <w:proofErr w:type="spellEnd"/>
      <w:r w:rsidRPr="009C3259">
        <w:t xml:space="preserve"> group and four (2.5%) in the</w:t>
      </w:r>
      <w:r>
        <w:t xml:space="preserve"> control. </w:t>
      </w:r>
    </w:p>
    <w:p w:rsidR="009C3259" w:rsidRPr="009C3259" w:rsidRDefault="009C3259" w:rsidP="009C3259">
      <w:pPr>
        <w:rPr>
          <w:b/>
        </w:rPr>
      </w:pPr>
      <w:r w:rsidRPr="009C3259">
        <w:rPr>
          <w:b/>
        </w:rPr>
        <w:t>Change 2:</w:t>
      </w:r>
    </w:p>
    <w:p w:rsidR="009C3259" w:rsidRPr="009C3259" w:rsidRDefault="009C3259" w:rsidP="009C3259">
      <w:r w:rsidRPr="009C3259">
        <w:t xml:space="preserve">The rate of TEAEs with </w:t>
      </w:r>
      <w:proofErr w:type="spellStart"/>
      <w:r w:rsidRPr="009C3259">
        <w:t>detemir</w:t>
      </w:r>
      <w:proofErr w:type="spellEnd"/>
      <w:r w:rsidRPr="009C3259">
        <w:t xml:space="preserve"> was not influenced by age and the profile was predominantly that expected for the paediatric age group alone. Treatment related TEAEs were as expected for </w:t>
      </w:r>
      <w:proofErr w:type="spellStart"/>
      <w:r w:rsidRPr="009C3259">
        <w:t>insulins</w:t>
      </w:r>
      <w:proofErr w:type="spellEnd"/>
      <w:r w:rsidRPr="009C3259">
        <w:t>. The rate of SAEs was not affected b</w:t>
      </w:r>
      <w:r>
        <w:t xml:space="preserve">y age group. </w:t>
      </w:r>
      <w:r w:rsidRPr="009C3259">
        <w:t>The</w:t>
      </w:r>
      <w:r>
        <w:t xml:space="preserve"> rate of hypoglycaemic events was</w:t>
      </w:r>
      <w:r w:rsidRPr="009C3259">
        <w:t xml:space="preserve"> similar for the three age groups.</w:t>
      </w:r>
    </w:p>
    <w:p w:rsidR="009C3259" w:rsidRPr="00CD30AF" w:rsidRDefault="009C3259" w:rsidP="00CD30AF">
      <w:pPr>
        <w:rPr>
          <w:b/>
        </w:rPr>
      </w:pPr>
      <w:r w:rsidRPr="00CD30AF">
        <w:rPr>
          <w:b/>
        </w:rPr>
        <w:t>Change 3:</w:t>
      </w:r>
    </w:p>
    <w:p w:rsidR="009C3259" w:rsidRPr="00CD30AF" w:rsidRDefault="009C3259" w:rsidP="00CD30AF">
      <w:r w:rsidRPr="00CD30AF">
        <w:t xml:space="preserve">The rates and patterns of TEAEs were similar for </w:t>
      </w:r>
      <w:proofErr w:type="spellStart"/>
      <w:r w:rsidRPr="00CD30AF">
        <w:t>detemir</w:t>
      </w:r>
      <w:proofErr w:type="spellEnd"/>
      <w:r w:rsidRPr="00CD30AF">
        <w:t xml:space="preserve"> and NPH for both mothers and infants. Treatment related TEAEs were similar for </w:t>
      </w:r>
      <w:proofErr w:type="spellStart"/>
      <w:r w:rsidRPr="00CD30AF">
        <w:t>detemir</w:t>
      </w:r>
      <w:proofErr w:type="spellEnd"/>
      <w:r w:rsidRPr="00CD30AF">
        <w:t xml:space="preserve"> and NPH. There were no maternal deaths. There were three perinatal deaths: two in the </w:t>
      </w:r>
      <w:proofErr w:type="spellStart"/>
      <w:r w:rsidRPr="00CD30AF">
        <w:t>detemir</w:t>
      </w:r>
      <w:proofErr w:type="spellEnd"/>
      <w:r w:rsidRPr="00CD30AF">
        <w:t xml:space="preserve"> group (stillbirth, intrauterine death) and one in the NPH (Dandy-Walker malformation/pulmonary hypoplasia). In addition there were two early pregnancy losses: one in the </w:t>
      </w:r>
      <w:proofErr w:type="spellStart"/>
      <w:r w:rsidRPr="00CD30AF">
        <w:t>detemir</w:t>
      </w:r>
      <w:proofErr w:type="spellEnd"/>
      <w:r w:rsidRPr="00CD30AF">
        <w:t xml:space="preserve"> group (intrauterine death) and one in the NPH (spontaneous abortion). There was a higher rate of spontaneous abortion in the </w:t>
      </w:r>
      <w:proofErr w:type="spellStart"/>
      <w:r w:rsidRPr="00CD30AF">
        <w:t>detemir</w:t>
      </w:r>
      <w:proofErr w:type="spellEnd"/>
      <w:r w:rsidRPr="00CD30AF">
        <w:t xml:space="preserve"> group: eight (5.3%) subjects compared with four (2.5%) in the NPH; and also of pre-</w:t>
      </w:r>
      <w:proofErr w:type="spellStart"/>
      <w:r w:rsidRPr="00CD30AF">
        <w:t>eclampsia</w:t>
      </w:r>
      <w:proofErr w:type="spellEnd"/>
      <w:r w:rsidRPr="00CD30AF">
        <w:t xml:space="preserve">: eight (5.3%) subjects compared with one (0.6%) in the NPH. The rates of SAEs for infants were similar for </w:t>
      </w:r>
      <w:proofErr w:type="spellStart"/>
      <w:r w:rsidRPr="00CD30AF">
        <w:t>detemir</w:t>
      </w:r>
      <w:proofErr w:type="spellEnd"/>
      <w:r w:rsidRPr="00CD30AF">
        <w:t xml:space="preserve"> and NPH. The rates and patterns of congenital malformations for both populations were consistent with the known patterns of malformations in infants of diabetic mothers. DAE occurred at a higher rate in the </w:t>
      </w:r>
      <w:proofErr w:type="spellStart"/>
      <w:r w:rsidRPr="00CD30AF">
        <w:t>detemir</w:t>
      </w:r>
      <w:proofErr w:type="spellEnd"/>
      <w:r w:rsidRPr="00CD30AF">
        <w:t xml:space="preserve"> group: 13 (8.6%) subjects compared with six (3.8%) in the NPH. The rates of hypoglycaemia overall and nocturnal hypoglycaemia were similar for </w:t>
      </w:r>
      <w:proofErr w:type="spellStart"/>
      <w:r w:rsidRPr="00CD30AF">
        <w:t>detemir</w:t>
      </w:r>
      <w:proofErr w:type="spellEnd"/>
      <w:r w:rsidRPr="00CD30AF">
        <w:t xml:space="preserve"> and NPH. </w:t>
      </w:r>
    </w:p>
    <w:p w:rsidR="009C3259" w:rsidRDefault="009C3259" w:rsidP="00CD30AF">
      <w:r w:rsidRPr="00CD30AF">
        <w:t xml:space="preserve">Pregnancy outcome was slightly better in the NPH group. There were 128 (90.14%) live children at follow up in the </w:t>
      </w:r>
      <w:proofErr w:type="spellStart"/>
      <w:r w:rsidRPr="00CD30AF">
        <w:t>detemir</w:t>
      </w:r>
      <w:proofErr w:type="spellEnd"/>
      <w:r w:rsidRPr="00CD30AF">
        <w:t xml:space="preserve"> group and 135 (93.10%) in the NPH. This was not statistically significant (Chi2 Fisher’s exact test performed by the Evaluator, p = 0.40). </w:t>
      </w:r>
    </w:p>
    <w:p w:rsidR="00085F13" w:rsidRPr="00120919" w:rsidRDefault="00085F13" w:rsidP="00085F13">
      <w:pPr>
        <w:pStyle w:val="Heading3"/>
      </w:pPr>
      <w:bookmarkStart w:id="164" w:name="_Toc384108961"/>
      <w:r w:rsidRPr="00120919">
        <w:t>First round assessment of risks</w:t>
      </w:r>
      <w:bookmarkEnd w:id="164"/>
    </w:p>
    <w:p w:rsidR="00085F13" w:rsidRPr="00085F13" w:rsidRDefault="00085F13" w:rsidP="00085F13">
      <w:pPr>
        <w:rPr>
          <w:b/>
        </w:rPr>
      </w:pPr>
      <w:r w:rsidRPr="00085F13">
        <w:rPr>
          <w:b/>
        </w:rPr>
        <w:t>Change 1:</w:t>
      </w:r>
    </w:p>
    <w:p w:rsidR="00085F13" w:rsidRPr="00120919" w:rsidRDefault="00085F13" w:rsidP="00085F13">
      <w:pPr>
        <w:rPr>
          <w:rFonts w:ascii="Times New Roman" w:hAnsi="Times New Roman"/>
          <w:sz w:val="24"/>
        </w:rPr>
      </w:pPr>
      <w:r w:rsidRPr="00085F13">
        <w:t xml:space="preserve">The rate of TEAEs with </w:t>
      </w:r>
      <w:proofErr w:type="spellStart"/>
      <w:r w:rsidRPr="00085F13">
        <w:t>detemir</w:t>
      </w:r>
      <w:proofErr w:type="spellEnd"/>
      <w:r w:rsidRPr="00085F13">
        <w:t xml:space="preserve"> in combination with </w:t>
      </w:r>
      <w:proofErr w:type="spellStart"/>
      <w:r w:rsidRPr="00085F13">
        <w:t>liraglutide</w:t>
      </w:r>
      <w:proofErr w:type="spellEnd"/>
      <w:r w:rsidRPr="00085F13">
        <w:t xml:space="preserve"> and metformin was similar to that for </w:t>
      </w:r>
      <w:proofErr w:type="spellStart"/>
      <w:r w:rsidRPr="00085F13">
        <w:t>liraglutide</w:t>
      </w:r>
      <w:proofErr w:type="spellEnd"/>
      <w:r w:rsidRPr="00085F13">
        <w:t xml:space="preserve"> and metformin. There were no deaths in the </w:t>
      </w:r>
      <w:proofErr w:type="spellStart"/>
      <w:r w:rsidRPr="00085F13">
        <w:t>detemir</w:t>
      </w:r>
      <w:proofErr w:type="spellEnd"/>
      <w:r w:rsidRPr="00085F13">
        <w:t xml:space="preserve"> treated patients. More subjects were reported with </w:t>
      </w:r>
      <w:proofErr w:type="spellStart"/>
      <w:r w:rsidRPr="00085F13">
        <w:t>neoplasia</w:t>
      </w:r>
      <w:proofErr w:type="spellEnd"/>
      <w:r w:rsidRPr="00085F13">
        <w:t xml:space="preserve"> in the </w:t>
      </w:r>
      <w:proofErr w:type="spellStart"/>
      <w:r w:rsidRPr="00085F13">
        <w:t>detemir</w:t>
      </w:r>
      <w:proofErr w:type="spellEnd"/>
      <w:r w:rsidRPr="00085F13">
        <w:t xml:space="preserve"> group in the extension study but there wa</w:t>
      </w:r>
      <w:r>
        <w:t xml:space="preserve">s no apparent pattern to this. </w:t>
      </w:r>
      <w:r w:rsidRPr="00085F13">
        <w:t>The rates of DAE were si</w:t>
      </w:r>
      <w:r>
        <w:t xml:space="preserve">milar for </w:t>
      </w:r>
      <w:proofErr w:type="spellStart"/>
      <w:r>
        <w:t>detemir</w:t>
      </w:r>
      <w:proofErr w:type="spellEnd"/>
      <w:r>
        <w:t xml:space="preserve"> and control. </w:t>
      </w:r>
      <w:r w:rsidRPr="00085F13">
        <w:t xml:space="preserve">To Week 52, elevated lipase was reported at a greater rate in the </w:t>
      </w:r>
      <w:proofErr w:type="spellStart"/>
      <w:r w:rsidRPr="00085F13">
        <w:t>detemir</w:t>
      </w:r>
      <w:proofErr w:type="spellEnd"/>
      <w:r w:rsidRPr="00085F13">
        <w:t xml:space="preserve"> group than in the control: 26 (16.0%) subjects in the </w:t>
      </w:r>
      <w:proofErr w:type="spellStart"/>
      <w:r w:rsidRPr="00085F13">
        <w:t>detemir</w:t>
      </w:r>
      <w:proofErr w:type="spellEnd"/>
      <w:r w:rsidRPr="00085F13">
        <w:t xml:space="preserve"> group compared with 16 (10.1%) in the control. Levels of </w:t>
      </w:r>
      <w:r w:rsidRPr="00085F13">
        <w:lastRenderedPageBreak/>
        <w:t xml:space="preserve">antibodies to </w:t>
      </w:r>
      <w:proofErr w:type="spellStart"/>
      <w:r w:rsidRPr="00085F13">
        <w:t>detemir</w:t>
      </w:r>
      <w:proofErr w:type="spellEnd"/>
      <w:r w:rsidRPr="00085F13">
        <w:t xml:space="preserve"> increased through the study to 4.30 %</w:t>
      </w:r>
      <w:r>
        <w:t xml:space="preserve"> </w:t>
      </w:r>
      <w:r w:rsidRPr="00085F13">
        <w:t xml:space="preserve">B/T at Week 53. Minor hypoglycaemic events were more common with </w:t>
      </w:r>
      <w:proofErr w:type="spellStart"/>
      <w:r w:rsidRPr="00085F13">
        <w:t>detemir</w:t>
      </w:r>
      <w:proofErr w:type="spellEnd"/>
      <w:r w:rsidRPr="00085F13">
        <w:t xml:space="preserve"> than control: 21 (12.9%) subjects in the </w:t>
      </w:r>
      <w:proofErr w:type="spellStart"/>
      <w:r w:rsidRPr="00085F13">
        <w:t>detemir</w:t>
      </w:r>
      <w:proofErr w:type="spellEnd"/>
      <w:r w:rsidRPr="00085F13">
        <w:t xml:space="preserve"> group and four (2.5%) in the control.</w:t>
      </w:r>
    </w:p>
    <w:p w:rsidR="00085F13" w:rsidRPr="00085F13" w:rsidRDefault="00085F13" w:rsidP="00085F13">
      <w:r w:rsidRPr="00085F13">
        <w:rPr>
          <w:b/>
        </w:rPr>
        <w:t>Change 2</w:t>
      </w:r>
      <w:r w:rsidRPr="00085F13">
        <w:t>:</w:t>
      </w:r>
    </w:p>
    <w:p w:rsidR="00085F13" w:rsidRPr="00085F13" w:rsidRDefault="00085F13" w:rsidP="00085F13">
      <w:r w:rsidRPr="00085F13">
        <w:t xml:space="preserve">The rate of TEAEs with </w:t>
      </w:r>
      <w:proofErr w:type="spellStart"/>
      <w:r w:rsidRPr="00085F13">
        <w:t>detemir</w:t>
      </w:r>
      <w:proofErr w:type="spellEnd"/>
      <w:r w:rsidRPr="00085F13">
        <w:t xml:space="preserve"> was not influenced by age and the profile was predominantly that expected for the paediatric age group alone. Treatment related TEAEs were as expected for </w:t>
      </w:r>
      <w:proofErr w:type="spellStart"/>
      <w:r w:rsidRPr="00085F13">
        <w:t>insulins</w:t>
      </w:r>
      <w:proofErr w:type="spellEnd"/>
      <w:r w:rsidRPr="00085F13">
        <w:t>. The rate of SAEs was not affected by age group. The rate of hypoglycaemic events w</w:t>
      </w:r>
      <w:r>
        <w:t>as</w:t>
      </w:r>
      <w:r w:rsidRPr="00085F13">
        <w:t xml:space="preserve"> similar for the three age groups. </w:t>
      </w:r>
    </w:p>
    <w:p w:rsidR="00085F13" w:rsidRPr="00085F13" w:rsidRDefault="00085F13" w:rsidP="00085F13">
      <w:pPr>
        <w:rPr>
          <w:b/>
        </w:rPr>
      </w:pPr>
      <w:r w:rsidRPr="00085F13">
        <w:rPr>
          <w:b/>
        </w:rPr>
        <w:t>Change 3:</w:t>
      </w:r>
    </w:p>
    <w:p w:rsidR="00085F13" w:rsidRPr="00120919" w:rsidRDefault="00085F13" w:rsidP="00085F13">
      <w:pPr>
        <w:rPr>
          <w:rFonts w:ascii="Times New Roman" w:hAnsi="Times New Roman"/>
          <w:sz w:val="24"/>
        </w:rPr>
      </w:pPr>
      <w:r w:rsidRPr="00085F13">
        <w:t xml:space="preserve">The rates and patterns of TEAEs were similar for </w:t>
      </w:r>
      <w:proofErr w:type="spellStart"/>
      <w:r w:rsidRPr="00085F13">
        <w:t>detemir</w:t>
      </w:r>
      <w:proofErr w:type="spellEnd"/>
      <w:r w:rsidRPr="00085F13">
        <w:t xml:space="preserve"> and NPH for both mothers and infants. Treatment related TEAEs were similar for </w:t>
      </w:r>
      <w:proofErr w:type="spellStart"/>
      <w:r w:rsidRPr="00085F13">
        <w:t>detemir</w:t>
      </w:r>
      <w:proofErr w:type="spellEnd"/>
      <w:r w:rsidRPr="00085F13">
        <w:t xml:space="preserve"> and NPH. There were no maternal deaths. There were three perinatal deaths: two in the </w:t>
      </w:r>
      <w:proofErr w:type="spellStart"/>
      <w:r w:rsidRPr="00085F13">
        <w:t>detemir</w:t>
      </w:r>
      <w:proofErr w:type="spellEnd"/>
      <w:r w:rsidRPr="00085F13">
        <w:t xml:space="preserve"> group (stillbirth, intrauterine death) and one in the NPH (Dandy-Walker malformation/pulmonary hypoplasia). In addition there were two early pregnancy losses: one in the </w:t>
      </w:r>
      <w:proofErr w:type="spellStart"/>
      <w:r w:rsidRPr="00085F13">
        <w:t>detemir</w:t>
      </w:r>
      <w:proofErr w:type="spellEnd"/>
      <w:r w:rsidRPr="00085F13">
        <w:t xml:space="preserve"> group (intrauterine death) and one in the NPH (spontaneous abortion). There was a higher rate of spontaneous abortion in the </w:t>
      </w:r>
      <w:proofErr w:type="spellStart"/>
      <w:r w:rsidRPr="00085F13">
        <w:t>detemir</w:t>
      </w:r>
      <w:proofErr w:type="spellEnd"/>
      <w:r w:rsidRPr="00085F13">
        <w:t xml:space="preserve"> group: eight (5.3%) subjects compared with four (2.5%) in the NPH; and also of pre-</w:t>
      </w:r>
      <w:proofErr w:type="spellStart"/>
      <w:r w:rsidRPr="00085F13">
        <w:t>eclampsia</w:t>
      </w:r>
      <w:proofErr w:type="spellEnd"/>
      <w:r w:rsidRPr="00085F13">
        <w:t xml:space="preserve">: eight (5.3%) subjects compared with one (0.6%) in the NPH. The rates of SAEs for infants were similar for </w:t>
      </w:r>
      <w:proofErr w:type="spellStart"/>
      <w:r w:rsidRPr="00085F13">
        <w:t>detemir</w:t>
      </w:r>
      <w:proofErr w:type="spellEnd"/>
      <w:r w:rsidRPr="00085F13">
        <w:t xml:space="preserve"> and NPH. The rates and patterns of congenital malformations for both populations were consistent with the known patterns of malformations in infants of diabetic mothers. DAE occurred at a higher rate in the </w:t>
      </w:r>
      <w:proofErr w:type="spellStart"/>
      <w:r w:rsidRPr="00085F13">
        <w:t>detemir</w:t>
      </w:r>
      <w:proofErr w:type="spellEnd"/>
      <w:r w:rsidRPr="00085F13">
        <w:t xml:space="preserve"> group: 13 (8.6%) subjects compared with six (3.8%) in the</w:t>
      </w:r>
      <w:r>
        <w:t xml:space="preserve"> </w:t>
      </w:r>
      <w:r w:rsidRPr="00085F13">
        <w:t xml:space="preserve">NPH. The rates of hypoglycaemia overall and nocturnal hypoglycaemia were similar for </w:t>
      </w:r>
      <w:proofErr w:type="spellStart"/>
      <w:r w:rsidRPr="00085F13">
        <w:t>detemir</w:t>
      </w:r>
      <w:proofErr w:type="spellEnd"/>
      <w:r w:rsidRPr="00085F13">
        <w:t xml:space="preserve"> and NPH.</w:t>
      </w:r>
    </w:p>
    <w:p w:rsidR="00BD1F27" w:rsidRPr="008C230A" w:rsidRDefault="00085F13" w:rsidP="00BD1F27">
      <w:r w:rsidRPr="00BD1F27">
        <w:t xml:space="preserve">Pregnancy outcome was slightly better in the NPH group. There were 128 (90.14%) live children at follow up in the </w:t>
      </w:r>
      <w:proofErr w:type="spellStart"/>
      <w:r w:rsidRPr="00BD1F27">
        <w:t>detemir</w:t>
      </w:r>
      <w:proofErr w:type="spellEnd"/>
      <w:r w:rsidRPr="00BD1F27">
        <w:t xml:space="preserve"> group and 135 (93.10%) in the NPH.</w:t>
      </w:r>
      <w:r w:rsidR="00BD1F27">
        <w:t xml:space="preserve"> </w:t>
      </w:r>
      <w:r w:rsidR="00BD1F27" w:rsidRPr="008C230A">
        <w:t xml:space="preserve">This was not statistically significant (Chi2 Fisher’s exact test performed by the Evaluator, p = 0.40). </w:t>
      </w:r>
    </w:p>
    <w:p w:rsidR="00BD1F27" w:rsidRPr="00E61C31" w:rsidRDefault="00085F13" w:rsidP="00BD1F27">
      <w:pPr>
        <w:pStyle w:val="Heading3"/>
      </w:pPr>
      <w:r w:rsidRPr="008C230A">
        <w:t xml:space="preserve"> </w:t>
      </w:r>
      <w:bookmarkStart w:id="165" w:name="_Toc236802597"/>
      <w:bookmarkStart w:id="166" w:name="_Toc241374335"/>
      <w:bookmarkStart w:id="167" w:name="_Toc272414695"/>
      <w:bookmarkStart w:id="168" w:name="_Toc290846333"/>
      <w:bookmarkStart w:id="169" w:name="_Toc347931853"/>
      <w:bookmarkStart w:id="170" w:name="_Toc384108962"/>
      <w:r w:rsidR="00BD1F27" w:rsidRPr="00E61C31">
        <w:t>First round assessment of benefit-risk balance</w:t>
      </w:r>
      <w:bookmarkEnd w:id="165"/>
      <w:bookmarkEnd w:id="166"/>
      <w:bookmarkEnd w:id="167"/>
      <w:bookmarkEnd w:id="168"/>
      <w:bookmarkEnd w:id="169"/>
      <w:bookmarkEnd w:id="170"/>
    </w:p>
    <w:p w:rsidR="00BD1F27" w:rsidRPr="00BD1F27" w:rsidRDefault="00BD1F27" w:rsidP="00BD1F27">
      <w:pPr>
        <w:rPr>
          <w:b/>
        </w:rPr>
      </w:pPr>
      <w:r w:rsidRPr="00BD1F27">
        <w:rPr>
          <w:b/>
        </w:rPr>
        <w:t>Change 1:</w:t>
      </w:r>
    </w:p>
    <w:p w:rsidR="00BD1F27" w:rsidRPr="00BD1F27" w:rsidRDefault="00BD1F27" w:rsidP="00BD1F27">
      <w:r w:rsidRPr="00BD1F27">
        <w:t xml:space="preserve">The benefit-risk balance of insulin </w:t>
      </w:r>
      <w:proofErr w:type="spellStart"/>
      <w:r w:rsidRPr="00BD1F27">
        <w:t>detemir</w:t>
      </w:r>
      <w:proofErr w:type="spellEnd"/>
      <w:r w:rsidRPr="00BD1F27">
        <w:t>, given the proposed usage, is favourable.</w:t>
      </w:r>
    </w:p>
    <w:p w:rsidR="00BD1F27" w:rsidRPr="00BD1F27" w:rsidRDefault="00BD1F27" w:rsidP="00BD1F27">
      <w:pPr>
        <w:rPr>
          <w:b/>
        </w:rPr>
      </w:pPr>
      <w:r w:rsidRPr="00BD1F27">
        <w:rPr>
          <w:b/>
        </w:rPr>
        <w:t>Change 2:</w:t>
      </w:r>
    </w:p>
    <w:p w:rsidR="00BD1F27" w:rsidRPr="00BD1F27" w:rsidRDefault="00BD1F27" w:rsidP="00BD1F27">
      <w:r w:rsidRPr="00BD1F27">
        <w:t xml:space="preserve">The benefit-risk balance of insulin </w:t>
      </w:r>
      <w:proofErr w:type="spellStart"/>
      <w:r w:rsidRPr="00BD1F27">
        <w:t>detemir</w:t>
      </w:r>
      <w:proofErr w:type="spellEnd"/>
      <w:r w:rsidRPr="00BD1F27">
        <w:t>, given the proposed usage, is favourable.</w:t>
      </w:r>
    </w:p>
    <w:p w:rsidR="00BD1F27" w:rsidRPr="00BD1F27" w:rsidRDefault="00BD1F27" w:rsidP="00BD1F27">
      <w:pPr>
        <w:rPr>
          <w:b/>
        </w:rPr>
      </w:pPr>
      <w:r w:rsidRPr="00BD1F27">
        <w:rPr>
          <w:b/>
        </w:rPr>
        <w:t>Change 3:</w:t>
      </w:r>
    </w:p>
    <w:p w:rsidR="00BD1F27" w:rsidRPr="00BD1F27" w:rsidRDefault="00BD1F27" w:rsidP="00BD1F27">
      <w:r w:rsidRPr="00BD1F27">
        <w:t xml:space="preserve">The benefit-risk balance of insulin </w:t>
      </w:r>
      <w:proofErr w:type="spellStart"/>
      <w:r w:rsidRPr="00BD1F27">
        <w:t>detemir</w:t>
      </w:r>
      <w:proofErr w:type="spellEnd"/>
      <w:r w:rsidRPr="00BD1F27">
        <w:t>, given the proposed usage, is favourable.</w:t>
      </w:r>
    </w:p>
    <w:p w:rsidR="00BD1F27" w:rsidRPr="00BD1F27" w:rsidRDefault="00BD1F27" w:rsidP="00BD1F27">
      <w:pPr>
        <w:rPr>
          <w:b/>
        </w:rPr>
      </w:pPr>
      <w:r w:rsidRPr="00BD1F27">
        <w:rPr>
          <w:b/>
        </w:rPr>
        <w:t>Change 4:</w:t>
      </w:r>
    </w:p>
    <w:p w:rsidR="00BD1F27" w:rsidRPr="00BD1F27" w:rsidRDefault="00BD1F27" w:rsidP="00BD1F27">
      <w:r w:rsidRPr="00BD1F27">
        <w:t>No data were presented for this proposed change as it relates to alignment of the PI with the CCDS.</w:t>
      </w:r>
    </w:p>
    <w:p w:rsidR="00C22678" w:rsidRDefault="00C22678" w:rsidP="00C22678">
      <w:pPr>
        <w:pStyle w:val="Heading2"/>
      </w:pPr>
      <w:bookmarkStart w:id="171" w:name="_Toc384108963"/>
      <w:r>
        <w:t>First round recommendation regarding authorisation</w:t>
      </w:r>
      <w:bookmarkEnd w:id="171"/>
    </w:p>
    <w:p w:rsidR="00BD1F27" w:rsidRPr="00BD1F27" w:rsidRDefault="00BD1F27" w:rsidP="00BD1F27">
      <w:r w:rsidRPr="00BD1F27">
        <w:t xml:space="preserve">The Evaluator recommends that the proposed changes to the conditions of registration for </w:t>
      </w:r>
      <w:proofErr w:type="spellStart"/>
      <w:r w:rsidRPr="00BD1F27">
        <w:t>L</w:t>
      </w:r>
      <w:r>
        <w:t>evemir</w:t>
      </w:r>
      <w:proofErr w:type="spellEnd"/>
      <w:r w:rsidRPr="00BD1F27">
        <w:t xml:space="preserve"> </w:t>
      </w:r>
      <w:proofErr w:type="spellStart"/>
      <w:r w:rsidRPr="00BD1F27">
        <w:t>F</w:t>
      </w:r>
      <w:r>
        <w:t>lexpen</w:t>
      </w:r>
      <w:proofErr w:type="spellEnd"/>
      <w:r w:rsidRPr="00BD1F27">
        <w:t>/</w:t>
      </w:r>
      <w:proofErr w:type="spellStart"/>
      <w:r w:rsidRPr="00BD1F27">
        <w:t>L</w:t>
      </w:r>
      <w:r>
        <w:t>evermir</w:t>
      </w:r>
      <w:proofErr w:type="spellEnd"/>
      <w:r w:rsidRPr="00BD1F27">
        <w:t xml:space="preserve"> </w:t>
      </w:r>
      <w:proofErr w:type="spellStart"/>
      <w:r w:rsidRPr="00BD1F27">
        <w:t>P</w:t>
      </w:r>
      <w:r>
        <w:t>enfill</w:t>
      </w:r>
      <w:proofErr w:type="spellEnd"/>
      <w:r w:rsidRPr="00BD1F27">
        <w:t xml:space="preserve"> / </w:t>
      </w:r>
      <w:proofErr w:type="spellStart"/>
      <w:r w:rsidRPr="00BD1F27">
        <w:t>L</w:t>
      </w:r>
      <w:r>
        <w:t>evemir</w:t>
      </w:r>
      <w:proofErr w:type="spellEnd"/>
      <w:r w:rsidRPr="00BD1F27">
        <w:t xml:space="preserve"> </w:t>
      </w:r>
      <w:proofErr w:type="spellStart"/>
      <w:r w:rsidRPr="00BD1F27">
        <w:t>I</w:t>
      </w:r>
      <w:r>
        <w:t>nnolet</w:t>
      </w:r>
      <w:proofErr w:type="spellEnd"/>
      <w:r w:rsidRPr="00BD1F27">
        <w:t xml:space="preserve"> should be approved. </w:t>
      </w:r>
      <w:r>
        <w:t>T</w:t>
      </w:r>
      <w:r w:rsidRPr="00BD1F27">
        <w:t>he proposed changes are:</w:t>
      </w:r>
    </w:p>
    <w:p w:rsidR="00BD1F27" w:rsidRPr="00BD1F27" w:rsidRDefault="00BD1F27" w:rsidP="00BD1F27">
      <w:r w:rsidRPr="00BD1F27">
        <w:rPr>
          <w:b/>
        </w:rPr>
        <w:t>Change 1:</w:t>
      </w:r>
      <w:r w:rsidRPr="00BD1F27">
        <w:t xml:space="preserve"> Update of the Product Information (PI) to include information on the use of </w:t>
      </w:r>
      <w:proofErr w:type="spellStart"/>
      <w:r w:rsidRPr="00BD1F27">
        <w:t>Levemir</w:t>
      </w:r>
      <w:proofErr w:type="spellEnd"/>
      <w:r>
        <w:t>®</w:t>
      </w:r>
      <w:r w:rsidRPr="00BD1F27">
        <w:t xml:space="preserve"> (insulin </w:t>
      </w:r>
      <w:proofErr w:type="spellStart"/>
      <w:r w:rsidRPr="00BD1F27">
        <w:t>detemir</w:t>
      </w:r>
      <w:proofErr w:type="spellEnd"/>
      <w:r w:rsidRPr="00BD1F27">
        <w:t xml:space="preserve"> [</w:t>
      </w:r>
      <w:proofErr w:type="spellStart"/>
      <w:r w:rsidRPr="00BD1F27">
        <w:t>rys</w:t>
      </w:r>
      <w:proofErr w:type="spellEnd"/>
      <w:r w:rsidRPr="00BD1F27">
        <w:t xml:space="preserve">]) as add-on therapy to </w:t>
      </w:r>
      <w:proofErr w:type="spellStart"/>
      <w:r w:rsidRPr="00BD1F27">
        <w:t>Victoza</w:t>
      </w:r>
      <w:proofErr w:type="spellEnd"/>
      <w:r>
        <w:t>®</w:t>
      </w:r>
      <w:r w:rsidRPr="00BD1F27">
        <w:t>(</w:t>
      </w:r>
      <w:proofErr w:type="spellStart"/>
      <w:r w:rsidRPr="00BD1F27">
        <w:t>liraglutide</w:t>
      </w:r>
      <w:proofErr w:type="spellEnd"/>
      <w:r w:rsidRPr="00BD1F27">
        <w:t xml:space="preserve"> [</w:t>
      </w:r>
      <w:proofErr w:type="spellStart"/>
      <w:r w:rsidRPr="00BD1F27">
        <w:t>rys</w:t>
      </w:r>
      <w:proofErr w:type="spellEnd"/>
      <w:r w:rsidRPr="00BD1F27">
        <w:t>]).</w:t>
      </w:r>
    </w:p>
    <w:p w:rsidR="00BD1F27" w:rsidRPr="00BD1F27" w:rsidRDefault="00BD1F27" w:rsidP="00BD1F27">
      <w:r w:rsidRPr="00BD1F27">
        <w:rPr>
          <w:b/>
        </w:rPr>
        <w:lastRenderedPageBreak/>
        <w:t>Change 2:</w:t>
      </w:r>
      <w:r w:rsidRPr="00BD1F27">
        <w:t xml:space="preserve"> Update of the Product Information (PI) to include safety data from long-term trials in use of </w:t>
      </w:r>
      <w:proofErr w:type="spellStart"/>
      <w:r w:rsidRPr="00BD1F27">
        <w:t>Levemir</w:t>
      </w:r>
      <w:proofErr w:type="spellEnd"/>
      <w:r>
        <w:t>®</w:t>
      </w:r>
      <w:r w:rsidRPr="00BD1F27">
        <w:t xml:space="preserve"> in adolescents and children (from 2 years old) with T1DM.</w:t>
      </w:r>
    </w:p>
    <w:p w:rsidR="00BD1F27" w:rsidRPr="00BD1F27" w:rsidRDefault="00BD1F27" w:rsidP="00BD1F27">
      <w:r w:rsidRPr="00BD1F27">
        <w:rPr>
          <w:b/>
        </w:rPr>
        <w:t>Change 3</w:t>
      </w:r>
      <w:r w:rsidRPr="00BD1F27">
        <w:t xml:space="preserve">: Update of the Product Information (PI) to allow use of </w:t>
      </w:r>
      <w:proofErr w:type="spellStart"/>
      <w:r w:rsidRPr="00BD1F27">
        <w:t>Levemir</w:t>
      </w:r>
      <w:proofErr w:type="spellEnd"/>
      <w:r>
        <w:t>®</w:t>
      </w:r>
      <w:r w:rsidRPr="00BD1F27">
        <w:t xml:space="preserve"> in pregnancy.</w:t>
      </w:r>
    </w:p>
    <w:p w:rsidR="00BD1F27" w:rsidRPr="00BD1F27" w:rsidRDefault="00BD1F27" w:rsidP="00BD1F27">
      <w:r w:rsidRPr="00BD1F27">
        <w:rPr>
          <w:b/>
        </w:rPr>
        <w:t>Change 4:</w:t>
      </w:r>
      <w:r w:rsidRPr="00BD1F27">
        <w:t xml:space="preserve"> Update of the Product Information (PI) to more closely align with the Core Company Data Sheet (CCDS) (v. 12.0).</w:t>
      </w:r>
    </w:p>
    <w:p w:rsidR="00C22678" w:rsidRDefault="00C22678" w:rsidP="00C22678">
      <w:pPr>
        <w:pStyle w:val="Heading2"/>
      </w:pPr>
      <w:bookmarkStart w:id="172" w:name="_Toc384108964"/>
      <w:r>
        <w:t>Clinical questions</w:t>
      </w:r>
      <w:bookmarkEnd w:id="172"/>
    </w:p>
    <w:p w:rsidR="00BD1F27" w:rsidRPr="00BD1F27" w:rsidRDefault="00BD1F27" w:rsidP="00BD1F27">
      <w:r w:rsidRPr="00BD1F27">
        <w:t>The Evaluator does have any clinical questions.</w:t>
      </w:r>
    </w:p>
    <w:p w:rsidR="00C618F7" w:rsidRDefault="00C618F7" w:rsidP="00C618F7">
      <w:pPr>
        <w:pStyle w:val="Heading2"/>
      </w:pPr>
      <w:bookmarkStart w:id="173" w:name="_Toc384108965"/>
      <w:r>
        <w:t>Second round evaluation of clinical data submitted in response to questions</w:t>
      </w:r>
      <w:bookmarkEnd w:id="173"/>
    </w:p>
    <w:p w:rsidR="00C618F7" w:rsidRPr="00586F98" w:rsidRDefault="00C618F7" w:rsidP="00C618F7">
      <w:pPr>
        <w:rPr>
          <w:lang w:eastAsia="ja-JP"/>
        </w:rPr>
      </w:pPr>
      <w:r>
        <w:rPr>
          <w:lang w:eastAsia="ja-JP"/>
        </w:rPr>
        <w:t>[Insert all information]</w:t>
      </w:r>
    </w:p>
    <w:p w:rsidR="00C618F7" w:rsidRDefault="00C618F7" w:rsidP="00C618F7">
      <w:pPr>
        <w:pStyle w:val="Heading2"/>
      </w:pPr>
      <w:bookmarkStart w:id="174" w:name="_Toc384108966"/>
      <w:r>
        <w:t>Second round benefit-risk assessment</w:t>
      </w:r>
      <w:bookmarkEnd w:id="174"/>
    </w:p>
    <w:p w:rsidR="00C618F7" w:rsidRPr="00586F98" w:rsidRDefault="00C618F7" w:rsidP="00C618F7">
      <w:pPr>
        <w:rPr>
          <w:lang w:eastAsia="ja-JP"/>
        </w:rPr>
      </w:pPr>
      <w:r>
        <w:rPr>
          <w:lang w:eastAsia="ja-JP"/>
        </w:rPr>
        <w:t>[Insert all information]</w:t>
      </w:r>
    </w:p>
    <w:p w:rsidR="00C618F7" w:rsidRDefault="00C618F7" w:rsidP="00C618F7">
      <w:pPr>
        <w:pStyle w:val="Heading2"/>
      </w:pPr>
      <w:bookmarkStart w:id="175" w:name="_Toc384108967"/>
      <w:r>
        <w:t>Second round recommendation regarding authorisation</w:t>
      </w:r>
      <w:bookmarkEnd w:id="175"/>
    </w:p>
    <w:p w:rsidR="00C618F7" w:rsidRPr="00586F98" w:rsidRDefault="00C618F7" w:rsidP="00C618F7">
      <w:pPr>
        <w:rPr>
          <w:lang w:eastAsia="ja-JP"/>
        </w:rPr>
      </w:pPr>
      <w:r>
        <w:rPr>
          <w:lang w:eastAsia="ja-JP"/>
        </w:rPr>
        <w:t>[Insert all information]</w:t>
      </w:r>
    </w:p>
    <w:p w:rsidR="00BD1F27" w:rsidRDefault="001F1A19" w:rsidP="008B5A3E">
      <w:pPr>
        <w:pStyle w:val="Heading2"/>
      </w:pPr>
      <w:bookmarkStart w:id="176" w:name="_Toc384108968"/>
      <w:r>
        <w:t xml:space="preserve">Appendix 1: </w:t>
      </w:r>
      <w:r w:rsidR="003C68BF">
        <w:t>A</w:t>
      </w:r>
      <w:r>
        <w:t>dditional tables</w:t>
      </w:r>
      <w:bookmarkEnd w:id="176"/>
      <w:r>
        <w:t xml:space="preserve"> </w:t>
      </w:r>
      <w:bookmarkEnd w:id="2"/>
      <w:bookmarkEnd w:id="1"/>
      <w:bookmarkEnd w:id="3"/>
    </w:p>
    <w:p w:rsidR="001F1A19" w:rsidRDefault="001F1A19" w:rsidP="001F1A19">
      <w:pPr>
        <w:rPr>
          <w:lang w:eastAsia="ja-JP"/>
        </w:rPr>
      </w:pPr>
    </w:p>
    <w:p w:rsidR="001F1A19" w:rsidRPr="001F1A19" w:rsidRDefault="001F1A19" w:rsidP="001F1A19">
      <w:pPr>
        <w:rPr>
          <w:lang w:eastAsia="ja-JP"/>
        </w:rPr>
      </w:pPr>
    </w:p>
    <w:p w:rsidR="00BD1F27" w:rsidRDefault="00BD1F27" w:rsidP="008B5A3E">
      <w:pPr>
        <w:rPr>
          <w:lang w:eastAsia="ja-JP"/>
        </w:rPr>
        <w:sectPr w:rsidR="00BD1F27" w:rsidSect="008D770F">
          <w:headerReference w:type="even" r:id="rId61"/>
          <w:headerReference w:type="default" r:id="rId62"/>
          <w:footerReference w:type="default" r:id="rId63"/>
          <w:headerReference w:type="first" r:id="rId64"/>
          <w:footerReference w:type="first" r:id="rId65"/>
          <w:pgSz w:w="11906" w:h="16838" w:code="9"/>
          <w:pgMar w:top="1440" w:right="1440" w:bottom="1440" w:left="1440" w:header="907" w:footer="216" w:gutter="0"/>
          <w:cols w:space="708"/>
          <w:docGrid w:linePitch="360"/>
        </w:sectPr>
      </w:pPr>
    </w:p>
    <w:p w:rsidR="001F1A19" w:rsidRDefault="00BD1F27" w:rsidP="001F1A19">
      <w:pPr>
        <w:pStyle w:val="TableTitle"/>
        <w:keepLines/>
      </w:pPr>
      <w:r w:rsidRPr="001F1A19">
        <w:lastRenderedPageBreak/>
        <w:t>Table 1</w:t>
      </w:r>
      <w:r>
        <w:rPr>
          <w:rFonts w:ascii="Times New Roman" w:hAnsi="Times New Roman"/>
          <w:sz w:val="24"/>
        </w:rPr>
        <w:t xml:space="preserve">: </w:t>
      </w:r>
      <w:r w:rsidR="001F1A19" w:rsidRPr="00EE11B4">
        <w:t>Studies providing pharmaco</w:t>
      </w:r>
      <w:r w:rsidR="001F1A19">
        <w:t>kinetic</w:t>
      </w:r>
      <w:r w:rsidR="001F1A19" w:rsidRPr="00EE11B4">
        <w:t xml:space="preserve"> data</w:t>
      </w:r>
    </w:p>
    <w:p w:rsidR="00BD1F27" w:rsidRDefault="00BD1F27" w:rsidP="001F1A19">
      <w:pPr>
        <w:pStyle w:val="TableTitle"/>
        <w:keepLines/>
        <w:rPr>
          <w:rFonts w:ascii="Times New Roman" w:hAnsi="Times New Roman"/>
          <w:sz w:val="24"/>
        </w:rPr>
      </w:pPr>
      <w:r>
        <w:rPr>
          <w:noProof/>
          <w:lang w:eastAsia="en-AU"/>
        </w:rPr>
        <w:drawing>
          <wp:inline distT="0" distB="0" distL="0" distR="0" wp14:anchorId="303A01DC" wp14:editId="3C661A9B">
            <wp:extent cx="8833104" cy="4600575"/>
            <wp:effectExtent l="0" t="0" r="6350" b="0"/>
            <wp:docPr id="20" name="Picture 20" descr="Table 1: Studies providing pharmacokinet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839176" cy="4603737"/>
                    </a:xfrm>
                    <a:prstGeom prst="rect">
                      <a:avLst/>
                    </a:prstGeom>
                  </pic:spPr>
                </pic:pic>
              </a:graphicData>
            </a:graphic>
          </wp:inline>
        </w:drawing>
      </w:r>
    </w:p>
    <w:p w:rsidR="006725EA" w:rsidRDefault="006725EA">
      <w:pPr>
        <w:spacing w:before="0" w:after="200" w:line="0" w:lineRule="auto"/>
      </w:pPr>
      <w:r>
        <w:br w:type="page"/>
      </w:r>
    </w:p>
    <w:p w:rsidR="001F1A19" w:rsidRDefault="001F1A19" w:rsidP="001541A1">
      <w:pPr>
        <w:pStyle w:val="TableTitle"/>
        <w:keepLines/>
      </w:pPr>
      <w:r>
        <w:rPr>
          <w:noProof/>
          <w:lang w:eastAsia="en-AU"/>
        </w:rPr>
        <w:lastRenderedPageBreak/>
        <w:t xml:space="preserve">Table 6: </w:t>
      </w:r>
      <w:r w:rsidR="001541A1">
        <w:rPr>
          <w:noProof/>
          <w:lang w:eastAsia="en-AU"/>
        </w:rPr>
        <w:t xml:space="preserve">Tabular summary of </w:t>
      </w:r>
      <w:r w:rsidRPr="00704F9F">
        <w:t xml:space="preserve">Study NN2211-1842 </w:t>
      </w:r>
    </w:p>
    <w:p w:rsidR="008D770F" w:rsidRPr="00AE01C2" w:rsidRDefault="001F1A19" w:rsidP="001541A1">
      <w:pPr>
        <w:pStyle w:val="TableTitle"/>
        <w:keepLines/>
        <w:rPr>
          <w:lang w:eastAsia="ja-JP"/>
        </w:rPr>
      </w:pPr>
      <w:r>
        <w:rPr>
          <w:noProof/>
          <w:lang w:eastAsia="en-AU"/>
        </w:rPr>
        <w:drawing>
          <wp:inline distT="0" distB="0" distL="0" distR="0" wp14:anchorId="3C3223A5" wp14:editId="6A8E4635">
            <wp:extent cx="8839200" cy="4831341"/>
            <wp:effectExtent l="0" t="0" r="0" b="7620"/>
            <wp:docPr id="21" name="Picture 21" descr="Table 6: Tabular summary of Study NN2211-18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841318" cy="4832498"/>
                    </a:xfrm>
                    <a:prstGeom prst="rect">
                      <a:avLst/>
                    </a:prstGeom>
                  </pic:spPr>
                </pic:pic>
              </a:graphicData>
            </a:graphic>
          </wp:inline>
        </w:drawing>
      </w:r>
    </w:p>
    <w:p w:rsidR="006725EA" w:rsidRDefault="006725EA">
      <w:pPr>
        <w:spacing w:before="0" w:after="200" w:line="0" w:lineRule="auto"/>
        <w:rPr>
          <w:b/>
          <w:sz w:val="20"/>
        </w:rPr>
      </w:pPr>
      <w:r>
        <w:br w:type="page"/>
      </w:r>
    </w:p>
    <w:p w:rsidR="001541A1" w:rsidRDefault="001541A1" w:rsidP="001541A1">
      <w:pPr>
        <w:pStyle w:val="TableTitle"/>
      </w:pPr>
      <w:r w:rsidRPr="001541A1">
        <w:lastRenderedPageBreak/>
        <w:t>Table 7: Trial Flow Chart – Randomised Subjects</w:t>
      </w:r>
    </w:p>
    <w:p w:rsidR="001541A1" w:rsidRDefault="001541A1" w:rsidP="001541A1">
      <w:pPr>
        <w:pStyle w:val="TableTitle"/>
      </w:pPr>
      <w:r>
        <w:rPr>
          <w:noProof/>
          <w:lang w:eastAsia="en-AU"/>
        </w:rPr>
        <w:drawing>
          <wp:inline distT="0" distB="0" distL="0" distR="0" wp14:anchorId="29B4736F" wp14:editId="57D2EC9D">
            <wp:extent cx="8597983" cy="5314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8598253" cy="5315117"/>
                    </a:xfrm>
                    <a:prstGeom prst="rect">
                      <a:avLst/>
                    </a:prstGeom>
                  </pic:spPr>
                </pic:pic>
              </a:graphicData>
            </a:graphic>
          </wp:inline>
        </w:drawing>
      </w:r>
    </w:p>
    <w:p w:rsidR="001541A1" w:rsidRDefault="001541A1" w:rsidP="001541A1">
      <w:pPr>
        <w:pStyle w:val="TableTitle"/>
      </w:pPr>
      <w:r>
        <w:rPr>
          <w:noProof/>
          <w:lang w:eastAsia="en-AU"/>
        </w:rPr>
        <w:lastRenderedPageBreak/>
        <w:drawing>
          <wp:inline distT="0" distB="0" distL="0" distR="0" wp14:anchorId="14404E35" wp14:editId="6E432CFA">
            <wp:extent cx="8678276" cy="338137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683038" cy="3383230"/>
                    </a:xfrm>
                    <a:prstGeom prst="rect">
                      <a:avLst/>
                    </a:prstGeom>
                  </pic:spPr>
                </pic:pic>
              </a:graphicData>
            </a:graphic>
          </wp:inline>
        </w:drawing>
      </w:r>
    </w:p>
    <w:p w:rsidR="001541A1" w:rsidRDefault="001541A1">
      <w:pPr>
        <w:spacing w:before="0" w:after="200" w:line="0" w:lineRule="auto"/>
        <w:rPr>
          <w:b/>
          <w:sz w:val="20"/>
        </w:rPr>
      </w:pPr>
      <w:r>
        <w:br w:type="page"/>
      </w:r>
    </w:p>
    <w:p w:rsidR="001541A1" w:rsidRPr="001541A1" w:rsidRDefault="001541A1" w:rsidP="001541A1">
      <w:pPr>
        <w:pStyle w:val="TableTitle"/>
      </w:pPr>
      <w:r w:rsidRPr="001541A1">
        <w:lastRenderedPageBreak/>
        <w:t>Table 9: Summary of Subject Demographics and Characteristics - All Exposed Subjects</w:t>
      </w:r>
    </w:p>
    <w:p w:rsidR="001541A1" w:rsidRDefault="001541A1" w:rsidP="001F1A19">
      <w:pPr>
        <w:pStyle w:val="TableTitle"/>
        <w:keepLines/>
      </w:pPr>
      <w:r>
        <w:rPr>
          <w:noProof/>
          <w:lang w:eastAsia="en-AU"/>
        </w:rPr>
        <w:drawing>
          <wp:inline distT="0" distB="0" distL="0" distR="0" wp14:anchorId="2FAF932D" wp14:editId="45CE8F18">
            <wp:extent cx="8524875" cy="4968290"/>
            <wp:effectExtent l="0" t="0" r="0" b="3810"/>
            <wp:docPr id="50" name="Picture 50" descr="Table 9: Summary of Subject Demographics and Characteristics - All Expos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524875" cy="4968290"/>
                    </a:xfrm>
                    <a:prstGeom prst="rect">
                      <a:avLst/>
                    </a:prstGeom>
                  </pic:spPr>
                </pic:pic>
              </a:graphicData>
            </a:graphic>
          </wp:inline>
        </w:drawing>
      </w:r>
    </w:p>
    <w:p w:rsidR="001A7A63" w:rsidRDefault="001A7A63">
      <w:pPr>
        <w:spacing w:before="0" w:after="200" w:line="0" w:lineRule="auto"/>
        <w:rPr>
          <w:b/>
          <w:sz w:val="20"/>
        </w:rPr>
      </w:pPr>
      <w:r>
        <w:br w:type="page"/>
      </w:r>
    </w:p>
    <w:p w:rsidR="001A7A63" w:rsidRPr="001541A1" w:rsidRDefault="001A7A63" w:rsidP="001A7A63">
      <w:pPr>
        <w:pStyle w:val="TableTitle"/>
        <w:keepLines/>
      </w:pPr>
      <w:r w:rsidRPr="001541A1">
        <w:lastRenderedPageBreak/>
        <w:t>Table 9: Summary of Subject Demographics and Characteristics - All Exposed Subjects</w:t>
      </w:r>
      <w:r>
        <w:t xml:space="preserve"> continued</w:t>
      </w:r>
    </w:p>
    <w:p w:rsidR="001541A1" w:rsidRDefault="001A7A63" w:rsidP="001A7A63">
      <w:pPr>
        <w:pStyle w:val="TableTitle"/>
        <w:keepLines/>
      </w:pPr>
      <w:r>
        <w:rPr>
          <w:noProof/>
          <w:lang w:eastAsia="en-AU"/>
        </w:rPr>
        <w:drawing>
          <wp:inline distT="0" distB="0" distL="0" distR="0" wp14:anchorId="696CA5D6" wp14:editId="0823002D">
            <wp:extent cx="8787386" cy="3857625"/>
            <wp:effectExtent l="0" t="0" r="0" b="0"/>
            <wp:docPr id="51" name="Picture 51" descr="Table 9: Summary of Subject Demographics and Characteristics - All Exposed Subject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787386" cy="3857625"/>
                    </a:xfrm>
                    <a:prstGeom prst="rect">
                      <a:avLst/>
                    </a:prstGeom>
                  </pic:spPr>
                </pic:pic>
              </a:graphicData>
            </a:graphic>
          </wp:inline>
        </w:drawing>
      </w:r>
    </w:p>
    <w:p w:rsidR="001A7A63" w:rsidRDefault="001A7A63">
      <w:pPr>
        <w:spacing w:before="0" w:after="200" w:line="0" w:lineRule="auto"/>
        <w:rPr>
          <w:b/>
          <w:sz w:val="20"/>
        </w:rPr>
      </w:pPr>
      <w:r>
        <w:br w:type="page"/>
      </w:r>
    </w:p>
    <w:p w:rsidR="001541A1" w:rsidRPr="001A7A63" w:rsidRDefault="001A7A63" w:rsidP="001A7A63">
      <w:pPr>
        <w:pStyle w:val="TableTitle"/>
        <w:keepLines/>
      </w:pPr>
      <w:r w:rsidRPr="001A7A63">
        <w:lastRenderedPageBreak/>
        <w:t>Table 10: Summary of Run-in Efficacy Parameters - All Exposed Subjects</w:t>
      </w:r>
    </w:p>
    <w:p w:rsidR="001A7A63" w:rsidRDefault="001A7A63" w:rsidP="001A7A63">
      <w:pPr>
        <w:pStyle w:val="TableTitle"/>
        <w:keepLines/>
        <w:rPr>
          <w:rFonts w:ascii="Times New Roman" w:hAnsi="Times New Roman"/>
          <w:bCs/>
          <w:sz w:val="24"/>
        </w:rPr>
      </w:pPr>
      <w:r>
        <w:rPr>
          <w:noProof/>
          <w:lang w:eastAsia="en-AU"/>
        </w:rPr>
        <w:drawing>
          <wp:inline distT="0" distB="0" distL="0" distR="0" wp14:anchorId="0F6BF915" wp14:editId="3C3F609D">
            <wp:extent cx="7696200" cy="5362672"/>
            <wp:effectExtent l="0" t="0" r="0" b="9525"/>
            <wp:docPr id="52" name="Picture 52" descr="Table 10: Summary of Run-in Efficacy Parameters - All Expo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700248" cy="5365493"/>
                    </a:xfrm>
                    <a:prstGeom prst="rect">
                      <a:avLst/>
                    </a:prstGeom>
                  </pic:spPr>
                </pic:pic>
              </a:graphicData>
            </a:graphic>
          </wp:inline>
        </w:drawing>
      </w:r>
    </w:p>
    <w:p w:rsidR="001A7A63" w:rsidRDefault="001A7A63">
      <w:pPr>
        <w:spacing w:before="0" w:after="200" w:line="0" w:lineRule="auto"/>
        <w:rPr>
          <w:rFonts w:ascii="Times New Roman" w:hAnsi="Times New Roman"/>
          <w:b/>
          <w:bCs/>
          <w:sz w:val="24"/>
        </w:rPr>
      </w:pPr>
      <w:r>
        <w:rPr>
          <w:rFonts w:ascii="Times New Roman" w:hAnsi="Times New Roman"/>
          <w:bCs/>
          <w:sz w:val="24"/>
        </w:rPr>
        <w:br w:type="page"/>
      </w:r>
    </w:p>
    <w:p w:rsidR="001A7A63" w:rsidRPr="001A7A63" w:rsidRDefault="001A7A63" w:rsidP="001A7A63">
      <w:pPr>
        <w:pStyle w:val="TableTitle"/>
        <w:keepLines/>
      </w:pPr>
      <w:r w:rsidRPr="001A7A63">
        <w:lastRenderedPageBreak/>
        <w:t>Table 10: Summary of Run-in Efficacy Parameters - All Exposed Subjects</w:t>
      </w:r>
      <w:r>
        <w:t xml:space="preserve"> continued</w:t>
      </w:r>
    </w:p>
    <w:p w:rsidR="001A7A63" w:rsidRDefault="001A7A63" w:rsidP="001A7A63">
      <w:pPr>
        <w:pStyle w:val="TableTitle"/>
        <w:keepLines/>
        <w:rPr>
          <w:rFonts w:ascii="Times New Roman" w:hAnsi="Times New Roman"/>
          <w:bCs/>
          <w:sz w:val="24"/>
        </w:rPr>
      </w:pPr>
      <w:r>
        <w:rPr>
          <w:noProof/>
          <w:lang w:eastAsia="en-AU"/>
        </w:rPr>
        <w:drawing>
          <wp:inline distT="0" distB="0" distL="0" distR="0" wp14:anchorId="48017C0B" wp14:editId="7C009EB7">
            <wp:extent cx="8067092" cy="5172075"/>
            <wp:effectExtent l="0" t="0" r="0" b="0"/>
            <wp:docPr id="53" name="Picture 53" descr="Table 10: Summary of Run-in Efficacy Parameters - All Exposed Subject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072478" cy="5175528"/>
                    </a:xfrm>
                    <a:prstGeom prst="rect">
                      <a:avLst/>
                    </a:prstGeom>
                  </pic:spPr>
                </pic:pic>
              </a:graphicData>
            </a:graphic>
          </wp:inline>
        </w:drawing>
      </w:r>
    </w:p>
    <w:p w:rsidR="001A7A63" w:rsidRDefault="001A7A63">
      <w:pPr>
        <w:spacing w:before="0" w:after="200" w:line="0" w:lineRule="auto"/>
        <w:rPr>
          <w:rFonts w:ascii="Times New Roman" w:hAnsi="Times New Roman"/>
          <w:b/>
          <w:bCs/>
          <w:sz w:val="24"/>
        </w:rPr>
      </w:pPr>
      <w:r>
        <w:rPr>
          <w:rFonts w:ascii="Times New Roman" w:hAnsi="Times New Roman"/>
          <w:bCs/>
          <w:sz w:val="24"/>
        </w:rPr>
        <w:br w:type="page"/>
      </w:r>
    </w:p>
    <w:p w:rsidR="001A7A63" w:rsidRPr="001A7A63" w:rsidRDefault="001A7A63" w:rsidP="001A7A63">
      <w:pPr>
        <w:pStyle w:val="TableTitle"/>
        <w:keepLines/>
      </w:pPr>
      <w:r w:rsidRPr="001A7A63">
        <w:lastRenderedPageBreak/>
        <w:t>Table 10: Summary of Run-in Efficacy Parameters - All Exposed Subjects</w:t>
      </w:r>
      <w:r>
        <w:t xml:space="preserve"> continued</w:t>
      </w:r>
    </w:p>
    <w:p w:rsidR="001A7A63" w:rsidRDefault="001A7A63" w:rsidP="001A7A63">
      <w:pPr>
        <w:pStyle w:val="TableTitle"/>
        <w:keepLines/>
        <w:rPr>
          <w:rFonts w:ascii="Times New Roman" w:hAnsi="Times New Roman"/>
          <w:bCs/>
          <w:sz w:val="24"/>
        </w:rPr>
      </w:pPr>
      <w:r>
        <w:rPr>
          <w:noProof/>
          <w:lang w:eastAsia="en-AU"/>
        </w:rPr>
        <w:drawing>
          <wp:inline distT="0" distB="0" distL="0" distR="0" wp14:anchorId="4CDD8176" wp14:editId="68BC7909">
            <wp:extent cx="8246053" cy="4552950"/>
            <wp:effectExtent l="0" t="0" r="3175" b="0"/>
            <wp:docPr id="54" name="Picture 54" descr="Table 10: Summary of Run-in Efficacy Parameters - All Exposed Subject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252022" cy="4556246"/>
                    </a:xfrm>
                    <a:prstGeom prst="rect">
                      <a:avLst/>
                    </a:prstGeom>
                  </pic:spPr>
                </pic:pic>
              </a:graphicData>
            </a:graphic>
          </wp:inline>
        </w:drawing>
      </w:r>
    </w:p>
    <w:p w:rsidR="001A7A63" w:rsidRDefault="001A7A63">
      <w:pPr>
        <w:spacing w:before="0" w:after="200" w:line="0" w:lineRule="auto"/>
        <w:rPr>
          <w:b/>
          <w:sz w:val="20"/>
        </w:rPr>
      </w:pPr>
      <w:r>
        <w:br w:type="page"/>
      </w:r>
    </w:p>
    <w:p w:rsidR="001541A1" w:rsidRDefault="001F1A19" w:rsidP="001F1A19">
      <w:pPr>
        <w:pStyle w:val="TableTitle"/>
        <w:keepLines/>
      </w:pPr>
      <w:r>
        <w:lastRenderedPageBreak/>
        <w:t xml:space="preserve">Table 13: </w:t>
      </w:r>
      <w:r w:rsidR="001541A1">
        <w:t xml:space="preserve">Tabular summary of </w:t>
      </w:r>
      <w:r w:rsidRPr="009D72BC">
        <w:t xml:space="preserve">Study NN304-1690 </w:t>
      </w:r>
    </w:p>
    <w:p w:rsidR="001F1A19" w:rsidRDefault="001F1A19" w:rsidP="001F1A19">
      <w:pPr>
        <w:pStyle w:val="TableTitle"/>
        <w:keepLines/>
      </w:pPr>
      <w:r>
        <w:rPr>
          <w:noProof/>
          <w:lang w:eastAsia="en-AU"/>
        </w:rPr>
        <w:drawing>
          <wp:inline distT="0" distB="0" distL="0" distR="0" wp14:anchorId="219E6430" wp14:editId="54764E0B">
            <wp:extent cx="8933669" cy="4657725"/>
            <wp:effectExtent l="0" t="0" r="1270" b="0"/>
            <wp:docPr id="36" name="Picture 36" descr="Table 13: Tabular summary of Study NN304-16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942832" cy="4662502"/>
                    </a:xfrm>
                    <a:prstGeom prst="rect">
                      <a:avLst/>
                    </a:prstGeom>
                  </pic:spPr>
                </pic:pic>
              </a:graphicData>
            </a:graphic>
          </wp:inline>
        </w:drawing>
      </w:r>
    </w:p>
    <w:p w:rsidR="006725EA" w:rsidRDefault="006725EA">
      <w:pPr>
        <w:spacing w:before="0" w:after="200" w:line="0" w:lineRule="auto"/>
      </w:pPr>
      <w:r>
        <w:br w:type="page"/>
      </w:r>
    </w:p>
    <w:p w:rsidR="001541A1" w:rsidRDefault="001541A1" w:rsidP="001541A1">
      <w:pPr>
        <w:pStyle w:val="TableTitle"/>
        <w:keepLines/>
      </w:pPr>
      <w:r>
        <w:lastRenderedPageBreak/>
        <w:t xml:space="preserve">Table 14: </w:t>
      </w:r>
      <w:r w:rsidRPr="00662CB0">
        <w:t>Tabular summary of Study NN304-1689</w:t>
      </w:r>
    </w:p>
    <w:p w:rsidR="001541A1" w:rsidRPr="001541A1" w:rsidRDefault="001541A1" w:rsidP="001541A1">
      <w:pPr>
        <w:keepNext/>
        <w:keepLines/>
      </w:pPr>
      <w:r>
        <w:rPr>
          <w:noProof/>
          <w:lang w:eastAsia="en-AU"/>
        </w:rPr>
        <w:drawing>
          <wp:inline distT="0" distB="0" distL="0" distR="0" wp14:anchorId="3C949A3E" wp14:editId="2BEE0A13">
            <wp:extent cx="8915399" cy="4467225"/>
            <wp:effectExtent l="0" t="0" r="635" b="0"/>
            <wp:docPr id="37" name="Picture 37" descr="Table 14: Tabular summary of Study NN304-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8915813" cy="4467432"/>
                    </a:xfrm>
                    <a:prstGeom prst="rect">
                      <a:avLst/>
                    </a:prstGeom>
                  </pic:spPr>
                </pic:pic>
              </a:graphicData>
            </a:graphic>
          </wp:inline>
        </w:drawing>
      </w:r>
    </w:p>
    <w:p w:rsidR="006725EA" w:rsidRDefault="006725EA">
      <w:pPr>
        <w:spacing w:before="0" w:after="200" w:line="0" w:lineRule="auto"/>
        <w:rPr>
          <w:b/>
          <w:sz w:val="20"/>
        </w:rPr>
      </w:pPr>
      <w:r>
        <w:br w:type="page"/>
      </w:r>
    </w:p>
    <w:p w:rsidR="001541A1" w:rsidRPr="001541A1" w:rsidRDefault="001541A1" w:rsidP="005D5EA7">
      <w:pPr>
        <w:pStyle w:val="TableTitle"/>
        <w:keepLines/>
      </w:pPr>
      <w:r w:rsidRPr="001541A1">
        <w:lastRenderedPageBreak/>
        <w:t>Table 18: Tabular summary of Study NN304-1687</w:t>
      </w:r>
    </w:p>
    <w:p w:rsidR="001541A1" w:rsidRDefault="001541A1" w:rsidP="005D5EA7">
      <w:pPr>
        <w:pStyle w:val="TableTitle"/>
        <w:keepLines/>
      </w:pPr>
      <w:r>
        <w:rPr>
          <w:noProof/>
          <w:lang w:eastAsia="en-AU"/>
        </w:rPr>
        <w:drawing>
          <wp:inline distT="0" distB="0" distL="0" distR="0" wp14:anchorId="02400895" wp14:editId="6D95F380">
            <wp:extent cx="8863459" cy="5038725"/>
            <wp:effectExtent l="0" t="0" r="0" b="0"/>
            <wp:docPr id="39" name="Picture 39" descr="Table 18: Tabular summary of Study NN304-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863459" cy="5038725"/>
                    </a:xfrm>
                    <a:prstGeom prst="rect">
                      <a:avLst/>
                    </a:prstGeom>
                  </pic:spPr>
                </pic:pic>
              </a:graphicData>
            </a:graphic>
          </wp:inline>
        </w:drawing>
      </w:r>
    </w:p>
    <w:p w:rsidR="006725EA" w:rsidRDefault="006725EA">
      <w:pPr>
        <w:spacing w:before="0" w:after="200" w:line="0" w:lineRule="auto"/>
        <w:rPr>
          <w:b/>
          <w:sz w:val="20"/>
        </w:rPr>
      </w:pPr>
      <w:r>
        <w:br w:type="page"/>
      </w:r>
    </w:p>
    <w:p w:rsidR="005D5EA7" w:rsidRDefault="005D5EA7" w:rsidP="005D5EA7">
      <w:pPr>
        <w:pStyle w:val="TableTitle"/>
        <w:keepLines/>
      </w:pPr>
      <w:r w:rsidRPr="005D5EA7">
        <w:lastRenderedPageBreak/>
        <w:t>Table 2</w:t>
      </w:r>
      <w:r w:rsidR="00184435">
        <w:t>6</w:t>
      </w:r>
      <w:r w:rsidRPr="005D5EA7">
        <w:t>: Treatment Emergent Adverse Events Occurring in &gt;10% of Subjects (SOC and Preferred Terms) - Full Analysis Set</w:t>
      </w:r>
      <w:r>
        <w:rPr>
          <w:rFonts w:ascii="Times New Roman" w:hAnsi="Times New Roman"/>
          <w:bCs/>
          <w:sz w:val="24"/>
        </w:rPr>
        <w:t xml:space="preserve"> </w:t>
      </w:r>
      <w:r>
        <w:rPr>
          <w:noProof/>
          <w:lang w:eastAsia="en-AU"/>
        </w:rPr>
        <w:drawing>
          <wp:inline distT="0" distB="0" distL="0" distR="0" wp14:anchorId="497810AF" wp14:editId="7F1099A7">
            <wp:extent cx="8597392" cy="5124450"/>
            <wp:effectExtent l="0" t="0" r="0" b="0"/>
            <wp:docPr id="55" name="Picture 55" descr="Table 26: Treatment Emergent Adverse Events Occurring in &gt;10% of Subjects (SOC and Preferred Terms) -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597392" cy="5124450"/>
                    </a:xfrm>
                    <a:prstGeom prst="rect">
                      <a:avLst/>
                    </a:prstGeom>
                  </pic:spPr>
                </pic:pic>
              </a:graphicData>
            </a:graphic>
          </wp:inline>
        </w:drawing>
      </w:r>
    </w:p>
    <w:p w:rsidR="005D5EA7" w:rsidRDefault="005D5EA7">
      <w:pPr>
        <w:spacing w:before="0" w:after="200" w:line="0" w:lineRule="auto"/>
        <w:rPr>
          <w:b/>
          <w:sz w:val="20"/>
        </w:rPr>
      </w:pPr>
      <w:r>
        <w:br w:type="page"/>
      </w:r>
    </w:p>
    <w:p w:rsidR="005D5EA7" w:rsidRPr="005D5EA7" w:rsidRDefault="005D5EA7" w:rsidP="005D5EA7">
      <w:pPr>
        <w:pStyle w:val="TableTitle"/>
        <w:keepLines/>
      </w:pPr>
      <w:r w:rsidRPr="005D5EA7">
        <w:lastRenderedPageBreak/>
        <w:t>Table 25: Treatment Emergent Adverse Events (TEAE) with an Incidence ≥ 5% of Subjects in Any Treatment group by System Organ Class and Preferred Term - Safety Analysis Set</w:t>
      </w:r>
    </w:p>
    <w:p w:rsidR="005D5EA7" w:rsidRDefault="005D5EA7" w:rsidP="005D5EA7">
      <w:pPr>
        <w:pStyle w:val="TableTitle"/>
        <w:keepLines/>
        <w:rPr>
          <w:rFonts w:ascii="Times New Roman" w:hAnsi="Times New Roman"/>
          <w:bCs/>
          <w:sz w:val="24"/>
          <w:lang w:val="en-US"/>
        </w:rPr>
      </w:pPr>
      <w:r>
        <w:rPr>
          <w:noProof/>
          <w:lang w:eastAsia="en-AU"/>
        </w:rPr>
        <w:drawing>
          <wp:inline distT="0" distB="0" distL="0" distR="0" wp14:anchorId="50764FB7" wp14:editId="65DCF6FF">
            <wp:extent cx="8324850" cy="4775226"/>
            <wp:effectExtent l="0" t="0" r="0" b="6350"/>
            <wp:docPr id="56" name="Picture 56" descr="Table 25: Treatment Emergent Adverse Events (TEAE) with an Incidence ≥ 5% of Subjects in Any Treatment group by System Organ Class and Preferred Term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8331878" cy="4779257"/>
                    </a:xfrm>
                    <a:prstGeom prst="rect">
                      <a:avLst/>
                    </a:prstGeom>
                  </pic:spPr>
                </pic:pic>
              </a:graphicData>
            </a:graphic>
          </wp:inline>
        </w:drawing>
      </w:r>
    </w:p>
    <w:p w:rsidR="005D5EA7" w:rsidRDefault="005D5EA7">
      <w:pPr>
        <w:spacing w:before="0" w:after="200" w:line="0" w:lineRule="auto"/>
        <w:rPr>
          <w:b/>
          <w:sz w:val="20"/>
        </w:rPr>
      </w:pPr>
      <w:r>
        <w:br w:type="page"/>
      </w:r>
    </w:p>
    <w:p w:rsidR="005D5EA7" w:rsidRPr="005D5EA7" w:rsidRDefault="005D5EA7" w:rsidP="005D5EA7">
      <w:pPr>
        <w:pStyle w:val="TableTitle"/>
        <w:keepLines/>
      </w:pPr>
      <w:r w:rsidRPr="005D5EA7">
        <w:lastRenderedPageBreak/>
        <w:t>Table 2</w:t>
      </w:r>
      <w:r w:rsidR="00184435">
        <w:t>8</w:t>
      </w:r>
      <w:r w:rsidRPr="005D5EA7">
        <w:t>: Common Treatment-emergent AEs (≥5%) by SOC and Preferred Term, during Pregnancy, Mother, Safety Pregnant</w:t>
      </w:r>
    </w:p>
    <w:p w:rsidR="005D5EA7" w:rsidRDefault="005D5EA7" w:rsidP="005D5EA7">
      <w:pPr>
        <w:pStyle w:val="TableTitle"/>
        <w:keepLines/>
        <w:rPr>
          <w:rFonts w:ascii="Times New Roman" w:eastAsia="TimesNewRoman,Bold" w:hAnsi="Times New Roman"/>
          <w:bCs/>
          <w:sz w:val="24"/>
        </w:rPr>
      </w:pPr>
      <w:r>
        <w:rPr>
          <w:noProof/>
          <w:lang w:eastAsia="en-AU"/>
        </w:rPr>
        <w:drawing>
          <wp:inline distT="0" distB="0" distL="0" distR="0" wp14:anchorId="0B570C17" wp14:editId="25778B20">
            <wp:extent cx="8115300" cy="5207318"/>
            <wp:effectExtent l="0" t="0" r="0" b="0"/>
            <wp:docPr id="58" name="Picture 58" descr="Table 28: Common Treatment-emergent AEs (≥5%) by SOC and Preferred Term, during Pregnancy, Mother, Safety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123415" cy="5212525"/>
                    </a:xfrm>
                    <a:prstGeom prst="rect">
                      <a:avLst/>
                    </a:prstGeom>
                  </pic:spPr>
                </pic:pic>
              </a:graphicData>
            </a:graphic>
          </wp:inline>
        </w:drawing>
      </w:r>
    </w:p>
    <w:p w:rsidR="005D5EA7" w:rsidRDefault="005D5EA7">
      <w:pPr>
        <w:spacing w:before="0" w:after="200" w:line="0" w:lineRule="auto"/>
        <w:rPr>
          <w:rFonts w:ascii="Times New Roman" w:eastAsia="TimesNewRoman,Bold" w:hAnsi="Times New Roman"/>
          <w:b/>
          <w:bCs/>
          <w:sz w:val="24"/>
        </w:rPr>
      </w:pPr>
      <w:r>
        <w:rPr>
          <w:rFonts w:ascii="Times New Roman" w:eastAsia="TimesNewRoman,Bold" w:hAnsi="Times New Roman"/>
          <w:bCs/>
          <w:sz w:val="24"/>
        </w:rPr>
        <w:br w:type="page"/>
      </w:r>
    </w:p>
    <w:p w:rsidR="005D5EA7" w:rsidRPr="00AB79D9" w:rsidRDefault="00AB79D9" w:rsidP="00AB79D9">
      <w:pPr>
        <w:pStyle w:val="TableTitle"/>
        <w:keepLines/>
      </w:pPr>
      <w:r w:rsidRPr="00AB79D9">
        <w:lastRenderedPageBreak/>
        <w:t>Table 28: Common Adverse Events (Occurring in ≥4 Children in Any Treatment Group) by System Organ Class and Preferred Term, Child, Safety Pregnant</w:t>
      </w:r>
    </w:p>
    <w:p w:rsidR="00AB79D9" w:rsidRDefault="00AB79D9" w:rsidP="00AB79D9">
      <w:pPr>
        <w:pStyle w:val="TableTitle"/>
        <w:keepLines/>
      </w:pPr>
      <w:r>
        <w:rPr>
          <w:noProof/>
          <w:lang w:eastAsia="en-AU"/>
        </w:rPr>
        <w:drawing>
          <wp:inline distT="0" distB="0" distL="0" distR="0" wp14:anchorId="17C48700" wp14:editId="697BCBE3">
            <wp:extent cx="8654870" cy="3733800"/>
            <wp:effectExtent l="0" t="0" r="0" b="0"/>
            <wp:docPr id="59" name="Picture 59" descr="Table 28: Common Adverse Events (Occurring in ≥4 Children in Any Treatment Group) by System Organ Class and Preferred Term, Child, Safety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8661305" cy="3736576"/>
                    </a:xfrm>
                    <a:prstGeom prst="rect">
                      <a:avLst/>
                    </a:prstGeom>
                  </pic:spPr>
                </pic:pic>
              </a:graphicData>
            </a:graphic>
          </wp:inline>
        </w:drawing>
      </w:r>
    </w:p>
    <w:p w:rsidR="00AB79D9" w:rsidRDefault="00AB79D9">
      <w:pPr>
        <w:spacing w:before="0" w:after="200" w:line="0" w:lineRule="auto"/>
        <w:rPr>
          <w:b/>
          <w:sz w:val="20"/>
        </w:rPr>
      </w:pPr>
      <w:r>
        <w:br w:type="page"/>
      </w:r>
    </w:p>
    <w:p w:rsidR="007A3B31" w:rsidRDefault="007A3B31" w:rsidP="007A3B31">
      <w:pPr>
        <w:pStyle w:val="TableTitle"/>
        <w:keepLines/>
      </w:pPr>
      <w:r w:rsidRPr="007A3B31">
        <w:lastRenderedPageBreak/>
        <w:t>Table 40: Treatment Emergent Adverse Event Leading to Discontinuation by System Organ Class - Safety Analysis Set</w:t>
      </w:r>
      <w:r>
        <w:rPr>
          <w:rFonts w:ascii="Times New Roman" w:hAnsi="Times New Roman"/>
          <w:noProof/>
          <w:sz w:val="24"/>
          <w:lang w:eastAsia="en-AU"/>
        </w:rPr>
        <w:drawing>
          <wp:inline distT="0" distB="0" distL="0" distR="0" wp14:anchorId="0FC80DA0" wp14:editId="08BF7DC2">
            <wp:extent cx="8229600" cy="4819650"/>
            <wp:effectExtent l="0" t="0" r="0" b="0"/>
            <wp:docPr id="69" name="Picture 69" descr="Table 40: Treatment Emergent Adverse Event Leading to Discontinuation by System Organ Class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srcRect/>
                    <a:stretch>
                      <a:fillRect/>
                    </a:stretch>
                  </pic:blipFill>
                  <pic:spPr bwMode="auto">
                    <a:xfrm>
                      <a:off x="0" y="0"/>
                      <a:ext cx="8229600" cy="4819650"/>
                    </a:xfrm>
                    <a:prstGeom prst="rect">
                      <a:avLst/>
                    </a:prstGeom>
                    <a:noFill/>
                    <a:ln w="9525">
                      <a:noFill/>
                      <a:miter lim="800000"/>
                      <a:headEnd/>
                      <a:tailEnd/>
                    </a:ln>
                  </pic:spPr>
                </pic:pic>
              </a:graphicData>
            </a:graphic>
          </wp:inline>
        </w:drawing>
      </w:r>
    </w:p>
    <w:p w:rsidR="007A3B31" w:rsidRDefault="007A3B31">
      <w:pPr>
        <w:spacing w:before="0" w:after="200" w:line="0" w:lineRule="auto"/>
        <w:rPr>
          <w:b/>
          <w:sz w:val="20"/>
        </w:rPr>
      </w:pPr>
      <w:r>
        <w:br w:type="page"/>
      </w:r>
    </w:p>
    <w:p w:rsidR="007A3B31" w:rsidRDefault="007A3B31" w:rsidP="007A3B31">
      <w:pPr>
        <w:pStyle w:val="TableTitle"/>
        <w:keepLines/>
      </w:pPr>
      <w:r w:rsidRPr="007A3B31">
        <w:lastRenderedPageBreak/>
        <w:t>Table 40: Treatment Emergent Adverse Event Leading to Discontinuation by System Organ Class - Safety Analysis Set</w:t>
      </w:r>
      <w:r>
        <w:t xml:space="preserve"> continued</w:t>
      </w:r>
    </w:p>
    <w:p w:rsidR="007A3B31" w:rsidRDefault="007A3B31" w:rsidP="007A3B31">
      <w:pPr>
        <w:pStyle w:val="TableTitle"/>
        <w:keepLines/>
      </w:pPr>
      <w:r>
        <w:rPr>
          <w:rFonts w:ascii="Times New Roman" w:hAnsi="Times New Roman"/>
          <w:noProof/>
          <w:sz w:val="24"/>
          <w:lang w:eastAsia="en-AU"/>
        </w:rPr>
        <w:drawing>
          <wp:inline distT="0" distB="0" distL="0" distR="0" wp14:anchorId="627CEEB8" wp14:editId="6DDEEB86">
            <wp:extent cx="8229600" cy="4819650"/>
            <wp:effectExtent l="0" t="0" r="0" b="0"/>
            <wp:docPr id="70" name="Picture 70" descr="Table 40: Treatment Emergent Adverse Event Leading to Discontinuation by System Organ Class - Safety Analysis S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srcRect/>
                    <a:stretch>
                      <a:fillRect/>
                    </a:stretch>
                  </pic:blipFill>
                  <pic:spPr bwMode="auto">
                    <a:xfrm>
                      <a:off x="0" y="0"/>
                      <a:ext cx="8229600" cy="4819650"/>
                    </a:xfrm>
                    <a:prstGeom prst="rect">
                      <a:avLst/>
                    </a:prstGeom>
                    <a:noFill/>
                    <a:ln w="9525">
                      <a:noFill/>
                      <a:miter lim="800000"/>
                      <a:headEnd/>
                      <a:tailEnd/>
                    </a:ln>
                  </pic:spPr>
                </pic:pic>
              </a:graphicData>
            </a:graphic>
          </wp:inline>
        </w:drawing>
      </w:r>
    </w:p>
    <w:p w:rsidR="007A3B31" w:rsidRDefault="007A3B31">
      <w:pPr>
        <w:spacing w:before="0" w:after="200" w:line="0" w:lineRule="auto"/>
        <w:rPr>
          <w:b/>
          <w:sz w:val="20"/>
        </w:rPr>
      </w:pPr>
      <w:r>
        <w:br w:type="page"/>
      </w:r>
    </w:p>
    <w:p w:rsidR="007A3B31" w:rsidRDefault="007A3B31" w:rsidP="007A3B31">
      <w:pPr>
        <w:pStyle w:val="TableTitle"/>
        <w:keepLines/>
      </w:pPr>
      <w:r w:rsidRPr="007A3B31">
        <w:lastRenderedPageBreak/>
        <w:t>Table 40: Treatment Emergent Adverse Event Leading to Discontinuation by System Organ Class - Safety Analysis Set</w:t>
      </w:r>
      <w:r>
        <w:t xml:space="preserve"> continued</w:t>
      </w:r>
    </w:p>
    <w:p w:rsidR="007A3B31" w:rsidRDefault="007A3B31" w:rsidP="007A3B31">
      <w:pPr>
        <w:pStyle w:val="TableTitle"/>
        <w:keepLines/>
      </w:pPr>
      <w:r>
        <w:rPr>
          <w:rFonts w:ascii="Times New Roman" w:hAnsi="Times New Roman"/>
          <w:noProof/>
          <w:sz w:val="24"/>
          <w:lang w:eastAsia="en-AU"/>
        </w:rPr>
        <w:drawing>
          <wp:inline distT="0" distB="0" distL="0" distR="0" wp14:anchorId="6313F772" wp14:editId="1008AA7B">
            <wp:extent cx="8229600" cy="4886325"/>
            <wp:effectExtent l="0" t="0" r="0" b="9525"/>
            <wp:docPr id="71" name="Picture 71" descr="Table 40: Treatment Emergent Adverse Event Leading to Discontinuation by System Organ Class - Safety Analysis S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srcRect/>
                    <a:stretch>
                      <a:fillRect/>
                    </a:stretch>
                  </pic:blipFill>
                  <pic:spPr bwMode="auto">
                    <a:xfrm>
                      <a:off x="0" y="0"/>
                      <a:ext cx="8229600" cy="4886325"/>
                    </a:xfrm>
                    <a:prstGeom prst="rect">
                      <a:avLst/>
                    </a:prstGeom>
                    <a:noFill/>
                    <a:ln w="9525">
                      <a:noFill/>
                      <a:miter lim="800000"/>
                      <a:headEnd/>
                      <a:tailEnd/>
                    </a:ln>
                  </pic:spPr>
                </pic:pic>
              </a:graphicData>
            </a:graphic>
          </wp:inline>
        </w:drawing>
      </w:r>
    </w:p>
    <w:p w:rsidR="007A3B31" w:rsidRDefault="007A3B31">
      <w:pPr>
        <w:spacing w:before="0" w:after="200" w:line="0" w:lineRule="auto"/>
        <w:rPr>
          <w:b/>
          <w:sz w:val="20"/>
        </w:rPr>
      </w:pPr>
      <w:r>
        <w:br w:type="page"/>
      </w:r>
    </w:p>
    <w:p w:rsidR="006725EA" w:rsidRDefault="006725EA" w:rsidP="006725EA">
      <w:pPr>
        <w:pStyle w:val="TableTitle"/>
      </w:pPr>
      <w:r w:rsidRPr="006725EA">
        <w:lastRenderedPageBreak/>
        <w:t>Table 4</w:t>
      </w:r>
      <w:r w:rsidR="00DC0413">
        <w:t>2</w:t>
      </w:r>
      <w:r w:rsidRPr="006725EA">
        <w:t>: Laboratory abnormalities reported as TEAEs – safety set</w:t>
      </w:r>
    </w:p>
    <w:p w:rsidR="006725EA" w:rsidRDefault="006725EA" w:rsidP="006725EA">
      <w:pPr>
        <w:pStyle w:val="TableTitle"/>
      </w:pPr>
      <w:r>
        <w:rPr>
          <w:noProof/>
          <w:lang w:eastAsia="en-AU"/>
        </w:rPr>
        <w:drawing>
          <wp:inline distT="0" distB="0" distL="0" distR="0" wp14:anchorId="5DB54FBE" wp14:editId="7EA57771">
            <wp:extent cx="7496175" cy="5437930"/>
            <wp:effectExtent l="0" t="0" r="0" b="0"/>
            <wp:docPr id="61" name="Picture 61" descr="Table 42: Laboratory abnormalities reported as TEAEs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496175" cy="5437930"/>
                    </a:xfrm>
                    <a:prstGeom prst="rect">
                      <a:avLst/>
                    </a:prstGeom>
                  </pic:spPr>
                </pic:pic>
              </a:graphicData>
            </a:graphic>
          </wp:inline>
        </w:drawing>
      </w:r>
    </w:p>
    <w:p w:rsidR="006725EA" w:rsidRDefault="006725EA">
      <w:pPr>
        <w:spacing w:before="0" w:after="200" w:line="0" w:lineRule="auto"/>
        <w:rPr>
          <w:b/>
          <w:sz w:val="20"/>
        </w:rPr>
      </w:pPr>
      <w:r>
        <w:br w:type="page"/>
      </w:r>
    </w:p>
    <w:p w:rsidR="006725EA" w:rsidRDefault="006725EA" w:rsidP="006725EA">
      <w:pPr>
        <w:pStyle w:val="TableTitle"/>
        <w:keepLines/>
      </w:pPr>
      <w:r w:rsidRPr="006725EA">
        <w:lastRenderedPageBreak/>
        <w:t>Table 4</w:t>
      </w:r>
      <w:r w:rsidR="003C68BF">
        <w:t>2</w:t>
      </w:r>
      <w:r w:rsidRPr="006725EA">
        <w:t>: Laboratory abnormalities reported as TEAEs – safety set</w:t>
      </w:r>
      <w:r>
        <w:t xml:space="preserve"> continued</w:t>
      </w:r>
      <w:r>
        <w:rPr>
          <w:noProof/>
          <w:lang w:eastAsia="en-AU"/>
        </w:rPr>
        <w:drawing>
          <wp:inline distT="0" distB="0" distL="0" distR="0" wp14:anchorId="4CB3CE31" wp14:editId="2A2D5BF2">
            <wp:extent cx="7299858" cy="1743075"/>
            <wp:effectExtent l="0" t="0" r="0" b="0"/>
            <wp:docPr id="62" name="Picture 62" descr="Table 42: Laboratory abnormalities reported as TEAEs – safety s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7299858" cy="1743075"/>
                    </a:xfrm>
                    <a:prstGeom prst="rect">
                      <a:avLst/>
                    </a:prstGeom>
                  </pic:spPr>
                </pic:pic>
              </a:graphicData>
            </a:graphic>
          </wp:inline>
        </w:drawing>
      </w:r>
    </w:p>
    <w:p w:rsidR="006725EA" w:rsidRDefault="006725EA">
      <w:pPr>
        <w:spacing w:before="0" w:after="200" w:line="0" w:lineRule="auto"/>
        <w:rPr>
          <w:b/>
          <w:sz w:val="20"/>
        </w:rPr>
      </w:pPr>
      <w:r>
        <w:br w:type="page"/>
      </w:r>
    </w:p>
    <w:p w:rsidR="006725EA" w:rsidRPr="006725EA" w:rsidRDefault="003C68BF" w:rsidP="006725EA">
      <w:pPr>
        <w:pStyle w:val="TableTitle"/>
        <w:keepLines/>
      </w:pPr>
      <w:r>
        <w:lastRenderedPageBreak/>
        <w:t>Table 46</w:t>
      </w:r>
      <w:r w:rsidR="006725EA" w:rsidRPr="006725EA">
        <w:t>: Pancreas Related Treatment Emergent Adverse Events (TEAEs) Classified as MESIs by System Organ Class and Preferred Term - Safety Analysis Set</w:t>
      </w:r>
    </w:p>
    <w:p w:rsidR="006725EA" w:rsidRDefault="006725EA" w:rsidP="006725EA">
      <w:pPr>
        <w:pStyle w:val="TableTitle"/>
        <w:keepLines/>
      </w:pPr>
      <w:r>
        <w:rPr>
          <w:rFonts w:ascii="Times New Roman" w:hAnsi="Times New Roman"/>
          <w:noProof/>
          <w:sz w:val="24"/>
          <w:lang w:eastAsia="en-AU"/>
        </w:rPr>
        <w:drawing>
          <wp:inline distT="0" distB="0" distL="0" distR="0" wp14:anchorId="64D7670C" wp14:editId="36992714">
            <wp:extent cx="8220075" cy="3286125"/>
            <wp:effectExtent l="0" t="0" r="9525" b="9525"/>
            <wp:docPr id="76" name="Picture 76" descr="Table 46: Pancreas Related Treatment Emergent Adverse Events (TEAEs) Classified as MESIs by System Organ Class and Preferred Term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srcRect/>
                    <a:stretch>
                      <a:fillRect/>
                    </a:stretch>
                  </pic:blipFill>
                  <pic:spPr bwMode="auto">
                    <a:xfrm>
                      <a:off x="0" y="0"/>
                      <a:ext cx="8220075" cy="3286125"/>
                    </a:xfrm>
                    <a:prstGeom prst="rect">
                      <a:avLst/>
                    </a:prstGeom>
                    <a:noFill/>
                    <a:ln w="9525">
                      <a:noFill/>
                      <a:miter lim="800000"/>
                      <a:headEnd/>
                      <a:tailEnd/>
                    </a:ln>
                  </pic:spPr>
                </pic:pic>
              </a:graphicData>
            </a:graphic>
          </wp:inline>
        </w:drawing>
      </w:r>
    </w:p>
    <w:p w:rsidR="003D1E62" w:rsidRPr="001D043B" w:rsidRDefault="008E7846" w:rsidP="006725EA">
      <w:pPr>
        <w:pStyle w:val="TableTitle"/>
        <w:sectPr w:rsidR="003D1E62" w:rsidRPr="001D043B" w:rsidSect="00BD1F27">
          <w:pgSz w:w="16838" w:h="11906" w:orient="landscape"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4D3EF4">
        <w:trPr>
          <w:trHeight w:hRule="exact" w:val="564"/>
        </w:trPr>
        <w:tc>
          <w:tcPr>
            <w:tcW w:w="9175" w:type="dxa"/>
          </w:tcPr>
          <w:p w:rsidR="00B3567E" w:rsidRPr="00487162" w:rsidRDefault="00B3567E" w:rsidP="004D3EF4">
            <w:pPr>
              <w:pStyle w:val="TGASignoff"/>
            </w:pPr>
            <w:r w:rsidRPr="00487162">
              <w:lastRenderedPageBreak/>
              <w:t>Therapeutic Goods Administration</w:t>
            </w:r>
          </w:p>
        </w:tc>
      </w:tr>
      <w:tr w:rsidR="00B3567E" w:rsidRPr="00487162" w:rsidTr="004D3EF4">
        <w:trPr>
          <w:trHeight w:val="1221"/>
        </w:trPr>
        <w:tc>
          <w:tcPr>
            <w:tcW w:w="9175" w:type="dxa"/>
            <w:tcMar>
              <w:top w:w="28" w:type="dxa"/>
            </w:tcMar>
          </w:tcPr>
          <w:p w:rsidR="00B3567E" w:rsidRPr="00487162" w:rsidRDefault="00B3567E" w:rsidP="004D3EF4">
            <w:pPr>
              <w:pStyle w:val="Address"/>
            </w:pPr>
            <w:r w:rsidRPr="00487162">
              <w:t>PO Box 100 Woden ACT 2606 Australia</w:t>
            </w:r>
          </w:p>
          <w:p w:rsidR="00B3567E" w:rsidRPr="00487162" w:rsidRDefault="00B3567E" w:rsidP="004D3EF4">
            <w:pPr>
              <w:pStyle w:val="Address"/>
            </w:pPr>
            <w:r w:rsidRPr="00487162">
              <w:t xml:space="preserve">Email: </w:t>
            </w:r>
            <w:hyperlink r:id="rId87" w:history="1">
              <w:r w:rsidRPr="008D770F">
                <w:rPr>
                  <w:rStyle w:val="Hyperlink"/>
                </w:rPr>
                <w:t>info@tga.gov.au</w:t>
              </w:r>
            </w:hyperlink>
            <w:r w:rsidRPr="00487162">
              <w:t xml:space="preserve">  Phone: 1800 020 653  Fax: 02 6232 8605</w:t>
            </w:r>
          </w:p>
          <w:p w:rsidR="00B3567E" w:rsidRPr="008D770F" w:rsidRDefault="00EE1C08" w:rsidP="004D3EF4">
            <w:pPr>
              <w:pStyle w:val="Address"/>
              <w:spacing w:line="260" w:lineRule="atLeast"/>
              <w:rPr>
                <w:b/>
                <w:color w:val="0000FF"/>
                <w:u w:val="single"/>
              </w:rPr>
            </w:pPr>
            <w:hyperlink r:id="rId88"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89"/>
      <w:headerReference w:type="default" r:id="rId90"/>
      <w:footerReference w:type="default" r:id="rId91"/>
      <w:headerReference w:type="first" r:id="rId92"/>
      <w:footerReference w:type="first" r:id="rId9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C08" w:rsidRDefault="00EE1C08" w:rsidP="00C40A36">
      <w:pPr>
        <w:spacing w:after="0"/>
      </w:pPr>
      <w:r>
        <w:separator/>
      </w:r>
    </w:p>
  </w:endnote>
  <w:endnote w:type="continuationSeparator" w:id="0">
    <w:p w:rsidR="00EE1C08" w:rsidRDefault="00EE1C0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00"/>
    <w:family w:val="roman"/>
    <w:notTrueType/>
    <w:pitch w:val="default"/>
    <w:sig w:usb0="00000003" w:usb1="080F0000" w:usb2="00000010" w:usb3="00000000" w:csb0="001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B47F4" w:rsidRPr="00487162" w:rsidTr="0053625B">
      <w:trPr>
        <w:trHeight w:val="269"/>
      </w:trPr>
      <w:tc>
        <w:tcPr>
          <w:tcW w:w="7938" w:type="dxa"/>
          <w:tcMar>
            <w:top w:w="142" w:type="dxa"/>
            <w:bottom w:w="0" w:type="dxa"/>
          </w:tcMar>
        </w:tcPr>
        <w:p w:rsidR="00CB47F4" w:rsidRPr="00487162" w:rsidRDefault="00CB47F4" w:rsidP="00AC4CF1">
          <w:pPr>
            <w:pStyle w:val="Footer"/>
          </w:pPr>
          <w:r>
            <w:t>Submission</w:t>
          </w:r>
          <w:r w:rsidRPr="00487162">
            <w:t xml:space="preserve"> PM-20</w:t>
          </w:r>
          <w:r>
            <w:t>12</w:t>
          </w:r>
          <w:r w:rsidRPr="00487162">
            <w:t>-</w:t>
          </w:r>
          <w:r>
            <w:t>02256</w:t>
          </w:r>
          <w:r w:rsidRPr="00487162">
            <w:t>-</w:t>
          </w:r>
          <w:r>
            <w:t>3</w:t>
          </w:r>
          <w:r w:rsidRPr="00487162">
            <w:t>-</w:t>
          </w:r>
          <w:r>
            <w:t xml:space="preserve">5 Extract from the Clinical Evaluation Report for </w:t>
          </w:r>
          <w:proofErr w:type="spellStart"/>
          <w:r>
            <w:t>Levemir</w:t>
          </w:r>
          <w:proofErr w:type="spellEnd"/>
        </w:p>
      </w:tc>
      <w:tc>
        <w:tcPr>
          <w:tcW w:w="923" w:type="dxa"/>
          <w:tcMar>
            <w:top w:w="142" w:type="dxa"/>
            <w:bottom w:w="0" w:type="dxa"/>
          </w:tcMar>
        </w:tcPr>
        <w:p w:rsidR="00CB47F4" w:rsidRPr="00487162" w:rsidRDefault="00CB47F4" w:rsidP="00D855D4">
          <w:pPr>
            <w:pStyle w:val="Footer"/>
            <w:jc w:val="right"/>
          </w:pPr>
          <w:r w:rsidRPr="00487162">
            <w:t xml:space="preserve">Page </w:t>
          </w:r>
          <w:r>
            <w:t>2</w:t>
          </w:r>
          <w:r w:rsidRPr="00487162">
            <w:t xml:space="preserve"> of </w:t>
          </w:r>
          <w:fldSimple w:instr=" NUMPAGES  \* Arabic ">
            <w:r w:rsidR="0068589D">
              <w:rPr>
                <w:noProof/>
              </w:rPr>
              <w:t>5</w:t>
            </w:r>
          </w:fldSimple>
        </w:p>
      </w:tc>
    </w:tr>
  </w:tbl>
  <w:p w:rsidR="00CB47F4" w:rsidRDefault="00CB47F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CB47F4" w:rsidRPr="00487162" w:rsidTr="00586F98">
      <w:trPr>
        <w:trHeight w:val="269"/>
      </w:trPr>
      <w:tc>
        <w:tcPr>
          <w:tcW w:w="7655" w:type="dxa"/>
          <w:tcMar>
            <w:top w:w="142" w:type="dxa"/>
            <w:bottom w:w="0" w:type="dxa"/>
          </w:tcMar>
        </w:tcPr>
        <w:p w:rsidR="00CB47F4" w:rsidRPr="00487162" w:rsidRDefault="00CB47F4" w:rsidP="00AC4CF1">
          <w:pPr>
            <w:pStyle w:val="Footer"/>
          </w:pPr>
          <w:r>
            <w:t>Submission</w:t>
          </w:r>
          <w:r w:rsidRPr="00487162">
            <w:t xml:space="preserve"> PM-20</w:t>
          </w:r>
          <w:r>
            <w:t>12</w:t>
          </w:r>
          <w:r w:rsidRPr="00487162">
            <w:t>-</w:t>
          </w:r>
          <w:r>
            <w:t xml:space="preserve">02256-3-5 Extract from the Clinical Evaluation Report for </w:t>
          </w:r>
          <w:proofErr w:type="spellStart"/>
          <w:r>
            <w:t>Levemir</w:t>
          </w:r>
          <w:proofErr w:type="spellEnd"/>
        </w:p>
      </w:tc>
      <w:tc>
        <w:tcPr>
          <w:tcW w:w="1206" w:type="dxa"/>
          <w:tcMar>
            <w:top w:w="142" w:type="dxa"/>
            <w:bottom w:w="0" w:type="dxa"/>
          </w:tcMar>
        </w:tcPr>
        <w:p w:rsidR="00CB47F4" w:rsidRPr="00487162" w:rsidRDefault="00CB47F4" w:rsidP="00E45619">
          <w:pPr>
            <w:pStyle w:val="Footer"/>
            <w:jc w:val="right"/>
          </w:pPr>
          <w:r w:rsidRPr="00487162">
            <w:t xml:space="preserve">Page </w:t>
          </w:r>
          <w:r>
            <w:fldChar w:fldCharType="begin"/>
          </w:r>
          <w:r>
            <w:instrText>PAGE</w:instrText>
          </w:r>
          <w:r>
            <w:fldChar w:fldCharType="separate"/>
          </w:r>
          <w:r w:rsidR="0068589D">
            <w:rPr>
              <w:noProof/>
            </w:rPr>
            <w:t>81</w:t>
          </w:r>
          <w:r>
            <w:rPr>
              <w:noProof/>
            </w:rPr>
            <w:fldChar w:fldCharType="end"/>
          </w:r>
          <w:r w:rsidRPr="00487162">
            <w:t xml:space="preserve"> of </w:t>
          </w:r>
          <w:fldSimple w:instr=" NUMPAGES  \* Arabic ">
            <w:r w:rsidR="0068589D">
              <w:rPr>
                <w:noProof/>
              </w:rPr>
              <w:t>81</w:t>
            </w:r>
          </w:fldSimple>
        </w:p>
      </w:tc>
    </w:tr>
  </w:tbl>
  <w:p w:rsidR="00CB47F4" w:rsidRDefault="00CB47F4"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B47F4" w:rsidRPr="00487162" w:rsidTr="00E45619">
      <w:trPr>
        <w:trHeight w:val="269"/>
      </w:trPr>
      <w:tc>
        <w:tcPr>
          <w:tcW w:w="4519" w:type="dxa"/>
          <w:tcBorders>
            <w:top w:val="single" w:sz="4" w:space="0" w:color="auto"/>
          </w:tcBorders>
          <w:tcMar>
            <w:top w:w="142" w:type="dxa"/>
            <w:bottom w:w="0" w:type="dxa"/>
          </w:tcMar>
        </w:tcPr>
        <w:p w:rsidR="00CB47F4" w:rsidRPr="00487162" w:rsidRDefault="00CB47F4" w:rsidP="00FE1DEE">
          <w:pPr>
            <w:pStyle w:val="Footer"/>
          </w:pPr>
          <w:r w:rsidRPr="00487162">
            <w:t>Document title, Part #, Section # - Section title</w:t>
          </w:r>
        </w:p>
        <w:p w:rsidR="00CB47F4" w:rsidRPr="00487162" w:rsidRDefault="00CB47F4" w:rsidP="00FE1DEE">
          <w:pPr>
            <w:pStyle w:val="Footer"/>
          </w:pPr>
          <w:r w:rsidRPr="00487162">
            <w:t>V1.0 October 2010</w:t>
          </w:r>
        </w:p>
      </w:tc>
      <w:tc>
        <w:tcPr>
          <w:tcW w:w="4342" w:type="dxa"/>
          <w:tcBorders>
            <w:top w:val="single" w:sz="4" w:space="0" w:color="auto"/>
          </w:tcBorders>
          <w:tcMar>
            <w:top w:w="142" w:type="dxa"/>
            <w:bottom w:w="0" w:type="dxa"/>
          </w:tcMar>
        </w:tcPr>
        <w:p w:rsidR="00CB47F4" w:rsidRPr="00487162" w:rsidRDefault="00CB47F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sidR="007B007A">
              <w:rPr>
                <w:noProof/>
              </w:rPr>
              <w:t>4</w:t>
            </w:r>
          </w:fldSimple>
        </w:p>
      </w:tc>
    </w:tr>
  </w:tbl>
  <w:p w:rsidR="00CB47F4" w:rsidRDefault="00CB47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7F4" w:rsidRDefault="00CB47F4"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B47F4" w:rsidTr="0010601F">
      <w:trPr>
        <w:trHeight w:val="108"/>
      </w:trPr>
      <w:tc>
        <w:tcPr>
          <w:tcW w:w="8875" w:type="dxa"/>
          <w:gridSpan w:val="2"/>
          <w:tcBorders>
            <w:bottom w:val="single" w:sz="4" w:space="0" w:color="auto"/>
          </w:tcBorders>
          <w:tcMar>
            <w:right w:w="284" w:type="dxa"/>
          </w:tcMar>
        </w:tcPr>
        <w:p w:rsidR="00CB47F4" w:rsidRDefault="00CB47F4" w:rsidP="006E08B3">
          <w:pPr>
            <w:pStyle w:val="Heading3"/>
          </w:pPr>
          <w:r>
            <w:t>Copyright</w:t>
          </w:r>
        </w:p>
        <w:p w:rsidR="00CB47F4" w:rsidRDefault="00CB47F4" w:rsidP="006E08B3">
          <w:r>
            <w:rPr>
              <w:rFonts w:cs="Arial"/>
            </w:rPr>
            <w:t>©</w:t>
          </w:r>
          <w:r>
            <w:t xml:space="preserve"> Commonwealth of Australia [add year]</w:t>
          </w:r>
        </w:p>
        <w:p w:rsidR="00CB47F4" w:rsidRDefault="00CB47F4" w:rsidP="006E08B3"/>
        <w:p w:rsidR="00CB47F4" w:rsidRDefault="00CB47F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B47F4" w:rsidRDefault="00CB47F4" w:rsidP="006E08B3"/>
        <w:p w:rsidR="00CB47F4" w:rsidRDefault="00CB47F4" w:rsidP="006E08B3">
          <w:pPr>
            <w:pStyle w:val="Heading3"/>
          </w:pPr>
          <w:r>
            <w:t>Confidentiality</w:t>
          </w:r>
        </w:p>
        <w:p w:rsidR="00CB47F4" w:rsidRDefault="00CB47F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B47F4" w:rsidRDefault="00CB47F4" w:rsidP="006E08B3"/>
        <w:p w:rsidR="00CB47F4" w:rsidRDefault="00CB47F4" w:rsidP="006E08B3">
          <w:r>
            <w:t>For submission made by individuals, all personal details, other than your name, will be removed from your submission before it is published on the TGA’s Internet site.</w:t>
          </w:r>
        </w:p>
        <w:p w:rsidR="00CB47F4" w:rsidRDefault="00CB47F4" w:rsidP="006E08B3"/>
        <w:p w:rsidR="00CB47F4" w:rsidRDefault="00CB47F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B47F4" w:rsidTr="0010601F">
      <w:trPr>
        <w:trHeight w:val="417"/>
      </w:trPr>
      <w:tc>
        <w:tcPr>
          <w:tcW w:w="4519" w:type="dxa"/>
          <w:tcBorders>
            <w:top w:val="single" w:sz="4" w:space="0" w:color="auto"/>
          </w:tcBorders>
          <w:tcMar>
            <w:top w:w="142" w:type="dxa"/>
            <w:bottom w:w="0" w:type="dxa"/>
          </w:tcMar>
        </w:tcPr>
        <w:p w:rsidR="00CB47F4" w:rsidRDefault="00CB47F4" w:rsidP="006E08B3">
          <w:r>
            <w:t>Document title, Part #, Section # - Section title</w:t>
          </w:r>
        </w:p>
        <w:p w:rsidR="00CB47F4" w:rsidRDefault="00CB47F4" w:rsidP="006E08B3">
          <w:r>
            <w:t>V1.0 October 2010</w:t>
          </w:r>
        </w:p>
      </w:tc>
      <w:tc>
        <w:tcPr>
          <w:tcW w:w="4356" w:type="dxa"/>
          <w:tcBorders>
            <w:top w:val="single" w:sz="4" w:space="0" w:color="auto"/>
          </w:tcBorders>
          <w:tcMar>
            <w:top w:w="142" w:type="dxa"/>
            <w:bottom w:w="0" w:type="dxa"/>
          </w:tcMar>
        </w:tcPr>
        <w:p w:rsidR="00CB47F4" w:rsidRDefault="00CB47F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sidR="007B007A">
              <w:rPr>
                <w:noProof/>
              </w:rPr>
              <w:t>4</w:t>
            </w:r>
          </w:fldSimple>
          <w:r>
            <w:t xml:space="preserve">  </w:t>
          </w:r>
        </w:p>
      </w:tc>
    </w:tr>
  </w:tbl>
  <w:p w:rsidR="00CB47F4" w:rsidRDefault="00CB47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C08" w:rsidRDefault="00EE1C08" w:rsidP="00C40A36">
      <w:pPr>
        <w:spacing w:after="0"/>
      </w:pPr>
      <w:r>
        <w:separator/>
      </w:r>
    </w:p>
  </w:footnote>
  <w:footnote w:type="continuationSeparator" w:id="0">
    <w:p w:rsidR="00EE1C08" w:rsidRDefault="00EE1C08"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7F4" w:rsidRDefault="00CB47F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7F4" w:rsidRDefault="00CB47F4">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B47F4" w:rsidRDefault="00CB47F4"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7F4" w:rsidRDefault="00CB47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7F4" w:rsidRDefault="00CB47F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7F4" w:rsidRDefault="00CB47F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7F4" w:rsidRDefault="00CB47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7F4" w:rsidRDefault="00CB47F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7F4" w:rsidRDefault="00CB47F4" w:rsidP="006E08B3">
    <w:r>
      <w:t>Therapeutic Goods Administration</w:t>
    </w:r>
  </w:p>
  <w:p w:rsidR="00CB47F4" w:rsidRDefault="00CB47F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731"/>
        </w:tabs>
        <w:ind w:left="1731"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
  </w:num>
  <w:num w:numId="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3"/>
  </w:num>
  <w:num w:numId="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07A"/>
    <w:rsid w:val="00002031"/>
    <w:rsid w:val="00004734"/>
    <w:rsid w:val="00006B22"/>
    <w:rsid w:val="0001276A"/>
    <w:rsid w:val="000246AE"/>
    <w:rsid w:val="00025C67"/>
    <w:rsid w:val="00040ACB"/>
    <w:rsid w:val="00055281"/>
    <w:rsid w:val="0005559E"/>
    <w:rsid w:val="00057652"/>
    <w:rsid w:val="00072313"/>
    <w:rsid w:val="00077775"/>
    <w:rsid w:val="00085F13"/>
    <w:rsid w:val="00090471"/>
    <w:rsid w:val="000A3AED"/>
    <w:rsid w:val="000A63AF"/>
    <w:rsid w:val="000B3532"/>
    <w:rsid w:val="000B3A75"/>
    <w:rsid w:val="000C2688"/>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28E"/>
    <w:rsid w:val="00112F56"/>
    <w:rsid w:val="00125318"/>
    <w:rsid w:val="001305A2"/>
    <w:rsid w:val="00132916"/>
    <w:rsid w:val="00133238"/>
    <w:rsid w:val="0014197B"/>
    <w:rsid w:val="001447CD"/>
    <w:rsid w:val="001516B1"/>
    <w:rsid w:val="001541A1"/>
    <w:rsid w:val="00154EBB"/>
    <w:rsid w:val="00156316"/>
    <w:rsid w:val="00165389"/>
    <w:rsid w:val="0017078F"/>
    <w:rsid w:val="0017693F"/>
    <w:rsid w:val="0018110E"/>
    <w:rsid w:val="00181684"/>
    <w:rsid w:val="001843C6"/>
    <w:rsid w:val="00184435"/>
    <w:rsid w:val="001850E0"/>
    <w:rsid w:val="00190601"/>
    <w:rsid w:val="0019250B"/>
    <w:rsid w:val="00196F4E"/>
    <w:rsid w:val="001A2158"/>
    <w:rsid w:val="001A525F"/>
    <w:rsid w:val="001A7A63"/>
    <w:rsid w:val="001B09F9"/>
    <w:rsid w:val="001B5D98"/>
    <w:rsid w:val="001B6448"/>
    <w:rsid w:val="001E07CF"/>
    <w:rsid w:val="001E22BF"/>
    <w:rsid w:val="001E59F1"/>
    <w:rsid w:val="001F1A19"/>
    <w:rsid w:val="001F49EB"/>
    <w:rsid w:val="001F6CBA"/>
    <w:rsid w:val="00201D4E"/>
    <w:rsid w:val="002076C9"/>
    <w:rsid w:val="00220B8A"/>
    <w:rsid w:val="002257F3"/>
    <w:rsid w:val="00233456"/>
    <w:rsid w:val="002339A5"/>
    <w:rsid w:val="00244016"/>
    <w:rsid w:val="00257848"/>
    <w:rsid w:val="00261264"/>
    <w:rsid w:val="002666AC"/>
    <w:rsid w:val="0027084A"/>
    <w:rsid w:val="00286434"/>
    <w:rsid w:val="00286C59"/>
    <w:rsid w:val="00292113"/>
    <w:rsid w:val="002942D1"/>
    <w:rsid w:val="0029501A"/>
    <w:rsid w:val="002B1638"/>
    <w:rsid w:val="002C3633"/>
    <w:rsid w:val="002C63ED"/>
    <w:rsid w:val="002D1BE5"/>
    <w:rsid w:val="002D545C"/>
    <w:rsid w:val="002D6161"/>
    <w:rsid w:val="002E4C9A"/>
    <w:rsid w:val="002E51CE"/>
    <w:rsid w:val="002F11F8"/>
    <w:rsid w:val="002F3F56"/>
    <w:rsid w:val="002F44B5"/>
    <w:rsid w:val="0030468C"/>
    <w:rsid w:val="00311AC0"/>
    <w:rsid w:val="0032583B"/>
    <w:rsid w:val="00327883"/>
    <w:rsid w:val="00335504"/>
    <w:rsid w:val="003521E8"/>
    <w:rsid w:val="003728F3"/>
    <w:rsid w:val="0037496E"/>
    <w:rsid w:val="0037623D"/>
    <w:rsid w:val="00386150"/>
    <w:rsid w:val="0038631B"/>
    <w:rsid w:val="003874CE"/>
    <w:rsid w:val="00390900"/>
    <w:rsid w:val="00396C92"/>
    <w:rsid w:val="003A7F6C"/>
    <w:rsid w:val="003B1113"/>
    <w:rsid w:val="003B4D60"/>
    <w:rsid w:val="003B634F"/>
    <w:rsid w:val="003B7E39"/>
    <w:rsid w:val="003C58DC"/>
    <w:rsid w:val="003C68BF"/>
    <w:rsid w:val="003D0A3B"/>
    <w:rsid w:val="003D1E62"/>
    <w:rsid w:val="003E2486"/>
    <w:rsid w:val="003E3208"/>
    <w:rsid w:val="003F0B04"/>
    <w:rsid w:val="0040134E"/>
    <w:rsid w:val="00415D59"/>
    <w:rsid w:val="004202DE"/>
    <w:rsid w:val="00422CA0"/>
    <w:rsid w:val="0043797D"/>
    <w:rsid w:val="00440A2D"/>
    <w:rsid w:val="004564A7"/>
    <w:rsid w:val="004617BF"/>
    <w:rsid w:val="00463658"/>
    <w:rsid w:val="004722CC"/>
    <w:rsid w:val="0047373B"/>
    <w:rsid w:val="004936E4"/>
    <w:rsid w:val="00494E60"/>
    <w:rsid w:val="00497487"/>
    <w:rsid w:val="004A7E13"/>
    <w:rsid w:val="004B7B76"/>
    <w:rsid w:val="004C2DCA"/>
    <w:rsid w:val="004D3EF4"/>
    <w:rsid w:val="004F0F38"/>
    <w:rsid w:val="004F4AF5"/>
    <w:rsid w:val="004F6B20"/>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3650"/>
    <w:rsid w:val="005D5442"/>
    <w:rsid w:val="005D5EA7"/>
    <w:rsid w:val="005E32AB"/>
    <w:rsid w:val="00603F32"/>
    <w:rsid w:val="00620406"/>
    <w:rsid w:val="00632398"/>
    <w:rsid w:val="00640F89"/>
    <w:rsid w:val="00640FC3"/>
    <w:rsid w:val="00642020"/>
    <w:rsid w:val="00646206"/>
    <w:rsid w:val="0065337B"/>
    <w:rsid w:val="0065419D"/>
    <w:rsid w:val="006604D8"/>
    <w:rsid w:val="00664060"/>
    <w:rsid w:val="00664A5B"/>
    <w:rsid w:val="006725EA"/>
    <w:rsid w:val="006731B6"/>
    <w:rsid w:val="006763D2"/>
    <w:rsid w:val="00680C08"/>
    <w:rsid w:val="0068589D"/>
    <w:rsid w:val="006931B1"/>
    <w:rsid w:val="006A15C0"/>
    <w:rsid w:val="006B1DEA"/>
    <w:rsid w:val="006C006E"/>
    <w:rsid w:val="006C130C"/>
    <w:rsid w:val="006C3E2A"/>
    <w:rsid w:val="006C642F"/>
    <w:rsid w:val="006D03E5"/>
    <w:rsid w:val="006D5D3E"/>
    <w:rsid w:val="006E08B3"/>
    <w:rsid w:val="006F17AC"/>
    <w:rsid w:val="006F1D37"/>
    <w:rsid w:val="006F25EB"/>
    <w:rsid w:val="006F2796"/>
    <w:rsid w:val="006F572E"/>
    <w:rsid w:val="007046D6"/>
    <w:rsid w:val="00704F9F"/>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3B31"/>
    <w:rsid w:val="007B007A"/>
    <w:rsid w:val="007B6E9F"/>
    <w:rsid w:val="007C1216"/>
    <w:rsid w:val="007C1AF7"/>
    <w:rsid w:val="007C5A3C"/>
    <w:rsid w:val="007E6E27"/>
    <w:rsid w:val="00805D27"/>
    <w:rsid w:val="00821776"/>
    <w:rsid w:val="008321F5"/>
    <w:rsid w:val="00832369"/>
    <w:rsid w:val="00834660"/>
    <w:rsid w:val="00836BC2"/>
    <w:rsid w:val="008414A0"/>
    <w:rsid w:val="00851A1B"/>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230A"/>
    <w:rsid w:val="008C51A9"/>
    <w:rsid w:val="008D770F"/>
    <w:rsid w:val="008E7846"/>
    <w:rsid w:val="008F1CCC"/>
    <w:rsid w:val="008F2967"/>
    <w:rsid w:val="008F6943"/>
    <w:rsid w:val="00902A21"/>
    <w:rsid w:val="00910E38"/>
    <w:rsid w:val="00920330"/>
    <w:rsid w:val="009219D7"/>
    <w:rsid w:val="00922D53"/>
    <w:rsid w:val="00923B70"/>
    <w:rsid w:val="00924482"/>
    <w:rsid w:val="00930237"/>
    <w:rsid w:val="0093155F"/>
    <w:rsid w:val="00946EA5"/>
    <w:rsid w:val="0095160F"/>
    <w:rsid w:val="00963C08"/>
    <w:rsid w:val="0098585A"/>
    <w:rsid w:val="0098669D"/>
    <w:rsid w:val="009951AB"/>
    <w:rsid w:val="009A06A4"/>
    <w:rsid w:val="009A4CED"/>
    <w:rsid w:val="009A690D"/>
    <w:rsid w:val="009B1D12"/>
    <w:rsid w:val="009B416B"/>
    <w:rsid w:val="009C3259"/>
    <w:rsid w:val="009C4BD5"/>
    <w:rsid w:val="009D3131"/>
    <w:rsid w:val="009D72BC"/>
    <w:rsid w:val="009D7B77"/>
    <w:rsid w:val="009E0BB0"/>
    <w:rsid w:val="009E3FBB"/>
    <w:rsid w:val="009F1AA1"/>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A6E30"/>
    <w:rsid w:val="00AB79D9"/>
    <w:rsid w:val="00AC2B40"/>
    <w:rsid w:val="00AC2BB2"/>
    <w:rsid w:val="00AC2C3C"/>
    <w:rsid w:val="00AC4CF1"/>
    <w:rsid w:val="00AC512D"/>
    <w:rsid w:val="00AC6C92"/>
    <w:rsid w:val="00AE01C2"/>
    <w:rsid w:val="00AE65EB"/>
    <w:rsid w:val="00AE67A7"/>
    <w:rsid w:val="00AF1D94"/>
    <w:rsid w:val="00AF60C5"/>
    <w:rsid w:val="00B009C6"/>
    <w:rsid w:val="00B01548"/>
    <w:rsid w:val="00B02208"/>
    <w:rsid w:val="00B1425E"/>
    <w:rsid w:val="00B16E0C"/>
    <w:rsid w:val="00B21D29"/>
    <w:rsid w:val="00B25034"/>
    <w:rsid w:val="00B33588"/>
    <w:rsid w:val="00B33863"/>
    <w:rsid w:val="00B3567E"/>
    <w:rsid w:val="00B37D17"/>
    <w:rsid w:val="00B4175E"/>
    <w:rsid w:val="00B452CE"/>
    <w:rsid w:val="00B54C25"/>
    <w:rsid w:val="00B76B91"/>
    <w:rsid w:val="00B77EB1"/>
    <w:rsid w:val="00B811C6"/>
    <w:rsid w:val="00B85A87"/>
    <w:rsid w:val="00B92E08"/>
    <w:rsid w:val="00B94F46"/>
    <w:rsid w:val="00B96EBE"/>
    <w:rsid w:val="00BA4D14"/>
    <w:rsid w:val="00BC622A"/>
    <w:rsid w:val="00BD1F27"/>
    <w:rsid w:val="00BD45E3"/>
    <w:rsid w:val="00BE0A78"/>
    <w:rsid w:val="00BE414A"/>
    <w:rsid w:val="00BE6252"/>
    <w:rsid w:val="00BE79F0"/>
    <w:rsid w:val="00BF046D"/>
    <w:rsid w:val="00BF1190"/>
    <w:rsid w:val="00BF5D04"/>
    <w:rsid w:val="00C04EC2"/>
    <w:rsid w:val="00C11173"/>
    <w:rsid w:val="00C1164D"/>
    <w:rsid w:val="00C16861"/>
    <w:rsid w:val="00C22678"/>
    <w:rsid w:val="00C34244"/>
    <w:rsid w:val="00C404A6"/>
    <w:rsid w:val="00C40A36"/>
    <w:rsid w:val="00C44419"/>
    <w:rsid w:val="00C45E7B"/>
    <w:rsid w:val="00C471B1"/>
    <w:rsid w:val="00C575D7"/>
    <w:rsid w:val="00C618F7"/>
    <w:rsid w:val="00C6316B"/>
    <w:rsid w:val="00C634A9"/>
    <w:rsid w:val="00C64586"/>
    <w:rsid w:val="00C70D53"/>
    <w:rsid w:val="00C73D0B"/>
    <w:rsid w:val="00C772FF"/>
    <w:rsid w:val="00C801AF"/>
    <w:rsid w:val="00C80256"/>
    <w:rsid w:val="00C811C0"/>
    <w:rsid w:val="00CA7E30"/>
    <w:rsid w:val="00CB47F4"/>
    <w:rsid w:val="00CB6BC0"/>
    <w:rsid w:val="00CC1B7C"/>
    <w:rsid w:val="00CC727F"/>
    <w:rsid w:val="00CD30AF"/>
    <w:rsid w:val="00CF15C3"/>
    <w:rsid w:val="00CF2B6F"/>
    <w:rsid w:val="00CF58B6"/>
    <w:rsid w:val="00D017ED"/>
    <w:rsid w:val="00D040D3"/>
    <w:rsid w:val="00D04C65"/>
    <w:rsid w:val="00D05D87"/>
    <w:rsid w:val="00D224FE"/>
    <w:rsid w:val="00D53A31"/>
    <w:rsid w:val="00D6493E"/>
    <w:rsid w:val="00D7301E"/>
    <w:rsid w:val="00D83AE1"/>
    <w:rsid w:val="00D855D4"/>
    <w:rsid w:val="00D93466"/>
    <w:rsid w:val="00DA1124"/>
    <w:rsid w:val="00DB75B7"/>
    <w:rsid w:val="00DC0413"/>
    <w:rsid w:val="00DC6E02"/>
    <w:rsid w:val="00DE02AE"/>
    <w:rsid w:val="00DF1D7F"/>
    <w:rsid w:val="00DF4BE4"/>
    <w:rsid w:val="00E02FB4"/>
    <w:rsid w:val="00E07F15"/>
    <w:rsid w:val="00E20571"/>
    <w:rsid w:val="00E235F7"/>
    <w:rsid w:val="00E23659"/>
    <w:rsid w:val="00E239D4"/>
    <w:rsid w:val="00E26130"/>
    <w:rsid w:val="00E2741C"/>
    <w:rsid w:val="00E3564D"/>
    <w:rsid w:val="00E40B22"/>
    <w:rsid w:val="00E45619"/>
    <w:rsid w:val="00E4588F"/>
    <w:rsid w:val="00E46DA3"/>
    <w:rsid w:val="00E51BB1"/>
    <w:rsid w:val="00E624A5"/>
    <w:rsid w:val="00E7344E"/>
    <w:rsid w:val="00E91DCB"/>
    <w:rsid w:val="00E936E3"/>
    <w:rsid w:val="00EA56E0"/>
    <w:rsid w:val="00EB0798"/>
    <w:rsid w:val="00EB40AD"/>
    <w:rsid w:val="00EB586E"/>
    <w:rsid w:val="00EB5FC8"/>
    <w:rsid w:val="00ED3CAD"/>
    <w:rsid w:val="00ED5A41"/>
    <w:rsid w:val="00EE1C08"/>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CA7E30"/>
    <w:pPr>
      <w:numPr>
        <w:numId w:val="7"/>
      </w:numPr>
      <w:spacing w:after="0" w:line="240" w:lineRule="auto"/>
    </w:pPr>
    <w:rPr>
      <w:rFonts w:eastAsia="Times New Roman"/>
      <w:kern w:val="24"/>
      <w:szCs w:val="24"/>
      <w:lang w:eastAsia="en-AU"/>
    </w:rPr>
  </w:style>
  <w:style w:type="paragraph" w:customStyle="1" w:styleId="CommentDot">
    <w:name w:val="Comment Dot"/>
    <w:basedOn w:val="Normal"/>
    <w:qFormat/>
    <w:rsid w:val="009C3259"/>
    <w:pPr>
      <w:numPr>
        <w:numId w:val="11"/>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character" w:styleId="CommentReference">
    <w:name w:val="annotation reference"/>
    <w:basedOn w:val="DefaultParagraphFont"/>
    <w:uiPriority w:val="99"/>
    <w:semiHidden/>
    <w:unhideWhenUsed/>
    <w:rsid w:val="00BD1F27"/>
    <w:rPr>
      <w:sz w:val="16"/>
      <w:szCs w:val="16"/>
    </w:rPr>
  </w:style>
  <w:style w:type="paragraph" w:styleId="CommentText">
    <w:name w:val="annotation text"/>
    <w:basedOn w:val="Normal"/>
    <w:link w:val="CommentTextChar"/>
    <w:uiPriority w:val="99"/>
    <w:semiHidden/>
    <w:unhideWhenUsed/>
    <w:rsid w:val="00BD1F27"/>
    <w:pPr>
      <w:spacing w:line="240" w:lineRule="auto"/>
    </w:pPr>
    <w:rPr>
      <w:sz w:val="20"/>
      <w:szCs w:val="20"/>
    </w:rPr>
  </w:style>
  <w:style w:type="character" w:customStyle="1" w:styleId="CommentTextChar">
    <w:name w:val="Comment Text Char"/>
    <w:basedOn w:val="DefaultParagraphFont"/>
    <w:link w:val="CommentText"/>
    <w:uiPriority w:val="99"/>
    <w:semiHidden/>
    <w:rsid w:val="00BD1F2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D1F27"/>
    <w:rPr>
      <w:b/>
      <w:bCs/>
    </w:rPr>
  </w:style>
  <w:style w:type="character" w:customStyle="1" w:styleId="CommentSubjectChar">
    <w:name w:val="Comment Subject Char"/>
    <w:basedOn w:val="CommentTextChar"/>
    <w:link w:val="CommentSubject"/>
    <w:uiPriority w:val="99"/>
    <w:semiHidden/>
    <w:rsid w:val="00BD1F27"/>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CA7E30"/>
    <w:pPr>
      <w:numPr>
        <w:numId w:val="7"/>
      </w:numPr>
      <w:spacing w:after="0" w:line="240" w:lineRule="auto"/>
    </w:pPr>
    <w:rPr>
      <w:rFonts w:eastAsia="Times New Roman"/>
      <w:kern w:val="24"/>
      <w:szCs w:val="24"/>
      <w:lang w:eastAsia="en-AU"/>
    </w:rPr>
  </w:style>
  <w:style w:type="paragraph" w:customStyle="1" w:styleId="CommentDot">
    <w:name w:val="Comment Dot"/>
    <w:basedOn w:val="Normal"/>
    <w:qFormat/>
    <w:rsid w:val="009C3259"/>
    <w:pPr>
      <w:numPr>
        <w:numId w:val="11"/>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character" w:styleId="CommentReference">
    <w:name w:val="annotation reference"/>
    <w:basedOn w:val="DefaultParagraphFont"/>
    <w:uiPriority w:val="99"/>
    <w:semiHidden/>
    <w:unhideWhenUsed/>
    <w:rsid w:val="00BD1F27"/>
    <w:rPr>
      <w:sz w:val="16"/>
      <w:szCs w:val="16"/>
    </w:rPr>
  </w:style>
  <w:style w:type="paragraph" w:styleId="CommentText">
    <w:name w:val="annotation text"/>
    <w:basedOn w:val="Normal"/>
    <w:link w:val="CommentTextChar"/>
    <w:uiPriority w:val="99"/>
    <w:semiHidden/>
    <w:unhideWhenUsed/>
    <w:rsid w:val="00BD1F27"/>
    <w:pPr>
      <w:spacing w:line="240" w:lineRule="auto"/>
    </w:pPr>
    <w:rPr>
      <w:sz w:val="20"/>
      <w:szCs w:val="20"/>
    </w:rPr>
  </w:style>
  <w:style w:type="character" w:customStyle="1" w:styleId="CommentTextChar">
    <w:name w:val="Comment Text Char"/>
    <w:basedOn w:val="DefaultParagraphFont"/>
    <w:link w:val="CommentText"/>
    <w:uiPriority w:val="99"/>
    <w:semiHidden/>
    <w:rsid w:val="00BD1F2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D1F27"/>
    <w:rPr>
      <w:b/>
      <w:bCs/>
    </w:rPr>
  </w:style>
  <w:style w:type="character" w:customStyle="1" w:styleId="CommentSubjectChar">
    <w:name w:val="Comment Subject Char"/>
    <w:basedOn w:val="CommentTextChar"/>
    <w:link w:val="CommentSubject"/>
    <w:uiPriority w:val="99"/>
    <w:semiHidden/>
    <w:rsid w:val="00BD1F27"/>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emf"/><Relationship Id="rId63" Type="http://schemas.openxmlformats.org/officeDocument/2006/relationships/footer" Target="footer2.xml"/><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header" Target="header6.xml"/><Relationship Id="rId7" Type="http://schemas.openxmlformats.org/officeDocument/2006/relationships/webSettings" Target="webSettings.xml"/><Relationship Id="rId71" Type="http://schemas.openxmlformats.org/officeDocument/2006/relationships/image" Target="media/image53.png"/><Relationship Id="rId92"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hyperlink" Target="http://www.tga.gov.au/hp/information-medicines-pi.htm"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hyperlink" Target="mailto:info@tga.gov.au" TargetMode="External"/><Relationship Id="rId5" Type="http://schemas.microsoft.com/office/2007/relationships/stylesWithEffects" Target="stylesWithEffects.xml"/><Relationship Id="rId61" Type="http://schemas.openxmlformats.org/officeDocument/2006/relationships/header" Target="header3.xml"/><Relationship Id="rId82" Type="http://schemas.openxmlformats.org/officeDocument/2006/relationships/image" Target="media/image64.emf"/><Relationship Id="rId90" Type="http://schemas.openxmlformats.org/officeDocument/2006/relationships/header" Target="header7.xml"/><Relationship Id="rId95"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header" Target="header5.xml"/><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footnotes" Target="footnotes.xml"/><Relationship Id="rId51" Type="http://schemas.openxmlformats.org/officeDocument/2006/relationships/image" Target="media/image38.emf"/><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hyperlink" Target="mailto:tga.copyright@tga.gov.au"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49.png"/><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header" Target="header4.xm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emf"/><Relationship Id="rId88" Type="http://schemas.openxmlformats.org/officeDocument/2006/relationships/hyperlink" Target="http://www.tga.gov.au"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yperlink" Target="http://www.tga.gov.au" TargetMode="Externa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footer" Target="footer3.xml"/><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emf"/><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S:\PROJECTS_REG-QA\Reg\REGFILES\Diabetes\Detemir\Cat%201s%20etc\Cat%201%2011%20Sep%202012%20Add%20on%20to%20lira,%20Use%20in%20pregnancy\AusPAR\AusPAR%20Attach%202%20-%20Insulin%20Determir%20(rys)%20-%20Levermir%20-%20PM-2012-02256-3-5-%20Novo%20Nordisk%20-%20CER%20Extract.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72A79-C514-432A-BC3D-BCCAF479FB7C}">
  <ds:schemaRefs>
    <ds:schemaRef ds:uri="http://schemas.microsoft.com/office/2006/customDocumentInformationPanel"/>
  </ds:schemaRefs>
</ds:datastoreItem>
</file>

<file path=customXml/itemProps2.xml><?xml version="1.0" encoding="utf-8"?>
<ds:datastoreItem xmlns:ds="http://schemas.openxmlformats.org/officeDocument/2006/customXml" ds:itemID="{EE0B99E0-7A47-49B7-AAF7-B4A01EBA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Attach 2 - Insulin Determir (rys) - Levermir - PM-2012-02256-3-5- Novo Nordisk - CER Extract.dotx</Template>
  <TotalTime>1</TotalTime>
  <Pages>82</Pages>
  <Words>10708</Words>
  <Characters>59650</Characters>
  <Application>Microsoft Office Word</Application>
  <DocSecurity>0</DocSecurity>
  <Lines>1807</Lines>
  <Paragraphs>913</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69445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insulin detemir(rys)</dc:title>
  <dc:subject>prescription medicine regulation</dc:subject>
  <dc:creator>Therapeutic Goods Administration</dc:creator>
  <cp:keywords>clinical, evaluation, report, medicine, assessment, regulation, australia, insulin detemir (rys), levemir</cp:keywords>
  <cp:lastModifiedBy>Bird, Gail</cp:lastModifiedBy>
  <cp:revision>2</cp:revision>
  <cp:lastPrinted>2014-03-05T05:23:00Z</cp:lastPrinted>
  <dcterms:created xsi:type="dcterms:W3CDTF">2014-05-31T02:43:00Z</dcterms:created>
  <dcterms:modified xsi:type="dcterms:W3CDTF">2014-05-31T02:43:00Z</dcterms:modified>
</cp:coreProperties>
</file>