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59" w:rsidRPr="00E646F0" w:rsidRDefault="00E646F0" w:rsidP="00E646F0">
      <w:pPr>
        <w:pStyle w:val="Heading1"/>
        <w:jc w:val="center"/>
        <w:rPr>
          <w:noProof/>
          <w:sz w:val="24"/>
          <w:szCs w:val="24"/>
        </w:rPr>
      </w:pPr>
      <w:r>
        <w:rPr>
          <w:noProof/>
        </w:rPr>
        <w:br/>
      </w:r>
      <w:r w:rsidR="00D77859" w:rsidRPr="00E646F0">
        <w:rPr>
          <w:noProof/>
          <w:sz w:val="24"/>
          <w:szCs w:val="24"/>
        </w:rPr>
        <w:t>PRODUCT INFORMATION</w:t>
      </w:r>
    </w:p>
    <w:p w:rsidR="00D77859" w:rsidRPr="00853ED7" w:rsidRDefault="00D77859">
      <w:pPr>
        <w:jc w:val="center"/>
        <w:rPr>
          <w:b/>
          <w:noProof/>
          <w:sz w:val="22"/>
        </w:rPr>
      </w:pPr>
    </w:p>
    <w:p w:rsidR="00795AD4" w:rsidRPr="00853ED7" w:rsidRDefault="00795AD4" w:rsidP="00653079">
      <w:pPr>
        <w:jc w:val="center"/>
        <w:rPr>
          <w:b/>
          <w:sz w:val="22"/>
          <w:szCs w:val="22"/>
          <w:vertAlign w:val="superscript"/>
        </w:rPr>
      </w:pPr>
      <w:proofErr w:type="spellStart"/>
      <w:r w:rsidRPr="00853ED7">
        <w:rPr>
          <w:b/>
          <w:sz w:val="22"/>
          <w:szCs w:val="22"/>
          <w:lang w:val="en-GB"/>
        </w:rPr>
        <w:t>Levemir</w:t>
      </w:r>
      <w:proofErr w:type="spellEnd"/>
      <w:r w:rsidRPr="00853ED7">
        <w:rPr>
          <w:b/>
          <w:sz w:val="22"/>
          <w:szCs w:val="22"/>
          <w:vertAlign w:val="superscript"/>
        </w:rPr>
        <w:t>®</w:t>
      </w:r>
      <w:r w:rsidRPr="00853ED7">
        <w:rPr>
          <w:b/>
          <w:sz w:val="22"/>
          <w:szCs w:val="22"/>
          <w:lang w:val="en-GB"/>
        </w:rPr>
        <w:t xml:space="preserve"> </w:t>
      </w:r>
      <w:r w:rsidRPr="00853ED7">
        <w:rPr>
          <w:b/>
          <w:noProof/>
          <w:sz w:val="22"/>
          <w:szCs w:val="22"/>
        </w:rPr>
        <w:t>FlexPen</w:t>
      </w:r>
      <w:r w:rsidRPr="00853ED7">
        <w:rPr>
          <w:b/>
          <w:sz w:val="22"/>
          <w:szCs w:val="22"/>
          <w:vertAlign w:val="superscript"/>
        </w:rPr>
        <w:t>®</w:t>
      </w:r>
    </w:p>
    <w:p w:rsidR="00D77859" w:rsidRPr="00853ED7" w:rsidRDefault="00D77859" w:rsidP="00653079">
      <w:pPr>
        <w:jc w:val="center"/>
        <w:rPr>
          <w:b/>
          <w:noProof/>
          <w:sz w:val="22"/>
          <w:szCs w:val="22"/>
        </w:rPr>
      </w:pPr>
      <w:proofErr w:type="spellStart"/>
      <w:r w:rsidRPr="00853ED7">
        <w:rPr>
          <w:b/>
          <w:sz w:val="22"/>
          <w:szCs w:val="22"/>
          <w:lang w:val="en-GB"/>
        </w:rPr>
        <w:t>Levemir</w:t>
      </w:r>
      <w:proofErr w:type="spellEnd"/>
      <w:r w:rsidRPr="00853ED7">
        <w:rPr>
          <w:b/>
          <w:sz w:val="22"/>
          <w:szCs w:val="22"/>
          <w:vertAlign w:val="superscript"/>
        </w:rPr>
        <w:t>®</w:t>
      </w:r>
      <w:r w:rsidRPr="00853ED7">
        <w:rPr>
          <w:b/>
          <w:sz w:val="22"/>
          <w:szCs w:val="22"/>
          <w:lang w:val="en-GB"/>
        </w:rPr>
        <w:t xml:space="preserve"> </w:t>
      </w:r>
      <w:r w:rsidRPr="00853ED7">
        <w:rPr>
          <w:b/>
          <w:noProof/>
          <w:sz w:val="22"/>
          <w:szCs w:val="22"/>
        </w:rPr>
        <w:t>Penfill</w:t>
      </w:r>
      <w:r w:rsidRPr="00853ED7">
        <w:rPr>
          <w:b/>
          <w:sz w:val="22"/>
          <w:szCs w:val="22"/>
          <w:vertAlign w:val="superscript"/>
        </w:rPr>
        <w:t>®</w:t>
      </w:r>
    </w:p>
    <w:p w:rsidR="00D77859" w:rsidRPr="00853ED7" w:rsidRDefault="00D77859" w:rsidP="00653079">
      <w:pPr>
        <w:jc w:val="center"/>
        <w:rPr>
          <w:b/>
          <w:noProof/>
          <w:sz w:val="22"/>
          <w:szCs w:val="22"/>
        </w:rPr>
      </w:pPr>
    </w:p>
    <w:p w:rsidR="00D77859" w:rsidRPr="00853ED7" w:rsidRDefault="00D77859">
      <w:pPr>
        <w:jc w:val="center"/>
        <w:rPr>
          <w:b/>
          <w:noProof/>
        </w:rPr>
      </w:pPr>
    </w:p>
    <w:p w:rsidR="00D77859" w:rsidRPr="00853ED7" w:rsidRDefault="00D77859">
      <w:pPr>
        <w:tabs>
          <w:tab w:val="left" w:pos="-1440"/>
          <w:tab w:val="left" w:pos="-720"/>
        </w:tabs>
        <w:rPr>
          <w:b/>
          <w:noProof/>
        </w:rPr>
      </w:pPr>
    </w:p>
    <w:p w:rsidR="00D77859" w:rsidRPr="00853ED7" w:rsidRDefault="00D77859" w:rsidP="00653079">
      <w:pPr>
        <w:pStyle w:val="Heading2"/>
        <w:rPr>
          <w:noProof/>
          <w:sz w:val="24"/>
          <w:szCs w:val="24"/>
        </w:rPr>
      </w:pPr>
      <w:r w:rsidRPr="00853ED7">
        <w:rPr>
          <w:noProof/>
          <w:sz w:val="24"/>
          <w:szCs w:val="24"/>
        </w:rPr>
        <w:t xml:space="preserve">NAME OF THE </w:t>
      </w:r>
      <w:r w:rsidR="00795AD4" w:rsidRPr="00853ED7">
        <w:rPr>
          <w:noProof/>
          <w:sz w:val="24"/>
          <w:szCs w:val="24"/>
        </w:rPr>
        <w:t>MEDICINE</w:t>
      </w:r>
    </w:p>
    <w:p w:rsidR="00D77859" w:rsidRPr="00186DDC" w:rsidRDefault="00D77859">
      <w:pPr>
        <w:tabs>
          <w:tab w:val="left" w:pos="-1440"/>
          <w:tab w:val="left" w:pos="-720"/>
        </w:tabs>
        <w:rPr>
          <w:noProof/>
          <w:sz w:val="22"/>
        </w:rPr>
      </w:pPr>
    </w:p>
    <w:p w:rsidR="00D77859" w:rsidRPr="00853ED7" w:rsidRDefault="00D77859" w:rsidP="00B8620E">
      <w:pPr>
        <w:rPr>
          <w:noProof/>
          <w:sz w:val="22"/>
          <w:szCs w:val="22"/>
          <w:lang w:val="en-US"/>
        </w:rPr>
      </w:pPr>
      <w:r w:rsidRPr="00853ED7">
        <w:rPr>
          <w:noProof/>
          <w:sz w:val="22"/>
          <w:szCs w:val="22"/>
          <w:lang w:val="en-US"/>
        </w:rPr>
        <w:t xml:space="preserve">Insulin detemir </w:t>
      </w:r>
    </w:p>
    <w:p w:rsidR="00D77859" w:rsidRPr="00853ED7" w:rsidRDefault="00D77859" w:rsidP="00B8620E">
      <w:pPr>
        <w:rPr>
          <w:noProof/>
          <w:sz w:val="22"/>
          <w:szCs w:val="22"/>
          <w:lang w:val="en-US"/>
        </w:rPr>
      </w:pPr>
    </w:p>
    <w:p w:rsidR="00D77859" w:rsidRPr="00853ED7" w:rsidRDefault="00D77859" w:rsidP="00B8620E">
      <w:pPr>
        <w:rPr>
          <w:noProof/>
          <w:sz w:val="22"/>
          <w:szCs w:val="22"/>
          <w:lang w:val="en-US"/>
        </w:rPr>
      </w:pPr>
      <w:r w:rsidRPr="00853ED7">
        <w:rPr>
          <w:noProof/>
          <w:sz w:val="22"/>
          <w:szCs w:val="22"/>
          <w:lang w:val="en-US"/>
        </w:rPr>
        <w:t>Insulin detemir (rys) has the empirical formula C</w:t>
      </w:r>
      <w:r w:rsidRPr="00853ED7">
        <w:rPr>
          <w:noProof/>
          <w:sz w:val="22"/>
          <w:szCs w:val="22"/>
          <w:vertAlign w:val="subscript"/>
          <w:lang w:val="en-US"/>
        </w:rPr>
        <w:t>267</w:t>
      </w:r>
      <w:r w:rsidRPr="00853ED7">
        <w:rPr>
          <w:noProof/>
          <w:sz w:val="22"/>
          <w:szCs w:val="22"/>
          <w:lang w:val="en-US"/>
        </w:rPr>
        <w:t>H</w:t>
      </w:r>
      <w:r w:rsidRPr="00853ED7">
        <w:rPr>
          <w:noProof/>
          <w:sz w:val="22"/>
          <w:szCs w:val="22"/>
          <w:vertAlign w:val="subscript"/>
          <w:lang w:val="en-US"/>
        </w:rPr>
        <w:t>402</w:t>
      </w:r>
      <w:r w:rsidRPr="00853ED7">
        <w:rPr>
          <w:noProof/>
          <w:sz w:val="22"/>
          <w:szCs w:val="22"/>
          <w:lang w:val="en-US"/>
        </w:rPr>
        <w:t>N</w:t>
      </w:r>
      <w:r w:rsidRPr="00853ED7">
        <w:rPr>
          <w:noProof/>
          <w:sz w:val="22"/>
          <w:szCs w:val="22"/>
          <w:vertAlign w:val="subscript"/>
          <w:lang w:val="en-US"/>
        </w:rPr>
        <w:t>64</w:t>
      </w:r>
      <w:r w:rsidRPr="00853ED7">
        <w:rPr>
          <w:noProof/>
          <w:sz w:val="22"/>
          <w:szCs w:val="22"/>
          <w:lang w:val="en-US"/>
        </w:rPr>
        <w:t>O</w:t>
      </w:r>
      <w:r w:rsidRPr="00853ED7">
        <w:rPr>
          <w:noProof/>
          <w:sz w:val="22"/>
          <w:szCs w:val="22"/>
          <w:vertAlign w:val="subscript"/>
          <w:lang w:val="en-US"/>
        </w:rPr>
        <w:t>76</w:t>
      </w:r>
      <w:r w:rsidRPr="00853ED7">
        <w:rPr>
          <w:noProof/>
          <w:sz w:val="22"/>
          <w:szCs w:val="22"/>
          <w:lang w:val="en-US"/>
        </w:rPr>
        <w:t>S</w:t>
      </w:r>
      <w:r w:rsidRPr="00853ED7">
        <w:rPr>
          <w:noProof/>
          <w:sz w:val="22"/>
          <w:szCs w:val="22"/>
          <w:vertAlign w:val="subscript"/>
          <w:lang w:val="en-US"/>
        </w:rPr>
        <w:t>6</w:t>
      </w:r>
      <w:r w:rsidRPr="00853ED7">
        <w:rPr>
          <w:noProof/>
          <w:sz w:val="22"/>
          <w:szCs w:val="22"/>
          <w:lang w:val="en-US"/>
        </w:rPr>
        <w:t xml:space="preserve"> and a molecular weight of </w:t>
      </w:r>
      <w:r w:rsidRPr="00853ED7">
        <w:rPr>
          <w:sz w:val="22"/>
          <w:szCs w:val="22"/>
        </w:rPr>
        <w:t>5916.9</w:t>
      </w:r>
      <w:r w:rsidRPr="00853ED7">
        <w:rPr>
          <w:noProof/>
          <w:sz w:val="22"/>
          <w:szCs w:val="22"/>
          <w:lang w:val="en-US"/>
        </w:rPr>
        <w:t>.</w:t>
      </w:r>
    </w:p>
    <w:p w:rsidR="00D77859" w:rsidRPr="00853ED7" w:rsidRDefault="00D77859" w:rsidP="00B8620E">
      <w:pPr>
        <w:rPr>
          <w:sz w:val="22"/>
          <w:szCs w:val="22"/>
        </w:rPr>
      </w:pPr>
    </w:p>
    <w:p w:rsidR="00D77859" w:rsidRPr="00853ED7" w:rsidRDefault="005F049D" w:rsidP="00B8620E">
      <w:pPr>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ructural formula" style="width:477.75pt;height:195pt" o:allowoverlap="f">
            <v:imagedata r:id="rId13" o:title=""/>
          </v:shape>
        </w:pict>
      </w:r>
    </w:p>
    <w:p w:rsidR="00D77859" w:rsidRPr="00853ED7" w:rsidRDefault="00D77859" w:rsidP="00B8620E">
      <w:pPr>
        <w:rPr>
          <w:noProof/>
          <w:lang w:val="en-US"/>
        </w:rPr>
      </w:pPr>
      <w:r w:rsidRPr="00853ED7">
        <w:rPr>
          <w:noProof/>
          <w:sz w:val="22"/>
          <w:szCs w:val="22"/>
          <w:lang w:val="en-US"/>
        </w:rPr>
        <w:t>CAS no. 169148-63-4</w:t>
      </w:r>
    </w:p>
    <w:p w:rsidR="00D77859" w:rsidRPr="00186DDC" w:rsidRDefault="00D77859">
      <w:pPr>
        <w:rPr>
          <w:noProof/>
          <w:sz w:val="22"/>
        </w:rPr>
      </w:pPr>
    </w:p>
    <w:p w:rsidR="00D77859" w:rsidRPr="00853ED7" w:rsidRDefault="00D77859" w:rsidP="00653079">
      <w:pPr>
        <w:pStyle w:val="Heading2"/>
        <w:rPr>
          <w:noProof/>
          <w:sz w:val="24"/>
          <w:szCs w:val="24"/>
        </w:rPr>
      </w:pPr>
      <w:smartTag w:uri="urn:schemas-microsoft-com:office:smarttags" w:element="PersonName">
        <w:r w:rsidRPr="00853ED7">
          <w:rPr>
            <w:noProof/>
            <w:sz w:val="24"/>
            <w:szCs w:val="24"/>
          </w:rPr>
          <w:t>DE</w:t>
        </w:r>
      </w:smartTag>
      <w:r w:rsidRPr="00853ED7">
        <w:rPr>
          <w:noProof/>
          <w:sz w:val="24"/>
          <w:szCs w:val="24"/>
        </w:rPr>
        <w:t>SCRIPTION</w:t>
      </w:r>
    </w:p>
    <w:p w:rsidR="00D77859" w:rsidRPr="00853ED7" w:rsidRDefault="00D77859" w:rsidP="00B8620E">
      <w:pPr>
        <w:rPr>
          <w:sz w:val="22"/>
          <w:szCs w:val="22"/>
        </w:rPr>
      </w:pPr>
    </w:p>
    <w:p w:rsidR="00D77859" w:rsidRPr="00853ED7" w:rsidRDefault="00D77859" w:rsidP="00B8620E">
      <w:pPr>
        <w:rPr>
          <w:sz w:val="22"/>
          <w:szCs w:val="22"/>
          <w:lang w:val="en-GB"/>
        </w:rPr>
      </w:pPr>
      <w:proofErr w:type="spellStart"/>
      <w:r w:rsidRPr="00853ED7">
        <w:rPr>
          <w:sz w:val="22"/>
          <w:szCs w:val="22"/>
          <w:lang w:val="en-GB"/>
        </w:rPr>
        <w:t>Levemir</w:t>
      </w:r>
      <w:proofErr w:type="spellEnd"/>
      <w:r w:rsidRPr="00853ED7">
        <w:rPr>
          <w:sz w:val="22"/>
          <w:szCs w:val="22"/>
          <w:lang w:val="en-GB"/>
        </w:rPr>
        <w:t xml:space="preserve"> is a soluble, basal insulin analogue with a prolonged duration of effect. Insulin </w:t>
      </w:r>
      <w:proofErr w:type="spellStart"/>
      <w:r w:rsidRPr="00853ED7">
        <w:rPr>
          <w:sz w:val="22"/>
          <w:szCs w:val="22"/>
          <w:lang w:val="en-GB"/>
        </w:rPr>
        <w:t>detemir</w:t>
      </w:r>
      <w:proofErr w:type="spellEnd"/>
      <w:r w:rsidRPr="00853ED7">
        <w:rPr>
          <w:sz w:val="22"/>
          <w:szCs w:val="22"/>
          <w:lang w:val="en-GB"/>
        </w:rPr>
        <w:t xml:space="preserve"> (</w:t>
      </w:r>
      <w:proofErr w:type="spellStart"/>
      <w:r w:rsidRPr="00853ED7">
        <w:rPr>
          <w:sz w:val="22"/>
          <w:szCs w:val="22"/>
          <w:lang w:val="en-GB"/>
        </w:rPr>
        <w:t>rys</w:t>
      </w:r>
      <w:proofErr w:type="spellEnd"/>
      <w:r w:rsidRPr="00853ED7">
        <w:rPr>
          <w:sz w:val="22"/>
          <w:szCs w:val="22"/>
          <w:lang w:val="en-GB"/>
        </w:rPr>
        <w:t xml:space="preserve">) is produced by recombinant DNA technology using </w:t>
      </w:r>
      <w:r w:rsidRPr="00853ED7">
        <w:rPr>
          <w:i/>
          <w:sz w:val="22"/>
          <w:szCs w:val="22"/>
          <w:lang w:val="en-GB"/>
        </w:rPr>
        <w:t xml:space="preserve">Saccharomyces </w:t>
      </w:r>
      <w:proofErr w:type="spellStart"/>
      <w:r w:rsidRPr="00853ED7">
        <w:rPr>
          <w:i/>
          <w:sz w:val="22"/>
          <w:szCs w:val="22"/>
          <w:lang w:val="en-GB"/>
        </w:rPr>
        <w:t>cerevisiae</w:t>
      </w:r>
      <w:proofErr w:type="spellEnd"/>
      <w:r w:rsidRPr="00853ED7">
        <w:rPr>
          <w:sz w:val="22"/>
          <w:szCs w:val="22"/>
          <w:lang w:val="en-GB"/>
        </w:rPr>
        <w:t xml:space="preserve">. One unit of insulin </w:t>
      </w:r>
      <w:proofErr w:type="spellStart"/>
      <w:r w:rsidRPr="00853ED7">
        <w:rPr>
          <w:sz w:val="22"/>
          <w:szCs w:val="22"/>
          <w:lang w:val="en-GB"/>
        </w:rPr>
        <w:t>detemir</w:t>
      </w:r>
      <w:proofErr w:type="spellEnd"/>
      <w:r w:rsidRPr="00853ED7">
        <w:rPr>
          <w:sz w:val="22"/>
          <w:szCs w:val="22"/>
          <w:lang w:val="en-GB"/>
        </w:rPr>
        <w:t xml:space="preserve"> contains 0.142 mg salt-free anhydrous insulin </w:t>
      </w:r>
      <w:proofErr w:type="spellStart"/>
      <w:r w:rsidRPr="00853ED7">
        <w:rPr>
          <w:sz w:val="22"/>
          <w:szCs w:val="22"/>
          <w:lang w:val="en-GB"/>
        </w:rPr>
        <w:t>detemir</w:t>
      </w:r>
      <w:proofErr w:type="spellEnd"/>
      <w:r w:rsidRPr="00853ED7">
        <w:rPr>
          <w:sz w:val="22"/>
          <w:szCs w:val="22"/>
          <w:lang w:val="en-GB"/>
        </w:rPr>
        <w:t xml:space="preserve">. One unit (U) of insulin </w:t>
      </w:r>
      <w:proofErr w:type="spellStart"/>
      <w:r w:rsidRPr="00853ED7">
        <w:rPr>
          <w:sz w:val="22"/>
          <w:szCs w:val="22"/>
          <w:lang w:val="en-GB"/>
        </w:rPr>
        <w:t>detemir</w:t>
      </w:r>
      <w:proofErr w:type="spellEnd"/>
      <w:r w:rsidRPr="00853ED7">
        <w:rPr>
          <w:sz w:val="22"/>
          <w:szCs w:val="22"/>
          <w:lang w:val="en-GB"/>
        </w:rPr>
        <w:t xml:space="preserve"> corresponds nominally to one IU (international unit) of human insulin. </w:t>
      </w:r>
    </w:p>
    <w:p w:rsidR="00D77859" w:rsidRPr="00853ED7" w:rsidRDefault="00D77859" w:rsidP="00B8620E">
      <w:pPr>
        <w:rPr>
          <w:sz w:val="22"/>
          <w:szCs w:val="22"/>
          <w:lang w:val="en-GB"/>
        </w:rPr>
      </w:pPr>
    </w:p>
    <w:p w:rsidR="00D77859" w:rsidRPr="00853ED7" w:rsidRDefault="00D77859" w:rsidP="00B8620E">
      <w:pPr>
        <w:rPr>
          <w:sz w:val="22"/>
          <w:szCs w:val="22"/>
          <w:lang w:val="en-GB"/>
        </w:rPr>
      </w:pPr>
      <w:proofErr w:type="spellStart"/>
      <w:r w:rsidRPr="00853ED7">
        <w:rPr>
          <w:sz w:val="22"/>
          <w:szCs w:val="22"/>
          <w:lang w:val="en-GB"/>
        </w:rPr>
        <w:t>Levemir</w:t>
      </w:r>
      <w:proofErr w:type="spellEnd"/>
      <w:r w:rsidRPr="00853ED7">
        <w:rPr>
          <w:sz w:val="22"/>
          <w:szCs w:val="22"/>
          <w:lang w:val="en-GB"/>
        </w:rPr>
        <w:t xml:space="preserve"> is a clear, colourless, neutral solution of insulin </w:t>
      </w:r>
      <w:proofErr w:type="spellStart"/>
      <w:r w:rsidRPr="00853ED7">
        <w:rPr>
          <w:sz w:val="22"/>
          <w:szCs w:val="22"/>
          <w:lang w:val="en-GB"/>
        </w:rPr>
        <w:t>detemir</w:t>
      </w:r>
      <w:proofErr w:type="spellEnd"/>
      <w:r w:rsidRPr="00853ED7">
        <w:rPr>
          <w:sz w:val="22"/>
          <w:szCs w:val="22"/>
          <w:lang w:val="en-GB"/>
        </w:rPr>
        <w:t xml:space="preserve"> 100 U/</w:t>
      </w:r>
      <w:proofErr w:type="spellStart"/>
      <w:r w:rsidRPr="00853ED7">
        <w:rPr>
          <w:sz w:val="22"/>
          <w:szCs w:val="22"/>
          <w:lang w:val="en-GB"/>
        </w:rPr>
        <w:t>mL.</w:t>
      </w:r>
      <w:proofErr w:type="spellEnd"/>
      <w:r w:rsidRPr="00853ED7">
        <w:rPr>
          <w:sz w:val="22"/>
          <w:szCs w:val="22"/>
          <w:lang w:val="en-GB"/>
        </w:rPr>
        <w:t xml:space="preserve"> </w:t>
      </w:r>
      <w:proofErr w:type="spellStart"/>
      <w:r w:rsidRPr="00853ED7">
        <w:rPr>
          <w:sz w:val="22"/>
          <w:szCs w:val="22"/>
          <w:lang w:val="en-GB"/>
        </w:rPr>
        <w:t>Levemir</w:t>
      </w:r>
      <w:proofErr w:type="spellEnd"/>
      <w:r w:rsidRPr="00853ED7">
        <w:rPr>
          <w:sz w:val="22"/>
          <w:szCs w:val="22"/>
          <w:lang w:val="en-GB"/>
        </w:rPr>
        <w:t xml:space="preserve"> is a solution for injection.  </w:t>
      </w:r>
    </w:p>
    <w:p w:rsidR="00D77859" w:rsidRPr="00853ED7" w:rsidRDefault="00D77859" w:rsidP="00B8620E">
      <w:pPr>
        <w:rPr>
          <w:sz w:val="22"/>
          <w:szCs w:val="22"/>
          <w:lang w:val="en-GB"/>
        </w:rPr>
      </w:pPr>
    </w:p>
    <w:p w:rsidR="00D77859" w:rsidRPr="00853ED7" w:rsidRDefault="00D77859" w:rsidP="00B8620E">
      <w:pPr>
        <w:rPr>
          <w:sz w:val="22"/>
          <w:szCs w:val="22"/>
          <w:lang w:val="en-GB"/>
        </w:rPr>
      </w:pPr>
      <w:proofErr w:type="spellStart"/>
      <w:r w:rsidRPr="00853ED7">
        <w:rPr>
          <w:sz w:val="22"/>
          <w:szCs w:val="22"/>
          <w:lang w:val="en-GB"/>
        </w:rPr>
        <w:t>Levemir</w:t>
      </w:r>
      <w:proofErr w:type="spellEnd"/>
      <w:r w:rsidRPr="00853ED7">
        <w:rPr>
          <w:sz w:val="22"/>
          <w:szCs w:val="22"/>
          <w:lang w:val="en-GB"/>
        </w:rPr>
        <w:t xml:space="preserve"> also contains the following inactive ingredients: </w:t>
      </w:r>
      <w:r w:rsidR="007A183D" w:rsidRPr="00853ED7">
        <w:rPr>
          <w:sz w:val="22"/>
          <w:szCs w:val="22"/>
          <w:lang w:val="en-GB"/>
        </w:rPr>
        <w:t>glycerol</w:t>
      </w:r>
      <w:r w:rsidRPr="00853ED7">
        <w:rPr>
          <w:sz w:val="22"/>
          <w:szCs w:val="22"/>
          <w:lang w:val="en-GB"/>
        </w:rPr>
        <w:t xml:space="preserve">, phenol, meta-cresol, zinc acetate, dibasic sodium phosphate </w:t>
      </w:r>
      <w:proofErr w:type="spellStart"/>
      <w:r w:rsidRPr="00853ED7">
        <w:rPr>
          <w:sz w:val="22"/>
          <w:szCs w:val="22"/>
          <w:lang w:val="en-GB"/>
        </w:rPr>
        <w:t>dihydrate</w:t>
      </w:r>
      <w:proofErr w:type="spellEnd"/>
      <w:r w:rsidRPr="00853ED7">
        <w:rPr>
          <w:sz w:val="22"/>
          <w:szCs w:val="22"/>
          <w:lang w:val="en-GB"/>
        </w:rPr>
        <w:t>, sodium chloride, hydrochloric acid, sodium hydroxide and water for injections.</w:t>
      </w:r>
    </w:p>
    <w:p w:rsidR="00D77859" w:rsidRPr="00853ED7" w:rsidRDefault="00D77859" w:rsidP="00B8620E">
      <w:pPr>
        <w:rPr>
          <w:sz w:val="22"/>
          <w:szCs w:val="22"/>
          <w:lang w:val="en-GB"/>
        </w:rPr>
      </w:pPr>
    </w:p>
    <w:p w:rsidR="00D77859" w:rsidRPr="00853ED7" w:rsidRDefault="00D77859" w:rsidP="00653079">
      <w:pPr>
        <w:pStyle w:val="Heading2"/>
        <w:rPr>
          <w:noProof/>
          <w:sz w:val="24"/>
          <w:szCs w:val="24"/>
        </w:rPr>
      </w:pPr>
      <w:r w:rsidRPr="00853ED7">
        <w:rPr>
          <w:noProof/>
          <w:sz w:val="24"/>
          <w:szCs w:val="24"/>
        </w:rPr>
        <w:t>PHA</w:t>
      </w:r>
      <w:smartTag w:uri="urn:schemas-microsoft-com:office:smarttags" w:element="PersonName">
        <w:r w:rsidRPr="00853ED7">
          <w:rPr>
            <w:noProof/>
            <w:sz w:val="24"/>
            <w:szCs w:val="24"/>
          </w:rPr>
          <w:t>RM</w:t>
        </w:r>
      </w:smartTag>
      <w:r w:rsidRPr="00853ED7">
        <w:rPr>
          <w:noProof/>
          <w:sz w:val="24"/>
          <w:szCs w:val="24"/>
        </w:rPr>
        <w:t>ACOLOGY</w:t>
      </w:r>
    </w:p>
    <w:p w:rsidR="00D77859" w:rsidRPr="00853ED7" w:rsidRDefault="00D77859">
      <w:pPr>
        <w:rPr>
          <w:sz w:val="22"/>
          <w:szCs w:val="22"/>
        </w:rPr>
      </w:pPr>
    </w:p>
    <w:p w:rsidR="00D77859" w:rsidRPr="00853ED7" w:rsidRDefault="00D77859" w:rsidP="002D4E2E">
      <w:pPr>
        <w:pStyle w:val="Heading3"/>
        <w:rPr>
          <w:sz w:val="22"/>
          <w:szCs w:val="22"/>
        </w:rPr>
      </w:pPr>
      <w:r w:rsidRPr="00853ED7">
        <w:rPr>
          <w:sz w:val="22"/>
          <w:szCs w:val="22"/>
        </w:rPr>
        <w:t>Pharmacodynamics</w:t>
      </w:r>
    </w:p>
    <w:p w:rsidR="00D77859" w:rsidRPr="00853ED7" w:rsidRDefault="00D77859" w:rsidP="00B8620E">
      <w:pPr>
        <w:jc w:val="left"/>
        <w:rPr>
          <w:sz w:val="22"/>
          <w:szCs w:val="22"/>
          <w:lang w:val="en-GB"/>
        </w:rPr>
      </w:pPr>
      <w:bookmarkStart w:id="0" w:name="OLE_LINK34"/>
      <w:bookmarkStart w:id="1" w:name="OLE_LINK35"/>
      <w:bookmarkStart w:id="2" w:name="OLE_LINK24"/>
      <w:bookmarkStart w:id="3" w:name="OLE_LINK25"/>
      <w:proofErr w:type="spellStart"/>
      <w:r w:rsidRPr="00853ED7">
        <w:rPr>
          <w:sz w:val="22"/>
          <w:szCs w:val="22"/>
          <w:lang w:val="en-GB"/>
        </w:rPr>
        <w:t>Levemir</w:t>
      </w:r>
      <w:proofErr w:type="spellEnd"/>
      <w:r w:rsidRPr="00853ED7">
        <w:rPr>
          <w:sz w:val="22"/>
          <w:szCs w:val="22"/>
          <w:lang w:val="en-GB"/>
        </w:rPr>
        <w:t xml:space="preserve"> is a soluble, basal insulin analogue with a prolonged duration of effect (Figure 1).</w:t>
      </w:r>
      <w:bookmarkEnd w:id="0"/>
      <w:bookmarkEnd w:id="1"/>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p w:rsidR="002D0F29" w:rsidRPr="00853ED7" w:rsidRDefault="002D0F29" w:rsidP="00B8620E">
      <w:pPr>
        <w:jc w:val="left"/>
        <w:rPr>
          <w:sz w:val="22"/>
          <w:szCs w:val="22"/>
          <w:lang w:val="en-GB"/>
        </w:rPr>
      </w:pPr>
    </w:p>
    <w:bookmarkStart w:id="4" w:name="_MON_1096965785"/>
    <w:bookmarkEnd w:id="2"/>
    <w:bookmarkEnd w:id="3"/>
    <w:bookmarkEnd w:id="4"/>
    <w:bookmarkStart w:id="5" w:name="_MON_1094307784"/>
    <w:bookmarkEnd w:id="5"/>
    <w:p w:rsidR="00D77859" w:rsidRPr="00853ED7" w:rsidRDefault="005F049D" w:rsidP="00B8620E">
      <w:pPr>
        <w:pStyle w:val="Heading5"/>
        <w:rPr>
          <w:lang w:val="en-US"/>
        </w:rPr>
      </w:pPr>
      <w:r w:rsidRPr="00853ED7">
        <w:object w:dxaOrig="5906" w:dyaOrig="4429">
          <v:shape id="_x0000_i1026" type="#_x0000_t75" alt="Figure 1" style="width:527.25pt;height:296.25pt" o:ole="">
            <v:imagedata r:id="rId14" o:title=""/>
          </v:shape>
          <o:OLEObject Type="Embed" ProgID="PowerPoint.Show.8" ShapeID="_x0000_i1026" DrawAspect="Content" ObjectID="_1463042439" r:id="rId15"/>
        </w:object>
      </w:r>
      <w:r w:rsidR="00D77859" w:rsidRPr="00853ED7">
        <w:t xml:space="preserve">Figure 1: </w:t>
      </w:r>
      <w:r w:rsidR="00D77859" w:rsidRPr="00853ED7">
        <w:rPr>
          <w:lang w:val="en-US"/>
        </w:rPr>
        <w:t>Activity profiles of Levemir</w:t>
      </w:r>
      <w:r w:rsidR="00D77859" w:rsidRPr="00853ED7">
        <w:rPr>
          <w:i/>
          <w:lang w:val="en-US"/>
        </w:rPr>
        <w:t xml:space="preserve"> </w:t>
      </w:r>
      <w:r w:rsidR="00D77859" w:rsidRPr="00853ED7">
        <w:rPr>
          <w:lang w:val="en-US"/>
        </w:rPr>
        <w:t>in patients with type 1 diabetes.</w:t>
      </w:r>
    </w:p>
    <w:p w:rsidR="00D77859" w:rsidRPr="00853ED7" w:rsidRDefault="00D77859" w:rsidP="00B8620E">
      <w:pPr>
        <w:rPr>
          <w:i/>
          <w:sz w:val="18"/>
          <w:szCs w:val="18"/>
        </w:rPr>
      </w:pPr>
      <w:r w:rsidRPr="00853ED7">
        <w:rPr>
          <w:i/>
          <w:sz w:val="18"/>
          <w:szCs w:val="18"/>
        </w:rPr>
        <w:t>*</w:t>
      </w:r>
      <w:r w:rsidRPr="00853ED7">
        <w:rPr>
          <w:rStyle w:val="Emphasis"/>
          <w:sz w:val="18"/>
          <w:szCs w:val="18"/>
        </w:rPr>
        <w:t>Data from Trial NN304-1338, a randomised, double-blind, cross-over trial involving 12 subjects.</w:t>
      </w:r>
    </w:p>
    <w:p w:rsidR="00D77859" w:rsidRPr="00853ED7" w:rsidRDefault="00D77859" w:rsidP="00B8620E">
      <w:pPr>
        <w:rPr>
          <w:sz w:val="22"/>
          <w:szCs w:val="22"/>
          <w:lang w:val="en-GB"/>
        </w:rPr>
      </w:pPr>
    </w:p>
    <w:p w:rsidR="00D77859" w:rsidRPr="00853ED7" w:rsidRDefault="00D77859" w:rsidP="00B8620E">
      <w:pPr>
        <w:rPr>
          <w:sz w:val="22"/>
          <w:szCs w:val="22"/>
          <w:lang w:val="en-GB"/>
        </w:rPr>
      </w:pPr>
      <w:bookmarkStart w:id="6" w:name="OLE_LINK26"/>
      <w:bookmarkStart w:id="7" w:name="OLE_LINK27"/>
      <w:bookmarkStart w:id="8" w:name="OLE_LINK36"/>
      <w:r w:rsidRPr="00853ED7">
        <w:rPr>
          <w:sz w:val="22"/>
          <w:szCs w:val="22"/>
          <w:lang w:val="en-GB"/>
        </w:rPr>
        <w:t xml:space="preserve">The duration of action is up to 24 hours depending on dose, providing an opportunity for once daily administration. </w:t>
      </w:r>
      <w:proofErr w:type="spellStart"/>
      <w:r w:rsidRPr="00853ED7">
        <w:rPr>
          <w:sz w:val="22"/>
          <w:szCs w:val="22"/>
          <w:lang w:val="en-GB"/>
        </w:rPr>
        <w:t>Levemir</w:t>
      </w:r>
      <w:proofErr w:type="spellEnd"/>
      <w:r w:rsidRPr="00853ED7">
        <w:rPr>
          <w:sz w:val="22"/>
          <w:szCs w:val="22"/>
          <w:lang w:val="en-GB"/>
        </w:rPr>
        <w:t xml:space="preserve"> can also be administered twice daily - when administered twice daily, steady state serum concentrations are reached after 2 to 3 dose administrations. For doses of 0.2 to 0.</w:t>
      </w:r>
      <w:r w:rsidRPr="00C650D2">
        <w:rPr>
          <w:szCs w:val="22"/>
          <w:lang w:val="en-GB"/>
        </w:rPr>
        <w:t xml:space="preserve">4 U/kg, </w:t>
      </w:r>
      <w:proofErr w:type="spellStart"/>
      <w:r w:rsidRPr="00853ED7">
        <w:rPr>
          <w:sz w:val="22"/>
          <w:szCs w:val="22"/>
          <w:lang w:val="en-GB"/>
        </w:rPr>
        <w:t>Levemir</w:t>
      </w:r>
      <w:proofErr w:type="spellEnd"/>
      <w:r w:rsidRPr="00853ED7">
        <w:rPr>
          <w:sz w:val="22"/>
          <w:szCs w:val="22"/>
          <w:lang w:val="en-GB"/>
        </w:rPr>
        <w:t xml:space="preserve"> exerts more than 50% of its total </w:t>
      </w:r>
      <w:proofErr w:type="spellStart"/>
      <w:r w:rsidRPr="00853ED7">
        <w:rPr>
          <w:sz w:val="22"/>
          <w:szCs w:val="22"/>
          <w:lang w:val="en-GB"/>
        </w:rPr>
        <w:t>pharmacodynamic</w:t>
      </w:r>
      <w:proofErr w:type="spellEnd"/>
      <w:r w:rsidRPr="00853ED7">
        <w:rPr>
          <w:sz w:val="22"/>
          <w:szCs w:val="22"/>
          <w:lang w:val="en-GB"/>
        </w:rPr>
        <w:t xml:space="preserve"> effect within the approximate period of 3 – 14 hours after dose administration.</w:t>
      </w:r>
    </w:p>
    <w:p w:rsidR="00D77859" w:rsidRPr="00853ED7" w:rsidRDefault="00D77859" w:rsidP="00B8620E">
      <w:pPr>
        <w:rPr>
          <w:sz w:val="22"/>
          <w:szCs w:val="22"/>
          <w:lang w:val="en-GB"/>
        </w:rPr>
      </w:pPr>
    </w:p>
    <w:p w:rsidR="00D77859" w:rsidRPr="00853ED7" w:rsidRDefault="00D77859" w:rsidP="00B8620E">
      <w:pPr>
        <w:rPr>
          <w:sz w:val="22"/>
          <w:szCs w:val="22"/>
        </w:rPr>
      </w:pPr>
      <w:r w:rsidRPr="00853ED7">
        <w:rPr>
          <w:sz w:val="22"/>
          <w:szCs w:val="22"/>
          <w:lang w:val="en-GB"/>
        </w:rPr>
        <w:t xml:space="preserve">Dose proportionality in </w:t>
      </w:r>
      <w:proofErr w:type="spellStart"/>
      <w:r w:rsidRPr="00853ED7">
        <w:rPr>
          <w:sz w:val="22"/>
          <w:szCs w:val="22"/>
          <w:lang w:val="en-GB"/>
        </w:rPr>
        <w:t>pharmacodynamic</w:t>
      </w:r>
      <w:proofErr w:type="spellEnd"/>
      <w:r w:rsidRPr="00853ED7">
        <w:rPr>
          <w:sz w:val="22"/>
          <w:szCs w:val="22"/>
          <w:lang w:val="en-GB"/>
        </w:rPr>
        <w:t xml:space="preserve"> response (maximum effect, duration of action, total effect) is observed after subcutaneous administration.</w:t>
      </w:r>
    </w:p>
    <w:p w:rsidR="00D77859" w:rsidRPr="00853ED7" w:rsidRDefault="00D77859" w:rsidP="00B8620E">
      <w:pPr>
        <w:rPr>
          <w:sz w:val="22"/>
          <w:szCs w:val="22"/>
        </w:rPr>
      </w:pPr>
    </w:p>
    <w:p w:rsidR="00D77859" w:rsidRPr="00853ED7" w:rsidRDefault="00D77859" w:rsidP="00B8620E">
      <w:pPr>
        <w:rPr>
          <w:sz w:val="22"/>
          <w:szCs w:val="22"/>
        </w:rPr>
      </w:pPr>
      <w:r w:rsidRPr="00853ED7">
        <w:rPr>
          <w:sz w:val="22"/>
          <w:szCs w:val="22"/>
        </w:rPr>
        <w:t xml:space="preserve">The time action profile of </w:t>
      </w:r>
      <w:proofErr w:type="spellStart"/>
      <w:r w:rsidRPr="00853ED7">
        <w:rPr>
          <w:sz w:val="22"/>
          <w:szCs w:val="22"/>
        </w:rPr>
        <w:t>Levemir</w:t>
      </w:r>
      <w:proofErr w:type="spellEnd"/>
      <w:r w:rsidRPr="00853ED7">
        <w:rPr>
          <w:sz w:val="22"/>
          <w:szCs w:val="22"/>
        </w:rPr>
        <w:t xml:space="preserve"> </w:t>
      </w:r>
      <w:r w:rsidR="00C877DE" w:rsidRPr="00853ED7">
        <w:rPr>
          <w:sz w:val="22"/>
          <w:szCs w:val="22"/>
        </w:rPr>
        <w:t xml:space="preserve">was </w:t>
      </w:r>
      <w:r w:rsidRPr="00853ED7">
        <w:rPr>
          <w:sz w:val="22"/>
          <w:szCs w:val="22"/>
        </w:rPr>
        <w:t xml:space="preserve">significantly less variable than NPH </w:t>
      </w:r>
      <w:r w:rsidR="00BC1CA0" w:rsidRPr="00853ED7">
        <w:rPr>
          <w:sz w:val="22"/>
          <w:szCs w:val="22"/>
        </w:rPr>
        <w:t xml:space="preserve">(Neutral Protamine </w:t>
      </w:r>
      <w:proofErr w:type="spellStart"/>
      <w:r w:rsidR="00BC1CA0" w:rsidRPr="00853ED7">
        <w:rPr>
          <w:sz w:val="22"/>
          <w:szCs w:val="22"/>
        </w:rPr>
        <w:t>Hagedorn</w:t>
      </w:r>
      <w:proofErr w:type="spellEnd"/>
      <w:r w:rsidR="00BC1CA0" w:rsidRPr="00853ED7">
        <w:rPr>
          <w:sz w:val="22"/>
          <w:szCs w:val="22"/>
        </w:rPr>
        <w:t xml:space="preserve">) </w:t>
      </w:r>
      <w:r w:rsidRPr="00853ED7">
        <w:rPr>
          <w:sz w:val="22"/>
          <w:szCs w:val="22"/>
        </w:rPr>
        <w:t xml:space="preserve">insulin and insulin </w:t>
      </w:r>
      <w:proofErr w:type="spellStart"/>
      <w:r w:rsidRPr="00853ED7">
        <w:rPr>
          <w:sz w:val="22"/>
          <w:szCs w:val="22"/>
        </w:rPr>
        <w:t>glargine</w:t>
      </w:r>
      <w:proofErr w:type="spellEnd"/>
      <w:r w:rsidRPr="00853ED7">
        <w:rPr>
          <w:sz w:val="22"/>
          <w:szCs w:val="22"/>
        </w:rPr>
        <w:t xml:space="preserve"> </w:t>
      </w:r>
      <w:r w:rsidR="00C60967" w:rsidRPr="00853ED7">
        <w:rPr>
          <w:sz w:val="22"/>
          <w:szCs w:val="22"/>
        </w:rPr>
        <w:t xml:space="preserve">in </w:t>
      </w:r>
      <w:r w:rsidR="00DF7130" w:rsidRPr="00853ED7">
        <w:rPr>
          <w:sz w:val="22"/>
          <w:szCs w:val="22"/>
        </w:rPr>
        <w:t xml:space="preserve">a study that enrolled </w:t>
      </w:r>
      <w:r w:rsidR="001C32EF" w:rsidRPr="00853ED7">
        <w:rPr>
          <w:sz w:val="22"/>
          <w:szCs w:val="22"/>
        </w:rPr>
        <w:t>54</w:t>
      </w:r>
      <w:r w:rsidR="00DF7130" w:rsidRPr="00853ED7">
        <w:rPr>
          <w:sz w:val="22"/>
          <w:szCs w:val="22"/>
        </w:rPr>
        <w:t xml:space="preserve"> </w:t>
      </w:r>
      <w:r w:rsidR="001C32EF" w:rsidRPr="00853ED7">
        <w:rPr>
          <w:sz w:val="22"/>
          <w:szCs w:val="22"/>
        </w:rPr>
        <w:t>(N</w:t>
      </w:r>
      <w:r w:rsidR="00C5792C" w:rsidRPr="00853ED7">
        <w:rPr>
          <w:sz w:val="22"/>
          <w:szCs w:val="22"/>
        </w:rPr>
        <w:t xml:space="preserve"> </w:t>
      </w:r>
      <w:r w:rsidR="001C32EF" w:rsidRPr="00853ED7">
        <w:rPr>
          <w:sz w:val="22"/>
          <w:szCs w:val="22"/>
        </w:rPr>
        <w:t>=</w:t>
      </w:r>
      <w:r w:rsidR="00C5792C" w:rsidRPr="00853ED7">
        <w:rPr>
          <w:sz w:val="22"/>
          <w:szCs w:val="22"/>
        </w:rPr>
        <w:t xml:space="preserve"> </w:t>
      </w:r>
      <w:r w:rsidR="001C32EF" w:rsidRPr="00853ED7">
        <w:rPr>
          <w:sz w:val="22"/>
          <w:szCs w:val="22"/>
        </w:rPr>
        <w:t>18 per arm) subject</w:t>
      </w:r>
      <w:r w:rsidR="00DF7130" w:rsidRPr="00853ED7">
        <w:rPr>
          <w:sz w:val="22"/>
          <w:szCs w:val="22"/>
        </w:rPr>
        <w:t xml:space="preserve">s with </w:t>
      </w:r>
      <w:r w:rsidR="00C60967" w:rsidRPr="00853ED7">
        <w:rPr>
          <w:sz w:val="22"/>
          <w:szCs w:val="22"/>
        </w:rPr>
        <w:t xml:space="preserve">type 1 diabetes </w:t>
      </w:r>
      <w:r w:rsidRPr="00853ED7">
        <w:rPr>
          <w:sz w:val="22"/>
          <w:szCs w:val="22"/>
        </w:rPr>
        <w:t xml:space="preserve">(Table 1). </w:t>
      </w:r>
    </w:p>
    <w:bookmarkEnd w:id="6"/>
    <w:bookmarkEnd w:id="7"/>
    <w:bookmarkEnd w:id="8"/>
    <w:p w:rsidR="00D77859" w:rsidRPr="00853ED7" w:rsidRDefault="00D77859" w:rsidP="00B8620E">
      <w:pPr>
        <w:rPr>
          <w:b/>
          <w:sz w:val="22"/>
          <w:szCs w:val="22"/>
        </w:rPr>
      </w:pPr>
    </w:p>
    <w:p w:rsidR="00D77859" w:rsidRPr="00853ED7" w:rsidRDefault="00D77859" w:rsidP="006F4353">
      <w:pPr>
        <w:pStyle w:val="Heading5"/>
        <w:ind w:right="0"/>
      </w:pPr>
      <w:r w:rsidRPr="00853ED7">
        <w:t xml:space="preserve">Table 1. Within-subject variability of the time action profile of </w:t>
      </w:r>
      <w:r w:rsidR="001346CB" w:rsidRPr="00853ED7">
        <w:t xml:space="preserve"> Levemir</w:t>
      </w:r>
      <w:r w:rsidRPr="00853ED7">
        <w:t>, NPH insulin and insulin glargine</w:t>
      </w:r>
      <w:r w:rsidR="00C60967" w:rsidRPr="00853ED7">
        <w:t xml:space="preserve"> in type 1 diabetes mellitus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645"/>
        <w:gridCol w:w="1555"/>
        <w:gridCol w:w="1311"/>
        <w:gridCol w:w="1603"/>
      </w:tblGrid>
      <w:tr w:rsidR="00BE6435" w:rsidRPr="00853ED7" w:rsidTr="006F4353">
        <w:tc>
          <w:tcPr>
            <w:tcW w:w="2645" w:type="dxa"/>
            <w:tcBorders>
              <w:top w:val="single" w:sz="4" w:space="0" w:color="auto"/>
              <w:bottom w:val="single" w:sz="4" w:space="0" w:color="auto"/>
            </w:tcBorders>
            <w:shd w:val="clear" w:color="auto" w:fill="FFFF99"/>
          </w:tcPr>
          <w:p w:rsidR="00D77859" w:rsidRPr="00853ED7" w:rsidRDefault="00D77859" w:rsidP="001346CB">
            <w:pPr>
              <w:jc w:val="center"/>
              <w:rPr>
                <w:b/>
                <w:sz w:val="20"/>
              </w:rPr>
            </w:pPr>
            <w:proofErr w:type="spellStart"/>
            <w:r w:rsidRPr="00853ED7">
              <w:rPr>
                <w:b/>
                <w:sz w:val="20"/>
              </w:rPr>
              <w:t>Pharmacodynamic</w:t>
            </w:r>
            <w:proofErr w:type="spellEnd"/>
            <w:r w:rsidRPr="00853ED7">
              <w:rPr>
                <w:b/>
                <w:sz w:val="20"/>
              </w:rPr>
              <w:t xml:space="preserve"> Endpoint</w:t>
            </w:r>
          </w:p>
        </w:tc>
        <w:tc>
          <w:tcPr>
            <w:tcW w:w="1555" w:type="dxa"/>
            <w:tcBorders>
              <w:top w:val="single" w:sz="4" w:space="0" w:color="auto"/>
              <w:bottom w:val="single" w:sz="4" w:space="0" w:color="auto"/>
            </w:tcBorders>
            <w:shd w:val="clear" w:color="auto" w:fill="FFFF99"/>
          </w:tcPr>
          <w:p w:rsidR="001346CB" w:rsidRPr="00853ED7" w:rsidRDefault="00D77859" w:rsidP="001346CB">
            <w:pPr>
              <w:jc w:val="center"/>
              <w:rPr>
                <w:b/>
                <w:sz w:val="20"/>
              </w:rPr>
            </w:pPr>
            <w:r w:rsidRPr="00853ED7">
              <w:rPr>
                <w:b/>
                <w:sz w:val="20"/>
              </w:rPr>
              <w:t xml:space="preserve">Variance - </w:t>
            </w:r>
          </w:p>
          <w:p w:rsidR="00D77859" w:rsidRPr="00853ED7" w:rsidRDefault="001346CB" w:rsidP="001346CB">
            <w:pPr>
              <w:jc w:val="center"/>
              <w:rPr>
                <w:b/>
                <w:sz w:val="20"/>
              </w:rPr>
            </w:pPr>
            <w:proofErr w:type="spellStart"/>
            <w:r w:rsidRPr="00853ED7">
              <w:rPr>
                <w:b/>
                <w:sz w:val="20"/>
              </w:rPr>
              <w:t>Levemir</w:t>
            </w:r>
            <w:proofErr w:type="spellEnd"/>
          </w:p>
        </w:tc>
        <w:tc>
          <w:tcPr>
            <w:tcW w:w="1311" w:type="dxa"/>
            <w:tcBorders>
              <w:top w:val="single" w:sz="4" w:space="0" w:color="auto"/>
              <w:bottom w:val="single" w:sz="4" w:space="0" w:color="auto"/>
            </w:tcBorders>
            <w:shd w:val="clear" w:color="auto" w:fill="FFFF99"/>
          </w:tcPr>
          <w:p w:rsidR="00D77859" w:rsidRPr="00853ED7" w:rsidRDefault="00D77859" w:rsidP="001346CB">
            <w:pPr>
              <w:jc w:val="center"/>
              <w:rPr>
                <w:b/>
                <w:sz w:val="20"/>
              </w:rPr>
            </w:pPr>
            <w:r w:rsidRPr="00853ED7">
              <w:rPr>
                <w:b/>
                <w:sz w:val="20"/>
              </w:rPr>
              <w:t>Variance -NPH insulin</w:t>
            </w:r>
          </w:p>
        </w:tc>
        <w:tc>
          <w:tcPr>
            <w:tcW w:w="1603" w:type="dxa"/>
            <w:tcBorders>
              <w:top w:val="single" w:sz="4" w:space="0" w:color="auto"/>
              <w:bottom w:val="single" w:sz="4" w:space="0" w:color="auto"/>
            </w:tcBorders>
            <w:shd w:val="clear" w:color="auto" w:fill="FFFF99"/>
          </w:tcPr>
          <w:p w:rsidR="00D77859" w:rsidRPr="00853ED7" w:rsidRDefault="00D77859" w:rsidP="001346CB">
            <w:pPr>
              <w:jc w:val="center"/>
              <w:rPr>
                <w:b/>
                <w:sz w:val="20"/>
              </w:rPr>
            </w:pPr>
            <w:r w:rsidRPr="00853ED7">
              <w:rPr>
                <w:b/>
                <w:sz w:val="20"/>
              </w:rPr>
              <w:t xml:space="preserve">Variance - insulin </w:t>
            </w:r>
            <w:proofErr w:type="spellStart"/>
            <w:r w:rsidRPr="00853ED7">
              <w:rPr>
                <w:b/>
                <w:sz w:val="20"/>
              </w:rPr>
              <w:t>glargine</w:t>
            </w:r>
            <w:proofErr w:type="spellEnd"/>
          </w:p>
        </w:tc>
      </w:tr>
      <w:tr w:rsidR="00BE6435" w:rsidRPr="00853ED7" w:rsidTr="006F4353">
        <w:tc>
          <w:tcPr>
            <w:tcW w:w="2645" w:type="dxa"/>
            <w:tcBorders>
              <w:top w:val="single" w:sz="4" w:space="0" w:color="auto"/>
            </w:tcBorders>
          </w:tcPr>
          <w:p w:rsidR="00D77859" w:rsidRPr="00853ED7" w:rsidRDefault="00D77859">
            <w:pPr>
              <w:rPr>
                <w:sz w:val="20"/>
                <w:lang w:val="pt-PT"/>
              </w:rPr>
            </w:pPr>
            <w:r w:rsidRPr="00853ED7">
              <w:rPr>
                <w:sz w:val="20"/>
                <w:lang w:val="pt-PT"/>
              </w:rPr>
              <w:t>AUC</w:t>
            </w:r>
            <w:r w:rsidRPr="00853ED7">
              <w:rPr>
                <w:sz w:val="20"/>
                <w:vertAlign w:val="subscript"/>
                <w:lang w:val="pt-PT"/>
              </w:rPr>
              <w:t>GIR,0-24h</w:t>
            </w:r>
          </w:p>
        </w:tc>
        <w:tc>
          <w:tcPr>
            <w:tcW w:w="1555" w:type="dxa"/>
            <w:tcBorders>
              <w:top w:val="single" w:sz="4" w:space="0" w:color="auto"/>
            </w:tcBorders>
          </w:tcPr>
          <w:p w:rsidR="00D77859" w:rsidRPr="00853ED7" w:rsidRDefault="00D77859">
            <w:pPr>
              <w:jc w:val="center"/>
              <w:rPr>
                <w:sz w:val="20"/>
                <w:lang w:val="pt-PT"/>
              </w:rPr>
            </w:pPr>
            <w:r w:rsidRPr="00853ED7">
              <w:rPr>
                <w:sz w:val="20"/>
                <w:lang w:val="pt-PT"/>
              </w:rPr>
              <w:t>0.074</w:t>
            </w:r>
          </w:p>
        </w:tc>
        <w:tc>
          <w:tcPr>
            <w:tcW w:w="1311" w:type="dxa"/>
            <w:tcBorders>
              <w:top w:val="single" w:sz="4" w:space="0" w:color="auto"/>
            </w:tcBorders>
          </w:tcPr>
          <w:p w:rsidR="00D77859" w:rsidRPr="00853ED7" w:rsidRDefault="00D77859">
            <w:pPr>
              <w:jc w:val="center"/>
              <w:rPr>
                <w:sz w:val="20"/>
                <w:lang w:val="pt-PT"/>
              </w:rPr>
            </w:pPr>
            <w:r w:rsidRPr="00853ED7">
              <w:rPr>
                <w:sz w:val="20"/>
                <w:lang w:val="pt-PT"/>
              </w:rPr>
              <w:t>0.466</w:t>
            </w:r>
          </w:p>
        </w:tc>
        <w:tc>
          <w:tcPr>
            <w:tcW w:w="1603" w:type="dxa"/>
            <w:tcBorders>
              <w:top w:val="single" w:sz="4" w:space="0" w:color="auto"/>
            </w:tcBorders>
          </w:tcPr>
          <w:p w:rsidR="00D77859" w:rsidRPr="00853ED7" w:rsidRDefault="00D77859">
            <w:pPr>
              <w:jc w:val="center"/>
              <w:rPr>
                <w:sz w:val="20"/>
                <w:lang w:val="pt-PT"/>
              </w:rPr>
            </w:pPr>
            <w:r w:rsidRPr="00853ED7">
              <w:rPr>
                <w:sz w:val="20"/>
                <w:lang w:val="pt-PT"/>
              </w:rPr>
              <w:t>0.231</w:t>
            </w:r>
          </w:p>
        </w:tc>
      </w:tr>
      <w:tr w:rsidR="00BE6435" w:rsidRPr="00853ED7" w:rsidTr="006F4353">
        <w:trPr>
          <w:trHeight w:val="96"/>
        </w:trPr>
        <w:tc>
          <w:tcPr>
            <w:tcW w:w="2645" w:type="dxa"/>
            <w:tcBorders>
              <w:bottom w:val="single" w:sz="4" w:space="0" w:color="auto"/>
            </w:tcBorders>
          </w:tcPr>
          <w:p w:rsidR="00D77859" w:rsidRPr="00853ED7" w:rsidRDefault="00D77859">
            <w:pPr>
              <w:rPr>
                <w:sz w:val="20"/>
                <w:lang w:val="pt-PT"/>
              </w:rPr>
            </w:pPr>
            <w:r w:rsidRPr="00853ED7">
              <w:rPr>
                <w:sz w:val="20"/>
                <w:lang w:val="pt-PT"/>
              </w:rPr>
              <w:t>GIR</w:t>
            </w:r>
            <w:r w:rsidRPr="00853ED7">
              <w:rPr>
                <w:sz w:val="20"/>
                <w:vertAlign w:val="subscript"/>
                <w:lang w:val="pt-PT"/>
              </w:rPr>
              <w:t>max</w:t>
            </w:r>
          </w:p>
        </w:tc>
        <w:tc>
          <w:tcPr>
            <w:tcW w:w="1555" w:type="dxa"/>
            <w:tcBorders>
              <w:bottom w:val="single" w:sz="4" w:space="0" w:color="auto"/>
            </w:tcBorders>
          </w:tcPr>
          <w:p w:rsidR="00D77859" w:rsidRPr="00853ED7" w:rsidRDefault="00D77859">
            <w:pPr>
              <w:jc w:val="center"/>
              <w:rPr>
                <w:sz w:val="20"/>
              </w:rPr>
            </w:pPr>
            <w:r w:rsidRPr="00853ED7">
              <w:rPr>
                <w:sz w:val="20"/>
              </w:rPr>
              <w:t>0.053</w:t>
            </w:r>
          </w:p>
        </w:tc>
        <w:tc>
          <w:tcPr>
            <w:tcW w:w="1311" w:type="dxa"/>
            <w:tcBorders>
              <w:bottom w:val="single" w:sz="4" w:space="0" w:color="auto"/>
            </w:tcBorders>
          </w:tcPr>
          <w:p w:rsidR="00D77859" w:rsidRPr="00853ED7" w:rsidRDefault="00D77859">
            <w:pPr>
              <w:jc w:val="center"/>
              <w:rPr>
                <w:sz w:val="20"/>
              </w:rPr>
            </w:pPr>
            <w:r w:rsidRPr="00853ED7">
              <w:rPr>
                <w:sz w:val="20"/>
              </w:rPr>
              <w:t>0.209</w:t>
            </w:r>
          </w:p>
        </w:tc>
        <w:tc>
          <w:tcPr>
            <w:tcW w:w="1603" w:type="dxa"/>
            <w:tcBorders>
              <w:bottom w:val="single" w:sz="4" w:space="0" w:color="auto"/>
            </w:tcBorders>
          </w:tcPr>
          <w:p w:rsidR="00D77859" w:rsidRPr="00853ED7" w:rsidRDefault="00D77859">
            <w:pPr>
              <w:jc w:val="center"/>
              <w:rPr>
                <w:sz w:val="20"/>
              </w:rPr>
            </w:pPr>
            <w:r w:rsidRPr="00853ED7">
              <w:rPr>
                <w:sz w:val="20"/>
              </w:rPr>
              <w:t>0.130</w:t>
            </w:r>
          </w:p>
        </w:tc>
      </w:tr>
    </w:tbl>
    <w:p w:rsidR="00D77859" w:rsidRPr="00853ED7" w:rsidRDefault="00D77859" w:rsidP="00B8620E">
      <w:pPr>
        <w:rPr>
          <w:rStyle w:val="Emphasis"/>
          <w:sz w:val="18"/>
          <w:szCs w:val="18"/>
        </w:rPr>
      </w:pPr>
      <w:proofErr w:type="spellStart"/>
      <w:r w:rsidRPr="00853ED7">
        <w:rPr>
          <w:rStyle w:val="Emphasis"/>
          <w:sz w:val="18"/>
          <w:szCs w:val="18"/>
        </w:rPr>
        <w:t>Pharmacodynamic</w:t>
      </w:r>
      <w:proofErr w:type="spellEnd"/>
      <w:r w:rsidRPr="00853ED7">
        <w:rPr>
          <w:rStyle w:val="Emphasis"/>
          <w:sz w:val="18"/>
          <w:szCs w:val="18"/>
        </w:rPr>
        <w:t xml:space="preserve"> variability: within-subject statistical variance (Trial 1450). Reproduced with modification.</w:t>
      </w:r>
    </w:p>
    <w:p w:rsidR="00D77859" w:rsidRPr="00853ED7" w:rsidRDefault="00D77859" w:rsidP="00B8620E">
      <w:pPr>
        <w:rPr>
          <w:rStyle w:val="Emphasis"/>
          <w:sz w:val="18"/>
          <w:szCs w:val="18"/>
        </w:rPr>
      </w:pPr>
      <w:r w:rsidRPr="00853ED7">
        <w:rPr>
          <w:rStyle w:val="Emphasis"/>
          <w:sz w:val="18"/>
          <w:szCs w:val="18"/>
        </w:rPr>
        <w:t>Variance was derived from log transformed endpoints.</w:t>
      </w:r>
    </w:p>
    <w:p w:rsidR="00D77859" w:rsidRPr="00853ED7" w:rsidRDefault="00D77859" w:rsidP="00B8620E">
      <w:pPr>
        <w:rPr>
          <w:rStyle w:val="Emphasis"/>
          <w:sz w:val="18"/>
          <w:szCs w:val="18"/>
        </w:rPr>
      </w:pPr>
      <w:proofErr w:type="spellStart"/>
      <w:r w:rsidRPr="00853ED7">
        <w:rPr>
          <w:rStyle w:val="Emphasis"/>
          <w:sz w:val="18"/>
          <w:szCs w:val="18"/>
        </w:rPr>
        <w:t>GIR</w:t>
      </w:r>
      <w:r w:rsidRPr="00853ED7">
        <w:rPr>
          <w:rStyle w:val="Emphasis"/>
          <w:sz w:val="18"/>
          <w:szCs w:val="18"/>
          <w:vertAlign w:val="subscript"/>
        </w:rPr>
        <w:t>max</w:t>
      </w:r>
      <w:proofErr w:type="spellEnd"/>
      <w:r w:rsidRPr="00853ED7">
        <w:rPr>
          <w:rStyle w:val="Emphasis"/>
          <w:sz w:val="18"/>
          <w:szCs w:val="18"/>
        </w:rPr>
        <w:t xml:space="preserve"> – maximum glucose infusion rate</w:t>
      </w:r>
    </w:p>
    <w:p w:rsidR="001C32EF" w:rsidRPr="00853ED7" w:rsidRDefault="001C32EF" w:rsidP="00B8620E">
      <w:pPr>
        <w:rPr>
          <w:sz w:val="22"/>
          <w:szCs w:val="22"/>
          <w:lang w:val="en-US"/>
        </w:rPr>
      </w:pPr>
      <w:r w:rsidRPr="00853ED7">
        <w:rPr>
          <w:rStyle w:val="Emphasis"/>
          <w:sz w:val="18"/>
          <w:szCs w:val="18"/>
        </w:rPr>
        <w:t>N = no. subjects randomised</w:t>
      </w:r>
    </w:p>
    <w:p w:rsidR="00D77859" w:rsidRPr="00853ED7" w:rsidRDefault="00D77859" w:rsidP="00B8620E">
      <w:pPr>
        <w:rPr>
          <w:sz w:val="22"/>
          <w:szCs w:val="22"/>
          <w:lang w:val="en-GB"/>
        </w:rPr>
      </w:pPr>
    </w:p>
    <w:p w:rsidR="00D77859" w:rsidRPr="00853ED7" w:rsidRDefault="00D77859" w:rsidP="00B8620E">
      <w:pPr>
        <w:rPr>
          <w:sz w:val="22"/>
          <w:szCs w:val="22"/>
          <w:lang w:val="en-GB"/>
        </w:rPr>
      </w:pPr>
      <w:bookmarkStart w:id="9" w:name="OLE_LINK28"/>
      <w:bookmarkStart w:id="10" w:name="OLE_LINK29"/>
      <w:r w:rsidRPr="00853ED7">
        <w:rPr>
          <w:sz w:val="22"/>
          <w:szCs w:val="22"/>
          <w:lang w:val="en-GB"/>
        </w:rPr>
        <w:t>Lower day-to-day variability in fasting plasma glucose (FPG)</w:t>
      </w:r>
      <w:r w:rsidR="00C877DE" w:rsidRPr="00853ED7">
        <w:rPr>
          <w:sz w:val="22"/>
          <w:szCs w:val="22"/>
          <w:lang w:val="en-GB"/>
        </w:rPr>
        <w:t>, a secondary endpoint,</w:t>
      </w:r>
      <w:r w:rsidRPr="00853ED7">
        <w:rPr>
          <w:sz w:val="22"/>
          <w:szCs w:val="22"/>
          <w:lang w:val="en-GB"/>
        </w:rPr>
        <w:t xml:space="preserve"> was demonstrated during treatment with </w:t>
      </w:r>
      <w:proofErr w:type="spellStart"/>
      <w:r w:rsidRPr="00853ED7">
        <w:rPr>
          <w:sz w:val="22"/>
          <w:szCs w:val="22"/>
          <w:lang w:val="en-GB"/>
        </w:rPr>
        <w:t>Levemir</w:t>
      </w:r>
      <w:proofErr w:type="spellEnd"/>
      <w:r w:rsidRPr="00853ED7">
        <w:rPr>
          <w:sz w:val="22"/>
          <w:szCs w:val="22"/>
          <w:lang w:val="en-GB"/>
        </w:rPr>
        <w:t xml:space="preserve"> compared to NPH in long-term clinical trials</w:t>
      </w:r>
      <w:r w:rsidR="0057488F" w:rsidRPr="00853ED7">
        <w:rPr>
          <w:sz w:val="22"/>
          <w:szCs w:val="22"/>
          <w:lang w:val="en-GB"/>
        </w:rPr>
        <w:t xml:space="preserve"> in type 1 diabetes</w:t>
      </w:r>
      <w:r w:rsidRPr="00853ED7">
        <w:rPr>
          <w:sz w:val="22"/>
          <w:szCs w:val="22"/>
          <w:lang w:val="en-GB"/>
        </w:rPr>
        <w:t>, including</w:t>
      </w:r>
      <w:r w:rsidR="00F76F02" w:rsidRPr="00853ED7">
        <w:rPr>
          <w:sz w:val="22"/>
          <w:szCs w:val="22"/>
          <w:lang w:val="en-GB"/>
        </w:rPr>
        <w:t xml:space="preserve"> </w:t>
      </w:r>
      <w:r w:rsidR="00D66528" w:rsidRPr="00853ED7">
        <w:rPr>
          <w:sz w:val="22"/>
          <w:szCs w:val="22"/>
          <w:lang w:val="en-GB"/>
        </w:rPr>
        <w:t xml:space="preserve">one </w:t>
      </w:r>
      <w:r w:rsidRPr="00853ED7">
        <w:rPr>
          <w:sz w:val="22"/>
          <w:szCs w:val="22"/>
          <w:lang w:val="en-GB"/>
        </w:rPr>
        <w:t xml:space="preserve">in children and adolescents aged 6 to 17 years. The clinical benefit of this has not been demonstrated. </w:t>
      </w:r>
      <w:r w:rsidR="00EE6610" w:rsidRPr="00853ED7">
        <w:rPr>
          <w:sz w:val="22"/>
          <w:szCs w:val="22"/>
          <w:lang w:val="en-GB"/>
        </w:rPr>
        <w:lastRenderedPageBreak/>
        <w:t>Reduced</w:t>
      </w:r>
      <w:r w:rsidR="001C1F67" w:rsidRPr="00853ED7">
        <w:rPr>
          <w:sz w:val="22"/>
          <w:szCs w:val="22"/>
          <w:lang w:val="en-GB"/>
        </w:rPr>
        <w:t xml:space="preserve"> variability in FPG for </w:t>
      </w:r>
      <w:proofErr w:type="spellStart"/>
      <w:r w:rsidR="001C1F67" w:rsidRPr="00853ED7">
        <w:rPr>
          <w:sz w:val="22"/>
          <w:szCs w:val="22"/>
          <w:lang w:val="en-GB"/>
        </w:rPr>
        <w:t>Levemir</w:t>
      </w:r>
      <w:proofErr w:type="spellEnd"/>
      <w:r w:rsidR="001C1F67" w:rsidRPr="00853ED7">
        <w:rPr>
          <w:sz w:val="22"/>
          <w:szCs w:val="22"/>
          <w:lang w:val="en-GB"/>
        </w:rPr>
        <w:t xml:space="preserve"> versus NPH was not able to be demonstrated consistently in subjects with type 2 diabetes.</w:t>
      </w:r>
    </w:p>
    <w:p w:rsidR="00D77859" w:rsidRPr="00853ED7" w:rsidRDefault="00D77859" w:rsidP="00B8620E">
      <w:pPr>
        <w:rPr>
          <w:sz w:val="22"/>
          <w:szCs w:val="22"/>
          <w:lang w:val="en-GB"/>
        </w:rPr>
      </w:pPr>
    </w:p>
    <w:p w:rsidR="00822101" w:rsidRPr="00853ED7" w:rsidRDefault="00D77859" w:rsidP="00B8620E">
      <w:pPr>
        <w:rPr>
          <w:sz w:val="22"/>
          <w:szCs w:val="22"/>
          <w:lang w:eastAsia="en-AU"/>
        </w:rPr>
      </w:pPr>
      <w:r w:rsidRPr="00853ED7">
        <w:rPr>
          <w:sz w:val="22"/>
          <w:szCs w:val="22"/>
          <w:lang w:eastAsia="en-AU"/>
        </w:rPr>
        <w:t xml:space="preserve">Studies in patients with type 2 diabetes treated with basal insulin in combination with oral </w:t>
      </w:r>
      <w:proofErr w:type="spellStart"/>
      <w:r w:rsidRPr="00853ED7">
        <w:rPr>
          <w:sz w:val="22"/>
          <w:szCs w:val="22"/>
          <w:lang w:eastAsia="en-AU"/>
        </w:rPr>
        <w:t>antidiabetic</w:t>
      </w:r>
      <w:proofErr w:type="spellEnd"/>
      <w:r w:rsidRPr="00853ED7">
        <w:rPr>
          <w:sz w:val="22"/>
          <w:szCs w:val="22"/>
          <w:lang w:eastAsia="en-AU"/>
        </w:rPr>
        <w:t xml:space="preserve"> drugs (OADs) demonstrated that glycaemic control (HbA</w:t>
      </w:r>
      <w:r w:rsidRPr="00853ED7">
        <w:rPr>
          <w:sz w:val="22"/>
          <w:szCs w:val="22"/>
          <w:vertAlign w:val="subscript"/>
          <w:lang w:eastAsia="en-AU"/>
        </w:rPr>
        <w:t>1c</w:t>
      </w:r>
      <w:r w:rsidRPr="00853ED7">
        <w:rPr>
          <w:sz w:val="22"/>
          <w:szCs w:val="22"/>
          <w:lang w:eastAsia="en-AU"/>
        </w:rPr>
        <w:t xml:space="preserve">) with </w:t>
      </w:r>
      <w:proofErr w:type="spellStart"/>
      <w:r w:rsidRPr="00853ED7">
        <w:rPr>
          <w:sz w:val="22"/>
          <w:szCs w:val="22"/>
          <w:lang w:eastAsia="en-AU"/>
        </w:rPr>
        <w:t>Levemir</w:t>
      </w:r>
      <w:proofErr w:type="spellEnd"/>
      <w:r w:rsidRPr="00853ED7">
        <w:rPr>
          <w:sz w:val="22"/>
          <w:szCs w:val="22"/>
          <w:lang w:eastAsia="en-AU"/>
        </w:rPr>
        <w:t xml:space="preserve"> is equivalent to NPH and to insulin </w:t>
      </w:r>
    </w:p>
    <w:p w:rsidR="00D77859" w:rsidRPr="00853ED7" w:rsidRDefault="00D77859" w:rsidP="00B8620E">
      <w:pPr>
        <w:rPr>
          <w:sz w:val="22"/>
          <w:szCs w:val="22"/>
          <w:lang w:eastAsia="en-AU"/>
        </w:rPr>
      </w:pPr>
      <w:proofErr w:type="spellStart"/>
      <w:r w:rsidRPr="00853ED7">
        <w:rPr>
          <w:sz w:val="22"/>
          <w:szCs w:val="22"/>
          <w:lang w:eastAsia="en-AU"/>
        </w:rPr>
        <w:t>glargine</w:t>
      </w:r>
      <w:proofErr w:type="spellEnd"/>
      <w:r w:rsidR="0057488F" w:rsidRPr="00853ED7">
        <w:rPr>
          <w:sz w:val="22"/>
          <w:szCs w:val="22"/>
          <w:lang w:eastAsia="en-AU"/>
        </w:rPr>
        <w:t xml:space="preserve">. Treatment with </w:t>
      </w:r>
      <w:proofErr w:type="spellStart"/>
      <w:r w:rsidR="00BC1CA0" w:rsidRPr="00853ED7">
        <w:rPr>
          <w:sz w:val="22"/>
          <w:szCs w:val="22"/>
          <w:lang w:eastAsia="en-AU"/>
        </w:rPr>
        <w:t>Levemir</w:t>
      </w:r>
      <w:proofErr w:type="spellEnd"/>
      <w:r w:rsidR="00BC1CA0" w:rsidRPr="00853ED7">
        <w:rPr>
          <w:sz w:val="22"/>
          <w:szCs w:val="22"/>
          <w:lang w:eastAsia="en-AU"/>
        </w:rPr>
        <w:t xml:space="preserve"> </w:t>
      </w:r>
      <w:r w:rsidR="0057488F" w:rsidRPr="00853ED7">
        <w:rPr>
          <w:sz w:val="22"/>
          <w:szCs w:val="22"/>
          <w:lang w:eastAsia="en-AU"/>
        </w:rPr>
        <w:t>was</w:t>
      </w:r>
      <w:r w:rsidRPr="00853ED7">
        <w:rPr>
          <w:sz w:val="22"/>
          <w:szCs w:val="22"/>
          <w:lang w:eastAsia="en-AU"/>
        </w:rPr>
        <w:t xml:space="preserve"> associated with less weight gain (Table 2)</w:t>
      </w:r>
      <w:r w:rsidR="0057488F" w:rsidRPr="00853ED7">
        <w:rPr>
          <w:sz w:val="22"/>
          <w:szCs w:val="22"/>
          <w:lang w:eastAsia="en-AU"/>
        </w:rPr>
        <w:t xml:space="preserve">, </w:t>
      </w:r>
      <w:r w:rsidR="001C1F67" w:rsidRPr="00853ED7">
        <w:rPr>
          <w:sz w:val="22"/>
          <w:szCs w:val="22"/>
        </w:rPr>
        <w:t xml:space="preserve">however the trials were not </w:t>
      </w:r>
      <w:r w:rsidR="004F71D7" w:rsidRPr="00853ED7">
        <w:rPr>
          <w:sz w:val="22"/>
          <w:szCs w:val="22"/>
        </w:rPr>
        <w:t xml:space="preserve">specifically </w:t>
      </w:r>
      <w:r w:rsidR="001C1F67" w:rsidRPr="00853ED7">
        <w:rPr>
          <w:sz w:val="22"/>
          <w:szCs w:val="22"/>
        </w:rPr>
        <w:t>designed to test for this outcome and</w:t>
      </w:r>
      <w:r w:rsidR="001C1F67" w:rsidRPr="00853ED7" w:rsidDel="001C1F67">
        <w:rPr>
          <w:sz w:val="22"/>
          <w:szCs w:val="22"/>
          <w:lang w:eastAsia="en-AU"/>
        </w:rPr>
        <w:t xml:space="preserve"> </w:t>
      </w:r>
      <w:r w:rsidR="001C1F67" w:rsidRPr="00853ED7">
        <w:rPr>
          <w:sz w:val="22"/>
          <w:szCs w:val="22"/>
          <w:lang w:eastAsia="en-AU"/>
        </w:rPr>
        <w:t xml:space="preserve">the </w:t>
      </w:r>
      <w:r w:rsidR="0057488F" w:rsidRPr="00853ED7">
        <w:rPr>
          <w:sz w:val="22"/>
          <w:szCs w:val="22"/>
          <w:lang w:eastAsia="en-AU"/>
        </w:rPr>
        <w:t>clinical benefit has not been demonstrated</w:t>
      </w:r>
      <w:r w:rsidRPr="00853ED7">
        <w:rPr>
          <w:sz w:val="22"/>
          <w:szCs w:val="22"/>
          <w:lang w:eastAsia="en-AU"/>
        </w:rPr>
        <w:t xml:space="preserve">. In the study versus insulin </w:t>
      </w:r>
      <w:proofErr w:type="spellStart"/>
      <w:r w:rsidRPr="00853ED7">
        <w:rPr>
          <w:sz w:val="22"/>
          <w:szCs w:val="22"/>
          <w:lang w:eastAsia="en-AU"/>
        </w:rPr>
        <w:t>glargine</w:t>
      </w:r>
      <w:proofErr w:type="spellEnd"/>
      <w:r w:rsidRPr="00853ED7">
        <w:rPr>
          <w:sz w:val="22"/>
          <w:szCs w:val="22"/>
          <w:lang w:eastAsia="en-AU"/>
        </w:rPr>
        <w:t xml:space="preserve">, </w:t>
      </w:r>
      <w:proofErr w:type="spellStart"/>
      <w:r w:rsidRPr="00853ED7">
        <w:rPr>
          <w:sz w:val="22"/>
          <w:szCs w:val="22"/>
          <w:lang w:eastAsia="en-AU"/>
        </w:rPr>
        <w:t>Levemir</w:t>
      </w:r>
      <w:proofErr w:type="spellEnd"/>
      <w:r w:rsidRPr="00853ED7">
        <w:rPr>
          <w:sz w:val="22"/>
          <w:szCs w:val="22"/>
          <w:lang w:eastAsia="en-AU"/>
        </w:rPr>
        <w:t xml:space="preserve"> was administered once or twice daily based on patients’ needs, whereas insulin </w:t>
      </w:r>
      <w:proofErr w:type="spellStart"/>
      <w:r w:rsidRPr="00853ED7">
        <w:rPr>
          <w:sz w:val="22"/>
          <w:szCs w:val="22"/>
          <w:lang w:eastAsia="en-AU"/>
        </w:rPr>
        <w:t>glargine</w:t>
      </w:r>
      <w:proofErr w:type="spellEnd"/>
      <w:r w:rsidRPr="00853ED7">
        <w:rPr>
          <w:sz w:val="22"/>
          <w:szCs w:val="22"/>
          <w:lang w:eastAsia="en-AU"/>
        </w:rPr>
        <w:t xml:space="preserve"> was administered once a day.</w:t>
      </w:r>
      <w:r w:rsidR="00BC1CA0" w:rsidRPr="00853ED7">
        <w:rPr>
          <w:sz w:val="22"/>
          <w:szCs w:val="22"/>
          <w:lang w:eastAsia="en-AU"/>
        </w:rPr>
        <w:t xml:space="preserve"> </w:t>
      </w:r>
    </w:p>
    <w:bookmarkEnd w:id="9"/>
    <w:bookmarkEnd w:id="10"/>
    <w:p w:rsidR="0077273F" w:rsidRPr="00853ED7" w:rsidRDefault="0077273F" w:rsidP="0077273F">
      <w:pPr>
        <w:rPr>
          <w:sz w:val="22"/>
          <w:szCs w:val="22"/>
          <w:lang w:eastAsia="en-AU"/>
        </w:rPr>
      </w:pPr>
    </w:p>
    <w:p w:rsidR="00D77859" w:rsidRPr="00853ED7" w:rsidRDefault="00D77859" w:rsidP="00720324">
      <w:pPr>
        <w:pStyle w:val="Heading5"/>
        <w:rPr>
          <w:rFonts w:ascii="TimesNewRoman" w:hAnsi="TimesNewRoman" w:cs="TimesNewRoman"/>
          <w:lang w:eastAsia="en-AU"/>
        </w:rPr>
      </w:pPr>
      <w:r w:rsidRPr="00853ED7">
        <w:t>Table 2. Change in body weight after insulin treatment – type 2 diabetes</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53"/>
        <w:gridCol w:w="1524"/>
        <w:gridCol w:w="1524"/>
        <w:gridCol w:w="1523"/>
        <w:gridCol w:w="1524"/>
        <w:gridCol w:w="1524"/>
      </w:tblGrid>
      <w:tr w:rsidR="00DF5C3B" w:rsidRPr="00853ED7" w:rsidTr="006F4353">
        <w:tc>
          <w:tcPr>
            <w:tcW w:w="1453" w:type="dxa"/>
            <w:tcBorders>
              <w:top w:val="single" w:sz="4" w:space="0" w:color="auto"/>
              <w:bottom w:val="single" w:sz="4" w:space="0" w:color="auto"/>
            </w:tcBorders>
            <w:shd w:val="clear" w:color="auto" w:fill="FFFF99"/>
          </w:tcPr>
          <w:p w:rsidR="00DF5C3B" w:rsidRPr="00853ED7" w:rsidRDefault="00DF5C3B" w:rsidP="00574894">
            <w:pPr>
              <w:jc w:val="center"/>
              <w:rPr>
                <w:b/>
                <w:iCs/>
                <w:sz w:val="20"/>
              </w:rPr>
            </w:pPr>
            <w:r w:rsidRPr="00853ED7">
              <w:rPr>
                <w:b/>
                <w:iCs/>
                <w:sz w:val="20"/>
              </w:rPr>
              <w:t>Study duration</w:t>
            </w:r>
          </w:p>
        </w:tc>
        <w:tc>
          <w:tcPr>
            <w:tcW w:w="1524" w:type="dxa"/>
            <w:tcBorders>
              <w:top w:val="single" w:sz="4" w:space="0" w:color="auto"/>
              <w:bottom w:val="single" w:sz="4" w:space="0" w:color="auto"/>
            </w:tcBorders>
            <w:shd w:val="clear" w:color="auto" w:fill="FFFF99"/>
          </w:tcPr>
          <w:p w:rsidR="00574894" w:rsidRPr="00853ED7" w:rsidRDefault="00DF5C3B" w:rsidP="00574894">
            <w:pPr>
              <w:jc w:val="center"/>
              <w:rPr>
                <w:b/>
                <w:iCs/>
                <w:sz w:val="20"/>
              </w:rPr>
            </w:pPr>
            <w:r w:rsidRPr="00853ED7">
              <w:rPr>
                <w:b/>
                <w:iCs/>
                <w:sz w:val="20"/>
              </w:rPr>
              <w:t xml:space="preserve">Insulin </w:t>
            </w:r>
            <w:proofErr w:type="spellStart"/>
            <w:r w:rsidRPr="00853ED7">
              <w:rPr>
                <w:b/>
                <w:iCs/>
                <w:sz w:val="20"/>
              </w:rPr>
              <w:t>detemir</w:t>
            </w:r>
            <w:proofErr w:type="spellEnd"/>
          </w:p>
          <w:p w:rsidR="00DF5C3B" w:rsidRPr="00853ED7" w:rsidRDefault="00DF5C3B" w:rsidP="00574894">
            <w:pPr>
              <w:jc w:val="center"/>
              <w:rPr>
                <w:b/>
                <w:iCs/>
                <w:sz w:val="20"/>
              </w:rPr>
            </w:pPr>
            <w:r w:rsidRPr="00853ED7">
              <w:rPr>
                <w:b/>
                <w:iCs/>
                <w:sz w:val="20"/>
              </w:rPr>
              <w:t>once daily</w:t>
            </w:r>
          </w:p>
        </w:tc>
        <w:tc>
          <w:tcPr>
            <w:tcW w:w="1524" w:type="dxa"/>
            <w:tcBorders>
              <w:top w:val="single" w:sz="4" w:space="0" w:color="auto"/>
              <w:bottom w:val="single" w:sz="4" w:space="0" w:color="auto"/>
            </w:tcBorders>
            <w:shd w:val="clear" w:color="auto" w:fill="FFFF99"/>
          </w:tcPr>
          <w:p w:rsidR="00574894" w:rsidRPr="00853ED7" w:rsidRDefault="00DF5C3B" w:rsidP="0074322B">
            <w:pPr>
              <w:jc w:val="center"/>
              <w:rPr>
                <w:b/>
                <w:iCs/>
                <w:sz w:val="20"/>
              </w:rPr>
            </w:pPr>
            <w:r w:rsidRPr="00853ED7">
              <w:rPr>
                <w:b/>
                <w:iCs/>
                <w:sz w:val="20"/>
              </w:rPr>
              <w:t xml:space="preserve">Insulin </w:t>
            </w:r>
            <w:proofErr w:type="spellStart"/>
            <w:r w:rsidRPr="00853ED7">
              <w:rPr>
                <w:b/>
                <w:iCs/>
                <w:sz w:val="20"/>
              </w:rPr>
              <w:t>detemir</w:t>
            </w:r>
            <w:proofErr w:type="spellEnd"/>
          </w:p>
          <w:p w:rsidR="00DF5C3B" w:rsidRPr="00853ED7" w:rsidRDefault="00DF5C3B" w:rsidP="0074322B">
            <w:pPr>
              <w:jc w:val="center"/>
              <w:rPr>
                <w:b/>
                <w:iCs/>
                <w:sz w:val="20"/>
              </w:rPr>
            </w:pPr>
            <w:r w:rsidRPr="00853ED7">
              <w:rPr>
                <w:b/>
                <w:iCs/>
                <w:sz w:val="20"/>
              </w:rPr>
              <w:t>twice daily</w:t>
            </w:r>
          </w:p>
        </w:tc>
        <w:tc>
          <w:tcPr>
            <w:tcW w:w="1523" w:type="dxa"/>
            <w:tcBorders>
              <w:top w:val="single" w:sz="4" w:space="0" w:color="auto"/>
              <w:bottom w:val="single" w:sz="4" w:space="0" w:color="auto"/>
            </w:tcBorders>
            <w:shd w:val="clear" w:color="auto" w:fill="FFFF99"/>
          </w:tcPr>
          <w:p w:rsidR="00DF5C3B" w:rsidRPr="00853ED7" w:rsidRDefault="00DF5C3B" w:rsidP="0074322B">
            <w:pPr>
              <w:jc w:val="center"/>
              <w:rPr>
                <w:b/>
                <w:iCs/>
                <w:sz w:val="20"/>
              </w:rPr>
            </w:pPr>
            <w:r w:rsidRPr="00853ED7">
              <w:rPr>
                <w:b/>
                <w:iCs/>
                <w:sz w:val="20"/>
              </w:rPr>
              <w:t>NPH</w:t>
            </w:r>
          </w:p>
        </w:tc>
        <w:tc>
          <w:tcPr>
            <w:tcW w:w="1524" w:type="dxa"/>
            <w:tcBorders>
              <w:top w:val="single" w:sz="4" w:space="0" w:color="auto"/>
              <w:bottom w:val="single" w:sz="4" w:space="0" w:color="auto"/>
            </w:tcBorders>
            <w:shd w:val="clear" w:color="auto" w:fill="FFFF99"/>
          </w:tcPr>
          <w:p w:rsidR="00DF5C3B" w:rsidRPr="00853ED7" w:rsidRDefault="00DF5C3B" w:rsidP="0074322B">
            <w:pPr>
              <w:jc w:val="center"/>
              <w:rPr>
                <w:b/>
                <w:iCs/>
                <w:sz w:val="20"/>
              </w:rPr>
            </w:pPr>
            <w:r w:rsidRPr="00853ED7">
              <w:rPr>
                <w:b/>
                <w:iCs/>
                <w:sz w:val="20"/>
              </w:rPr>
              <w:t>Insulin</w:t>
            </w:r>
          </w:p>
          <w:p w:rsidR="00DF5C3B" w:rsidRPr="00853ED7" w:rsidRDefault="00DF5C3B" w:rsidP="00902EF3">
            <w:pPr>
              <w:jc w:val="center"/>
              <w:rPr>
                <w:b/>
                <w:iCs/>
                <w:sz w:val="20"/>
              </w:rPr>
            </w:pPr>
            <w:proofErr w:type="spellStart"/>
            <w:r w:rsidRPr="00853ED7">
              <w:rPr>
                <w:b/>
                <w:iCs/>
                <w:sz w:val="20"/>
              </w:rPr>
              <w:t>glargine</w:t>
            </w:r>
            <w:proofErr w:type="spellEnd"/>
          </w:p>
        </w:tc>
        <w:tc>
          <w:tcPr>
            <w:tcW w:w="1524" w:type="dxa"/>
            <w:tcBorders>
              <w:top w:val="single" w:sz="4" w:space="0" w:color="auto"/>
              <w:bottom w:val="single" w:sz="4" w:space="0" w:color="auto"/>
            </w:tcBorders>
            <w:shd w:val="clear" w:color="auto" w:fill="FFFF99"/>
          </w:tcPr>
          <w:p w:rsidR="00DF5C3B" w:rsidRPr="00853ED7" w:rsidRDefault="00DF5C3B" w:rsidP="00DF5C3B">
            <w:pPr>
              <w:jc w:val="center"/>
              <w:rPr>
                <w:iCs/>
                <w:sz w:val="20"/>
              </w:rPr>
            </w:pPr>
          </w:p>
        </w:tc>
      </w:tr>
      <w:tr w:rsidR="00DF5C3B" w:rsidRPr="00853ED7" w:rsidTr="006F4353">
        <w:tc>
          <w:tcPr>
            <w:tcW w:w="1453" w:type="dxa"/>
            <w:tcBorders>
              <w:top w:val="single" w:sz="4" w:space="0" w:color="auto"/>
            </w:tcBorders>
            <w:vAlign w:val="center"/>
          </w:tcPr>
          <w:p w:rsidR="00DF5C3B" w:rsidRPr="00853ED7" w:rsidRDefault="00DF5C3B" w:rsidP="00DF5C3B">
            <w:pPr>
              <w:jc w:val="center"/>
              <w:rPr>
                <w:iCs/>
                <w:sz w:val="20"/>
                <w:lang w:val="pt-PT"/>
              </w:rPr>
            </w:pPr>
            <w:r w:rsidRPr="00853ED7">
              <w:rPr>
                <w:iCs/>
                <w:sz w:val="20"/>
                <w:lang w:val="pt-PT"/>
              </w:rPr>
              <w:t>20 weeks</w:t>
            </w:r>
          </w:p>
        </w:tc>
        <w:tc>
          <w:tcPr>
            <w:tcW w:w="1524" w:type="dxa"/>
            <w:tcBorders>
              <w:top w:val="single" w:sz="4" w:space="0" w:color="auto"/>
            </w:tcBorders>
          </w:tcPr>
          <w:p w:rsidR="00DF5C3B" w:rsidRPr="00853ED7" w:rsidRDefault="00DF5C3B" w:rsidP="00DF5C3B">
            <w:pPr>
              <w:jc w:val="center"/>
              <w:rPr>
                <w:iCs/>
                <w:sz w:val="20"/>
                <w:lang w:val="pt-PT"/>
              </w:rPr>
            </w:pPr>
            <w:r w:rsidRPr="00853ED7">
              <w:rPr>
                <w:iCs/>
                <w:sz w:val="20"/>
                <w:lang w:val="pt-PT"/>
              </w:rPr>
              <w:t>+ 0.7 kg (a.m)</w:t>
            </w:r>
          </w:p>
          <w:p w:rsidR="00DF5C3B" w:rsidRPr="00853ED7" w:rsidRDefault="00DF5C3B" w:rsidP="00DF5C3B">
            <w:pPr>
              <w:jc w:val="center"/>
              <w:rPr>
                <w:iCs/>
                <w:sz w:val="20"/>
                <w:lang w:val="pt-PT"/>
              </w:rPr>
            </w:pPr>
            <w:r w:rsidRPr="00853ED7">
              <w:rPr>
                <w:iCs/>
                <w:sz w:val="20"/>
                <w:lang w:val="pt-PT"/>
              </w:rPr>
              <w:t>+ 1.1 kg (p.m)</w:t>
            </w:r>
          </w:p>
        </w:tc>
        <w:tc>
          <w:tcPr>
            <w:tcW w:w="1524" w:type="dxa"/>
            <w:tcBorders>
              <w:top w:val="single" w:sz="4" w:space="0" w:color="auto"/>
            </w:tcBorders>
          </w:tcPr>
          <w:p w:rsidR="00DF5C3B" w:rsidRPr="00853ED7" w:rsidRDefault="00DF5C3B" w:rsidP="00DF5C3B">
            <w:pPr>
              <w:jc w:val="center"/>
              <w:rPr>
                <w:iCs/>
                <w:sz w:val="20"/>
                <w:lang w:val="pt-PT"/>
              </w:rPr>
            </w:pPr>
          </w:p>
        </w:tc>
        <w:tc>
          <w:tcPr>
            <w:tcW w:w="1523" w:type="dxa"/>
            <w:tcBorders>
              <w:top w:val="single" w:sz="4" w:space="0" w:color="auto"/>
            </w:tcBorders>
            <w:vAlign w:val="center"/>
          </w:tcPr>
          <w:p w:rsidR="00DF5C3B" w:rsidRPr="00853ED7" w:rsidRDefault="00DF5C3B" w:rsidP="00DF5C3B">
            <w:pPr>
              <w:jc w:val="center"/>
              <w:rPr>
                <w:iCs/>
                <w:sz w:val="20"/>
                <w:lang w:val="pt-PT"/>
              </w:rPr>
            </w:pPr>
            <w:r w:rsidRPr="00853ED7">
              <w:rPr>
                <w:iCs/>
                <w:sz w:val="20"/>
                <w:lang w:val="pt-PT"/>
              </w:rPr>
              <w:t>+ 1.6 kg</w:t>
            </w:r>
          </w:p>
        </w:tc>
        <w:tc>
          <w:tcPr>
            <w:tcW w:w="1524" w:type="dxa"/>
            <w:tcBorders>
              <w:top w:val="single" w:sz="4" w:space="0" w:color="auto"/>
            </w:tcBorders>
          </w:tcPr>
          <w:p w:rsidR="00DF5C3B" w:rsidRPr="00853ED7" w:rsidRDefault="00DF5C3B" w:rsidP="00DF5C3B">
            <w:pPr>
              <w:jc w:val="center"/>
              <w:rPr>
                <w:iCs/>
                <w:sz w:val="20"/>
                <w:lang w:val="pt-PT"/>
              </w:rPr>
            </w:pPr>
          </w:p>
        </w:tc>
        <w:tc>
          <w:tcPr>
            <w:tcW w:w="1524" w:type="dxa"/>
            <w:tcBorders>
              <w:top w:val="single" w:sz="4" w:space="0" w:color="auto"/>
            </w:tcBorders>
          </w:tcPr>
          <w:p w:rsidR="00DF5C3B" w:rsidRPr="00853ED7" w:rsidRDefault="00DF5C3B" w:rsidP="00DF5C3B">
            <w:pPr>
              <w:jc w:val="center"/>
              <w:rPr>
                <w:iCs/>
                <w:sz w:val="20"/>
                <w:lang w:val="pt-PT"/>
              </w:rPr>
            </w:pPr>
            <w:r w:rsidRPr="00853ED7">
              <w:rPr>
                <w:iCs/>
                <w:sz w:val="20"/>
                <w:lang w:val="pt-PT"/>
              </w:rPr>
              <w:t>p = 0.005</w:t>
            </w:r>
          </w:p>
          <w:p w:rsidR="00DF5C3B" w:rsidRPr="00853ED7" w:rsidRDefault="00DF5C3B" w:rsidP="00DA03A7">
            <w:pPr>
              <w:jc w:val="center"/>
              <w:rPr>
                <w:iCs/>
                <w:sz w:val="20"/>
                <w:lang w:val="pt-PT"/>
              </w:rPr>
            </w:pPr>
            <w:r w:rsidRPr="00853ED7">
              <w:rPr>
                <w:iCs/>
                <w:sz w:val="20"/>
                <w:lang w:val="pt-PT"/>
              </w:rPr>
              <w:t>n</w:t>
            </w:r>
            <w:r w:rsidR="00DA03A7" w:rsidRPr="00853ED7">
              <w:rPr>
                <w:iCs/>
                <w:sz w:val="20"/>
                <w:lang w:val="pt-PT"/>
              </w:rPr>
              <w:t xml:space="preserve">ot </w:t>
            </w:r>
            <w:r w:rsidRPr="00853ED7">
              <w:rPr>
                <w:iCs/>
                <w:sz w:val="20"/>
                <w:lang w:val="pt-PT"/>
              </w:rPr>
              <w:t>s</w:t>
            </w:r>
            <w:r w:rsidR="00DA03A7" w:rsidRPr="00853ED7">
              <w:rPr>
                <w:iCs/>
                <w:sz w:val="20"/>
                <w:lang w:val="pt-PT"/>
              </w:rPr>
              <w:t>ignificant</w:t>
            </w:r>
          </w:p>
        </w:tc>
      </w:tr>
      <w:tr w:rsidR="00DF5C3B" w:rsidRPr="00853ED7" w:rsidTr="006F4353">
        <w:trPr>
          <w:trHeight w:val="96"/>
        </w:trPr>
        <w:tc>
          <w:tcPr>
            <w:tcW w:w="1453" w:type="dxa"/>
            <w:vAlign w:val="center"/>
          </w:tcPr>
          <w:p w:rsidR="00DF5C3B" w:rsidRPr="00853ED7" w:rsidRDefault="00DF5C3B" w:rsidP="00DF5C3B">
            <w:pPr>
              <w:jc w:val="center"/>
              <w:rPr>
                <w:iCs/>
                <w:sz w:val="20"/>
                <w:lang w:val="pt-PT"/>
              </w:rPr>
            </w:pPr>
            <w:r w:rsidRPr="00853ED7">
              <w:rPr>
                <w:iCs/>
                <w:sz w:val="20"/>
                <w:lang w:val="pt-PT"/>
              </w:rPr>
              <w:t>26 weeks</w:t>
            </w:r>
          </w:p>
        </w:tc>
        <w:tc>
          <w:tcPr>
            <w:tcW w:w="1524" w:type="dxa"/>
          </w:tcPr>
          <w:p w:rsidR="00DF5C3B" w:rsidRPr="00853ED7" w:rsidRDefault="00DF5C3B" w:rsidP="00DF5C3B">
            <w:pPr>
              <w:jc w:val="center"/>
              <w:rPr>
                <w:iCs/>
                <w:sz w:val="20"/>
              </w:rPr>
            </w:pPr>
          </w:p>
        </w:tc>
        <w:tc>
          <w:tcPr>
            <w:tcW w:w="1524" w:type="dxa"/>
          </w:tcPr>
          <w:p w:rsidR="00DF5C3B" w:rsidRPr="00853ED7" w:rsidRDefault="00DF5C3B" w:rsidP="00DF5C3B">
            <w:pPr>
              <w:jc w:val="center"/>
              <w:rPr>
                <w:iCs/>
                <w:sz w:val="20"/>
              </w:rPr>
            </w:pPr>
            <w:r w:rsidRPr="00853ED7">
              <w:rPr>
                <w:iCs/>
                <w:sz w:val="20"/>
              </w:rPr>
              <w:t>+ 1.2 kg</w:t>
            </w:r>
          </w:p>
        </w:tc>
        <w:tc>
          <w:tcPr>
            <w:tcW w:w="1523" w:type="dxa"/>
          </w:tcPr>
          <w:p w:rsidR="00DF5C3B" w:rsidRPr="00853ED7" w:rsidRDefault="00DF5C3B" w:rsidP="00DF5C3B">
            <w:pPr>
              <w:jc w:val="center"/>
              <w:rPr>
                <w:iCs/>
                <w:sz w:val="20"/>
              </w:rPr>
            </w:pPr>
            <w:r w:rsidRPr="00853ED7">
              <w:rPr>
                <w:iCs/>
                <w:sz w:val="20"/>
                <w:lang w:val="pt-PT"/>
              </w:rPr>
              <w:t>+ 2.8 kg</w:t>
            </w:r>
          </w:p>
        </w:tc>
        <w:tc>
          <w:tcPr>
            <w:tcW w:w="1524" w:type="dxa"/>
          </w:tcPr>
          <w:p w:rsidR="00DF5C3B" w:rsidRPr="00853ED7" w:rsidRDefault="00DF5C3B" w:rsidP="00DF5C3B">
            <w:pPr>
              <w:jc w:val="center"/>
              <w:rPr>
                <w:iCs/>
                <w:sz w:val="20"/>
              </w:rPr>
            </w:pPr>
          </w:p>
        </w:tc>
        <w:tc>
          <w:tcPr>
            <w:tcW w:w="1524" w:type="dxa"/>
          </w:tcPr>
          <w:p w:rsidR="00DF5C3B" w:rsidRPr="00853ED7" w:rsidRDefault="00DF5C3B" w:rsidP="00DF5C3B">
            <w:pPr>
              <w:jc w:val="center"/>
              <w:rPr>
                <w:iCs/>
                <w:sz w:val="20"/>
              </w:rPr>
            </w:pPr>
            <w:r w:rsidRPr="00853ED7">
              <w:rPr>
                <w:iCs/>
                <w:sz w:val="20"/>
              </w:rPr>
              <w:t>p &lt; 0.001</w:t>
            </w:r>
          </w:p>
        </w:tc>
      </w:tr>
      <w:tr w:rsidR="00DF5C3B" w:rsidRPr="00853ED7" w:rsidTr="006F4353">
        <w:trPr>
          <w:trHeight w:val="96"/>
        </w:trPr>
        <w:tc>
          <w:tcPr>
            <w:tcW w:w="1453" w:type="dxa"/>
            <w:tcBorders>
              <w:bottom w:val="single" w:sz="4" w:space="0" w:color="auto"/>
            </w:tcBorders>
            <w:vAlign w:val="center"/>
          </w:tcPr>
          <w:p w:rsidR="00DF5C3B" w:rsidRPr="00853ED7" w:rsidRDefault="00DF5C3B" w:rsidP="00DF5C3B">
            <w:pPr>
              <w:jc w:val="center"/>
              <w:rPr>
                <w:iCs/>
                <w:sz w:val="20"/>
                <w:lang w:val="pt-PT"/>
              </w:rPr>
            </w:pPr>
            <w:r w:rsidRPr="00853ED7">
              <w:rPr>
                <w:iCs/>
                <w:sz w:val="20"/>
                <w:lang w:val="pt-PT"/>
              </w:rPr>
              <w:t>52 weeks</w:t>
            </w:r>
          </w:p>
        </w:tc>
        <w:tc>
          <w:tcPr>
            <w:tcW w:w="1524" w:type="dxa"/>
            <w:tcBorders>
              <w:bottom w:val="single" w:sz="4" w:space="0" w:color="auto"/>
            </w:tcBorders>
          </w:tcPr>
          <w:p w:rsidR="00DF5C3B" w:rsidRPr="00853ED7" w:rsidRDefault="00DF5C3B" w:rsidP="00DF5C3B">
            <w:pPr>
              <w:jc w:val="center"/>
              <w:rPr>
                <w:iCs/>
                <w:sz w:val="20"/>
              </w:rPr>
            </w:pPr>
            <w:r w:rsidRPr="00853ED7">
              <w:rPr>
                <w:iCs/>
                <w:sz w:val="20"/>
              </w:rPr>
              <w:t>+ 2.3 kg</w:t>
            </w:r>
          </w:p>
        </w:tc>
        <w:tc>
          <w:tcPr>
            <w:tcW w:w="1524" w:type="dxa"/>
            <w:tcBorders>
              <w:bottom w:val="single" w:sz="4" w:space="0" w:color="auto"/>
            </w:tcBorders>
          </w:tcPr>
          <w:p w:rsidR="00DF5C3B" w:rsidRPr="00853ED7" w:rsidRDefault="00DF5C3B" w:rsidP="00DF5C3B">
            <w:pPr>
              <w:jc w:val="center"/>
              <w:rPr>
                <w:iCs/>
                <w:sz w:val="20"/>
              </w:rPr>
            </w:pPr>
          </w:p>
          <w:p w:rsidR="00DF5C3B" w:rsidRPr="00853ED7" w:rsidRDefault="00DF5C3B" w:rsidP="00DF5C3B">
            <w:pPr>
              <w:jc w:val="center"/>
              <w:rPr>
                <w:iCs/>
                <w:sz w:val="20"/>
              </w:rPr>
            </w:pPr>
            <w:r w:rsidRPr="00853ED7">
              <w:rPr>
                <w:iCs/>
                <w:sz w:val="20"/>
              </w:rPr>
              <w:t>+ 3.7 kg</w:t>
            </w:r>
          </w:p>
        </w:tc>
        <w:tc>
          <w:tcPr>
            <w:tcW w:w="1523" w:type="dxa"/>
            <w:tcBorders>
              <w:bottom w:val="single" w:sz="4" w:space="0" w:color="auto"/>
            </w:tcBorders>
          </w:tcPr>
          <w:p w:rsidR="00DF5C3B" w:rsidRPr="00853ED7" w:rsidRDefault="00DF5C3B" w:rsidP="00DF5C3B">
            <w:pPr>
              <w:jc w:val="center"/>
              <w:rPr>
                <w:iCs/>
                <w:sz w:val="20"/>
              </w:rPr>
            </w:pPr>
          </w:p>
        </w:tc>
        <w:tc>
          <w:tcPr>
            <w:tcW w:w="1524" w:type="dxa"/>
            <w:tcBorders>
              <w:bottom w:val="single" w:sz="4" w:space="0" w:color="auto"/>
            </w:tcBorders>
            <w:vAlign w:val="center"/>
          </w:tcPr>
          <w:p w:rsidR="00DF5C3B" w:rsidRPr="00853ED7" w:rsidRDefault="00DF5C3B" w:rsidP="00DF5C3B">
            <w:pPr>
              <w:jc w:val="center"/>
              <w:rPr>
                <w:iCs/>
                <w:sz w:val="20"/>
              </w:rPr>
            </w:pPr>
            <w:r w:rsidRPr="00853ED7">
              <w:rPr>
                <w:iCs/>
                <w:sz w:val="20"/>
                <w:lang w:val="pt-PT"/>
              </w:rPr>
              <w:t>+ 4.0 kg</w:t>
            </w:r>
          </w:p>
        </w:tc>
        <w:tc>
          <w:tcPr>
            <w:tcW w:w="1524" w:type="dxa"/>
            <w:tcBorders>
              <w:bottom w:val="single" w:sz="4" w:space="0" w:color="auto"/>
            </w:tcBorders>
          </w:tcPr>
          <w:p w:rsidR="00DF5C3B" w:rsidRPr="00853ED7" w:rsidRDefault="00DF5C3B" w:rsidP="00DF5C3B">
            <w:pPr>
              <w:jc w:val="center"/>
              <w:rPr>
                <w:iCs/>
                <w:sz w:val="20"/>
                <w:lang w:val="pt-PT"/>
              </w:rPr>
            </w:pPr>
            <w:r w:rsidRPr="00853ED7">
              <w:rPr>
                <w:iCs/>
                <w:sz w:val="20"/>
                <w:lang w:val="pt-PT"/>
              </w:rPr>
              <w:t>p &lt; 0.001</w:t>
            </w:r>
          </w:p>
          <w:p w:rsidR="00DF5C3B" w:rsidRPr="00853ED7" w:rsidRDefault="00DF5C3B" w:rsidP="00DA03A7">
            <w:pPr>
              <w:jc w:val="center"/>
              <w:rPr>
                <w:iCs/>
                <w:sz w:val="20"/>
                <w:lang w:val="pt-PT"/>
              </w:rPr>
            </w:pPr>
            <w:r w:rsidRPr="00853ED7">
              <w:rPr>
                <w:iCs/>
                <w:sz w:val="20"/>
                <w:lang w:val="pt-PT"/>
              </w:rPr>
              <w:t>n</w:t>
            </w:r>
            <w:r w:rsidR="00DA03A7" w:rsidRPr="00853ED7">
              <w:rPr>
                <w:iCs/>
                <w:sz w:val="20"/>
                <w:lang w:val="pt-PT"/>
              </w:rPr>
              <w:t xml:space="preserve">ot </w:t>
            </w:r>
            <w:r w:rsidRPr="00853ED7">
              <w:rPr>
                <w:iCs/>
                <w:sz w:val="20"/>
                <w:lang w:val="pt-PT"/>
              </w:rPr>
              <w:t>s</w:t>
            </w:r>
            <w:r w:rsidR="00DA03A7" w:rsidRPr="00853ED7">
              <w:rPr>
                <w:iCs/>
                <w:sz w:val="20"/>
                <w:lang w:val="pt-PT"/>
              </w:rPr>
              <w:t>ignificant</w:t>
            </w:r>
          </w:p>
        </w:tc>
      </w:tr>
    </w:tbl>
    <w:p w:rsidR="00DF5C3B" w:rsidRPr="00186DDC" w:rsidRDefault="00DF5C3B" w:rsidP="00B8620E">
      <w:pPr>
        <w:rPr>
          <w:rStyle w:val="Emphasis"/>
          <w:i w:val="0"/>
          <w:sz w:val="22"/>
          <w:szCs w:val="18"/>
        </w:rPr>
      </w:pPr>
    </w:p>
    <w:p w:rsidR="00DA03A7" w:rsidRPr="00853ED7" w:rsidRDefault="00DA03A7" w:rsidP="00B8620E">
      <w:pPr>
        <w:rPr>
          <w:sz w:val="22"/>
          <w:szCs w:val="22"/>
          <w:lang w:val="en-GB"/>
        </w:rPr>
      </w:pPr>
      <w:bookmarkStart w:id="11" w:name="OLE_LINK37"/>
      <w:bookmarkStart w:id="12" w:name="OLE_LINK38"/>
      <w:bookmarkStart w:id="13" w:name="OLE_LINK30"/>
      <w:bookmarkStart w:id="14" w:name="OLE_LINK31"/>
      <w:r w:rsidRPr="00853ED7">
        <w:rPr>
          <w:sz w:val="22"/>
          <w:szCs w:val="22"/>
          <w:lang w:eastAsia="en-AU"/>
        </w:rPr>
        <w:t xml:space="preserve">In a trial investigating add-on insulin </w:t>
      </w:r>
      <w:proofErr w:type="spellStart"/>
      <w:r w:rsidRPr="00853ED7">
        <w:rPr>
          <w:sz w:val="22"/>
          <w:szCs w:val="22"/>
          <w:lang w:eastAsia="en-AU"/>
        </w:rPr>
        <w:t>detemir</w:t>
      </w:r>
      <w:proofErr w:type="spellEnd"/>
      <w:r w:rsidRPr="00853ED7">
        <w:rPr>
          <w:sz w:val="22"/>
          <w:szCs w:val="22"/>
          <w:lang w:eastAsia="en-AU"/>
        </w:rPr>
        <w:t xml:space="preserve"> with </w:t>
      </w:r>
      <w:proofErr w:type="spellStart"/>
      <w:r w:rsidRPr="00853ED7">
        <w:rPr>
          <w:sz w:val="22"/>
          <w:szCs w:val="22"/>
          <w:lang w:eastAsia="en-AU"/>
        </w:rPr>
        <w:t>liraglutide</w:t>
      </w:r>
      <w:proofErr w:type="spellEnd"/>
      <w:r w:rsidRPr="00853ED7">
        <w:rPr>
          <w:sz w:val="22"/>
          <w:szCs w:val="22"/>
          <w:lang w:eastAsia="en-AU"/>
        </w:rPr>
        <w:t xml:space="preserve"> and metformin (see ‘Clinical Trials’), weight reduction of 3.5 kg was observed during the initial 12 week run-in period on </w:t>
      </w:r>
      <w:proofErr w:type="spellStart"/>
      <w:r w:rsidRPr="00853ED7">
        <w:rPr>
          <w:sz w:val="22"/>
          <w:szCs w:val="22"/>
          <w:lang w:eastAsia="en-AU"/>
        </w:rPr>
        <w:t>liraglutide</w:t>
      </w:r>
      <w:proofErr w:type="spellEnd"/>
      <w:r w:rsidRPr="00853ED7">
        <w:rPr>
          <w:sz w:val="22"/>
          <w:szCs w:val="22"/>
          <w:lang w:eastAsia="en-AU"/>
        </w:rPr>
        <w:t xml:space="preserve"> and metformin alone. Adding insulin </w:t>
      </w:r>
      <w:proofErr w:type="spellStart"/>
      <w:r w:rsidRPr="00853ED7">
        <w:rPr>
          <w:sz w:val="22"/>
          <w:szCs w:val="22"/>
          <w:lang w:eastAsia="en-AU"/>
        </w:rPr>
        <w:t>detemir</w:t>
      </w:r>
      <w:proofErr w:type="spellEnd"/>
      <w:r w:rsidRPr="00853ED7">
        <w:rPr>
          <w:sz w:val="22"/>
          <w:szCs w:val="22"/>
          <w:lang w:eastAsia="en-AU"/>
        </w:rPr>
        <w:t xml:space="preserve"> did not result in any further clinically significant loss of weight but the initial loss was sustained.</w:t>
      </w:r>
    </w:p>
    <w:p w:rsidR="00DA03A7" w:rsidRPr="00853ED7" w:rsidRDefault="00DA03A7" w:rsidP="00B8620E">
      <w:pPr>
        <w:rPr>
          <w:sz w:val="22"/>
          <w:szCs w:val="22"/>
          <w:lang w:val="en-GB"/>
        </w:rPr>
      </w:pPr>
    </w:p>
    <w:p w:rsidR="00D77859" w:rsidRPr="00853ED7" w:rsidRDefault="00D77859" w:rsidP="00B8620E">
      <w:pPr>
        <w:rPr>
          <w:sz w:val="22"/>
          <w:szCs w:val="22"/>
          <w:lang w:eastAsia="en-AU"/>
        </w:rPr>
      </w:pPr>
      <w:r w:rsidRPr="00853ED7">
        <w:rPr>
          <w:sz w:val="22"/>
          <w:szCs w:val="22"/>
          <w:lang w:eastAsia="en-AU"/>
        </w:rPr>
        <w:t xml:space="preserve">In clinical trials in adults using basal bolus insulin therapy, the overall rates of hypoglycaemia with </w:t>
      </w:r>
      <w:proofErr w:type="spellStart"/>
      <w:r w:rsidRPr="00853ED7">
        <w:rPr>
          <w:sz w:val="22"/>
          <w:szCs w:val="22"/>
          <w:lang w:eastAsia="en-AU"/>
        </w:rPr>
        <w:t>Levemir</w:t>
      </w:r>
      <w:proofErr w:type="spellEnd"/>
      <w:r w:rsidRPr="00853ED7">
        <w:rPr>
          <w:sz w:val="22"/>
          <w:szCs w:val="22"/>
          <w:lang w:eastAsia="en-AU"/>
        </w:rPr>
        <w:t xml:space="preserve"> and NPH insulin were similar. Analyses of nocturnal hypoglycaemia in patients with type 1 diabetes showed a significantly lower risk of minor nocturnal hypoglycaemia (able to self-treat and confirmed by capillary blood glucose less than 2.8 </w:t>
      </w:r>
      <w:proofErr w:type="spellStart"/>
      <w:r w:rsidRPr="00853ED7">
        <w:rPr>
          <w:sz w:val="22"/>
          <w:szCs w:val="22"/>
          <w:lang w:eastAsia="en-AU"/>
        </w:rPr>
        <w:t>mmol</w:t>
      </w:r>
      <w:proofErr w:type="spellEnd"/>
      <w:r w:rsidRPr="00853ED7">
        <w:rPr>
          <w:sz w:val="22"/>
          <w:szCs w:val="22"/>
          <w:lang w:eastAsia="en-AU"/>
        </w:rPr>
        <w:t xml:space="preserve">/L or 3.1 </w:t>
      </w:r>
      <w:proofErr w:type="spellStart"/>
      <w:r w:rsidRPr="00853ED7">
        <w:rPr>
          <w:sz w:val="22"/>
          <w:szCs w:val="22"/>
          <w:lang w:eastAsia="en-AU"/>
        </w:rPr>
        <w:t>mmol</w:t>
      </w:r>
      <w:proofErr w:type="spellEnd"/>
      <w:r w:rsidRPr="00853ED7">
        <w:rPr>
          <w:sz w:val="22"/>
          <w:szCs w:val="22"/>
          <w:lang w:eastAsia="en-AU"/>
        </w:rPr>
        <w:t xml:space="preserve">/L if expressed as plasma glucose) than with NPH insulin, whereas no difference was seen in type 2 diabetes. Furthermore, the overall risk of nocturnal hypoglycaemia in children and adolescents aged </w:t>
      </w:r>
      <w:r w:rsidR="005D7C36" w:rsidRPr="00853ED7">
        <w:rPr>
          <w:sz w:val="22"/>
          <w:szCs w:val="22"/>
          <w:lang w:eastAsia="en-AU"/>
        </w:rPr>
        <w:t xml:space="preserve">2 </w:t>
      </w:r>
      <w:r w:rsidRPr="00853ED7">
        <w:rPr>
          <w:sz w:val="22"/>
          <w:szCs w:val="22"/>
          <w:lang w:eastAsia="en-AU"/>
        </w:rPr>
        <w:t xml:space="preserve">to 17 years with type 1 diabetes was significantly lower with </w:t>
      </w:r>
      <w:proofErr w:type="spellStart"/>
      <w:r w:rsidRPr="00853ED7">
        <w:rPr>
          <w:sz w:val="22"/>
          <w:szCs w:val="22"/>
          <w:lang w:eastAsia="en-AU"/>
        </w:rPr>
        <w:t>Levemir</w:t>
      </w:r>
      <w:proofErr w:type="spellEnd"/>
      <w:r w:rsidRPr="00853ED7">
        <w:rPr>
          <w:sz w:val="22"/>
          <w:szCs w:val="22"/>
          <w:lang w:eastAsia="en-AU"/>
        </w:rPr>
        <w:t xml:space="preserve"> compared to NPH insulin. In trials with the use of OAD-insulin combination therapy in adults with type 2 diabetes, </w:t>
      </w:r>
      <w:proofErr w:type="spellStart"/>
      <w:r w:rsidRPr="00853ED7">
        <w:rPr>
          <w:sz w:val="22"/>
          <w:szCs w:val="22"/>
          <w:lang w:eastAsia="en-AU"/>
        </w:rPr>
        <w:t>Levemir</w:t>
      </w:r>
      <w:proofErr w:type="spellEnd"/>
      <w:r w:rsidRPr="00853ED7">
        <w:rPr>
          <w:sz w:val="22"/>
          <w:szCs w:val="22"/>
          <w:lang w:eastAsia="en-AU"/>
        </w:rPr>
        <w:t xml:space="preserve"> treatment resulted in a 61-65% lower risk of minor nocturnal hypoglycaemia compared to NPH.</w:t>
      </w:r>
    </w:p>
    <w:p w:rsidR="00D77859" w:rsidRPr="00186DDC" w:rsidRDefault="00D77859" w:rsidP="00B8620E">
      <w:pPr>
        <w:rPr>
          <w:sz w:val="22"/>
          <w:szCs w:val="22"/>
          <w:lang w:eastAsia="en-AU"/>
        </w:rPr>
      </w:pPr>
    </w:p>
    <w:p w:rsidR="00D77859" w:rsidRPr="00853ED7" w:rsidRDefault="00D77859" w:rsidP="00B8620E">
      <w:pPr>
        <w:rPr>
          <w:sz w:val="22"/>
          <w:szCs w:val="22"/>
          <w:lang w:val="en-GB"/>
        </w:rPr>
      </w:pPr>
      <w:r w:rsidRPr="00853ED7">
        <w:rPr>
          <w:sz w:val="22"/>
          <w:szCs w:val="22"/>
          <w:lang w:val="en-GB"/>
        </w:rPr>
        <w:t xml:space="preserve">The prolonged action of </w:t>
      </w:r>
      <w:proofErr w:type="spellStart"/>
      <w:r w:rsidRPr="00853ED7">
        <w:rPr>
          <w:sz w:val="22"/>
          <w:szCs w:val="22"/>
          <w:lang w:val="en-GB"/>
        </w:rPr>
        <w:t>Levemir</w:t>
      </w:r>
      <w:proofErr w:type="spellEnd"/>
      <w:r w:rsidRPr="00853ED7">
        <w:rPr>
          <w:sz w:val="22"/>
          <w:szCs w:val="22"/>
          <w:lang w:val="en-GB"/>
        </w:rPr>
        <w:t xml:space="preserve"> is thought to be mediated by the strong self-association of insulin </w:t>
      </w:r>
      <w:proofErr w:type="spellStart"/>
      <w:r w:rsidRPr="00853ED7">
        <w:rPr>
          <w:sz w:val="22"/>
          <w:szCs w:val="22"/>
          <w:lang w:val="en-GB"/>
        </w:rPr>
        <w:t>detemir</w:t>
      </w:r>
      <w:proofErr w:type="spellEnd"/>
      <w:r w:rsidRPr="00853ED7">
        <w:rPr>
          <w:sz w:val="22"/>
          <w:szCs w:val="22"/>
          <w:lang w:val="en-GB"/>
        </w:rPr>
        <w:t xml:space="preserve"> molecules at the injection site, and binding to plasma proteins, most likely albumin, via the fatty acyl side-chain. Insulin </w:t>
      </w:r>
      <w:proofErr w:type="spellStart"/>
      <w:r w:rsidRPr="00853ED7">
        <w:rPr>
          <w:sz w:val="22"/>
          <w:szCs w:val="22"/>
          <w:lang w:val="en-GB"/>
        </w:rPr>
        <w:t>detemir</w:t>
      </w:r>
      <w:proofErr w:type="spellEnd"/>
      <w:r w:rsidRPr="00853ED7">
        <w:rPr>
          <w:sz w:val="22"/>
          <w:szCs w:val="22"/>
          <w:lang w:val="en-GB"/>
        </w:rPr>
        <w:t xml:space="preserve"> is distributed more slowly to peripheral target tissues compared to </w:t>
      </w:r>
      <w:proofErr w:type="spellStart"/>
      <w:r w:rsidRPr="00853ED7">
        <w:rPr>
          <w:sz w:val="22"/>
          <w:szCs w:val="22"/>
          <w:lang w:val="en-GB"/>
        </w:rPr>
        <w:t>isophane</w:t>
      </w:r>
      <w:proofErr w:type="spellEnd"/>
      <w:r w:rsidRPr="00853ED7">
        <w:rPr>
          <w:sz w:val="22"/>
          <w:szCs w:val="22"/>
          <w:lang w:val="en-GB"/>
        </w:rPr>
        <w:t xml:space="preserve"> insulin. </w:t>
      </w:r>
    </w:p>
    <w:p w:rsidR="00D77859" w:rsidRPr="00853ED7" w:rsidRDefault="00D77859" w:rsidP="00B8620E">
      <w:pPr>
        <w:rPr>
          <w:sz w:val="22"/>
          <w:szCs w:val="22"/>
          <w:lang w:val="en-GB"/>
        </w:rPr>
      </w:pPr>
    </w:p>
    <w:p w:rsidR="00D77859" w:rsidRPr="00853ED7" w:rsidRDefault="00D77859" w:rsidP="00B8620E">
      <w:pPr>
        <w:rPr>
          <w:sz w:val="22"/>
          <w:szCs w:val="22"/>
          <w:lang w:val="en-GB"/>
        </w:rPr>
      </w:pPr>
      <w:r w:rsidRPr="00853ED7">
        <w:rPr>
          <w:sz w:val="22"/>
          <w:szCs w:val="22"/>
          <w:lang w:val="en-GB"/>
        </w:rPr>
        <w:t xml:space="preserve">The blood glucose lowering effect of </w:t>
      </w:r>
      <w:proofErr w:type="spellStart"/>
      <w:r w:rsidRPr="00853ED7">
        <w:rPr>
          <w:sz w:val="22"/>
          <w:szCs w:val="22"/>
          <w:lang w:val="en-GB"/>
        </w:rPr>
        <w:t>Levemir</w:t>
      </w:r>
      <w:proofErr w:type="spellEnd"/>
      <w:r w:rsidRPr="00853ED7">
        <w:rPr>
          <w:sz w:val="22"/>
          <w:szCs w:val="22"/>
          <w:lang w:val="en-GB"/>
        </w:rPr>
        <w:t xml:space="preserve"> is due to the facilitated uptake of glucose following binding of insulin </w:t>
      </w:r>
      <w:proofErr w:type="spellStart"/>
      <w:r w:rsidRPr="00853ED7">
        <w:rPr>
          <w:sz w:val="22"/>
          <w:szCs w:val="22"/>
          <w:lang w:val="en-GB"/>
        </w:rPr>
        <w:t>detemir</w:t>
      </w:r>
      <w:proofErr w:type="spellEnd"/>
      <w:r w:rsidRPr="00853ED7">
        <w:rPr>
          <w:sz w:val="22"/>
          <w:szCs w:val="22"/>
          <w:lang w:val="en-GB"/>
        </w:rPr>
        <w:t xml:space="preserve"> to receptors on muscle and fat cells and to decreased glucose output from the liver. </w:t>
      </w:r>
      <w:r w:rsidRPr="0001118A">
        <w:rPr>
          <w:i/>
          <w:sz w:val="22"/>
          <w:szCs w:val="22"/>
          <w:lang w:val="en-GB"/>
        </w:rPr>
        <w:t>In vitro</w:t>
      </w:r>
      <w:r w:rsidRPr="00853ED7">
        <w:rPr>
          <w:sz w:val="22"/>
          <w:szCs w:val="22"/>
          <w:lang w:val="en-GB"/>
        </w:rPr>
        <w:t xml:space="preserve"> testing of insulin </w:t>
      </w:r>
      <w:proofErr w:type="spellStart"/>
      <w:r w:rsidRPr="00853ED7">
        <w:rPr>
          <w:sz w:val="22"/>
          <w:szCs w:val="22"/>
          <w:lang w:val="en-GB"/>
        </w:rPr>
        <w:t>detemir’s</w:t>
      </w:r>
      <w:proofErr w:type="spellEnd"/>
      <w:r w:rsidRPr="00853ED7">
        <w:rPr>
          <w:sz w:val="22"/>
          <w:szCs w:val="22"/>
          <w:lang w:val="en-GB"/>
        </w:rPr>
        <w:t xml:space="preserve"> binding to the insulin and IGF-1 receptors has shown that </w:t>
      </w:r>
      <w:proofErr w:type="spellStart"/>
      <w:r w:rsidRPr="00853ED7">
        <w:rPr>
          <w:sz w:val="22"/>
          <w:szCs w:val="22"/>
          <w:lang w:val="en-GB"/>
        </w:rPr>
        <w:t>Levemir</w:t>
      </w:r>
      <w:proofErr w:type="spellEnd"/>
      <w:r w:rsidRPr="00853ED7">
        <w:rPr>
          <w:sz w:val="22"/>
          <w:szCs w:val="22"/>
          <w:lang w:val="en-GB"/>
        </w:rPr>
        <w:t xml:space="preserve"> has</w:t>
      </w:r>
      <w:r w:rsidR="00ED7E0B" w:rsidRPr="00853ED7">
        <w:rPr>
          <w:sz w:val="22"/>
          <w:szCs w:val="22"/>
          <w:lang w:val="en-GB"/>
        </w:rPr>
        <w:t xml:space="preserve"> </w:t>
      </w:r>
      <w:r w:rsidRPr="00853ED7">
        <w:rPr>
          <w:sz w:val="22"/>
          <w:szCs w:val="22"/>
          <w:lang w:val="en-GB"/>
        </w:rPr>
        <w:t xml:space="preserve">reduced affinity to both receptors. The clinical correlates of this have not been established. The molar dose of insulin </w:t>
      </w:r>
      <w:proofErr w:type="spellStart"/>
      <w:r w:rsidRPr="00853ED7">
        <w:rPr>
          <w:sz w:val="22"/>
          <w:szCs w:val="22"/>
          <w:lang w:val="en-GB"/>
        </w:rPr>
        <w:t>detemir</w:t>
      </w:r>
      <w:proofErr w:type="spellEnd"/>
      <w:r w:rsidRPr="00853ED7">
        <w:rPr>
          <w:sz w:val="22"/>
          <w:szCs w:val="22"/>
          <w:lang w:val="en-GB"/>
        </w:rPr>
        <w:t xml:space="preserve"> is approximately fourfold higher compared with human insulin. One unit of </w:t>
      </w:r>
      <w:proofErr w:type="spellStart"/>
      <w:r w:rsidRPr="00853ED7">
        <w:rPr>
          <w:sz w:val="22"/>
          <w:szCs w:val="22"/>
          <w:lang w:val="en-GB"/>
        </w:rPr>
        <w:t>Levemir</w:t>
      </w:r>
      <w:proofErr w:type="spellEnd"/>
      <w:r w:rsidRPr="00853ED7">
        <w:rPr>
          <w:sz w:val="22"/>
          <w:szCs w:val="22"/>
          <w:lang w:val="en-GB"/>
        </w:rPr>
        <w:t xml:space="preserve"> is approximately equipotent to one international unit of human insulin.</w:t>
      </w:r>
      <w:r w:rsidR="00DB3DFF" w:rsidRPr="00853ED7">
        <w:rPr>
          <w:sz w:val="22"/>
          <w:szCs w:val="22"/>
          <w:lang w:val="en-GB"/>
        </w:rPr>
        <w:t xml:space="preserve"> See ‘Clinical Trials’ section for dose data observed in randomised clinical trials in types 1 and 2 diabetes.</w:t>
      </w:r>
    </w:p>
    <w:bookmarkEnd w:id="11"/>
    <w:bookmarkEnd w:id="12"/>
    <w:p w:rsidR="00D77859" w:rsidRPr="00853ED7" w:rsidRDefault="00D77859">
      <w:pPr>
        <w:tabs>
          <w:tab w:val="left" w:pos="567"/>
        </w:tabs>
        <w:rPr>
          <w:sz w:val="22"/>
          <w:szCs w:val="22"/>
        </w:rPr>
      </w:pPr>
    </w:p>
    <w:bookmarkEnd w:id="13"/>
    <w:bookmarkEnd w:id="14"/>
    <w:p w:rsidR="00D77859" w:rsidRPr="00853ED7" w:rsidRDefault="00D77859" w:rsidP="002D4E2E">
      <w:pPr>
        <w:pStyle w:val="Heading3"/>
        <w:rPr>
          <w:sz w:val="22"/>
          <w:szCs w:val="22"/>
        </w:rPr>
      </w:pPr>
      <w:r w:rsidRPr="00853ED7">
        <w:rPr>
          <w:sz w:val="22"/>
          <w:szCs w:val="22"/>
        </w:rPr>
        <w:t>Pharmacokinetics</w:t>
      </w:r>
    </w:p>
    <w:p w:rsidR="00B95BCF" w:rsidRPr="00853ED7" w:rsidRDefault="00D77859" w:rsidP="005F3373">
      <w:pPr>
        <w:pStyle w:val="Heading4"/>
        <w:rPr>
          <w:sz w:val="22"/>
          <w:szCs w:val="22"/>
          <w:lang w:eastAsia="da-DK"/>
        </w:rPr>
      </w:pPr>
      <w:bookmarkStart w:id="15" w:name="OLE_LINK32"/>
      <w:bookmarkStart w:id="16" w:name="OLE_LINK33"/>
      <w:r w:rsidRPr="00853ED7">
        <w:rPr>
          <w:sz w:val="22"/>
          <w:szCs w:val="22"/>
        </w:rPr>
        <w:t xml:space="preserve"> </w:t>
      </w:r>
      <w:r w:rsidR="00A75145" w:rsidRPr="00853ED7">
        <w:rPr>
          <w:i w:val="0"/>
          <w:sz w:val="22"/>
          <w:szCs w:val="22"/>
        </w:rPr>
        <w:br/>
      </w:r>
      <w:r w:rsidR="00B95BCF" w:rsidRPr="00853ED7">
        <w:rPr>
          <w:sz w:val="22"/>
          <w:szCs w:val="22"/>
          <w:lang w:eastAsia="da-DK"/>
        </w:rPr>
        <w:t>Absorption</w:t>
      </w:r>
    </w:p>
    <w:p w:rsidR="00B95BCF" w:rsidRPr="00853ED7" w:rsidRDefault="00B95BCF" w:rsidP="001D5870">
      <w:pPr>
        <w:rPr>
          <w:sz w:val="22"/>
          <w:szCs w:val="22"/>
          <w:lang w:eastAsia="da-DK"/>
        </w:rPr>
      </w:pPr>
      <w:r w:rsidRPr="00853ED7">
        <w:rPr>
          <w:sz w:val="22"/>
          <w:szCs w:val="22"/>
          <w:lang w:eastAsia="da-DK"/>
        </w:rPr>
        <w:t xml:space="preserve">Maximum serum concentration is reached 6 to 8 hours after administration. When administered twice daily, steady state serum concentrations are reached after 2 to 3 dose administrations. </w:t>
      </w:r>
      <w:r w:rsidRPr="00853ED7">
        <w:rPr>
          <w:sz w:val="22"/>
          <w:szCs w:val="22"/>
        </w:rPr>
        <w:t xml:space="preserve">Intra-subject variation in absorption is lower for </w:t>
      </w:r>
      <w:proofErr w:type="spellStart"/>
      <w:r w:rsidRPr="00853ED7">
        <w:rPr>
          <w:sz w:val="22"/>
          <w:szCs w:val="22"/>
        </w:rPr>
        <w:t>Levemir</w:t>
      </w:r>
      <w:proofErr w:type="spellEnd"/>
      <w:r w:rsidRPr="00853ED7">
        <w:rPr>
          <w:sz w:val="22"/>
          <w:szCs w:val="22"/>
        </w:rPr>
        <w:t xml:space="preserve"> in type 1 diabetes than for other basal insulin preparations.</w:t>
      </w:r>
    </w:p>
    <w:p w:rsidR="002D0F29" w:rsidRPr="00186DDC" w:rsidRDefault="002D0F29" w:rsidP="005F3373">
      <w:pPr>
        <w:rPr>
          <w:sz w:val="22"/>
          <w:lang w:eastAsia="da-DK"/>
        </w:rPr>
      </w:pPr>
    </w:p>
    <w:p w:rsidR="00B95BCF" w:rsidRPr="00853ED7" w:rsidRDefault="00B95BCF" w:rsidP="002D4E2E">
      <w:pPr>
        <w:pStyle w:val="Heading4"/>
        <w:rPr>
          <w:sz w:val="22"/>
          <w:szCs w:val="22"/>
          <w:lang w:eastAsia="da-DK"/>
        </w:rPr>
      </w:pPr>
      <w:r w:rsidRPr="00853ED7">
        <w:rPr>
          <w:sz w:val="22"/>
          <w:szCs w:val="22"/>
          <w:lang w:eastAsia="da-DK"/>
        </w:rPr>
        <w:lastRenderedPageBreak/>
        <w:t>Distribution</w:t>
      </w:r>
    </w:p>
    <w:bookmarkEnd w:id="15"/>
    <w:bookmarkEnd w:id="16"/>
    <w:p w:rsidR="00B95BCF" w:rsidRPr="00853ED7" w:rsidRDefault="00B95BCF" w:rsidP="001D5870">
      <w:pPr>
        <w:rPr>
          <w:sz w:val="22"/>
          <w:szCs w:val="22"/>
          <w:lang w:eastAsia="da-DK"/>
        </w:rPr>
      </w:pPr>
      <w:r w:rsidRPr="00853ED7">
        <w:rPr>
          <w:sz w:val="22"/>
          <w:szCs w:val="22"/>
          <w:lang w:val="en-GB"/>
        </w:rPr>
        <w:t xml:space="preserve">An apparent volume of distribution for </w:t>
      </w:r>
      <w:proofErr w:type="spellStart"/>
      <w:r w:rsidRPr="00853ED7">
        <w:rPr>
          <w:sz w:val="22"/>
          <w:szCs w:val="22"/>
        </w:rPr>
        <w:t>Levemir</w:t>
      </w:r>
      <w:proofErr w:type="spellEnd"/>
      <w:r w:rsidRPr="00853ED7">
        <w:rPr>
          <w:sz w:val="22"/>
          <w:szCs w:val="22"/>
        </w:rPr>
        <w:t xml:space="preserve"> </w:t>
      </w:r>
      <w:r w:rsidRPr="00853ED7">
        <w:rPr>
          <w:sz w:val="22"/>
          <w:szCs w:val="22"/>
          <w:lang w:val="en-GB"/>
        </w:rPr>
        <w:t>(</w:t>
      </w:r>
      <w:r w:rsidR="00170CD5" w:rsidRPr="00853ED7">
        <w:rPr>
          <w:sz w:val="22"/>
          <w:szCs w:val="22"/>
          <w:lang w:val="en-GB"/>
        </w:rPr>
        <w:t xml:space="preserve">approximately </w:t>
      </w:r>
      <w:r w:rsidRPr="00853ED7">
        <w:rPr>
          <w:sz w:val="22"/>
          <w:szCs w:val="22"/>
        </w:rPr>
        <w:t xml:space="preserve">0.1 L/kg) </w:t>
      </w:r>
      <w:r w:rsidRPr="00853ED7">
        <w:rPr>
          <w:sz w:val="22"/>
          <w:szCs w:val="22"/>
          <w:lang w:val="en-GB"/>
        </w:rPr>
        <w:t xml:space="preserve">indicates that a high fraction of </w:t>
      </w:r>
      <w:r w:rsidRPr="00853ED7">
        <w:rPr>
          <w:sz w:val="22"/>
          <w:szCs w:val="22"/>
        </w:rPr>
        <w:t xml:space="preserve">insulin </w:t>
      </w:r>
      <w:proofErr w:type="spellStart"/>
      <w:r w:rsidRPr="00853ED7">
        <w:rPr>
          <w:sz w:val="22"/>
          <w:szCs w:val="22"/>
        </w:rPr>
        <w:t>detemir</w:t>
      </w:r>
      <w:proofErr w:type="spellEnd"/>
      <w:r w:rsidRPr="00853ED7">
        <w:rPr>
          <w:sz w:val="22"/>
          <w:szCs w:val="22"/>
        </w:rPr>
        <w:t xml:space="preserve"> </w:t>
      </w:r>
      <w:r w:rsidRPr="00853ED7">
        <w:rPr>
          <w:sz w:val="22"/>
          <w:szCs w:val="22"/>
          <w:lang w:val="en-GB"/>
        </w:rPr>
        <w:t xml:space="preserve">is circulating in the blood. </w:t>
      </w:r>
    </w:p>
    <w:p w:rsidR="00B95BCF" w:rsidRPr="00853ED7" w:rsidRDefault="00B95BCF" w:rsidP="001D5870">
      <w:pPr>
        <w:rPr>
          <w:sz w:val="22"/>
          <w:szCs w:val="22"/>
          <w:lang w:eastAsia="da-DK"/>
        </w:rPr>
      </w:pPr>
    </w:p>
    <w:p w:rsidR="00B95BCF" w:rsidRPr="00853ED7" w:rsidRDefault="00B95BCF" w:rsidP="001D5870">
      <w:pPr>
        <w:rPr>
          <w:sz w:val="22"/>
          <w:szCs w:val="22"/>
          <w:lang w:eastAsia="da-DK"/>
        </w:rPr>
      </w:pPr>
      <w:r w:rsidRPr="00853ED7">
        <w:rPr>
          <w:sz w:val="22"/>
          <w:szCs w:val="22"/>
          <w:lang w:eastAsia="da-DK"/>
        </w:rPr>
        <w:t xml:space="preserve">The results of the </w:t>
      </w:r>
      <w:r w:rsidRPr="00853ED7">
        <w:rPr>
          <w:i/>
          <w:sz w:val="22"/>
          <w:szCs w:val="22"/>
          <w:lang w:eastAsia="da-DK"/>
        </w:rPr>
        <w:t>in vitro</w:t>
      </w:r>
      <w:r w:rsidRPr="00853ED7">
        <w:rPr>
          <w:sz w:val="22"/>
          <w:szCs w:val="22"/>
          <w:lang w:eastAsia="da-DK"/>
        </w:rPr>
        <w:t xml:space="preserve"> and </w:t>
      </w:r>
      <w:r w:rsidRPr="00853ED7">
        <w:rPr>
          <w:i/>
          <w:sz w:val="22"/>
          <w:szCs w:val="22"/>
          <w:lang w:eastAsia="da-DK"/>
        </w:rPr>
        <w:t>in vivo</w:t>
      </w:r>
      <w:r w:rsidRPr="00853ED7">
        <w:rPr>
          <w:sz w:val="22"/>
          <w:szCs w:val="22"/>
          <w:lang w:eastAsia="da-DK"/>
        </w:rPr>
        <w:t xml:space="preserve"> protein binding studies demonstrate that there is no clinically relevant interaction between </w:t>
      </w:r>
      <w:proofErr w:type="spellStart"/>
      <w:r w:rsidRPr="00853ED7">
        <w:rPr>
          <w:sz w:val="22"/>
          <w:szCs w:val="22"/>
          <w:lang w:eastAsia="da-DK"/>
        </w:rPr>
        <w:t>Levemir</w:t>
      </w:r>
      <w:proofErr w:type="spellEnd"/>
      <w:r w:rsidRPr="00853ED7">
        <w:rPr>
          <w:sz w:val="22"/>
          <w:szCs w:val="22"/>
          <w:lang w:eastAsia="da-DK"/>
        </w:rPr>
        <w:t xml:space="preserve"> and fatty acids or other protein bound drugs.</w:t>
      </w:r>
    </w:p>
    <w:p w:rsidR="00B95BCF" w:rsidRPr="00853ED7" w:rsidRDefault="004546CC" w:rsidP="002D4E2E">
      <w:pPr>
        <w:pStyle w:val="Heading4"/>
        <w:rPr>
          <w:sz w:val="22"/>
          <w:szCs w:val="22"/>
          <w:lang w:eastAsia="da-DK"/>
        </w:rPr>
      </w:pPr>
      <w:r w:rsidRPr="00853ED7">
        <w:rPr>
          <w:sz w:val="22"/>
          <w:szCs w:val="22"/>
          <w:lang w:eastAsia="da-DK"/>
        </w:rPr>
        <w:br/>
      </w:r>
      <w:r w:rsidR="00B95BCF" w:rsidRPr="00853ED7">
        <w:rPr>
          <w:sz w:val="22"/>
          <w:szCs w:val="22"/>
          <w:lang w:eastAsia="da-DK"/>
        </w:rPr>
        <w:t>Metabolism</w:t>
      </w:r>
    </w:p>
    <w:p w:rsidR="00B95BCF" w:rsidRPr="00853ED7" w:rsidRDefault="00B95BCF" w:rsidP="001D5870">
      <w:pPr>
        <w:rPr>
          <w:sz w:val="22"/>
          <w:szCs w:val="22"/>
          <w:lang w:eastAsia="da-DK"/>
        </w:rPr>
      </w:pPr>
      <w:r w:rsidRPr="00853ED7">
        <w:rPr>
          <w:sz w:val="22"/>
          <w:szCs w:val="22"/>
          <w:lang w:eastAsia="da-DK"/>
        </w:rPr>
        <w:t xml:space="preserve">Degradation of insulin </w:t>
      </w:r>
      <w:proofErr w:type="spellStart"/>
      <w:r w:rsidRPr="00853ED7">
        <w:rPr>
          <w:sz w:val="22"/>
          <w:szCs w:val="22"/>
          <w:lang w:eastAsia="da-DK"/>
        </w:rPr>
        <w:t>detemir</w:t>
      </w:r>
      <w:proofErr w:type="spellEnd"/>
      <w:r w:rsidRPr="00853ED7">
        <w:rPr>
          <w:sz w:val="22"/>
          <w:szCs w:val="22"/>
          <w:lang w:eastAsia="da-DK"/>
        </w:rPr>
        <w:t xml:space="preserve"> is similar to that of human insulin; all metabolites formed are </w:t>
      </w:r>
      <w:r w:rsidR="0077273F" w:rsidRPr="00853ED7">
        <w:rPr>
          <w:sz w:val="22"/>
          <w:szCs w:val="22"/>
          <w:lang w:eastAsia="da-DK"/>
        </w:rPr>
        <w:t xml:space="preserve">likely to be </w:t>
      </w:r>
      <w:r w:rsidRPr="00853ED7">
        <w:rPr>
          <w:sz w:val="22"/>
          <w:szCs w:val="22"/>
          <w:lang w:eastAsia="da-DK"/>
        </w:rPr>
        <w:t>inactive.</w:t>
      </w:r>
    </w:p>
    <w:p w:rsidR="00B95BCF" w:rsidRPr="00853ED7" w:rsidRDefault="00B95BCF" w:rsidP="001D5870">
      <w:pPr>
        <w:rPr>
          <w:sz w:val="22"/>
          <w:szCs w:val="22"/>
          <w:lang w:eastAsia="da-DK"/>
        </w:rPr>
      </w:pPr>
    </w:p>
    <w:p w:rsidR="00B95BCF" w:rsidRPr="00853ED7" w:rsidRDefault="00B95BCF" w:rsidP="002D4E2E">
      <w:pPr>
        <w:pStyle w:val="Heading4"/>
        <w:rPr>
          <w:sz w:val="22"/>
          <w:szCs w:val="22"/>
          <w:lang w:eastAsia="da-DK"/>
        </w:rPr>
      </w:pPr>
      <w:r w:rsidRPr="00853ED7">
        <w:rPr>
          <w:sz w:val="22"/>
          <w:szCs w:val="22"/>
          <w:lang w:eastAsia="da-DK"/>
        </w:rPr>
        <w:t>Excretion</w:t>
      </w:r>
    </w:p>
    <w:p w:rsidR="00B95BCF" w:rsidRPr="00853ED7" w:rsidRDefault="00B95BCF" w:rsidP="001D5870">
      <w:pPr>
        <w:rPr>
          <w:sz w:val="22"/>
          <w:szCs w:val="22"/>
          <w:lang w:eastAsia="da-DK"/>
        </w:rPr>
      </w:pPr>
      <w:r w:rsidRPr="00853ED7">
        <w:rPr>
          <w:sz w:val="22"/>
          <w:szCs w:val="22"/>
          <w:lang w:eastAsia="da-DK"/>
        </w:rPr>
        <w:t>The terminal half-life after subcutaneous administration is determined by the rate of absorption from the subcutaneous tissue. The terminal half-life is between 5 and 7 hours depending on dose.</w:t>
      </w:r>
    </w:p>
    <w:p w:rsidR="00B95BCF" w:rsidRPr="00853ED7" w:rsidRDefault="00B95BCF" w:rsidP="001D5870">
      <w:pPr>
        <w:rPr>
          <w:sz w:val="22"/>
          <w:szCs w:val="22"/>
          <w:lang w:eastAsia="da-DK"/>
        </w:rPr>
      </w:pPr>
    </w:p>
    <w:p w:rsidR="00B95BCF" w:rsidRPr="00853ED7" w:rsidRDefault="00B95BCF" w:rsidP="002D4E2E">
      <w:pPr>
        <w:pStyle w:val="Heading4"/>
        <w:rPr>
          <w:sz w:val="22"/>
          <w:szCs w:val="22"/>
        </w:rPr>
      </w:pPr>
      <w:r w:rsidRPr="00853ED7">
        <w:rPr>
          <w:sz w:val="22"/>
          <w:szCs w:val="22"/>
        </w:rPr>
        <w:t>Linearity</w:t>
      </w:r>
    </w:p>
    <w:p w:rsidR="00B95BCF" w:rsidRPr="00853ED7" w:rsidRDefault="00B95BCF" w:rsidP="001D5870">
      <w:pPr>
        <w:rPr>
          <w:sz w:val="22"/>
          <w:szCs w:val="22"/>
          <w:lang w:eastAsia="da-DK"/>
        </w:rPr>
      </w:pPr>
      <w:r w:rsidRPr="00853ED7">
        <w:rPr>
          <w:sz w:val="22"/>
          <w:szCs w:val="22"/>
          <w:lang w:eastAsia="da-DK"/>
        </w:rPr>
        <w:t xml:space="preserve">Dose proportionality in serum concentrations (maximum concentration, extent of absorption) is observed </w:t>
      </w:r>
      <w:r w:rsidRPr="00853ED7">
        <w:rPr>
          <w:sz w:val="22"/>
          <w:szCs w:val="22"/>
          <w:lang w:val="en-GB"/>
        </w:rPr>
        <w:t>after</w:t>
      </w:r>
      <w:r w:rsidRPr="00853ED7">
        <w:rPr>
          <w:sz w:val="22"/>
          <w:szCs w:val="22"/>
          <w:lang w:eastAsia="da-DK"/>
        </w:rPr>
        <w:t xml:space="preserve"> subcutaneous administration in the therapeutic dose range.</w:t>
      </w:r>
    </w:p>
    <w:p w:rsidR="00B95BCF" w:rsidRPr="00853ED7" w:rsidRDefault="00B95BCF" w:rsidP="001D5870">
      <w:pPr>
        <w:rPr>
          <w:sz w:val="22"/>
          <w:szCs w:val="22"/>
          <w:lang w:eastAsia="da-DK"/>
        </w:rPr>
      </w:pPr>
    </w:p>
    <w:p w:rsidR="00B95BCF" w:rsidRPr="00853ED7" w:rsidRDefault="00B95BCF" w:rsidP="001D5870">
      <w:pPr>
        <w:rPr>
          <w:sz w:val="22"/>
          <w:szCs w:val="22"/>
        </w:rPr>
      </w:pPr>
      <w:r w:rsidRPr="00853ED7">
        <w:rPr>
          <w:sz w:val="22"/>
          <w:szCs w:val="22"/>
        </w:rPr>
        <w:t xml:space="preserve">No pharmacokinetic or </w:t>
      </w:r>
      <w:proofErr w:type="spellStart"/>
      <w:r w:rsidRPr="00853ED7">
        <w:rPr>
          <w:sz w:val="22"/>
          <w:szCs w:val="22"/>
        </w:rPr>
        <w:t>pharmacodynamic</w:t>
      </w:r>
      <w:proofErr w:type="spellEnd"/>
      <w:r w:rsidRPr="00853ED7">
        <w:rPr>
          <w:sz w:val="22"/>
          <w:szCs w:val="22"/>
        </w:rPr>
        <w:t xml:space="preserve"> interactions were observed between </w:t>
      </w:r>
      <w:proofErr w:type="spellStart"/>
      <w:r w:rsidRPr="00853ED7">
        <w:rPr>
          <w:sz w:val="22"/>
          <w:szCs w:val="22"/>
        </w:rPr>
        <w:t>liraglutide</w:t>
      </w:r>
      <w:proofErr w:type="spellEnd"/>
      <w:r w:rsidRPr="00853ED7">
        <w:rPr>
          <w:sz w:val="22"/>
          <w:szCs w:val="22"/>
        </w:rPr>
        <w:t xml:space="preserve"> and </w:t>
      </w:r>
      <w:proofErr w:type="spellStart"/>
      <w:r w:rsidRPr="00853ED7">
        <w:rPr>
          <w:sz w:val="22"/>
          <w:szCs w:val="22"/>
        </w:rPr>
        <w:t>Levemir</w:t>
      </w:r>
      <w:proofErr w:type="spellEnd"/>
      <w:r w:rsidRPr="00853ED7">
        <w:rPr>
          <w:sz w:val="22"/>
          <w:szCs w:val="22"/>
        </w:rPr>
        <w:t xml:space="preserve"> when administering a single dose of </w:t>
      </w:r>
      <w:proofErr w:type="spellStart"/>
      <w:r w:rsidRPr="00853ED7">
        <w:rPr>
          <w:sz w:val="22"/>
          <w:szCs w:val="22"/>
        </w:rPr>
        <w:t>Levemir</w:t>
      </w:r>
      <w:proofErr w:type="spellEnd"/>
      <w:r w:rsidRPr="00853ED7">
        <w:rPr>
          <w:sz w:val="22"/>
          <w:szCs w:val="22"/>
        </w:rPr>
        <w:t xml:space="preserve"> 0.5 U/kg with </w:t>
      </w:r>
      <w:proofErr w:type="spellStart"/>
      <w:r w:rsidRPr="00853ED7">
        <w:rPr>
          <w:sz w:val="22"/>
          <w:szCs w:val="22"/>
        </w:rPr>
        <w:t>liraglutide</w:t>
      </w:r>
      <w:proofErr w:type="spellEnd"/>
      <w:r w:rsidRPr="00853ED7">
        <w:rPr>
          <w:sz w:val="22"/>
          <w:szCs w:val="22"/>
        </w:rPr>
        <w:t xml:space="preserve"> 1.8 mg at steady state in patients with type 2 diabetes.</w:t>
      </w:r>
    </w:p>
    <w:p w:rsidR="00B95BCF" w:rsidRPr="00853ED7" w:rsidRDefault="00B95BCF" w:rsidP="001D5870">
      <w:pPr>
        <w:rPr>
          <w:sz w:val="22"/>
          <w:szCs w:val="22"/>
          <w:lang w:val="en-GB"/>
        </w:rPr>
      </w:pPr>
    </w:p>
    <w:p w:rsidR="00B95BCF" w:rsidRPr="00853ED7" w:rsidRDefault="00B95BCF" w:rsidP="002D4E2E">
      <w:pPr>
        <w:pStyle w:val="Heading4"/>
        <w:rPr>
          <w:sz w:val="22"/>
          <w:szCs w:val="22"/>
        </w:rPr>
      </w:pPr>
      <w:r w:rsidRPr="00853ED7">
        <w:rPr>
          <w:sz w:val="22"/>
          <w:szCs w:val="22"/>
        </w:rPr>
        <w:t>Special populations</w:t>
      </w:r>
    </w:p>
    <w:p w:rsidR="00B95BCF" w:rsidRPr="00853ED7" w:rsidRDefault="00B95BCF" w:rsidP="002D4E2E">
      <w:pPr>
        <w:pStyle w:val="Heading5"/>
        <w:rPr>
          <w:b w:val="0"/>
          <w:lang w:val="en-GB"/>
        </w:rPr>
      </w:pPr>
      <w:r w:rsidRPr="00853ED7">
        <w:rPr>
          <w:b w:val="0"/>
          <w:lang w:val="en-GB"/>
        </w:rPr>
        <w:t>Elderly, renal and hepatic impairment</w:t>
      </w:r>
    </w:p>
    <w:p w:rsidR="00B95BCF" w:rsidRPr="00853ED7" w:rsidRDefault="00B95BCF" w:rsidP="00395EF1">
      <w:pPr>
        <w:rPr>
          <w:sz w:val="22"/>
          <w:szCs w:val="22"/>
        </w:rPr>
      </w:pPr>
      <w:r w:rsidRPr="00853ED7">
        <w:rPr>
          <w:sz w:val="22"/>
          <w:szCs w:val="22"/>
        </w:rPr>
        <w:t xml:space="preserve">There was no clinically relevant difference in pharmacokinetics of </w:t>
      </w:r>
      <w:proofErr w:type="spellStart"/>
      <w:r w:rsidRPr="00853ED7">
        <w:rPr>
          <w:sz w:val="22"/>
          <w:szCs w:val="22"/>
        </w:rPr>
        <w:t>Levemir</w:t>
      </w:r>
      <w:proofErr w:type="spellEnd"/>
      <w:r w:rsidRPr="00853ED7">
        <w:rPr>
          <w:sz w:val="22"/>
          <w:szCs w:val="22"/>
        </w:rPr>
        <w:t xml:space="preserve"> between elderly and young subjects, or between subjects with renal or hepatic impairment and healthy subjects.</w:t>
      </w:r>
    </w:p>
    <w:p w:rsidR="00B95BCF" w:rsidRPr="00853ED7" w:rsidRDefault="00B95BCF" w:rsidP="001D5870">
      <w:pPr>
        <w:jc w:val="left"/>
        <w:rPr>
          <w:sz w:val="22"/>
          <w:szCs w:val="22"/>
          <w:lang w:val="en-GB"/>
        </w:rPr>
      </w:pPr>
    </w:p>
    <w:p w:rsidR="00B95BCF" w:rsidRPr="00853ED7" w:rsidRDefault="00B95BCF" w:rsidP="002D4E2E">
      <w:pPr>
        <w:pStyle w:val="Heading5"/>
        <w:rPr>
          <w:b w:val="0"/>
          <w:lang w:val="en-GB"/>
        </w:rPr>
      </w:pPr>
      <w:r w:rsidRPr="00853ED7">
        <w:rPr>
          <w:b w:val="0"/>
          <w:lang w:val="en-GB"/>
        </w:rPr>
        <w:t>Gender</w:t>
      </w:r>
    </w:p>
    <w:p w:rsidR="00B95BCF" w:rsidRPr="00853ED7" w:rsidRDefault="00B95BCF" w:rsidP="001D5870">
      <w:pPr>
        <w:rPr>
          <w:sz w:val="22"/>
          <w:szCs w:val="22"/>
          <w:lang w:val="en-GB"/>
        </w:rPr>
      </w:pPr>
      <w:r w:rsidRPr="00853ED7">
        <w:rPr>
          <w:sz w:val="22"/>
          <w:szCs w:val="22"/>
        </w:rPr>
        <w:t xml:space="preserve">There was </w:t>
      </w:r>
      <w:r w:rsidRPr="00853ED7">
        <w:rPr>
          <w:sz w:val="22"/>
          <w:szCs w:val="22"/>
          <w:lang w:val="en-GB"/>
        </w:rPr>
        <w:t>no</w:t>
      </w:r>
      <w:r w:rsidRPr="00853ED7">
        <w:rPr>
          <w:sz w:val="22"/>
          <w:szCs w:val="22"/>
        </w:rPr>
        <w:t xml:space="preserve"> clinically relevant difference between genders in pharmacokinetic parameters of </w:t>
      </w:r>
      <w:proofErr w:type="spellStart"/>
      <w:r w:rsidRPr="00853ED7">
        <w:rPr>
          <w:sz w:val="22"/>
          <w:szCs w:val="22"/>
        </w:rPr>
        <w:t>Levemir</w:t>
      </w:r>
      <w:proofErr w:type="spellEnd"/>
      <w:r w:rsidRPr="00853ED7">
        <w:rPr>
          <w:sz w:val="22"/>
          <w:szCs w:val="22"/>
        </w:rPr>
        <w:t>.</w:t>
      </w:r>
    </w:p>
    <w:p w:rsidR="00B95BCF" w:rsidRPr="00853ED7" w:rsidRDefault="00B95BCF" w:rsidP="001D5870">
      <w:pPr>
        <w:rPr>
          <w:sz w:val="22"/>
          <w:szCs w:val="22"/>
          <w:lang w:val="en-GB"/>
        </w:rPr>
      </w:pPr>
    </w:p>
    <w:p w:rsidR="00B95BCF" w:rsidRPr="00853ED7" w:rsidRDefault="00B95BCF" w:rsidP="002D4E2E">
      <w:pPr>
        <w:pStyle w:val="Heading5"/>
        <w:rPr>
          <w:b w:val="0"/>
        </w:rPr>
      </w:pPr>
      <w:r w:rsidRPr="00853ED7">
        <w:rPr>
          <w:b w:val="0"/>
        </w:rPr>
        <w:t>Paediatrics</w:t>
      </w:r>
    </w:p>
    <w:p w:rsidR="00B95BCF" w:rsidRPr="00853ED7" w:rsidRDefault="00B95BCF" w:rsidP="001D5870">
      <w:pPr>
        <w:rPr>
          <w:sz w:val="22"/>
          <w:szCs w:val="22"/>
          <w:lang w:val="en-GB"/>
        </w:rPr>
      </w:pPr>
      <w:r w:rsidRPr="00853ED7">
        <w:rPr>
          <w:sz w:val="22"/>
          <w:szCs w:val="22"/>
          <w:lang w:val="en-GB"/>
        </w:rPr>
        <w:t xml:space="preserve">The pharmacokinetic properties of </w:t>
      </w:r>
      <w:proofErr w:type="spellStart"/>
      <w:r w:rsidRPr="00853ED7">
        <w:rPr>
          <w:sz w:val="22"/>
          <w:szCs w:val="22"/>
          <w:lang w:val="en-GB"/>
        </w:rPr>
        <w:t>Levemir</w:t>
      </w:r>
      <w:proofErr w:type="spellEnd"/>
      <w:r w:rsidRPr="00853ED7">
        <w:rPr>
          <w:sz w:val="22"/>
          <w:szCs w:val="22"/>
          <w:lang w:val="en-GB"/>
        </w:rPr>
        <w:t xml:space="preserve"> were investigated in children (6–12 years) and adolescents (13–17 years) with type 1 diabetes, and compared to adults with type 1 diabetes. A total of 16 males and 18 </w:t>
      </w:r>
      <w:r w:rsidR="002D0F29" w:rsidRPr="00853ED7">
        <w:rPr>
          <w:sz w:val="22"/>
          <w:szCs w:val="22"/>
          <w:lang w:val="en-GB"/>
        </w:rPr>
        <w:t>females were</w:t>
      </w:r>
      <w:r w:rsidRPr="00853ED7">
        <w:rPr>
          <w:sz w:val="22"/>
          <w:szCs w:val="22"/>
          <w:lang w:val="en-GB"/>
        </w:rPr>
        <w:t xml:space="preserve"> studied. No difference in pharmacokinetics was observed between the three age groups.</w:t>
      </w:r>
    </w:p>
    <w:p w:rsidR="00B95BCF" w:rsidRPr="00853ED7" w:rsidRDefault="00B95BCF" w:rsidP="001D5870">
      <w:pPr>
        <w:rPr>
          <w:sz w:val="22"/>
          <w:szCs w:val="22"/>
          <w:lang w:val="en-GB"/>
        </w:rPr>
      </w:pPr>
    </w:p>
    <w:p w:rsidR="00D77859" w:rsidRPr="00853ED7" w:rsidRDefault="00D77859" w:rsidP="00653079">
      <w:pPr>
        <w:pStyle w:val="Heading2"/>
        <w:rPr>
          <w:noProof/>
          <w:sz w:val="24"/>
          <w:szCs w:val="24"/>
        </w:rPr>
      </w:pPr>
      <w:r w:rsidRPr="00853ED7">
        <w:rPr>
          <w:noProof/>
          <w:sz w:val="24"/>
          <w:szCs w:val="24"/>
        </w:rPr>
        <w:t>CLINICAL TRIALS</w:t>
      </w:r>
    </w:p>
    <w:p w:rsidR="00D77859" w:rsidRPr="00853ED7" w:rsidRDefault="00D77859" w:rsidP="001D5870">
      <w:pPr>
        <w:rPr>
          <w:sz w:val="22"/>
          <w:szCs w:val="22"/>
        </w:rPr>
      </w:pPr>
    </w:p>
    <w:p w:rsidR="00D77859" w:rsidRPr="00853ED7" w:rsidRDefault="00D77859" w:rsidP="001D5870">
      <w:pPr>
        <w:rPr>
          <w:sz w:val="22"/>
          <w:szCs w:val="22"/>
          <w:lang w:eastAsia="da-DK"/>
        </w:rPr>
      </w:pPr>
      <w:bookmarkStart w:id="17" w:name="OLE_LINK46"/>
      <w:bookmarkStart w:id="18" w:name="OLE_LINK47"/>
      <w:bookmarkStart w:id="19" w:name="OLE_LINK48"/>
      <w:r w:rsidRPr="00853ED7">
        <w:rPr>
          <w:sz w:val="22"/>
          <w:szCs w:val="22"/>
          <w:lang w:eastAsia="da-DK"/>
        </w:rPr>
        <w:t xml:space="preserve">The confirmatory therapeutic clinical development programme to evaluate the efficacy and safety </w:t>
      </w:r>
      <w:r w:rsidR="00303FD0" w:rsidRPr="00853ED7">
        <w:rPr>
          <w:sz w:val="22"/>
          <w:szCs w:val="22"/>
          <w:lang w:eastAsia="da-DK"/>
        </w:rPr>
        <w:t xml:space="preserve">of </w:t>
      </w:r>
      <w:proofErr w:type="spellStart"/>
      <w:r w:rsidR="00303FD0" w:rsidRPr="00853ED7">
        <w:rPr>
          <w:sz w:val="22"/>
          <w:szCs w:val="22"/>
          <w:lang w:eastAsia="da-DK"/>
        </w:rPr>
        <w:t>Levemir</w:t>
      </w:r>
      <w:proofErr w:type="spellEnd"/>
      <w:r w:rsidR="00C24A18" w:rsidRPr="00853ED7">
        <w:rPr>
          <w:sz w:val="22"/>
          <w:szCs w:val="22"/>
          <w:lang w:eastAsia="da-DK"/>
        </w:rPr>
        <w:t xml:space="preserve"> </w:t>
      </w:r>
      <w:r w:rsidRPr="00853ED7">
        <w:rPr>
          <w:sz w:val="22"/>
          <w:szCs w:val="22"/>
          <w:lang w:eastAsia="da-DK"/>
        </w:rPr>
        <w:t xml:space="preserve">consisted of 15 phase 3, randomised, parallel-group (versus </w:t>
      </w:r>
      <w:proofErr w:type="spellStart"/>
      <w:r w:rsidRPr="00853ED7">
        <w:rPr>
          <w:sz w:val="22"/>
          <w:szCs w:val="22"/>
          <w:lang w:eastAsia="da-DK"/>
        </w:rPr>
        <w:t>isophane</w:t>
      </w:r>
      <w:proofErr w:type="spellEnd"/>
      <w:r w:rsidRPr="00853ED7">
        <w:rPr>
          <w:sz w:val="22"/>
          <w:szCs w:val="22"/>
          <w:lang w:eastAsia="da-DK"/>
        </w:rPr>
        <w:t xml:space="preserve"> insulin and/or insulin </w:t>
      </w:r>
      <w:proofErr w:type="spellStart"/>
      <w:r w:rsidRPr="00853ED7">
        <w:rPr>
          <w:sz w:val="22"/>
          <w:szCs w:val="22"/>
          <w:lang w:eastAsia="da-DK"/>
        </w:rPr>
        <w:t>glargine</w:t>
      </w:r>
      <w:proofErr w:type="spellEnd"/>
      <w:r w:rsidRPr="00853ED7">
        <w:rPr>
          <w:sz w:val="22"/>
          <w:szCs w:val="22"/>
          <w:lang w:eastAsia="da-DK"/>
        </w:rPr>
        <w:t xml:space="preserve">), open-label, multicentre clinical trials. The trial programme randomised a total of 1945 adult patients with type 1 diabetes and a total of 2433 adult patients with type 2 diabetes. Ten of the studies employed the marketed formulation, and the remaining five employed a less concentrated (but nevertheless bioequivalent) ‘early-development’ formulation. In addition, the efficacy and safety of </w:t>
      </w:r>
      <w:proofErr w:type="spellStart"/>
      <w:r w:rsidRPr="00853ED7">
        <w:rPr>
          <w:sz w:val="22"/>
          <w:szCs w:val="22"/>
          <w:lang w:eastAsia="da-DK"/>
        </w:rPr>
        <w:t>Levemir</w:t>
      </w:r>
      <w:proofErr w:type="spellEnd"/>
      <w:r w:rsidRPr="00853ED7">
        <w:rPr>
          <w:sz w:val="22"/>
          <w:szCs w:val="22"/>
          <w:lang w:eastAsia="da-DK"/>
        </w:rPr>
        <w:t xml:space="preserve"> were demonstrated </w:t>
      </w:r>
      <w:r w:rsidR="00DC4E04" w:rsidRPr="00853ED7">
        <w:rPr>
          <w:sz w:val="22"/>
          <w:szCs w:val="22"/>
          <w:lang w:eastAsia="da-DK"/>
        </w:rPr>
        <w:t xml:space="preserve">in two studies </w:t>
      </w:r>
      <w:r w:rsidRPr="00853ED7">
        <w:rPr>
          <w:sz w:val="22"/>
          <w:szCs w:val="22"/>
        </w:rPr>
        <w:t>in children and adolescents with type 1 diabetes</w:t>
      </w:r>
      <w:r w:rsidR="00312447" w:rsidRPr="00853ED7">
        <w:rPr>
          <w:sz w:val="22"/>
          <w:szCs w:val="22"/>
        </w:rPr>
        <w:t>. One of these studies, of 6</w:t>
      </w:r>
      <w:r w:rsidR="000F5FFF" w:rsidRPr="00853ED7">
        <w:rPr>
          <w:sz w:val="22"/>
          <w:szCs w:val="22"/>
        </w:rPr>
        <w:t xml:space="preserve"> </w:t>
      </w:r>
      <w:r w:rsidR="00312447" w:rsidRPr="00853ED7">
        <w:rPr>
          <w:sz w:val="22"/>
          <w:szCs w:val="22"/>
        </w:rPr>
        <w:t xml:space="preserve">months’ duration, investigated children </w:t>
      </w:r>
      <w:r w:rsidRPr="00853ED7">
        <w:rPr>
          <w:sz w:val="22"/>
          <w:szCs w:val="22"/>
        </w:rPr>
        <w:t>aged 6 to 17 years (N = 347)</w:t>
      </w:r>
      <w:r w:rsidR="00312447" w:rsidRPr="00853ED7">
        <w:rPr>
          <w:sz w:val="22"/>
          <w:szCs w:val="22"/>
        </w:rPr>
        <w:t>. The second of these studies, of 12 months’ duration</w:t>
      </w:r>
      <w:r w:rsidR="00C24A18" w:rsidRPr="00853ED7">
        <w:rPr>
          <w:sz w:val="22"/>
          <w:szCs w:val="22"/>
        </w:rPr>
        <w:t xml:space="preserve"> (N = 347) plus an extension phase to 24 months (N = 146)</w:t>
      </w:r>
      <w:r w:rsidRPr="00853ED7">
        <w:rPr>
          <w:sz w:val="22"/>
          <w:szCs w:val="22"/>
        </w:rPr>
        <w:t xml:space="preserve">, </w:t>
      </w:r>
      <w:r w:rsidR="00312447" w:rsidRPr="00853ED7">
        <w:rPr>
          <w:sz w:val="22"/>
          <w:szCs w:val="22"/>
        </w:rPr>
        <w:t>investigated</w:t>
      </w:r>
      <w:r w:rsidR="001127FD" w:rsidRPr="00853ED7">
        <w:rPr>
          <w:sz w:val="22"/>
          <w:szCs w:val="22"/>
        </w:rPr>
        <w:t xml:space="preserve"> children and adolescents </w:t>
      </w:r>
      <w:r w:rsidR="00312447" w:rsidRPr="00853ED7">
        <w:rPr>
          <w:sz w:val="22"/>
          <w:szCs w:val="22"/>
        </w:rPr>
        <w:t xml:space="preserve">aged </w:t>
      </w:r>
      <w:r w:rsidR="001127FD" w:rsidRPr="00853ED7">
        <w:rPr>
          <w:sz w:val="22"/>
          <w:szCs w:val="22"/>
        </w:rPr>
        <w:t xml:space="preserve">from 2 to 17 </w:t>
      </w:r>
      <w:r w:rsidR="00303FD0" w:rsidRPr="00853ED7">
        <w:rPr>
          <w:sz w:val="22"/>
          <w:szCs w:val="22"/>
        </w:rPr>
        <w:t xml:space="preserve">years. </w:t>
      </w:r>
      <w:r w:rsidR="004E3008" w:rsidRPr="00853ED7">
        <w:rPr>
          <w:sz w:val="22"/>
          <w:szCs w:val="22"/>
        </w:rPr>
        <w:t>The efficacy component of the clinical trials w</w:t>
      </w:r>
      <w:r w:rsidR="001127FD" w:rsidRPr="00853ED7">
        <w:rPr>
          <w:sz w:val="22"/>
          <w:szCs w:val="22"/>
        </w:rPr>
        <w:t>ere</w:t>
      </w:r>
      <w:r w:rsidR="004E3008" w:rsidRPr="00853ED7">
        <w:rPr>
          <w:sz w:val="22"/>
          <w:szCs w:val="22"/>
        </w:rPr>
        <w:t xml:space="preserve"> designed primarily to test non-inferiority to the comparator, not equivalence.</w:t>
      </w:r>
    </w:p>
    <w:bookmarkEnd w:id="17"/>
    <w:bookmarkEnd w:id="18"/>
    <w:bookmarkEnd w:id="19"/>
    <w:p w:rsidR="00D77859" w:rsidRPr="00853ED7" w:rsidRDefault="00D77859" w:rsidP="001D5870">
      <w:pPr>
        <w:rPr>
          <w:sz w:val="22"/>
          <w:szCs w:val="22"/>
          <w:lang w:eastAsia="da-DK"/>
        </w:rPr>
      </w:pPr>
    </w:p>
    <w:p w:rsidR="001C1F67" w:rsidRPr="00853ED7" w:rsidRDefault="00D77859" w:rsidP="001D5870">
      <w:pPr>
        <w:rPr>
          <w:sz w:val="22"/>
          <w:szCs w:val="22"/>
        </w:rPr>
      </w:pPr>
      <w:r w:rsidRPr="00853ED7">
        <w:rPr>
          <w:sz w:val="22"/>
          <w:szCs w:val="22"/>
        </w:rPr>
        <w:t xml:space="preserve">In intermediate and long-term treatment trials intended to demonstrate the non-inferiority of the marketed formulation of </w:t>
      </w:r>
      <w:proofErr w:type="spellStart"/>
      <w:r w:rsidRPr="00853ED7">
        <w:rPr>
          <w:sz w:val="22"/>
          <w:szCs w:val="22"/>
        </w:rPr>
        <w:t>Levemir</w:t>
      </w:r>
      <w:proofErr w:type="spellEnd"/>
      <w:r w:rsidRPr="00853ED7">
        <w:rPr>
          <w:sz w:val="22"/>
          <w:szCs w:val="22"/>
        </w:rPr>
        <w:t xml:space="preserve"> to human insulin, the primary outcome was HbA</w:t>
      </w:r>
      <w:r w:rsidRPr="00853ED7">
        <w:rPr>
          <w:sz w:val="22"/>
          <w:szCs w:val="22"/>
          <w:vertAlign w:val="subscript"/>
        </w:rPr>
        <w:t>1c</w:t>
      </w:r>
      <w:r w:rsidRPr="00853ED7">
        <w:rPr>
          <w:sz w:val="22"/>
          <w:szCs w:val="22"/>
        </w:rPr>
        <w:t>. Secondary outcomes included FPG levels, multi-point blood glucose profiles, within-subject variation for fasting blood/plasma glucose (FBG or FPG), hypoglycaemia, quality of life, antibody levels, daily doses and safety profiles as measured by adverse events, laboratory safety parameters, physical examination, weight and vital signs.</w:t>
      </w:r>
      <w:r w:rsidR="007C0647" w:rsidRPr="00853ED7">
        <w:rPr>
          <w:sz w:val="22"/>
          <w:szCs w:val="22"/>
        </w:rPr>
        <w:t xml:space="preserve"> </w:t>
      </w:r>
      <w:proofErr w:type="spellStart"/>
      <w:r w:rsidRPr="00853ED7">
        <w:rPr>
          <w:sz w:val="22"/>
          <w:szCs w:val="22"/>
        </w:rPr>
        <w:t>Levemir</w:t>
      </w:r>
      <w:proofErr w:type="spellEnd"/>
      <w:r w:rsidRPr="00853ED7">
        <w:rPr>
          <w:sz w:val="22"/>
          <w:szCs w:val="22"/>
        </w:rPr>
        <w:t xml:space="preserve"> </w:t>
      </w:r>
      <w:r w:rsidRPr="00853ED7">
        <w:rPr>
          <w:sz w:val="22"/>
          <w:szCs w:val="22"/>
        </w:rPr>
        <w:lastRenderedPageBreak/>
        <w:t>provides equivalent glycaemic control as measured by HbA</w:t>
      </w:r>
      <w:r w:rsidRPr="00853ED7">
        <w:rPr>
          <w:sz w:val="22"/>
          <w:szCs w:val="22"/>
          <w:vertAlign w:val="subscript"/>
        </w:rPr>
        <w:t>1c</w:t>
      </w:r>
      <w:r w:rsidRPr="00853ED7">
        <w:rPr>
          <w:sz w:val="22"/>
          <w:szCs w:val="22"/>
        </w:rPr>
        <w:t xml:space="preserve"> and better glycaemic control as measured by FPG, although not at some other times as determined by 9 point blood glucose profiles, compared to human </w:t>
      </w:r>
      <w:proofErr w:type="spellStart"/>
      <w:r w:rsidRPr="00853ED7">
        <w:rPr>
          <w:sz w:val="22"/>
          <w:szCs w:val="22"/>
        </w:rPr>
        <w:t>isophane</w:t>
      </w:r>
      <w:proofErr w:type="spellEnd"/>
      <w:r w:rsidRPr="00853ED7">
        <w:rPr>
          <w:sz w:val="22"/>
          <w:szCs w:val="22"/>
        </w:rPr>
        <w:t xml:space="preserve"> insulin treatment in type 1 diabetes.  Intensive therapy with </w:t>
      </w:r>
      <w:proofErr w:type="spellStart"/>
      <w:r w:rsidRPr="00853ED7">
        <w:rPr>
          <w:sz w:val="22"/>
          <w:szCs w:val="22"/>
        </w:rPr>
        <w:t>Levemir</w:t>
      </w:r>
      <w:proofErr w:type="spellEnd"/>
      <w:r w:rsidRPr="00853ED7">
        <w:rPr>
          <w:sz w:val="22"/>
          <w:szCs w:val="22"/>
        </w:rPr>
        <w:t xml:space="preserve"> is also associated with lower day-to-day FBG variation</w:t>
      </w:r>
      <w:r w:rsidR="0057488F" w:rsidRPr="00853ED7">
        <w:rPr>
          <w:sz w:val="22"/>
          <w:szCs w:val="22"/>
        </w:rPr>
        <w:t xml:space="preserve"> in type 1 diabetes,</w:t>
      </w:r>
      <w:r w:rsidRPr="00853ED7">
        <w:rPr>
          <w:sz w:val="22"/>
          <w:szCs w:val="22"/>
        </w:rPr>
        <w:t xml:space="preserve"> and equivalent safety profiles except for weight. </w:t>
      </w:r>
      <w:r w:rsidR="00EE6610" w:rsidRPr="00853ED7">
        <w:rPr>
          <w:sz w:val="22"/>
          <w:szCs w:val="22"/>
        </w:rPr>
        <w:t>Reduced</w:t>
      </w:r>
      <w:r w:rsidR="001C1F67" w:rsidRPr="00853ED7">
        <w:rPr>
          <w:sz w:val="22"/>
          <w:szCs w:val="22"/>
        </w:rPr>
        <w:t xml:space="preserve"> variability in FPG for </w:t>
      </w:r>
      <w:proofErr w:type="spellStart"/>
      <w:r w:rsidR="001C1F67" w:rsidRPr="00853ED7">
        <w:rPr>
          <w:sz w:val="22"/>
          <w:szCs w:val="22"/>
        </w:rPr>
        <w:t>Levemir</w:t>
      </w:r>
      <w:proofErr w:type="spellEnd"/>
      <w:r w:rsidR="001C1F67" w:rsidRPr="00853ED7">
        <w:rPr>
          <w:sz w:val="22"/>
          <w:szCs w:val="22"/>
        </w:rPr>
        <w:t xml:space="preserve"> versus human </w:t>
      </w:r>
      <w:proofErr w:type="spellStart"/>
      <w:r w:rsidR="001C1F67" w:rsidRPr="00853ED7">
        <w:rPr>
          <w:sz w:val="22"/>
          <w:szCs w:val="22"/>
        </w:rPr>
        <w:t>isophane</w:t>
      </w:r>
      <w:proofErr w:type="spellEnd"/>
      <w:r w:rsidR="001C1F67" w:rsidRPr="00853ED7">
        <w:rPr>
          <w:sz w:val="22"/>
          <w:szCs w:val="22"/>
        </w:rPr>
        <w:t xml:space="preserve"> insulin was not able to be demonstrated consistently in subjects with type 2 diabetes.</w:t>
      </w:r>
    </w:p>
    <w:p w:rsidR="00D77859" w:rsidRPr="00853ED7" w:rsidRDefault="00D77859" w:rsidP="001D5870">
      <w:pPr>
        <w:rPr>
          <w:sz w:val="22"/>
          <w:szCs w:val="22"/>
        </w:rPr>
      </w:pPr>
    </w:p>
    <w:p w:rsidR="00D77859" w:rsidRPr="00853ED7" w:rsidRDefault="00D77859" w:rsidP="001D5870">
      <w:pPr>
        <w:rPr>
          <w:sz w:val="22"/>
          <w:szCs w:val="22"/>
        </w:rPr>
      </w:pPr>
      <w:proofErr w:type="spellStart"/>
      <w:r w:rsidRPr="00853ED7">
        <w:rPr>
          <w:sz w:val="22"/>
          <w:szCs w:val="22"/>
        </w:rPr>
        <w:t>Levemir</w:t>
      </w:r>
      <w:proofErr w:type="spellEnd"/>
      <w:r w:rsidRPr="00853ED7">
        <w:rPr>
          <w:sz w:val="22"/>
          <w:szCs w:val="22"/>
        </w:rPr>
        <w:t xml:space="preserve"> is not associated with weight gain over 4 – 6 months in type 1 diabetes, however the trials were not designed to test for this outcome and the clinical benefit of this has not been demonstrated.</w:t>
      </w:r>
    </w:p>
    <w:p w:rsidR="00D77859" w:rsidRPr="00853ED7" w:rsidRDefault="004546CC" w:rsidP="002D4E2E">
      <w:pPr>
        <w:pStyle w:val="Heading3"/>
        <w:rPr>
          <w:sz w:val="22"/>
          <w:szCs w:val="22"/>
        </w:rPr>
      </w:pPr>
      <w:r w:rsidRPr="00853ED7">
        <w:rPr>
          <w:sz w:val="22"/>
          <w:szCs w:val="22"/>
        </w:rPr>
        <w:br/>
      </w:r>
      <w:r w:rsidR="00D77859" w:rsidRPr="00853ED7">
        <w:rPr>
          <w:sz w:val="22"/>
          <w:szCs w:val="22"/>
        </w:rPr>
        <w:t>Clinical studies in type 1 diabetes</w:t>
      </w:r>
    </w:p>
    <w:p w:rsidR="00D77859" w:rsidRPr="00853ED7" w:rsidRDefault="00D77859" w:rsidP="001D5870">
      <w:pPr>
        <w:rPr>
          <w:sz w:val="22"/>
          <w:szCs w:val="22"/>
        </w:rPr>
      </w:pPr>
      <w:r w:rsidRPr="00853ED7">
        <w:rPr>
          <w:sz w:val="22"/>
          <w:szCs w:val="22"/>
        </w:rPr>
        <w:t xml:space="preserve">In three large randomised, controlled clinical studies, adult patients with type 1 diabetes (1335 study, N = 749; 1447 study, N = 400; 1448 study, N = 409) were randomised to basal/bolus treatment with once- or twice-daily </w:t>
      </w:r>
      <w:proofErr w:type="spellStart"/>
      <w:r w:rsidRPr="00853ED7">
        <w:rPr>
          <w:sz w:val="22"/>
          <w:szCs w:val="22"/>
        </w:rPr>
        <w:t>Levemir</w:t>
      </w:r>
      <w:proofErr w:type="spellEnd"/>
      <w:r w:rsidRPr="00853ED7">
        <w:rPr>
          <w:sz w:val="22"/>
          <w:szCs w:val="22"/>
        </w:rPr>
        <w:t xml:space="preserve"> (marketed formulation insulin </w:t>
      </w:r>
      <w:proofErr w:type="spellStart"/>
      <w:r w:rsidRPr="00853ED7">
        <w:rPr>
          <w:sz w:val="22"/>
          <w:szCs w:val="22"/>
        </w:rPr>
        <w:t>detemir</w:t>
      </w:r>
      <w:proofErr w:type="spellEnd"/>
      <w:r w:rsidRPr="00853ED7">
        <w:rPr>
          <w:sz w:val="22"/>
          <w:szCs w:val="22"/>
        </w:rPr>
        <w:t xml:space="preserve">) or with NPH insulin once- or twice-daily, for 4 to 6 months. The bolus (mealtime) treatment was soluble human insulin (1335 study) or </w:t>
      </w:r>
      <w:r w:rsidR="00303FD0" w:rsidRPr="00853ED7">
        <w:rPr>
          <w:sz w:val="22"/>
          <w:szCs w:val="22"/>
        </w:rPr>
        <w:t xml:space="preserve">insulin </w:t>
      </w:r>
      <w:proofErr w:type="spellStart"/>
      <w:r w:rsidR="00303FD0" w:rsidRPr="00853ED7">
        <w:rPr>
          <w:sz w:val="22"/>
          <w:szCs w:val="22"/>
        </w:rPr>
        <w:t>aspart</w:t>
      </w:r>
      <w:proofErr w:type="spellEnd"/>
      <w:r w:rsidR="00303FD0" w:rsidRPr="00853ED7">
        <w:rPr>
          <w:sz w:val="22"/>
          <w:szCs w:val="22"/>
        </w:rPr>
        <w:t xml:space="preserve"> </w:t>
      </w:r>
      <w:r w:rsidRPr="00853ED7">
        <w:rPr>
          <w:sz w:val="22"/>
          <w:szCs w:val="22"/>
        </w:rPr>
        <w:t xml:space="preserve">(1447 and 1448 studies). In these studies, </w:t>
      </w:r>
      <w:proofErr w:type="spellStart"/>
      <w:r w:rsidRPr="00853ED7">
        <w:rPr>
          <w:sz w:val="22"/>
          <w:szCs w:val="22"/>
        </w:rPr>
        <w:t>Levemir</w:t>
      </w:r>
      <w:proofErr w:type="spellEnd"/>
      <w:r w:rsidRPr="00853ED7">
        <w:rPr>
          <w:sz w:val="22"/>
          <w:szCs w:val="22"/>
        </w:rPr>
        <w:t xml:space="preserve"> and NPH had a similar effect on the primary outcome of HbA</w:t>
      </w:r>
      <w:r w:rsidRPr="00853ED7">
        <w:rPr>
          <w:sz w:val="22"/>
          <w:szCs w:val="22"/>
          <w:vertAlign w:val="subscript"/>
        </w:rPr>
        <w:t>1c</w:t>
      </w:r>
      <w:r w:rsidRPr="00853ED7">
        <w:rPr>
          <w:sz w:val="22"/>
          <w:szCs w:val="22"/>
        </w:rPr>
        <w:t xml:space="preserve"> (Table 3). In the secondary outcomes, </w:t>
      </w:r>
      <w:proofErr w:type="spellStart"/>
      <w:r w:rsidRPr="00853ED7">
        <w:rPr>
          <w:sz w:val="22"/>
          <w:szCs w:val="22"/>
        </w:rPr>
        <w:t>Levemir</w:t>
      </w:r>
      <w:proofErr w:type="spellEnd"/>
      <w:r w:rsidRPr="00853ED7">
        <w:rPr>
          <w:sz w:val="22"/>
          <w:szCs w:val="22"/>
        </w:rPr>
        <w:t xml:space="preserve"> demonstrated significantly improved FPG (Table 3) and within-subject variation (1335 study p&lt;0.001, 1447 study p&lt;0.001; 1448 study p&lt;0.001), with similar overall rates of hypoglycaemia and safety profiles including adverse events, laboratory safety parameters, physical examination, and vital signs, compared with NPH insulin.  In a 9 point blood glucose profile (1335 study), the overall profiles were significantly different between </w:t>
      </w:r>
      <w:proofErr w:type="spellStart"/>
      <w:r w:rsidRPr="00853ED7">
        <w:rPr>
          <w:sz w:val="22"/>
          <w:szCs w:val="22"/>
        </w:rPr>
        <w:t>Levemir</w:t>
      </w:r>
      <w:proofErr w:type="spellEnd"/>
      <w:r w:rsidRPr="00853ED7">
        <w:rPr>
          <w:sz w:val="22"/>
          <w:szCs w:val="22"/>
        </w:rPr>
        <w:t xml:space="preserve"> and NPH insulin (p=0.006), with blood glucose concentrations being lower from before breakfast and throughout the day until after bedtime, in the </w:t>
      </w:r>
      <w:proofErr w:type="spellStart"/>
      <w:r w:rsidRPr="00853ED7">
        <w:rPr>
          <w:sz w:val="22"/>
          <w:szCs w:val="22"/>
        </w:rPr>
        <w:t>Levemir</w:t>
      </w:r>
      <w:proofErr w:type="spellEnd"/>
      <w:r w:rsidRPr="00853ED7">
        <w:rPr>
          <w:sz w:val="22"/>
          <w:szCs w:val="22"/>
        </w:rPr>
        <w:t xml:space="preserve"> group.  In 10 point blood glucose profiles (1447 and 1448 studies), the overall profiles were similar during the day but tended to differ at night, with lower night-time blood glucose concentrations in some of the </w:t>
      </w:r>
      <w:proofErr w:type="spellStart"/>
      <w:r w:rsidRPr="00853ED7">
        <w:rPr>
          <w:sz w:val="22"/>
          <w:szCs w:val="22"/>
        </w:rPr>
        <w:t>Levemir</w:t>
      </w:r>
      <w:proofErr w:type="spellEnd"/>
      <w:r w:rsidRPr="00853ED7">
        <w:rPr>
          <w:sz w:val="22"/>
          <w:szCs w:val="22"/>
        </w:rPr>
        <w:t xml:space="preserve"> groups.  In the 1335 study, antibody formation was increased with </w:t>
      </w:r>
      <w:proofErr w:type="spellStart"/>
      <w:r w:rsidRPr="00853ED7">
        <w:rPr>
          <w:sz w:val="22"/>
          <w:szCs w:val="22"/>
        </w:rPr>
        <w:t>Levemir</w:t>
      </w:r>
      <w:proofErr w:type="spellEnd"/>
      <w:r w:rsidRPr="00853ED7">
        <w:rPr>
          <w:sz w:val="22"/>
          <w:szCs w:val="22"/>
        </w:rPr>
        <w:t xml:space="preserve"> but did not compromise glycaemic control.</w:t>
      </w:r>
    </w:p>
    <w:p w:rsidR="00D77859" w:rsidRPr="00853ED7" w:rsidRDefault="00D77859" w:rsidP="001D5870">
      <w:pPr>
        <w:rPr>
          <w:sz w:val="22"/>
          <w:szCs w:val="22"/>
        </w:rPr>
      </w:pPr>
    </w:p>
    <w:p w:rsidR="002D0F29" w:rsidRPr="00853ED7" w:rsidRDefault="00D77859" w:rsidP="001D5870">
      <w:pPr>
        <w:rPr>
          <w:rFonts w:ascii="TimesNewRoman" w:hAnsi="TimesNewRoman"/>
          <w:sz w:val="22"/>
          <w:szCs w:val="22"/>
          <w:lang w:val="en-US"/>
        </w:rPr>
      </w:pPr>
      <w:r w:rsidRPr="00853ED7">
        <w:rPr>
          <w:sz w:val="22"/>
          <w:szCs w:val="22"/>
        </w:rPr>
        <w:t>Two additional multicentre, open-label, randomised, confirmatory clinical trials were conducted in adult subjects with type 1 diabetes to assess HbA</w:t>
      </w:r>
      <w:r w:rsidRPr="00853ED7">
        <w:rPr>
          <w:sz w:val="22"/>
          <w:szCs w:val="22"/>
          <w:vertAlign w:val="subscript"/>
        </w:rPr>
        <w:t>1c</w:t>
      </w:r>
      <w:r w:rsidRPr="00853ED7">
        <w:rPr>
          <w:sz w:val="22"/>
          <w:szCs w:val="22"/>
        </w:rPr>
        <w:t xml:space="preserve"> response during treatment for up to 6 months. Twice-daily </w:t>
      </w:r>
      <w:proofErr w:type="spellStart"/>
      <w:r w:rsidRPr="00853ED7">
        <w:rPr>
          <w:sz w:val="22"/>
          <w:szCs w:val="22"/>
        </w:rPr>
        <w:t>Levemir</w:t>
      </w:r>
      <w:proofErr w:type="spellEnd"/>
      <w:r w:rsidRPr="00853ED7">
        <w:rPr>
          <w:sz w:val="22"/>
          <w:szCs w:val="22"/>
        </w:rPr>
        <w:t xml:space="preserve"> (early-development formulation insulin </w:t>
      </w:r>
      <w:proofErr w:type="spellStart"/>
      <w:r w:rsidRPr="00853ED7">
        <w:rPr>
          <w:sz w:val="22"/>
          <w:szCs w:val="22"/>
        </w:rPr>
        <w:t>detemir</w:t>
      </w:r>
      <w:proofErr w:type="spellEnd"/>
      <w:r w:rsidRPr="00853ED7">
        <w:rPr>
          <w:sz w:val="22"/>
          <w:szCs w:val="22"/>
        </w:rPr>
        <w:t xml:space="preserve">) or NPH insulin were compared when combined with bolus </w:t>
      </w:r>
      <w:r w:rsidR="003924F5" w:rsidRPr="00853ED7">
        <w:rPr>
          <w:sz w:val="22"/>
          <w:szCs w:val="22"/>
        </w:rPr>
        <w:t xml:space="preserve">insulin </w:t>
      </w:r>
      <w:proofErr w:type="spellStart"/>
      <w:r w:rsidR="003924F5" w:rsidRPr="00853ED7">
        <w:rPr>
          <w:sz w:val="22"/>
          <w:szCs w:val="22"/>
        </w:rPr>
        <w:t>aspart</w:t>
      </w:r>
      <w:proofErr w:type="spellEnd"/>
      <w:r w:rsidRPr="00853ED7">
        <w:rPr>
          <w:sz w:val="22"/>
          <w:szCs w:val="22"/>
        </w:rPr>
        <w:t xml:space="preserve"> (1205 study; N = 448) or with bolus soluble human insulin (1181 study; N = 461). At the end of 6 months of treatment, the primary outcomes of </w:t>
      </w:r>
      <w:r w:rsidRPr="00853ED7">
        <w:rPr>
          <w:sz w:val="22"/>
          <w:szCs w:val="22"/>
          <w:lang w:eastAsia="da-DK"/>
        </w:rPr>
        <w:t>mean</w:t>
      </w:r>
      <w:r w:rsidRPr="00853ED7">
        <w:rPr>
          <w:sz w:val="22"/>
          <w:szCs w:val="22"/>
        </w:rPr>
        <w:t xml:space="preserve"> HbA</w:t>
      </w:r>
      <w:r w:rsidRPr="00853ED7">
        <w:rPr>
          <w:sz w:val="22"/>
          <w:szCs w:val="22"/>
          <w:vertAlign w:val="subscript"/>
        </w:rPr>
        <w:t>1c</w:t>
      </w:r>
      <w:r w:rsidRPr="00853ED7">
        <w:rPr>
          <w:sz w:val="22"/>
          <w:szCs w:val="22"/>
        </w:rPr>
        <w:t xml:space="preserve"> values were equivalent for </w:t>
      </w:r>
      <w:proofErr w:type="spellStart"/>
      <w:r w:rsidRPr="00853ED7">
        <w:rPr>
          <w:sz w:val="22"/>
          <w:szCs w:val="22"/>
        </w:rPr>
        <w:t>Levemir</w:t>
      </w:r>
      <w:proofErr w:type="spellEnd"/>
      <w:r w:rsidRPr="00853ED7">
        <w:rPr>
          <w:sz w:val="22"/>
          <w:szCs w:val="22"/>
        </w:rPr>
        <w:t xml:space="preserve"> and NPH in both studies. In the 1205 study, the secondary outcomes which were statistically different between treatment groups included lower within-subject variation in FBG with </w:t>
      </w:r>
      <w:proofErr w:type="spellStart"/>
      <w:r w:rsidRPr="00853ED7">
        <w:rPr>
          <w:sz w:val="22"/>
          <w:szCs w:val="22"/>
        </w:rPr>
        <w:t>Levemir</w:t>
      </w:r>
      <w:proofErr w:type="spellEnd"/>
      <w:r w:rsidRPr="00853ED7">
        <w:rPr>
          <w:sz w:val="22"/>
          <w:szCs w:val="22"/>
        </w:rPr>
        <w:t xml:space="preserve"> compared</w:t>
      </w:r>
    </w:p>
    <w:p w:rsidR="002D0F29" w:rsidRPr="00186DDC" w:rsidRDefault="002D0F29" w:rsidP="005F3373">
      <w:pPr>
        <w:rPr>
          <w:sz w:val="22"/>
          <w:szCs w:val="22"/>
        </w:rPr>
      </w:pPr>
    </w:p>
    <w:p w:rsidR="00D77859" w:rsidRPr="00853ED7" w:rsidRDefault="00D77859" w:rsidP="002D4E2E">
      <w:pPr>
        <w:pStyle w:val="Heading5"/>
      </w:pPr>
      <w:r w:rsidRPr="00853ED7">
        <w:lastRenderedPageBreak/>
        <w:t>Table 3. Results in type 1 diabetes (studies 1335, 1447, 1448)</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7"/>
        <w:gridCol w:w="1270"/>
        <w:gridCol w:w="564"/>
        <w:gridCol w:w="1552"/>
        <w:gridCol w:w="1552"/>
        <w:gridCol w:w="901"/>
        <w:gridCol w:w="1075"/>
        <w:gridCol w:w="936"/>
        <w:gridCol w:w="1005"/>
      </w:tblGrid>
      <w:tr w:rsidR="00D77859" w:rsidRPr="00853ED7" w:rsidTr="005F3373">
        <w:trPr>
          <w:trHeight w:val="670"/>
        </w:trPr>
        <w:tc>
          <w:tcPr>
            <w:tcW w:w="847" w:type="dxa"/>
            <w:shd w:val="clear" w:color="auto" w:fill="FFFF99"/>
          </w:tcPr>
          <w:p w:rsidR="00D77859" w:rsidRPr="00853ED7" w:rsidRDefault="00D77859" w:rsidP="00001057">
            <w:pPr>
              <w:keepNext/>
              <w:jc w:val="center"/>
              <w:rPr>
                <w:b/>
                <w:sz w:val="20"/>
              </w:rPr>
            </w:pPr>
            <w:r w:rsidRPr="00853ED7">
              <w:rPr>
                <w:b/>
                <w:sz w:val="20"/>
              </w:rPr>
              <w:t>Trial ID</w:t>
            </w:r>
          </w:p>
        </w:tc>
        <w:tc>
          <w:tcPr>
            <w:tcW w:w="1270" w:type="dxa"/>
            <w:shd w:val="clear" w:color="auto" w:fill="FFFF99"/>
          </w:tcPr>
          <w:p w:rsidR="00D77859" w:rsidRPr="00853ED7" w:rsidRDefault="00D77859" w:rsidP="00001057">
            <w:pPr>
              <w:keepNext/>
              <w:jc w:val="center"/>
              <w:rPr>
                <w:b/>
                <w:sz w:val="20"/>
              </w:rPr>
            </w:pPr>
            <w:r w:rsidRPr="00853ED7">
              <w:rPr>
                <w:b/>
                <w:sz w:val="20"/>
              </w:rPr>
              <w:t xml:space="preserve">Treatment </w:t>
            </w:r>
            <w:r w:rsidRPr="00853ED7">
              <w:rPr>
                <w:b/>
                <w:i/>
                <w:sz w:val="20"/>
              </w:rPr>
              <w:t>(regimen)</w:t>
            </w:r>
          </w:p>
        </w:tc>
        <w:tc>
          <w:tcPr>
            <w:tcW w:w="564" w:type="dxa"/>
            <w:shd w:val="clear" w:color="auto" w:fill="FFFF99"/>
          </w:tcPr>
          <w:p w:rsidR="00D77859" w:rsidRPr="00853ED7" w:rsidRDefault="00D77859" w:rsidP="00001057">
            <w:pPr>
              <w:keepNext/>
              <w:jc w:val="center"/>
              <w:rPr>
                <w:b/>
                <w:sz w:val="20"/>
              </w:rPr>
            </w:pPr>
            <w:r w:rsidRPr="00853ED7">
              <w:rPr>
                <w:b/>
                <w:sz w:val="20"/>
              </w:rPr>
              <w:t>N</w:t>
            </w:r>
            <w:r w:rsidRPr="00853ED7">
              <w:rPr>
                <w:b/>
                <w:sz w:val="20"/>
                <w:vertAlign w:val="superscript"/>
              </w:rPr>
              <w:t>#</w:t>
            </w:r>
          </w:p>
        </w:tc>
        <w:tc>
          <w:tcPr>
            <w:tcW w:w="1552" w:type="dxa"/>
            <w:shd w:val="clear" w:color="auto" w:fill="FFFF99"/>
          </w:tcPr>
          <w:p w:rsidR="00D77859" w:rsidRPr="00853ED7" w:rsidRDefault="00D77859" w:rsidP="00001057">
            <w:pPr>
              <w:keepNext/>
              <w:jc w:val="center"/>
              <w:rPr>
                <w:b/>
                <w:sz w:val="20"/>
              </w:rPr>
            </w:pPr>
            <w:r w:rsidRPr="00853ED7">
              <w:rPr>
                <w:b/>
                <w:sz w:val="20"/>
              </w:rPr>
              <w:t>HbA</w:t>
            </w:r>
            <w:r w:rsidRPr="00853ED7">
              <w:rPr>
                <w:b/>
                <w:sz w:val="20"/>
                <w:vertAlign w:val="subscript"/>
              </w:rPr>
              <w:t>1c</w:t>
            </w:r>
            <w:r w:rsidRPr="00853ED7">
              <w:rPr>
                <w:b/>
                <w:sz w:val="20"/>
              </w:rPr>
              <w:t xml:space="preserve"> (%) - end of study mean</w:t>
            </w:r>
          </w:p>
        </w:tc>
        <w:tc>
          <w:tcPr>
            <w:tcW w:w="1552" w:type="dxa"/>
            <w:shd w:val="clear" w:color="auto" w:fill="FFFF99"/>
          </w:tcPr>
          <w:p w:rsidR="00D77859" w:rsidRPr="00853ED7" w:rsidRDefault="00D77859" w:rsidP="00001057">
            <w:pPr>
              <w:keepNext/>
              <w:jc w:val="center"/>
              <w:rPr>
                <w:b/>
                <w:sz w:val="20"/>
              </w:rPr>
            </w:pPr>
            <w:r w:rsidRPr="00853ED7">
              <w:rPr>
                <w:b/>
                <w:sz w:val="20"/>
              </w:rPr>
              <w:t>FPG (</w:t>
            </w:r>
            <w:proofErr w:type="spellStart"/>
            <w:r w:rsidRPr="00853ED7">
              <w:rPr>
                <w:b/>
                <w:sz w:val="20"/>
              </w:rPr>
              <w:t>mmol</w:t>
            </w:r>
            <w:proofErr w:type="spellEnd"/>
            <w:r w:rsidRPr="00853ED7">
              <w:rPr>
                <w:b/>
                <w:sz w:val="20"/>
              </w:rPr>
              <w:t>/L) - end of study mean</w:t>
            </w:r>
          </w:p>
        </w:tc>
        <w:tc>
          <w:tcPr>
            <w:tcW w:w="1976" w:type="dxa"/>
            <w:gridSpan w:val="2"/>
            <w:shd w:val="clear" w:color="auto" w:fill="FFFF99"/>
          </w:tcPr>
          <w:p w:rsidR="00D77859" w:rsidRPr="00853ED7" w:rsidRDefault="00D77859" w:rsidP="00001057">
            <w:pPr>
              <w:keepNext/>
              <w:jc w:val="center"/>
              <w:rPr>
                <w:b/>
                <w:sz w:val="20"/>
              </w:rPr>
            </w:pPr>
            <w:r w:rsidRPr="00853ED7">
              <w:rPr>
                <w:b/>
                <w:sz w:val="20"/>
              </w:rPr>
              <w:t xml:space="preserve">Daily basal insulin dose </w:t>
            </w:r>
          </w:p>
          <w:p w:rsidR="00D77859" w:rsidRPr="00853ED7" w:rsidRDefault="00D77859" w:rsidP="00001057">
            <w:pPr>
              <w:keepNext/>
              <w:jc w:val="center"/>
              <w:rPr>
                <w:b/>
                <w:sz w:val="20"/>
              </w:rPr>
            </w:pPr>
            <w:r w:rsidRPr="00853ED7">
              <w:rPr>
                <w:b/>
                <w:sz w:val="20"/>
              </w:rPr>
              <w:t>(U/kg or IU/kg)</w:t>
            </w:r>
          </w:p>
        </w:tc>
        <w:tc>
          <w:tcPr>
            <w:tcW w:w="1941" w:type="dxa"/>
            <w:gridSpan w:val="2"/>
            <w:shd w:val="clear" w:color="auto" w:fill="FFFF99"/>
          </w:tcPr>
          <w:p w:rsidR="00D77859" w:rsidRPr="00853ED7" w:rsidRDefault="00D77859" w:rsidP="00001057">
            <w:pPr>
              <w:keepNext/>
              <w:jc w:val="center"/>
              <w:rPr>
                <w:b/>
                <w:sz w:val="20"/>
              </w:rPr>
            </w:pPr>
            <w:r w:rsidRPr="00853ED7">
              <w:rPr>
                <w:b/>
                <w:sz w:val="20"/>
              </w:rPr>
              <w:t xml:space="preserve">Daily bolus insulin dose </w:t>
            </w:r>
          </w:p>
          <w:p w:rsidR="00D77859" w:rsidRPr="00853ED7" w:rsidRDefault="00D77859" w:rsidP="00001057">
            <w:pPr>
              <w:keepNext/>
              <w:jc w:val="center"/>
              <w:rPr>
                <w:b/>
                <w:sz w:val="20"/>
              </w:rPr>
            </w:pPr>
            <w:r w:rsidRPr="00853ED7">
              <w:rPr>
                <w:b/>
                <w:sz w:val="20"/>
              </w:rPr>
              <w:t>(U/kg or IU/kg)</w:t>
            </w:r>
          </w:p>
        </w:tc>
      </w:tr>
      <w:tr w:rsidR="00D77859" w:rsidRPr="00853ED7" w:rsidTr="005F3373">
        <w:trPr>
          <w:trHeight w:val="685"/>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sz w:val="20"/>
              </w:rPr>
            </w:pPr>
            <w:r w:rsidRPr="00853ED7">
              <w:rPr>
                <w:b/>
                <w:i/>
                <w:sz w:val="20"/>
              </w:rPr>
              <w:t>(</w:t>
            </w:r>
            <w:proofErr w:type="spellStart"/>
            <w:r w:rsidRPr="00853ED7">
              <w:rPr>
                <w:b/>
                <w:i/>
                <w:sz w:val="20"/>
              </w:rPr>
              <w:t>Levemir</w:t>
            </w:r>
            <w:proofErr w:type="spellEnd"/>
            <w:r w:rsidRPr="00853ED7">
              <w:rPr>
                <w:b/>
                <w:i/>
                <w:sz w:val="20"/>
              </w:rPr>
              <w:t xml:space="preserve"> - NPH [95% CI])</w:t>
            </w:r>
          </w:p>
        </w:tc>
        <w:tc>
          <w:tcPr>
            <w:tcW w:w="1552" w:type="dxa"/>
          </w:tcPr>
          <w:p w:rsidR="00D77859" w:rsidRPr="00853ED7" w:rsidRDefault="00D77859" w:rsidP="00001057">
            <w:pPr>
              <w:keepNext/>
              <w:jc w:val="center"/>
              <w:rPr>
                <w:sz w:val="20"/>
              </w:rPr>
            </w:pPr>
            <w:r w:rsidRPr="00853ED7">
              <w:rPr>
                <w:b/>
                <w:i/>
                <w:sz w:val="20"/>
              </w:rPr>
              <w:t>(</w:t>
            </w:r>
            <w:proofErr w:type="spellStart"/>
            <w:r w:rsidRPr="00853ED7">
              <w:rPr>
                <w:b/>
                <w:i/>
                <w:sz w:val="20"/>
              </w:rPr>
              <w:t>Levemir</w:t>
            </w:r>
            <w:proofErr w:type="spellEnd"/>
            <w:r w:rsidRPr="00853ED7">
              <w:rPr>
                <w:b/>
                <w:i/>
                <w:sz w:val="20"/>
              </w:rPr>
              <w:t xml:space="preserve"> - NPH [95% CI])</w:t>
            </w:r>
          </w:p>
        </w:tc>
        <w:tc>
          <w:tcPr>
            <w:tcW w:w="901" w:type="dxa"/>
          </w:tcPr>
          <w:p w:rsidR="00D77859" w:rsidRPr="00853ED7" w:rsidRDefault="00D77859" w:rsidP="00001057">
            <w:pPr>
              <w:keepNext/>
              <w:jc w:val="center"/>
              <w:rPr>
                <w:sz w:val="20"/>
              </w:rPr>
            </w:pPr>
            <w:r w:rsidRPr="00853ED7">
              <w:rPr>
                <w:sz w:val="20"/>
              </w:rPr>
              <w:t>Pre-study mean</w:t>
            </w:r>
          </w:p>
        </w:tc>
        <w:tc>
          <w:tcPr>
            <w:tcW w:w="1075" w:type="dxa"/>
          </w:tcPr>
          <w:p w:rsidR="00D77859" w:rsidRPr="00853ED7" w:rsidRDefault="00D77859" w:rsidP="00001057">
            <w:pPr>
              <w:keepNext/>
              <w:jc w:val="center"/>
              <w:rPr>
                <w:sz w:val="20"/>
              </w:rPr>
            </w:pPr>
            <w:r w:rsidRPr="00853ED7">
              <w:rPr>
                <w:sz w:val="20"/>
              </w:rPr>
              <w:t>End of study mean</w:t>
            </w:r>
          </w:p>
        </w:tc>
        <w:tc>
          <w:tcPr>
            <w:tcW w:w="936" w:type="dxa"/>
          </w:tcPr>
          <w:p w:rsidR="00D77859" w:rsidRPr="00853ED7" w:rsidRDefault="00D77859" w:rsidP="00001057">
            <w:pPr>
              <w:keepNext/>
              <w:jc w:val="center"/>
              <w:rPr>
                <w:sz w:val="20"/>
              </w:rPr>
            </w:pPr>
            <w:r w:rsidRPr="00853ED7">
              <w:rPr>
                <w:sz w:val="20"/>
              </w:rPr>
              <w:t>Pre-study mean</w:t>
            </w:r>
          </w:p>
        </w:tc>
        <w:tc>
          <w:tcPr>
            <w:tcW w:w="1005" w:type="dxa"/>
          </w:tcPr>
          <w:p w:rsidR="00D77859" w:rsidRPr="00853ED7" w:rsidRDefault="00D77859" w:rsidP="00001057">
            <w:pPr>
              <w:keepNext/>
              <w:jc w:val="center"/>
              <w:rPr>
                <w:sz w:val="20"/>
              </w:rPr>
            </w:pPr>
            <w:r w:rsidRPr="00853ED7">
              <w:rPr>
                <w:sz w:val="20"/>
              </w:rPr>
              <w:t>End of study mean</w:t>
            </w:r>
          </w:p>
        </w:tc>
      </w:tr>
      <w:tr w:rsidR="00D77859" w:rsidRPr="00853ED7" w:rsidTr="005F3373">
        <w:trPr>
          <w:trHeight w:val="466"/>
        </w:trPr>
        <w:tc>
          <w:tcPr>
            <w:tcW w:w="847" w:type="dxa"/>
          </w:tcPr>
          <w:p w:rsidR="00D77859" w:rsidRPr="00853ED7" w:rsidRDefault="00D77859" w:rsidP="00001057">
            <w:pPr>
              <w:keepNext/>
              <w:jc w:val="center"/>
              <w:rPr>
                <w:sz w:val="20"/>
              </w:rPr>
            </w:pPr>
            <w:r w:rsidRPr="00853ED7">
              <w:rPr>
                <w:sz w:val="20"/>
              </w:rPr>
              <w:t>1335</w:t>
            </w:r>
          </w:p>
        </w:tc>
        <w:tc>
          <w:tcPr>
            <w:tcW w:w="1270" w:type="dxa"/>
          </w:tcPr>
          <w:p w:rsidR="00D77859" w:rsidRPr="00853ED7" w:rsidRDefault="00D77859" w:rsidP="00001057">
            <w:pPr>
              <w:keepNext/>
              <w:jc w:val="center"/>
              <w:rPr>
                <w:sz w:val="20"/>
              </w:rPr>
            </w:pPr>
            <w:proofErr w:type="spellStart"/>
            <w:r w:rsidRPr="00853ED7">
              <w:rPr>
                <w:sz w:val="20"/>
              </w:rPr>
              <w:t>Levemir</w:t>
            </w:r>
            <w:proofErr w:type="spellEnd"/>
            <w:r w:rsidRPr="00853ED7">
              <w:rPr>
                <w:sz w:val="20"/>
                <w:vertAlign w:val="superscript"/>
              </w:rPr>
              <w:t>§</w:t>
            </w:r>
            <w:r w:rsidRPr="00853ED7">
              <w:rPr>
                <w:sz w:val="20"/>
              </w:rPr>
              <w:t xml:space="preserve"> </w:t>
            </w:r>
            <w:r w:rsidRPr="00853ED7">
              <w:rPr>
                <w:i/>
                <w:sz w:val="20"/>
              </w:rPr>
              <w:t>(</w:t>
            </w:r>
            <w:proofErr w:type="spellStart"/>
            <w:r w:rsidRPr="00853ED7">
              <w:rPr>
                <w:i/>
                <w:sz w:val="20"/>
              </w:rPr>
              <w:t>nocte</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492</w:t>
            </w:r>
          </w:p>
        </w:tc>
        <w:tc>
          <w:tcPr>
            <w:tcW w:w="1552" w:type="dxa"/>
          </w:tcPr>
          <w:p w:rsidR="00D77859" w:rsidRPr="00853ED7" w:rsidRDefault="00D77859" w:rsidP="00001057">
            <w:pPr>
              <w:keepNext/>
              <w:jc w:val="center"/>
              <w:rPr>
                <w:sz w:val="20"/>
              </w:rPr>
            </w:pPr>
            <w:r w:rsidRPr="00853ED7">
              <w:rPr>
                <w:sz w:val="20"/>
              </w:rPr>
              <w:t>8.26</w:t>
            </w:r>
          </w:p>
        </w:tc>
        <w:tc>
          <w:tcPr>
            <w:tcW w:w="1552" w:type="dxa"/>
          </w:tcPr>
          <w:p w:rsidR="00D77859" w:rsidRPr="00853ED7" w:rsidRDefault="00D77859" w:rsidP="00001057">
            <w:pPr>
              <w:keepNext/>
              <w:jc w:val="center"/>
              <w:rPr>
                <w:sz w:val="20"/>
              </w:rPr>
            </w:pPr>
            <w:r w:rsidRPr="00853ED7">
              <w:rPr>
                <w:sz w:val="20"/>
              </w:rPr>
              <w:t>10.1</w:t>
            </w:r>
          </w:p>
        </w:tc>
        <w:tc>
          <w:tcPr>
            <w:tcW w:w="901" w:type="dxa"/>
          </w:tcPr>
          <w:p w:rsidR="00D77859" w:rsidRPr="00853ED7" w:rsidRDefault="00D77859" w:rsidP="00001057">
            <w:pPr>
              <w:keepNext/>
              <w:jc w:val="center"/>
              <w:rPr>
                <w:sz w:val="20"/>
              </w:rPr>
            </w:pPr>
            <w:r w:rsidRPr="00853ED7">
              <w:rPr>
                <w:sz w:val="20"/>
              </w:rPr>
              <w:t>0.31</w:t>
            </w:r>
          </w:p>
        </w:tc>
        <w:tc>
          <w:tcPr>
            <w:tcW w:w="1075" w:type="dxa"/>
          </w:tcPr>
          <w:p w:rsidR="00D77859" w:rsidRPr="00853ED7" w:rsidRDefault="00D77859" w:rsidP="00001057">
            <w:pPr>
              <w:keepNext/>
              <w:jc w:val="center"/>
              <w:rPr>
                <w:sz w:val="20"/>
              </w:rPr>
            </w:pPr>
            <w:r w:rsidRPr="00853ED7">
              <w:rPr>
                <w:sz w:val="20"/>
              </w:rPr>
              <w:t>0.27</w:t>
            </w:r>
          </w:p>
        </w:tc>
        <w:tc>
          <w:tcPr>
            <w:tcW w:w="936" w:type="dxa"/>
          </w:tcPr>
          <w:p w:rsidR="00D77859" w:rsidRPr="00853ED7" w:rsidRDefault="00D77859" w:rsidP="00001057">
            <w:pPr>
              <w:keepNext/>
              <w:jc w:val="center"/>
              <w:rPr>
                <w:sz w:val="20"/>
              </w:rPr>
            </w:pPr>
            <w:r w:rsidRPr="00853ED7">
              <w:rPr>
                <w:sz w:val="20"/>
              </w:rPr>
              <w:t>0.44</w:t>
            </w:r>
          </w:p>
        </w:tc>
        <w:tc>
          <w:tcPr>
            <w:tcW w:w="1005" w:type="dxa"/>
          </w:tcPr>
          <w:p w:rsidR="00D77859" w:rsidRPr="00853ED7" w:rsidRDefault="00D77859" w:rsidP="00001057">
            <w:pPr>
              <w:keepNext/>
              <w:jc w:val="center"/>
              <w:rPr>
                <w:sz w:val="20"/>
              </w:rPr>
            </w:pPr>
            <w:r w:rsidRPr="00853ED7">
              <w:rPr>
                <w:sz w:val="20"/>
              </w:rPr>
              <w:t>0.47</w:t>
            </w:r>
          </w:p>
        </w:tc>
      </w:tr>
      <w:tr w:rsidR="00D77859" w:rsidRPr="00853ED7" w:rsidTr="005F3373">
        <w:trPr>
          <w:trHeight w:val="452"/>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nocte</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257</w:t>
            </w:r>
          </w:p>
        </w:tc>
        <w:tc>
          <w:tcPr>
            <w:tcW w:w="1552" w:type="dxa"/>
          </w:tcPr>
          <w:p w:rsidR="00D77859" w:rsidRPr="00853ED7" w:rsidRDefault="00D77859" w:rsidP="00001057">
            <w:pPr>
              <w:keepNext/>
              <w:jc w:val="center"/>
              <w:rPr>
                <w:sz w:val="20"/>
              </w:rPr>
            </w:pPr>
            <w:r w:rsidRPr="00853ED7">
              <w:rPr>
                <w:sz w:val="20"/>
              </w:rPr>
              <w:t>8.38</w:t>
            </w:r>
          </w:p>
        </w:tc>
        <w:tc>
          <w:tcPr>
            <w:tcW w:w="1552" w:type="dxa"/>
          </w:tcPr>
          <w:p w:rsidR="00D77859" w:rsidRPr="00853ED7" w:rsidRDefault="00D77859" w:rsidP="00001057">
            <w:pPr>
              <w:keepNext/>
              <w:jc w:val="center"/>
              <w:rPr>
                <w:sz w:val="20"/>
              </w:rPr>
            </w:pPr>
            <w:r w:rsidRPr="00853ED7">
              <w:rPr>
                <w:sz w:val="20"/>
              </w:rPr>
              <w:t>11.2</w:t>
            </w:r>
          </w:p>
        </w:tc>
        <w:tc>
          <w:tcPr>
            <w:tcW w:w="901" w:type="dxa"/>
          </w:tcPr>
          <w:p w:rsidR="00D77859" w:rsidRPr="00853ED7" w:rsidRDefault="00D77859" w:rsidP="00001057">
            <w:pPr>
              <w:keepNext/>
              <w:jc w:val="center"/>
              <w:rPr>
                <w:sz w:val="20"/>
              </w:rPr>
            </w:pPr>
            <w:r w:rsidRPr="00853ED7">
              <w:rPr>
                <w:sz w:val="20"/>
              </w:rPr>
              <w:t>0.31</w:t>
            </w:r>
          </w:p>
        </w:tc>
        <w:tc>
          <w:tcPr>
            <w:tcW w:w="1075" w:type="dxa"/>
          </w:tcPr>
          <w:p w:rsidR="00D77859" w:rsidRPr="00853ED7" w:rsidRDefault="00D77859" w:rsidP="00001057">
            <w:pPr>
              <w:keepNext/>
              <w:jc w:val="center"/>
              <w:rPr>
                <w:sz w:val="20"/>
              </w:rPr>
            </w:pPr>
            <w:r w:rsidRPr="00853ED7">
              <w:rPr>
                <w:sz w:val="20"/>
              </w:rPr>
              <w:t>0.33</w:t>
            </w:r>
          </w:p>
        </w:tc>
        <w:tc>
          <w:tcPr>
            <w:tcW w:w="936" w:type="dxa"/>
          </w:tcPr>
          <w:p w:rsidR="00D77859" w:rsidRPr="00853ED7" w:rsidRDefault="00D77859" w:rsidP="00001057">
            <w:pPr>
              <w:keepNext/>
              <w:jc w:val="center"/>
              <w:rPr>
                <w:sz w:val="20"/>
              </w:rPr>
            </w:pPr>
            <w:r w:rsidRPr="00853ED7">
              <w:rPr>
                <w:sz w:val="20"/>
              </w:rPr>
              <w:t>0.44</w:t>
            </w:r>
          </w:p>
        </w:tc>
        <w:tc>
          <w:tcPr>
            <w:tcW w:w="1005" w:type="dxa"/>
          </w:tcPr>
          <w:p w:rsidR="00D77859" w:rsidRPr="00853ED7" w:rsidRDefault="00D77859" w:rsidP="00001057">
            <w:pPr>
              <w:keepNext/>
              <w:jc w:val="center"/>
              <w:rPr>
                <w:sz w:val="20"/>
              </w:rPr>
            </w:pPr>
            <w:r w:rsidRPr="00853ED7">
              <w:rPr>
                <w:sz w:val="20"/>
              </w:rPr>
              <w:t>0.44</w:t>
            </w:r>
          </w:p>
        </w:tc>
      </w:tr>
      <w:tr w:rsidR="00D77859" w:rsidRPr="00853ED7" w:rsidTr="005F3373">
        <w:trPr>
          <w:trHeight w:val="452"/>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i/>
                <w:sz w:val="20"/>
              </w:rPr>
            </w:pPr>
            <w:r w:rsidRPr="00853ED7">
              <w:rPr>
                <w:i/>
                <w:sz w:val="20"/>
              </w:rPr>
              <w:t>(-0.12</w:t>
            </w:r>
          </w:p>
          <w:p w:rsidR="00D77859" w:rsidRPr="00853ED7" w:rsidRDefault="00D77859" w:rsidP="00001057">
            <w:pPr>
              <w:keepNext/>
              <w:jc w:val="center"/>
              <w:rPr>
                <w:sz w:val="20"/>
              </w:rPr>
            </w:pPr>
            <w:r w:rsidRPr="00853ED7">
              <w:rPr>
                <w:i/>
                <w:sz w:val="20"/>
              </w:rPr>
              <w:t xml:space="preserve"> [-0.25, 0.02])</w:t>
            </w:r>
          </w:p>
        </w:tc>
        <w:tc>
          <w:tcPr>
            <w:tcW w:w="1552" w:type="dxa"/>
          </w:tcPr>
          <w:p w:rsidR="00D77859" w:rsidRPr="00853ED7" w:rsidRDefault="00D77859" w:rsidP="00001057">
            <w:pPr>
              <w:keepNext/>
              <w:jc w:val="center"/>
              <w:rPr>
                <w:i/>
                <w:sz w:val="20"/>
              </w:rPr>
            </w:pPr>
            <w:r w:rsidRPr="00853ED7">
              <w:rPr>
                <w:i/>
                <w:sz w:val="20"/>
              </w:rPr>
              <w:t>(-1.2</w:t>
            </w:r>
          </w:p>
          <w:p w:rsidR="00D77859" w:rsidRPr="00853ED7" w:rsidRDefault="00D77859" w:rsidP="00001057">
            <w:pPr>
              <w:keepNext/>
              <w:jc w:val="center"/>
              <w:rPr>
                <w:sz w:val="20"/>
              </w:rPr>
            </w:pPr>
            <w:r w:rsidRPr="00853ED7">
              <w:rPr>
                <w:i/>
                <w:sz w:val="20"/>
              </w:rPr>
              <w:t xml:space="preserve"> [-1.8, -0.5])</w:t>
            </w:r>
          </w:p>
        </w:tc>
        <w:tc>
          <w:tcPr>
            <w:tcW w:w="901" w:type="dxa"/>
          </w:tcPr>
          <w:p w:rsidR="00D77859" w:rsidRPr="00853ED7" w:rsidRDefault="00D77859" w:rsidP="00001057">
            <w:pPr>
              <w:keepNext/>
              <w:jc w:val="center"/>
              <w:rPr>
                <w:i/>
                <w:sz w:val="20"/>
              </w:rPr>
            </w:pPr>
          </w:p>
        </w:tc>
        <w:tc>
          <w:tcPr>
            <w:tcW w:w="1075" w:type="dxa"/>
          </w:tcPr>
          <w:p w:rsidR="00D77859" w:rsidRPr="00853ED7" w:rsidRDefault="00D77859" w:rsidP="00001057">
            <w:pPr>
              <w:keepNext/>
              <w:jc w:val="center"/>
              <w:rPr>
                <w:i/>
                <w:sz w:val="20"/>
              </w:rPr>
            </w:pPr>
          </w:p>
        </w:tc>
        <w:tc>
          <w:tcPr>
            <w:tcW w:w="936" w:type="dxa"/>
          </w:tcPr>
          <w:p w:rsidR="00D77859" w:rsidRPr="00853ED7" w:rsidRDefault="00D77859" w:rsidP="00001057">
            <w:pPr>
              <w:keepNext/>
              <w:jc w:val="center"/>
              <w:rPr>
                <w:i/>
                <w:sz w:val="20"/>
              </w:rPr>
            </w:pPr>
          </w:p>
        </w:tc>
        <w:tc>
          <w:tcPr>
            <w:tcW w:w="1005" w:type="dxa"/>
          </w:tcPr>
          <w:p w:rsidR="00D77859" w:rsidRPr="00853ED7" w:rsidRDefault="00D77859" w:rsidP="00001057">
            <w:pPr>
              <w:keepNext/>
              <w:jc w:val="center"/>
              <w:rPr>
                <w:i/>
                <w:sz w:val="20"/>
              </w:rPr>
            </w:pPr>
          </w:p>
        </w:tc>
      </w:tr>
      <w:tr w:rsidR="00D77859" w:rsidRPr="00853ED7" w:rsidTr="005F3373">
        <w:trPr>
          <w:trHeight w:val="233"/>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sz w:val="20"/>
              </w:rPr>
            </w:pPr>
          </w:p>
        </w:tc>
        <w:tc>
          <w:tcPr>
            <w:tcW w:w="901" w:type="dxa"/>
          </w:tcPr>
          <w:p w:rsidR="00D77859" w:rsidRPr="00853ED7" w:rsidRDefault="00D77859" w:rsidP="00001057">
            <w:pPr>
              <w:keepNext/>
              <w:jc w:val="center"/>
              <w:rPr>
                <w:sz w:val="20"/>
              </w:rPr>
            </w:pPr>
          </w:p>
        </w:tc>
        <w:tc>
          <w:tcPr>
            <w:tcW w:w="1075" w:type="dxa"/>
          </w:tcPr>
          <w:p w:rsidR="00D77859" w:rsidRPr="00853ED7" w:rsidRDefault="00D77859" w:rsidP="00001057">
            <w:pPr>
              <w:keepNext/>
              <w:jc w:val="center"/>
              <w:rPr>
                <w:sz w:val="20"/>
              </w:rPr>
            </w:pPr>
          </w:p>
        </w:tc>
        <w:tc>
          <w:tcPr>
            <w:tcW w:w="936" w:type="dxa"/>
          </w:tcPr>
          <w:p w:rsidR="00D77859" w:rsidRPr="00853ED7" w:rsidRDefault="00D77859" w:rsidP="00001057">
            <w:pPr>
              <w:keepNext/>
              <w:jc w:val="center"/>
              <w:rPr>
                <w:sz w:val="20"/>
              </w:rPr>
            </w:pPr>
          </w:p>
        </w:tc>
        <w:tc>
          <w:tcPr>
            <w:tcW w:w="1005" w:type="dxa"/>
          </w:tcPr>
          <w:p w:rsidR="00D77859" w:rsidRPr="00853ED7" w:rsidRDefault="00D77859" w:rsidP="00001057">
            <w:pPr>
              <w:keepNext/>
              <w:jc w:val="center"/>
              <w:rPr>
                <w:sz w:val="20"/>
              </w:rPr>
            </w:pPr>
          </w:p>
        </w:tc>
      </w:tr>
      <w:tr w:rsidR="00D77859" w:rsidRPr="00853ED7" w:rsidTr="005F3373">
        <w:trPr>
          <w:trHeight w:val="452"/>
        </w:trPr>
        <w:tc>
          <w:tcPr>
            <w:tcW w:w="847" w:type="dxa"/>
          </w:tcPr>
          <w:p w:rsidR="00D77859" w:rsidRPr="00853ED7" w:rsidRDefault="00D77859" w:rsidP="00001057">
            <w:pPr>
              <w:keepNext/>
              <w:jc w:val="center"/>
              <w:rPr>
                <w:sz w:val="20"/>
              </w:rPr>
            </w:pPr>
            <w:r w:rsidRPr="00853ED7">
              <w:rPr>
                <w:sz w:val="20"/>
              </w:rPr>
              <w:t>1447</w:t>
            </w:r>
          </w:p>
        </w:tc>
        <w:tc>
          <w:tcPr>
            <w:tcW w:w="1270" w:type="dxa"/>
          </w:tcPr>
          <w:p w:rsidR="00D77859" w:rsidRPr="00853ED7" w:rsidRDefault="00D77859" w:rsidP="00001057">
            <w:pPr>
              <w:keepNext/>
              <w:jc w:val="center"/>
              <w:rPr>
                <w:sz w:val="20"/>
              </w:rPr>
            </w:pPr>
            <w:proofErr w:type="spellStart"/>
            <w:r w:rsidRPr="00853ED7">
              <w:rPr>
                <w:sz w:val="20"/>
              </w:rPr>
              <w:t>Levemir</w:t>
            </w:r>
            <w:proofErr w:type="spellEnd"/>
            <w:r w:rsidRPr="00853ED7">
              <w:rPr>
                <w:sz w:val="20"/>
                <w:vertAlign w:val="superscript"/>
              </w:rPr>
              <w:t>§</w:t>
            </w:r>
            <w:r w:rsidRPr="00853ED7">
              <w:rPr>
                <w:sz w:val="20"/>
              </w:rPr>
              <w:t xml:space="preserve"> </w:t>
            </w:r>
            <w:r w:rsidRPr="00853ED7">
              <w:rPr>
                <w:i/>
                <w:sz w:val="20"/>
              </w:rPr>
              <w:t>(</w:t>
            </w:r>
            <w:proofErr w:type="spellStart"/>
            <w:r w:rsidRPr="00853ED7">
              <w:rPr>
                <w:i/>
                <w:sz w:val="20"/>
              </w:rPr>
              <w:t>b.d</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271</w:t>
            </w:r>
          </w:p>
        </w:tc>
        <w:tc>
          <w:tcPr>
            <w:tcW w:w="1552" w:type="dxa"/>
          </w:tcPr>
          <w:p w:rsidR="00D77859" w:rsidRPr="00853ED7" w:rsidRDefault="00D77859" w:rsidP="00001057">
            <w:pPr>
              <w:keepNext/>
              <w:jc w:val="center"/>
              <w:rPr>
                <w:sz w:val="20"/>
              </w:rPr>
            </w:pPr>
            <w:r w:rsidRPr="00853ED7">
              <w:rPr>
                <w:sz w:val="20"/>
              </w:rPr>
              <w:t>7.66</w:t>
            </w:r>
          </w:p>
        </w:tc>
        <w:tc>
          <w:tcPr>
            <w:tcW w:w="1552" w:type="dxa"/>
          </w:tcPr>
          <w:p w:rsidR="00D77859" w:rsidRPr="00853ED7" w:rsidRDefault="00D77859" w:rsidP="00001057">
            <w:pPr>
              <w:keepNext/>
              <w:jc w:val="center"/>
              <w:rPr>
                <w:sz w:val="20"/>
              </w:rPr>
            </w:pPr>
            <w:r w:rsidRPr="00853ED7">
              <w:rPr>
                <w:sz w:val="20"/>
              </w:rPr>
              <w:t>9.50</w:t>
            </w:r>
            <w:r w:rsidRPr="00853ED7">
              <w:rPr>
                <w:i/>
                <w:sz w:val="20"/>
                <w:vertAlign w:val="superscript"/>
              </w:rPr>
              <w:t>∞</w:t>
            </w:r>
          </w:p>
        </w:tc>
        <w:tc>
          <w:tcPr>
            <w:tcW w:w="901" w:type="dxa"/>
          </w:tcPr>
          <w:p w:rsidR="00D77859" w:rsidRPr="00853ED7" w:rsidRDefault="00D77859" w:rsidP="00001057">
            <w:pPr>
              <w:keepNext/>
              <w:jc w:val="center"/>
              <w:rPr>
                <w:sz w:val="20"/>
              </w:rPr>
            </w:pPr>
            <w:r w:rsidRPr="00853ED7">
              <w:rPr>
                <w:sz w:val="20"/>
              </w:rPr>
              <w:t>0.35</w:t>
            </w:r>
          </w:p>
        </w:tc>
        <w:tc>
          <w:tcPr>
            <w:tcW w:w="1075" w:type="dxa"/>
          </w:tcPr>
          <w:p w:rsidR="00D77859" w:rsidRPr="00853ED7" w:rsidRDefault="00D77859" w:rsidP="00001057">
            <w:pPr>
              <w:keepNext/>
              <w:jc w:val="center"/>
              <w:rPr>
                <w:sz w:val="20"/>
              </w:rPr>
            </w:pPr>
            <w:r w:rsidRPr="00853ED7">
              <w:rPr>
                <w:sz w:val="20"/>
              </w:rPr>
              <w:t>0.43</w:t>
            </w:r>
          </w:p>
        </w:tc>
        <w:tc>
          <w:tcPr>
            <w:tcW w:w="936" w:type="dxa"/>
          </w:tcPr>
          <w:p w:rsidR="00D77859" w:rsidRPr="00853ED7" w:rsidRDefault="00D77859" w:rsidP="00001057">
            <w:pPr>
              <w:keepNext/>
              <w:jc w:val="center"/>
              <w:rPr>
                <w:sz w:val="20"/>
              </w:rPr>
            </w:pPr>
            <w:r w:rsidRPr="00853ED7">
              <w:rPr>
                <w:sz w:val="20"/>
              </w:rPr>
              <w:t>0.39</w:t>
            </w:r>
          </w:p>
        </w:tc>
        <w:tc>
          <w:tcPr>
            <w:tcW w:w="1005" w:type="dxa"/>
          </w:tcPr>
          <w:p w:rsidR="00D77859" w:rsidRPr="00853ED7" w:rsidRDefault="00D77859" w:rsidP="00001057">
            <w:pPr>
              <w:keepNext/>
              <w:jc w:val="center"/>
              <w:rPr>
                <w:sz w:val="20"/>
              </w:rPr>
            </w:pPr>
            <w:r w:rsidRPr="00853ED7">
              <w:rPr>
                <w:sz w:val="20"/>
              </w:rPr>
              <w:t>0.39</w:t>
            </w:r>
          </w:p>
        </w:tc>
      </w:tr>
      <w:tr w:rsidR="00D77859" w:rsidRPr="00853ED7" w:rsidTr="005F3373">
        <w:trPr>
          <w:trHeight w:val="233"/>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b.d</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129</w:t>
            </w:r>
          </w:p>
        </w:tc>
        <w:tc>
          <w:tcPr>
            <w:tcW w:w="1552" w:type="dxa"/>
          </w:tcPr>
          <w:p w:rsidR="00D77859" w:rsidRPr="00853ED7" w:rsidRDefault="00D77859" w:rsidP="00001057">
            <w:pPr>
              <w:keepNext/>
              <w:jc w:val="center"/>
              <w:rPr>
                <w:sz w:val="20"/>
              </w:rPr>
            </w:pPr>
            <w:r w:rsidRPr="00853ED7">
              <w:rPr>
                <w:sz w:val="20"/>
              </w:rPr>
              <w:t>7.73</w:t>
            </w:r>
          </w:p>
        </w:tc>
        <w:tc>
          <w:tcPr>
            <w:tcW w:w="1552" w:type="dxa"/>
          </w:tcPr>
          <w:p w:rsidR="00D77859" w:rsidRPr="00853ED7" w:rsidRDefault="00D77859" w:rsidP="00001057">
            <w:pPr>
              <w:keepNext/>
              <w:jc w:val="center"/>
              <w:rPr>
                <w:sz w:val="20"/>
              </w:rPr>
            </w:pPr>
            <w:r w:rsidRPr="00853ED7">
              <w:rPr>
                <w:sz w:val="20"/>
              </w:rPr>
              <w:t>11.13</w:t>
            </w:r>
          </w:p>
        </w:tc>
        <w:tc>
          <w:tcPr>
            <w:tcW w:w="901" w:type="dxa"/>
          </w:tcPr>
          <w:p w:rsidR="00D77859" w:rsidRPr="00853ED7" w:rsidRDefault="00D77859" w:rsidP="00001057">
            <w:pPr>
              <w:keepNext/>
              <w:jc w:val="center"/>
              <w:rPr>
                <w:sz w:val="20"/>
              </w:rPr>
            </w:pPr>
            <w:r w:rsidRPr="00853ED7">
              <w:rPr>
                <w:sz w:val="20"/>
              </w:rPr>
              <w:t>0.32</w:t>
            </w:r>
          </w:p>
        </w:tc>
        <w:tc>
          <w:tcPr>
            <w:tcW w:w="1075" w:type="dxa"/>
          </w:tcPr>
          <w:p w:rsidR="00D77859" w:rsidRPr="00853ED7" w:rsidRDefault="00D77859" w:rsidP="00001057">
            <w:pPr>
              <w:keepNext/>
              <w:jc w:val="center"/>
              <w:rPr>
                <w:sz w:val="20"/>
              </w:rPr>
            </w:pPr>
            <w:r w:rsidRPr="00853ED7">
              <w:rPr>
                <w:sz w:val="20"/>
              </w:rPr>
              <w:t>0.38</w:t>
            </w:r>
          </w:p>
        </w:tc>
        <w:tc>
          <w:tcPr>
            <w:tcW w:w="936" w:type="dxa"/>
          </w:tcPr>
          <w:p w:rsidR="00D77859" w:rsidRPr="00853ED7" w:rsidRDefault="00D77859" w:rsidP="00001057">
            <w:pPr>
              <w:keepNext/>
              <w:jc w:val="center"/>
              <w:rPr>
                <w:sz w:val="20"/>
              </w:rPr>
            </w:pPr>
            <w:r w:rsidRPr="00853ED7">
              <w:rPr>
                <w:sz w:val="20"/>
              </w:rPr>
              <w:t>0.37</w:t>
            </w:r>
          </w:p>
        </w:tc>
        <w:tc>
          <w:tcPr>
            <w:tcW w:w="1005" w:type="dxa"/>
          </w:tcPr>
          <w:p w:rsidR="00D77859" w:rsidRPr="00853ED7" w:rsidRDefault="00D77859" w:rsidP="00001057">
            <w:pPr>
              <w:keepNext/>
              <w:jc w:val="center"/>
              <w:rPr>
                <w:sz w:val="20"/>
              </w:rPr>
            </w:pPr>
            <w:r w:rsidRPr="00853ED7">
              <w:rPr>
                <w:sz w:val="20"/>
              </w:rPr>
              <w:t>0.34</w:t>
            </w:r>
          </w:p>
        </w:tc>
      </w:tr>
      <w:tr w:rsidR="00D77859" w:rsidRPr="00853ED7" w:rsidTr="005F3373">
        <w:trPr>
          <w:trHeight w:val="452"/>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i/>
                <w:sz w:val="20"/>
              </w:rPr>
            </w:pPr>
            <w:r w:rsidRPr="00853ED7">
              <w:rPr>
                <w:i/>
                <w:sz w:val="20"/>
              </w:rPr>
              <w:t>(-0.07</w:t>
            </w:r>
          </w:p>
          <w:p w:rsidR="00D77859" w:rsidRPr="00853ED7" w:rsidRDefault="00D77859" w:rsidP="00001057">
            <w:pPr>
              <w:keepNext/>
              <w:jc w:val="center"/>
              <w:rPr>
                <w:i/>
                <w:sz w:val="20"/>
              </w:rPr>
            </w:pPr>
            <w:r w:rsidRPr="00853ED7">
              <w:rPr>
                <w:i/>
                <w:sz w:val="20"/>
              </w:rPr>
              <w:t xml:space="preserve"> [-0.22, 0.08])</w:t>
            </w:r>
          </w:p>
        </w:tc>
        <w:tc>
          <w:tcPr>
            <w:tcW w:w="1552" w:type="dxa"/>
          </w:tcPr>
          <w:p w:rsidR="00D77859" w:rsidRPr="00853ED7" w:rsidRDefault="00D77859" w:rsidP="00001057">
            <w:pPr>
              <w:keepNext/>
              <w:jc w:val="center"/>
              <w:rPr>
                <w:i/>
                <w:sz w:val="20"/>
              </w:rPr>
            </w:pPr>
            <w:r w:rsidRPr="00853ED7">
              <w:rPr>
                <w:i/>
                <w:sz w:val="20"/>
              </w:rPr>
              <w:t xml:space="preserve">(-1.64 </w:t>
            </w:r>
          </w:p>
          <w:p w:rsidR="00D77859" w:rsidRPr="00853ED7" w:rsidRDefault="00D77859" w:rsidP="00001057">
            <w:pPr>
              <w:keepNext/>
              <w:jc w:val="center"/>
              <w:rPr>
                <w:i/>
                <w:sz w:val="20"/>
              </w:rPr>
            </w:pPr>
            <w:r w:rsidRPr="00853ED7">
              <w:rPr>
                <w:i/>
                <w:sz w:val="20"/>
              </w:rPr>
              <w:t>[-2.45, -0.82])</w:t>
            </w:r>
          </w:p>
        </w:tc>
        <w:tc>
          <w:tcPr>
            <w:tcW w:w="901" w:type="dxa"/>
          </w:tcPr>
          <w:p w:rsidR="00D77859" w:rsidRPr="00853ED7" w:rsidRDefault="00D77859" w:rsidP="00001057">
            <w:pPr>
              <w:keepNext/>
              <w:jc w:val="center"/>
              <w:rPr>
                <w:i/>
                <w:sz w:val="20"/>
              </w:rPr>
            </w:pPr>
          </w:p>
        </w:tc>
        <w:tc>
          <w:tcPr>
            <w:tcW w:w="1075" w:type="dxa"/>
          </w:tcPr>
          <w:p w:rsidR="00D77859" w:rsidRPr="00853ED7" w:rsidRDefault="00D77859" w:rsidP="00001057">
            <w:pPr>
              <w:keepNext/>
              <w:jc w:val="center"/>
              <w:rPr>
                <w:i/>
                <w:sz w:val="20"/>
              </w:rPr>
            </w:pPr>
          </w:p>
        </w:tc>
        <w:tc>
          <w:tcPr>
            <w:tcW w:w="936" w:type="dxa"/>
          </w:tcPr>
          <w:p w:rsidR="00D77859" w:rsidRPr="00853ED7" w:rsidRDefault="00D77859" w:rsidP="00001057">
            <w:pPr>
              <w:keepNext/>
              <w:jc w:val="center"/>
              <w:rPr>
                <w:i/>
                <w:sz w:val="20"/>
              </w:rPr>
            </w:pPr>
          </w:p>
        </w:tc>
        <w:tc>
          <w:tcPr>
            <w:tcW w:w="1005" w:type="dxa"/>
          </w:tcPr>
          <w:p w:rsidR="00D77859" w:rsidRPr="00853ED7" w:rsidRDefault="00D77859" w:rsidP="00001057">
            <w:pPr>
              <w:keepNext/>
              <w:jc w:val="center"/>
              <w:rPr>
                <w:i/>
                <w:sz w:val="20"/>
              </w:rPr>
            </w:pPr>
          </w:p>
        </w:tc>
      </w:tr>
      <w:tr w:rsidR="00D77859" w:rsidRPr="00853ED7" w:rsidTr="005F3373">
        <w:trPr>
          <w:trHeight w:val="233"/>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sz w:val="20"/>
              </w:rPr>
            </w:pPr>
          </w:p>
        </w:tc>
        <w:tc>
          <w:tcPr>
            <w:tcW w:w="901" w:type="dxa"/>
          </w:tcPr>
          <w:p w:rsidR="00D77859" w:rsidRPr="00853ED7" w:rsidRDefault="00D77859" w:rsidP="00001057">
            <w:pPr>
              <w:keepNext/>
              <w:jc w:val="center"/>
              <w:rPr>
                <w:sz w:val="20"/>
              </w:rPr>
            </w:pPr>
          </w:p>
        </w:tc>
        <w:tc>
          <w:tcPr>
            <w:tcW w:w="1075" w:type="dxa"/>
          </w:tcPr>
          <w:p w:rsidR="00D77859" w:rsidRPr="00853ED7" w:rsidRDefault="00D77859" w:rsidP="00001057">
            <w:pPr>
              <w:keepNext/>
              <w:jc w:val="center"/>
              <w:rPr>
                <w:sz w:val="20"/>
              </w:rPr>
            </w:pPr>
          </w:p>
        </w:tc>
        <w:tc>
          <w:tcPr>
            <w:tcW w:w="936" w:type="dxa"/>
          </w:tcPr>
          <w:p w:rsidR="00D77859" w:rsidRPr="00853ED7" w:rsidRDefault="00D77859" w:rsidP="00001057">
            <w:pPr>
              <w:keepNext/>
              <w:jc w:val="center"/>
              <w:rPr>
                <w:sz w:val="20"/>
              </w:rPr>
            </w:pPr>
          </w:p>
        </w:tc>
        <w:tc>
          <w:tcPr>
            <w:tcW w:w="1005" w:type="dxa"/>
          </w:tcPr>
          <w:p w:rsidR="00D77859" w:rsidRPr="00853ED7" w:rsidRDefault="00D77859" w:rsidP="00001057">
            <w:pPr>
              <w:keepNext/>
              <w:jc w:val="center"/>
              <w:rPr>
                <w:sz w:val="20"/>
              </w:rPr>
            </w:pPr>
          </w:p>
        </w:tc>
      </w:tr>
      <w:tr w:rsidR="00D77859" w:rsidRPr="00853ED7" w:rsidTr="005F3373">
        <w:trPr>
          <w:trHeight w:val="452"/>
        </w:trPr>
        <w:tc>
          <w:tcPr>
            <w:tcW w:w="847" w:type="dxa"/>
          </w:tcPr>
          <w:p w:rsidR="00D77859" w:rsidRPr="00853ED7" w:rsidRDefault="00D77859" w:rsidP="00001057">
            <w:pPr>
              <w:keepNext/>
              <w:jc w:val="center"/>
              <w:rPr>
                <w:sz w:val="20"/>
              </w:rPr>
            </w:pPr>
            <w:r w:rsidRPr="00853ED7">
              <w:rPr>
                <w:sz w:val="20"/>
              </w:rPr>
              <w:t>1448</w:t>
            </w:r>
          </w:p>
        </w:tc>
        <w:tc>
          <w:tcPr>
            <w:tcW w:w="1270" w:type="dxa"/>
          </w:tcPr>
          <w:p w:rsidR="00D77859" w:rsidRPr="00853ED7" w:rsidRDefault="00D77859" w:rsidP="00001057">
            <w:pPr>
              <w:keepNext/>
              <w:jc w:val="center"/>
              <w:rPr>
                <w:sz w:val="20"/>
              </w:rPr>
            </w:pPr>
            <w:proofErr w:type="spellStart"/>
            <w:r w:rsidRPr="00853ED7">
              <w:rPr>
                <w:sz w:val="20"/>
              </w:rPr>
              <w:t>Levemir</w:t>
            </w:r>
            <w:proofErr w:type="spellEnd"/>
            <w:r w:rsidRPr="00853ED7">
              <w:rPr>
                <w:sz w:val="20"/>
                <w:vertAlign w:val="superscript"/>
              </w:rPr>
              <w:t>§</w:t>
            </w:r>
            <w:r w:rsidRPr="00853ED7">
              <w:rPr>
                <w:sz w:val="20"/>
              </w:rPr>
              <w:t xml:space="preserve"> </w:t>
            </w:r>
            <w:r w:rsidRPr="00853ED7">
              <w:rPr>
                <w:i/>
                <w:sz w:val="20"/>
              </w:rPr>
              <w:t>(</w:t>
            </w:r>
            <w:proofErr w:type="spellStart"/>
            <w:r w:rsidRPr="00853ED7">
              <w:rPr>
                <w:i/>
                <w:sz w:val="20"/>
              </w:rPr>
              <w:t>b.d</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276</w:t>
            </w:r>
          </w:p>
        </w:tc>
        <w:tc>
          <w:tcPr>
            <w:tcW w:w="1552" w:type="dxa"/>
          </w:tcPr>
          <w:p w:rsidR="00D77859" w:rsidRPr="00853ED7" w:rsidRDefault="00D77859" w:rsidP="00001057">
            <w:pPr>
              <w:keepNext/>
              <w:jc w:val="center"/>
              <w:rPr>
                <w:sz w:val="20"/>
              </w:rPr>
            </w:pPr>
            <w:r w:rsidRPr="00853ED7">
              <w:rPr>
                <w:sz w:val="20"/>
              </w:rPr>
              <w:t>7.76</w:t>
            </w:r>
          </w:p>
        </w:tc>
        <w:tc>
          <w:tcPr>
            <w:tcW w:w="1552" w:type="dxa"/>
          </w:tcPr>
          <w:p w:rsidR="00D77859" w:rsidRPr="00853ED7" w:rsidRDefault="00D77859" w:rsidP="00001057">
            <w:pPr>
              <w:keepNext/>
              <w:jc w:val="center"/>
              <w:rPr>
                <w:sz w:val="20"/>
              </w:rPr>
            </w:pPr>
            <w:r w:rsidRPr="00853ED7">
              <w:rPr>
                <w:sz w:val="20"/>
              </w:rPr>
              <w:t>9.34</w:t>
            </w:r>
            <w:r w:rsidRPr="00853ED7">
              <w:rPr>
                <w:i/>
                <w:sz w:val="20"/>
                <w:vertAlign w:val="superscript"/>
              </w:rPr>
              <w:t>∞</w:t>
            </w:r>
          </w:p>
        </w:tc>
        <w:tc>
          <w:tcPr>
            <w:tcW w:w="901" w:type="dxa"/>
          </w:tcPr>
          <w:p w:rsidR="00D77859" w:rsidRPr="00853ED7" w:rsidRDefault="00D77859" w:rsidP="00001057">
            <w:pPr>
              <w:keepNext/>
              <w:jc w:val="center"/>
              <w:rPr>
                <w:sz w:val="20"/>
              </w:rPr>
            </w:pPr>
            <w:r w:rsidRPr="00853ED7">
              <w:rPr>
                <w:sz w:val="20"/>
              </w:rPr>
              <w:t>0.36</w:t>
            </w:r>
          </w:p>
        </w:tc>
        <w:tc>
          <w:tcPr>
            <w:tcW w:w="1075" w:type="dxa"/>
          </w:tcPr>
          <w:p w:rsidR="00D77859" w:rsidRPr="00853ED7" w:rsidRDefault="00D77859" w:rsidP="00001057">
            <w:pPr>
              <w:keepNext/>
              <w:jc w:val="center"/>
              <w:rPr>
                <w:sz w:val="20"/>
              </w:rPr>
            </w:pPr>
            <w:r w:rsidRPr="00853ED7">
              <w:rPr>
                <w:sz w:val="20"/>
              </w:rPr>
              <w:t>0.49</w:t>
            </w:r>
          </w:p>
        </w:tc>
        <w:tc>
          <w:tcPr>
            <w:tcW w:w="936" w:type="dxa"/>
          </w:tcPr>
          <w:p w:rsidR="00D77859" w:rsidRPr="00853ED7" w:rsidRDefault="00D77859" w:rsidP="00001057">
            <w:pPr>
              <w:keepNext/>
              <w:jc w:val="center"/>
              <w:rPr>
                <w:sz w:val="20"/>
              </w:rPr>
            </w:pPr>
            <w:r w:rsidRPr="00853ED7">
              <w:rPr>
                <w:sz w:val="20"/>
              </w:rPr>
              <w:t>0.40</w:t>
            </w:r>
          </w:p>
        </w:tc>
        <w:tc>
          <w:tcPr>
            <w:tcW w:w="1005" w:type="dxa"/>
          </w:tcPr>
          <w:p w:rsidR="00D77859" w:rsidRPr="00853ED7" w:rsidRDefault="00D77859" w:rsidP="00001057">
            <w:pPr>
              <w:keepNext/>
              <w:jc w:val="center"/>
              <w:rPr>
                <w:sz w:val="20"/>
              </w:rPr>
            </w:pPr>
            <w:r w:rsidRPr="00853ED7">
              <w:rPr>
                <w:sz w:val="20"/>
              </w:rPr>
              <w:t>0.38</w:t>
            </w:r>
          </w:p>
        </w:tc>
      </w:tr>
      <w:tr w:rsidR="00D77859" w:rsidRPr="00853ED7" w:rsidTr="005F3373">
        <w:trPr>
          <w:trHeight w:val="233"/>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b.d</w:t>
            </w:r>
            <w:proofErr w:type="spellEnd"/>
            <w:r w:rsidRPr="00853ED7">
              <w:rPr>
                <w:i/>
                <w:sz w:val="20"/>
              </w:rPr>
              <w:t>.)</w:t>
            </w:r>
          </w:p>
        </w:tc>
        <w:tc>
          <w:tcPr>
            <w:tcW w:w="564" w:type="dxa"/>
          </w:tcPr>
          <w:p w:rsidR="00D77859" w:rsidRPr="00853ED7" w:rsidRDefault="00D77859" w:rsidP="00001057">
            <w:pPr>
              <w:keepNext/>
              <w:jc w:val="center"/>
              <w:rPr>
                <w:sz w:val="20"/>
              </w:rPr>
            </w:pPr>
            <w:r w:rsidRPr="00853ED7">
              <w:rPr>
                <w:sz w:val="20"/>
              </w:rPr>
              <w:t>133</w:t>
            </w:r>
          </w:p>
        </w:tc>
        <w:tc>
          <w:tcPr>
            <w:tcW w:w="1552" w:type="dxa"/>
          </w:tcPr>
          <w:p w:rsidR="00D77859" w:rsidRPr="00853ED7" w:rsidRDefault="00D77859" w:rsidP="00001057">
            <w:pPr>
              <w:keepNext/>
              <w:jc w:val="center"/>
              <w:rPr>
                <w:sz w:val="20"/>
              </w:rPr>
            </w:pPr>
            <w:r w:rsidRPr="00853ED7">
              <w:rPr>
                <w:sz w:val="20"/>
              </w:rPr>
              <w:t>7.94</w:t>
            </w:r>
          </w:p>
        </w:tc>
        <w:tc>
          <w:tcPr>
            <w:tcW w:w="1552" w:type="dxa"/>
          </w:tcPr>
          <w:p w:rsidR="00D77859" w:rsidRPr="00853ED7" w:rsidRDefault="00D77859" w:rsidP="00001057">
            <w:pPr>
              <w:keepNext/>
              <w:jc w:val="center"/>
              <w:rPr>
                <w:sz w:val="20"/>
              </w:rPr>
            </w:pPr>
            <w:r w:rsidRPr="00853ED7">
              <w:rPr>
                <w:sz w:val="20"/>
              </w:rPr>
              <w:t>11.24</w:t>
            </w:r>
          </w:p>
        </w:tc>
        <w:tc>
          <w:tcPr>
            <w:tcW w:w="901" w:type="dxa"/>
          </w:tcPr>
          <w:p w:rsidR="00D77859" w:rsidRPr="00853ED7" w:rsidRDefault="00D77859" w:rsidP="00001057">
            <w:pPr>
              <w:keepNext/>
              <w:jc w:val="center"/>
              <w:rPr>
                <w:sz w:val="20"/>
              </w:rPr>
            </w:pPr>
            <w:r w:rsidRPr="00853ED7">
              <w:rPr>
                <w:sz w:val="20"/>
              </w:rPr>
              <w:t>0.39</w:t>
            </w:r>
          </w:p>
        </w:tc>
        <w:tc>
          <w:tcPr>
            <w:tcW w:w="1075" w:type="dxa"/>
          </w:tcPr>
          <w:p w:rsidR="00D77859" w:rsidRPr="00853ED7" w:rsidRDefault="00D77859" w:rsidP="00001057">
            <w:pPr>
              <w:keepNext/>
              <w:jc w:val="center"/>
              <w:rPr>
                <w:sz w:val="20"/>
              </w:rPr>
            </w:pPr>
            <w:r w:rsidRPr="00853ED7">
              <w:rPr>
                <w:sz w:val="20"/>
              </w:rPr>
              <w:t>0.45</w:t>
            </w:r>
          </w:p>
        </w:tc>
        <w:tc>
          <w:tcPr>
            <w:tcW w:w="936" w:type="dxa"/>
          </w:tcPr>
          <w:p w:rsidR="00D77859" w:rsidRPr="00853ED7" w:rsidRDefault="00D77859" w:rsidP="00001057">
            <w:pPr>
              <w:keepNext/>
              <w:jc w:val="center"/>
              <w:rPr>
                <w:sz w:val="20"/>
              </w:rPr>
            </w:pPr>
            <w:r w:rsidRPr="00853ED7">
              <w:rPr>
                <w:sz w:val="20"/>
              </w:rPr>
              <w:t>0.40</w:t>
            </w:r>
          </w:p>
        </w:tc>
        <w:tc>
          <w:tcPr>
            <w:tcW w:w="1005" w:type="dxa"/>
          </w:tcPr>
          <w:p w:rsidR="00D77859" w:rsidRPr="00853ED7" w:rsidRDefault="00D77859" w:rsidP="00001057">
            <w:pPr>
              <w:keepNext/>
              <w:jc w:val="center"/>
              <w:rPr>
                <w:sz w:val="20"/>
              </w:rPr>
            </w:pPr>
            <w:r w:rsidRPr="00853ED7">
              <w:rPr>
                <w:sz w:val="20"/>
              </w:rPr>
              <w:t>0.38</w:t>
            </w:r>
          </w:p>
        </w:tc>
      </w:tr>
      <w:tr w:rsidR="00D77859" w:rsidRPr="00853ED7" w:rsidTr="005F3373">
        <w:trPr>
          <w:trHeight w:val="466"/>
        </w:trPr>
        <w:tc>
          <w:tcPr>
            <w:tcW w:w="847" w:type="dxa"/>
          </w:tcPr>
          <w:p w:rsidR="00D77859" w:rsidRPr="00853ED7" w:rsidRDefault="00D77859" w:rsidP="00001057">
            <w:pPr>
              <w:keepNext/>
              <w:jc w:val="center"/>
              <w:rPr>
                <w:sz w:val="20"/>
              </w:rPr>
            </w:pPr>
          </w:p>
        </w:tc>
        <w:tc>
          <w:tcPr>
            <w:tcW w:w="1270" w:type="dxa"/>
          </w:tcPr>
          <w:p w:rsidR="00D77859" w:rsidRPr="00853ED7" w:rsidRDefault="00D77859" w:rsidP="00001057">
            <w:pPr>
              <w:keepNext/>
              <w:jc w:val="center"/>
              <w:rPr>
                <w:sz w:val="20"/>
              </w:rPr>
            </w:pPr>
          </w:p>
        </w:tc>
        <w:tc>
          <w:tcPr>
            <w:tcW w:w="564" w:type="dxa"/>
          </w:tcPr>
          <w:p w:rsidR="00D77859" w:rsidRPr="00853ED7" w:rsidRDefault="00D77859" w:rsidP="00001057">
            <w:pPr>
              <w:keepNext/>
              <w:jc w:val="center"/>
              <w:rPr>
                <w:sz w:val="20"/>
              </w:rPr>
            </w:pPr>
          </w:p>
        </w:tc>
        <w:tc>
          <w:tcPr>
            <w:tcW w:w="1552" w:type="dxa"/>
          </w:tcPr>
          <w:p w:rsidR="00D77859" w:rsidRPr="00853ED7" w:rsidRDefault="00D77859" w:rsidP="00001057">
            <w:pPr>
              <w:keepNext/>
              <w:jc w:val="center"/>
              <w:rPr>
                <w:i/>
                <w:sz w:val="20"/>
              </w:rPr>
            </w:pPr>
            <w:r w:rsidRPr="00853ED7">
              <w:rPr>
                <w:i/>
                <w:sz w:val="20"/>
              </w:rPr>
              <w:t xml:space="preserve">(-0.18 </w:t>
            </w:r>
          </w:p>
          <w:p w:rsidR="00D77859" w:rsidRPr="00853ED7" w:rsidRDefault="00D77859" w:rsidP="00001057">
            <w:pPr>
              <w:keepNext/>
              <w:jc w:val="center"/>
              <w:rPr>
                <w:i/>
                <w:sz w:val="20"/>
              </w:rPr>
            </w:pPr>
            <w:r w:rsidRPr="00853ED7">
              <w:rPr>
                <w:i/>
                <w:sz w:val="20"/>
              </w:rPr>
              <w:t>[-0.34, -0.02])</w:t>
            </w:r>
          </w:p>
        </w:tc>
        <w:tc>
          <w:tcPr>
            <w:tcW w:w="1552" w:type="dxa"/>
          </w:tcPr>
          <w:p w:rsidR="00D77859" w:rsidRPr="00853ED7" w:rsidRDefault="00D77859" w:rsidP="00001057">
            <w:pPr>
              <w:keepNext/>
              <w:jc w:val="center"/>
              <w:rPr>
                <w:i/>
                <w:sz w:val="20"/>
              </w:rPr>
            </w:pPr>
            <w:r w:rsidRPr="00853ED7">
              <w:rPr>
                <w:i/>
                <w:sz w:val="20"/>
              </w:rPr>
              <w:t>(-1.90</w:t>
            </w:r>
          </w:p>
          <w:p w:rsidR="00D77859" w:rsidRPr="00853ED7" w:rsidRDefault="00D77859" w:rsidP="00001057">
            <w:pPr>
              <w:keepNext/>
              <w:jc w:val="center"/>
              <w:rPr>
                <w:i/>
                <w:sz w:val="20"/>
              </w:rPr>
            </w:pPr>
            <w:r w:rsidRPr="00853ED7">
              <w:rPr>
                <w:i/>
                <w:sz w:val="20"/>
              </w:rPr>
              <w:t xml:space="preserve"> [-2.79, -1.02])</w:t>
            </w:r>
          </w:p>
        </w:tc>
        <w:tc>
          <w:tcPr>
            <w:tcW w:w="901" w:type="dxa"/>
          </w:tcPr>
          <w:p w:rsidR="00D77859" w:rsidRPr="00853ED7" w:rsidRDefault="00D77859" w:rsidP="00001057">
            <w:pPr>
              <w:keepNext/>
              <w:jc w:val="center"/>
              <w:rPr>
                <w:i/>
                <w:sz w:val="20"/>
              </w:rPr>
            </w:pPr>
          </w:p>
        </w:tc>
        <w:tc>
          <w:tcPr>
            <w:tcW w:w="1075" w:type="dxa"/>
          </w:tcPr>
          <w:p w:rsidR="00D77859" w:rsidRPr="00853ED7" w:rsidRDefault="00D77859" w:rsidP="00001057">
            <w:pPr>
              <w:keepNext/>
              <w:jc w:val="center"/>
              <w:rPr>
                <w:i/>
                <w:sz w:val="20"/>
              </w:rPr>
            </w:pPr>
          </w:p>
        </w:tc>
        <w:tc>
          <w:tcPr>
            <w:tcW w:w="936" w:type="dxa"/>
          </w:tcPr>
          <w:p w:rsidR="00D77859" w:rsidRPr="00853ED7" w:rsidRDefault="00D77859" w:rsidP="00001057">
            <w:pPr>
              <w:keepNext/>
              <w:jc w:val="center"/>
              <w:rPr>
                <w:i/>
                <w:sz w:val="20"/>
              </w:rPr>
            </w:pPr>
          </w:p>
        </w:tc>
        <w:tc>
          <w:tcPr>
            <w:tcW w:w="1005" w:type="dxa"/>
          </w:tcPr>
          <w:p w:rsidR="00D77859" w:rsidRPr="00853ED7" w:rsidRDefault="00D77859" w:rsidP="00001057">
            <w:pPr>
              <w:keepNext/>
              <w:jc w:val="center"/>
              <w:rPr>
                <w:i/>
                <w:sz w:val="20"/>
              </w:rPr>
            </w:pPr>
          </w:p>
        </w:tc>
      </w:tr>
    </w:tbl>
    <w:p w:rsidR="00D77859" w:rsidRPr="00853ED7" w:rsidRDefault="00D77859" w:rsidP="001D5870">
      <w:pPr>
        <w:rPr>
          <w:rStyle w:val="Emphasis"/>
          <w:sz w:val="18"/>
          <w:szCs w:val="18"/>
        </w:rPr>
      </w:pPr>
      <w:r w:rsidRPr="00853ED7">
        <w:rPr>
          <w:rStyle w:val="Emphasis"/>
          <w:sz w:val="18"/>
          <w:szCs w:val="18"/>
        </w:rPr>
        <w:t xml:space="preserve"> #N = number of patients randomised. §Marketed formulation insulin </w:t>
      </w:r>
      <w:proofErr w:type="spellStart"/>
      <w:r w:rsidRPr="00853ED7">
        <w:rPr>
          <w:rStyle w:val="Emphasis"/>
          <w:sz w:val="18"/>
          <w:szCs w:val="18"/>
        </w:rPr>
        <w:t>detemir</w:t>
      </w:r>
      <w:proofErr w:type="spellEnd"/>
      <w:r w:rsidRPr="00853ED7">
        <w:rPr>
          <w:rStyle w:val="Emphasis"/>
          <w:sz w:val="18"/>
          <w:szCs w:val="18"/>
        </w:rPr>
        <w:t xml:space="preserve">. *Once daily NPH insulin may be expected to favour </w:t>
      </w:r>
      <w:proofErr w:type="spellStart"/>
      <w:r w:rsidRPr="00853ED7">
        <w:rPr>
          <w:rStyle w:val="Emphasis"/>
          <w:sz w:val="18"/>
          <w:szCs w:val="18"/>
        </w:rPr>
        <w:t>Levemir</w:t>
      </w:r>
      <w:proofErr w:type="spellEnd"/>
      <w:r w:rsidRPr="00853ED7">
        <w:rPr>
          <w:rStyle w:val="Emphasis"/>
          <w:sz w:val="18"/>
          <w:szCs w:val="18"/>
        </w:rPr>
        <w:t>. ∞Data from both arms pooled. Baseline values were included as covariates in an ANOVA analysis.</w:t>
      </w:r>
    </w:p>
    <w:p w:rsidR="00D77859" w:rsidRPr="00853ED7" w:rsidRDefault="00D77859" w:rsidP="001D5870">
      <w:pPr>
        <w:rPr>
          <w:sz w:val="22"/>
          <w:szCs w:val="22"/>
        </w:rPr>
      </w:pPr>
    </w:p>
    <w:p w:rsidR="00D77859" w:rsidRPr="00853ED7" w:rsidRDefault="00D77859" w:rsidP="001D5870">
      <w:pPr>
        <w:rPr>
          <w:sz w:val="22"/>
          <w:szCs w:val="22"/>
        </w:rPr>
      </w:pPr>
      <w:r w:rsidRPr="00853ED7">
        <w:rPr>
          <w:sz w:val="22"/>
          <w:szCs w:val="22"/>
        </w:rPr>
        <w:t xml:space="preserve">with NPH insulin (p&lt;0.001), lower relative risk (0.78) of hypoglycaemia with </w:t>
      </w:r>
      <w:proofErr w:type="spellStart"/>
      <w:r w:rsidRPr="00853ED7">
        <w:rPr>
          <w:sz w:val="22"/>
          <w:szCs w:val="22"/>
        </w:rPr>
        <w:t>Levemir</w:t>
      </w:r>
      <w:proofErr w:type="spellEnd"/>
      <w:r w:rsidRPr="00853ED7">
        <w:rPr>
          <w:sz w:val="22"/>
          <w:szCs w:val="22"/>
        </w:rPr>
        <w:t xml:space="preserve"> compared with NPH insulin [95%CI: 0.62, 0.97], and a significant difference in the 9 point blood glucose profile, with blood glucose concentrations lower before breakfast and higher from lunch through 02:00 hours in the </w:t>
      </w:r>
      <w:proofErr w:type="spellStart"/>
      <w:r w:rsidRPr="00853ED7">
        <w:rPr>
          <w:sz w:val="22"/>
          <w:szCs w:val="22"/>
        </w:rPr>
        <w:t>Levemir</w:t>
      </w:r>
      <w:proofErr w:type="spellEnd"/>
      <w:r w:rsidRPr="00853ED7">
        <w:rPr>
          <w:sz w:val="22"/>
          <w:szCs w:val="22"/>
        </w:rPr>
        <w:t xml:space="preserve"> group compared with the NPH insulin group (p=0.036). The mean doses of both basal and bolus </w:t>
      </w:r>
      <w:proofErr w:type="spellStart"/>
      <w:r w:rsidRPr="00853ED7">
        <w:rPr>
          <w:sz w:val="22"/>
          <w:szCs w:val="22"/>
        </w:rPr>
        <w:t>insulins</w:t>
      </w:r>
      <w:proofErr w:type="spellEnd"/>
      <w:r w:rsidRPr="00853ED7">
        <w:rPr>
          <w:sz w:val="22"/>
          <w:szCs w:val="22"/>
        </w:rPr>
        <w:t xml:space="preserve"> were higher after 6 months in the </w:t>
      </w:r>
      <w:proofErr w:type="spellStart"/>
      <w:r w:rsidRPr="00853ED7">
        <w:rPr>
          <w:sz w:val="22"/>
          <w:szCs w:val="22"/>
        </w:rPr>
        <w:t>Levemir</w:t>
      </w:r>
      <w:proofErr w:type="spellEnd"/>
      <w:r w:rsidRPr="00853ED7">
        <w:rPr>
          <w:sz w:val="22"/>
          <w:szCs w:val="22"/>
        </w:rPr>
        <w:t xml:space="preserve"> group compared with the NPH group.</w:t>
      </w:r>
    </w:p>
    <w:p w:rsidR="00D77859" w:rsidRPr="00853ED7" w:rsidRDefault="00D77859" w:rsidP="001D5870">
      <w:pPr>
        <w:rPr>
          <w:sz w:val="22"/>
          <w:szCs w:val="22"/>
        </w:rPr>
      </w:pPr>
    </w:p>
    <w:p w:rsidR="00D77859" w:rsidRPr="00853ED7" w:rsidRDefault="00D77859" w:rsidP="001D5870">
      <w:pPr>
        <w:rPr>
          <w:sz w:val="22"/>
          <w:szCs w:val="22"/>
        </w:rPr>
      </w:pPr>
      <w:r w:rsidRPr="00853ED7">
        <w:rPr>
          <w:sz w:val="22"/>
          <w:szCs w:val="22"/>
        </w:rPr>
        <w:t xml:space="preserve">Both 1205 and 1181 clinical trials were extended for an additional 6 months (as trial IDs 1316 and 1243 </w:t>
      </w:r>
      <w:r w:rsidRPr="00853ED7">
        <w:rPr>
          <w:sz w:val="22"/>
          <w:szCs w:val="22"/>
          <w:lang w:eastAsia="da-DK"/>
        </w:rPr>
        <w:t xml:space="preserve">respectively) to assess maintenance of </w:t>
      </w:r>
      <w:proofErr w:type="spellStart"/>
      <w:r w:rsidRPr="00853ED7">
        <w:rPr>
          <w:sz w:val="22"/>
          <w:szCs w:val="22"/>
          <w:lang w:eastAsia="da-DK"/>
        </w:rPr>
        <w:t>Levemir</w:t>
      </w:r>
      <w:proofErr w:type="spellEnd"/>
      <w:r w:rsidRPr="00853ED7">
        <w:rPr>
          <w:sz w:val="22"/>
          <w:szCs w:val="22"/>
          <w:lang w:eastAsia="da-DK"/>
        </w:rPr>
        <w:t xml:space="preserve"> efficacy up to a period of 1 year of treatment. At the end of</w:t>
      </w:r>
      <w:r w:rsidRPr="00853ED7">
        <w:rPr>
          <w:sz w:val="22"/>
          <w:szCs w:val="22"/>
        </w:rPr>
        <w:t xml:space="preserve"> extension trials 1316 and 1243, HbA</w:t>
      </w:r>
      <w:r w:rsidRPr="00853ED7">
        <w:rPr>
          <w:sz w:val="22"/>
          <w:szCs w:val="22"/>
          <w:vertAlign w:val="subscript"/>
        </w:rPr>
        <w:t>1c</w:t>
      </w:r>
      <w:r w:rsidRPr="00853ED7">
        <w:rPr>
          <w:sz w:val="22"/>
          <w:szCs w:val="22"/>
        </w:rPr>
        <w:t xml:space="preserve"> values for </w:t>
      </w:r>
      <w:proofErr w:type="spellStart"/>
      <w:r w:rsidRPr="00853ED7">
        <w:rPr>
          <w:sz w:val="22"/>
          <w:szCs w:val="22"/>
        </w:rPr>
        <w:t>Levemir</w:t>
      </w:r>
      <w:proofErr w:type="spellEnd"/>
      <w:r w:rsidRPr="00853ED7">
        <w:rPr>
          <w:sz w:val="22"/>
          <w:szCs w:val="22"/>
        </w:rPr>
        <w:t xml:space="preserve"> treatment were equivalent to those of the NPH parallel treatment group.</w:t>
      </w:r>
      <w:r w:rsidR="000F5FFF" w:rsidRPr="00853ED7">
        <w:rPr>
          <w:sz w:val="22"/>
          <w:szCs w:val="22"/>
        </w:rPr>
        <w:br/>
      </w:r>
    </w:p>
    <w:p w:rsidR="00D77859" w:rsidRPr="00853ED7" w:rsidRDefault="00D77859" w:rsidP="002D4E2E">
      <w:pPr>
        <w:pStyle w:val="Heading3"/>
        <w:rPr>
          <w:sz w:val="22"/>
          <w:szCs w:val="22"/>
        </w:rPr>
      </w:pPr>
      <w:r w:rsidRPr="00853ED7">
        <w:rPr>
          <w:sz w:val="22"/>
          <w:szCs w:val="22"/>
        </w:rPr>
        <w:t>Clinical studies in children and adolescents with type 1 diabetes</w:t>
      </w:r>
    </w:p>
    <w:p w:rsidR="00D77859" w:rsidRPr="00853ED7" w:rsidRDefault="00D77859" w:rsidP="001D5870">
      <w:pPr>
        <w:rPr>
          <w:sz w:val="22"/>
          <w:szCs w:val="22"/>
          <w:lang w:eastAsia="en-AU"/>
        </w:rPr>
      </w:pPr>
      <w:bookmarkStart w:id="20" w:name="OLE_LINK3"/>
      <w:bookmarkStart w:id="21" w:name="OLE_LINK4"/>
      <w:r w:rsidRPr="00853ED7">
        <w:rPr>
          <w:sz w:val="22"/>
          <w:szCs w:val="22"/>
          <w:lang w:eastAsia="en-AU"/>
        </w:rPr>
        <w:t xml:space="preserve">Study 1379 was a </w:t>
      </w:r>
      <w:r w:rsidRPr="00853ED7">
        <w:rPr>
          <w:sz w:val="22"/>
          <w:szCs w:val="22"/>
        </w:rPr>
        <w:t xml:space="preserve">multicentre, open-label, randomised, confirmatory clinical trial </w:t>
      </w:r>
      <w:r w:rsidRPr="00853ED7">
        <w:rPr>
          <w:sz w:val="22"/>
          <w:szCs w:val="22"/>
          <w:lang w:eastAsia="en-AU"/>
        </w:rPr>
        <w:t xml:space="preserve">conducted in subjects (N = 347) with type 1 diabetes aged between 6 and 17 years. After 26 weeks of treatment with </w:t>
      </w:r>
      <w:proofErr w:type="spellStart"/>
      <w:r w:rsidRPr="00853ED7">
        <w:rPr>
          <w:sz w:val="22"/>
          <w:szCs w:val="22"/>
          <w:lang w:eastAsia="en-AU"/>
        </w:rPr>
        <w:t>Levemir</w:t>
      </w:r>
      <w:proofErr w:type="spellEnd"/>
      <w:r w:rsidRPr="00853ED7">
        <w:rPr>
          <w:sz w:val="22"/>
          <w:szCs w:val="22"/>
          <w:lang w:eastAsia="en-AU"/>
        </w:rPr>
        <w:t xml:space="preserve"> or NPH, both given once or twice daily in combination with bolus </w:t>
      </w:r>
      <w:r w:rsidR="003924F5" w:rsidRPr="00853ED7">
        <w:rPr>
          <w:sz w:val="22"/>
          <w:szCs w:val="22"/>
          <w:lang w:eastAsia="en-AU"/>
        </w:rPr>
        <w:t xml:space="preserve">insulin </w:t>
      </w:r>
      <w:proofErr w:type="spellStart"/>
      <w:r w:rsidR="003924F5" w:rsidRPr="00853ED7">
        <w:rPr>
          <w:sz w:val="22"/>
          <w:szCs w:val="22"/>
          <w:lang w:eastAsia="en-AU"/>
        </w:rPr>
        <w:t>aspart</w:t>
      </w:r>
      <w:proofErr w:type="spellEnd"/>
      <w:r w:rsidRPr="00853ED7">
        <w:rPr>
          <w:sz w:val="22"/>
          <w:szCs w:val="22"/>
          <w:lang w:eastAsia="en-AU"/>
        </w:rPr>
        <w:t>, the primary endpoint (</w:t>
      </w:r>
      <w:r w:rsidRPr="00853ED7">
        <w:rPr>
          <w:sz w:val="22"/>
          <w:szCs w:val="22"/>
        </w:rPr>
        <w:t>HbA</w:t>
      </w:r>
      <w:r w:rsidRPr="00853ED7">
        <w:rPr>
          <w:sz w:val="22"/>
          <w:szCs w:val="22"/>
          <w:vertAlign w:val="subscript"/>
        </w:rPr>
        <w:t>1c</w:t>
      </w:r>
      <w:r w:rsidRPr="00853ED7">
        <w:rPr>
          <w:sz w:val="22"/>
          <w:szCs w:val="22"/>
          <w:lang w:eastAsia="en-AU"/>
        </w:rPr>
        <w:t xml:space="preserve">) for </w:t>
      </w:r>
      <w:proofErr w:type="spellStart"/>
      <w:r w:rsidRPr="00853ED7">
        <w:rPr>
          <w:sz w:val="22"/>
          <w:szCs w:val="22"/>
          <w:lang w:eastAsia="en-AU"/>
        </w:rPr>
        <w:t>Levemir</w:t>
      </w:r>
      <w:proofErr w:type="spellEnd"/>
      <w:r w:rsidRPr="00853ED7">
        <w:rPr>
          <w:sz w:val="22"/>
          <w:szCs w:val="22"/>
          <w:lang w:eastAsia="en-AU"/>
        </w:rPr>
        <w:t xml:space="preserve"> was non-inferior to NPH (Table 4). Other s</w:t>
      </w:r>
      <w:r w:rsidRPr="00853ED7">
        <w:rPr>
          <w:sz w:val="22"/>
          <w:szCs w:val="22"/>
        </w:rPr>
        <w:t>econdary outcomes measured included w</w:t>
      </w:r>
      <w:r w:rsidRPr="00853ED7">
        <w:rPr>
          <w:sz w:val="22"/>
          <w:szCs w:val="22"/>
          <w:lang w:eastAsia="en-AU"/>
        </w:rPr>
        <w:t xml:space="preserve">ithin-subject variability in FPG, 8-point PG profiles, nocturnal PG, overall safety profiles as measured by adverse events and laboratory measures including weight (in terms of change in body mass index (BMI)) and vital signs, rates of overall and (pre-defined) sub-categories of hypoglycaemia, incidences of diabetic ketoacidosis requiring hospitalisation, and antibody formation. </w:t>
      </w:r>
      <w:r w:rsidRPr="00853ED7">
        <w:rPr>
          <w:sz w:val="22"/>
          <w:szCs w:val="22"/>
        </w:rPr>
        <w:t xml:space="preserve">The secondary outcomes which were statistically different between treatment groups included lower within-subject variation in FPG with </w:t>
      </w:r>
      <w:proofErr w:type="spellStart"/>
      <w:r w:rsidRPr="00853ED7">
        <w:rPr>
          <w:sz w:val="22"/>
          <w:szCs w:val="22"/>
        </w:rPr>
        <w:t>Levemir</w:t>
      </w:r>
      <w:proofErr w:type="spellEnd"/>
      <w:r w:rsidRPr="00853ED7">
        <w:rPr>
          <w:sz w:val="22"/>
          <w:szCs w:val="22"/>
        </w:rPr>
        <w:t xml:space="preserve"> compared with NPH insulin (p&lt;0.001), lesser increase in BMI with </w:t>
      </w:r>
      <w:proofErr w:type="spellStart"/>
      <w:r w:rsidRPr="00853ED7">
        <w:rPr>
          <w:sz w:val="22"/>
          <w:szCs w:val="22"/>
        </w:rPr>
        <w:t>Levemir</w:t>
      </w:r>
      <w:proofErr w:type="spellEnd"/>
      <w:r w:rsidRPr="00853ED7">
        <w:rPr>
          <w:sz w:val="22"/>
          <w:szCs w:val="22"/>
        </w:rPr>
        <w:t xml:space="preserve"> (p &lt; 0.001), and lower </w:t>
      </w:r>
      <w:r w:rsidRPr="00853ED7">
        <w:rPr>
          <w:sz w:val="22"/>
          <w:szCs w:val="22"/>
          <w:lang w:eastAsia="en-AU"/>
        </w:rPr>
        <w:t xml:space="preserve">overall risk of nocturnal hypoglycaemia with </w:t>
      </w:r>
      <w:proofErr w:type="spellStart"/>
      <w:r w:rsidRPr="00853ED7">
        <w:rPr>
          <w:sz w:val="22"/>
          <w:szCs w:val="22"/>
          <w:lang w:eastAsia="en-AU"/>
        </w:rPr>
        <w:t>Levemir</w:t>
      </w:r>
      <w:proofErr w:type="spellEnd"/>
      <w:r w:rsidRPr="00853ED7">
        <w:rPr>
          <w:sz w:val="22"/>
          <w:szCs w:val="22"/>
          <w:lang w:eastAsia="en-AU"/>
        </w:rPr>
        <w:t xml:space="preserve"> (p = 0.011) compared to NPH insulin</w:t>
      </w:r>
      <w:r w:rsidR="00DD1425" w:rsidRPr="00853ED7">
        <w:rPr>
          <w:sz w:val="22"/>
          <w:szCs w:val="22"/>
          <w:lang w:eastAsia="en-AU"/>
        </w:rPr>
        <w:t>, although hypoglycaemic episodes in general occurred with similar frequencies in both groups</w:t>
      </w:r>
      <w:r w:rsidRPr="00853ED7">
        <w:rPr>
          <w:sz w:val="22"/>
          <w:szCs w:val="22"/>
          <w:lang w:eastAsia="en-AU"/>
        </w:rPr>
        <w:t xml:space="preserve"> </w:t>
      </w:r>
      <w:r w:rsidR="00DD1425" w:rsidRPr="00853ED7">
        <w:rPr>
          <w:sz w:val="22"/>
          <w:szCs w:val="22"/>
          <w:lang w:eastAsia="en-AU"/>
        </w:rPr>
        <w:t>(see</w:t>
      </w:r>
      <w:r w:rsidR="00DB3DFF" w:rsidRPr="00853ED7">
        <w:rPr>
          <w:sz w:val="22"/>
          <w:szCs w:val="22"/>
          <w:lang w:eastAsia="en-AU"/>
        </w:rPr>
        <w:t xml:space="preserve"> ‘</w:t>
      </w:r>
      <w:r w:rsidR="00DD1425" w:rsidRPr="00853ED7">
        <w:rPr>
          <w:sz w:val="22"/>
          <w:szCs w:val="22"/>
          <w:lang w:eastAsia="en-AU"/>
        </w:rPr>
        <w:t>Adverse Effects</w:t>
      </w:r>
      <w:r w:rsidR="00DB3DFF" w:rsidRPr="00853ED7">
        <w:rPr>
          <w:sz w:val="22"/>
          <w:szCs w:val="22"/>
          <w:lang w:eastAsia="en-AU"/>
        </w:rPr>
        <w:t>’</w:t>
      </w:r>
      <w:r w:rsidR="00DD1425" w:rsidRPr="00853ED7">
        <w:rPr>
          <w:sz w:val="22"/>
          <w:szCs w:val="22"/>
          <w:lang w:eastAsia="en-AU"/>
        </w:rPr>
        <w:t xml:space="preserve">). </w:t>
      </w:r>
      <w:r w:rsidR="00137947" w:rsidRPr="00853ED7">
        <w:rPr>
          <w:sz w:val="22"/>
          <w:szCs w:val="22"/>
          <w:lang w:eastAsia="en-AU"/>
        </w:rPr>
        <w:t xml:space="preserve">The study had no subgroup analysis by once daily/twice daily </w:t>
      </w:r>
      <w:proofErr w:type="spellStart"/>
      <w:r w:rsidR="00C24A18" w:rsidRPr="00853ED7">
        <w:rPr>
          <w:sz w:val="22"/>
          <w:szCs w:val="22"/>
          <w:lang w:eastAsia="en-AU"/>
        </w:rPr>
        <w:t>Levemir</w:t>
      </w:r>
      <w:proofErr w:type="spellEnd"/>
      <w:r w:rsidR="00137947" w:rsidRPr="00853ED7">
        <w:rPr>
          <w:sz w:val="22"/>
          <w:szCs w:val="22"/>
          <w:lang w:eastAsia="en-AU"/>
        </w:rPr>
        <w:t xml:space="preserve">.  </w:t>
      </w:r>
      <w:r w:rsidRPr="00853ED7">
        <w:rPr>
          <w:sz w:val="22"/>
          <w:szCs w:val="22"/>
          <w:lang w:eastAsia="en-AU"/>
        </w:rPr>
        <w:t xml:space="preserve">Levels of </w:t>
      </w:r>
      <w:proofErr w:type="spellStart"/>
      <w:r w:rsidRPr="00853ED7">
        <w:rPr>
          <w:sz w:val="22"/>
          <w:szCs w:val="22"/>
          <w:lang w:eastAsia="en-AU"/>
        </w:rPr>
        <w:t>Levemir</w:t>
      </w:r>
      <w:proofErr w:type="spellEnd"/>
      <w:r w:rsidRPr="00853ED7">
        <w:rPr>
          <w:sz w:val="22"/>
          <w:szCs w:val="22"/>
          <w:lang w:eastAsia="en-AU"/>
        </w:rPr>
        <w:t xml:space="preserve">-specific and cross-reacting antibodies increased in the </w:t>
      </w:r>
      <w:proofErr w:type="spellStart"/>
      <w:r w:rsidRPr="00853ED7">
        <w:rPr>
          <w:sz w:val="22"/>
          <w:szCs w:val="22"/>
          <w:lang w:eastAsia="en-AU"/>
        </w:rPr>
        <w:t>Levemir</w:t>
      </w:r>
      <w:proofErr w:type="spellEnd"/>
      <w:r w:rsidRPr="00853ED7">
        <w:rPr>
          <w:sz w:val="22"/>
          <w:szCs w:val="22"/>
          <w:lang w:eastAsia="en-AU"/>
        </w:rPr>
        <w:t xml:space="preserve"> but not the NPH insulin group, and the levels of </w:t>
      </w:r>
      <w:proofErr w:type="spellStart"/>
      <w:r w:rsidRPr="00853ED7">
        <w:rPr>
          <w:sz w:val="22"/>
          <w:szCs w:val="22"/>
          <w:lang w:eastAsia="en-AU"/>
        </w:rPr>
        <w:t>Levemir</w:t>
      </w:r>
      <w:proofErr w:type="spellEnd"/>
      <w:r w:rsidRPr="00853ED7">
        <w:rPr>
          <w:sz w:val="22"/>
          <w:szCs w:val="22"/>
          <w:lang w:eastAsia="en-AU"/>
        </w:rPr>
        <w:t xml:space="preserve">-specific antibodies correlated with dose per kg body weight. Doses of basal and bolus </w:t>
      </w:r>
      <w:proofErr w:type="spellStart"/>
      <w:r w:rsidRPr="00853ED7">
        <w:rPr>
          <w:sz w:val="22"/>
          <w:szCs w:val="22"/>
          <w:lang w:eastAsia="en-AU"/>
        </w:rPr>
        <w:t>insulins</w:t>
      </w:r>
      <w:proofErr w:type="spellEnd"/>
      <w:r w:rsidRPr="00853ED7">
        <w:rPr>
          <w:sz w:val="22"/>
          <w:szCs w:val="22"/>
          <w:lang w:eastAsia="en-AU"/>
        </w:rPr>
        <w:t xml:space="preserve"> were equivalent in both treatment groups.</w:t>
      </w:r>
      <w:r w:rsidR="00137947" w:rsidRPr="00853ED7">
        <w:rPr>
          <w:sz w:val="22"/>
          <w:szCs w:val="22"/>
          <w:lang w:eastAsia="en-AU"/>
        </w:rPr>
        <w:t xml:space="preserve"> </w:t>
      </w:r>
    </w:p>
    <w:bookmarkEnd w:id="20"/>
    <w:bookmarkEnd w:id="21"/>
    <w:p w:rsidR="002028E9" w:rsidRPr="00853ED7" w:rsidRDefault="002028E9" w:rsidP="001D5870">
      <w:pPr>
        <w:rPr>
          <w:sz w:val="22"/>
          <w:szCs w:val="22"/>
          <w:lang w:eastAsia="en-AU"/>
        </w:rPr>
      </w:pPr>
    </w:p>
    <w:p w:rsidR="00822101" w:rsidRPr="00853ED7" w:rsidRDefault="002028E9" w:rsidP="001D5870">
      <w:pPr>
        <w:rPr>
          <w:sz w:val="22"/>
          <w:szCs w:val="22"/>
        </w:rPr>
      </w:pPr>
      <w:bookmarkStart w:id="22" w:name="OLE_LINK5"/>
      <w:bookmarkStart w:id="23" w:name="OLE_LINK6"/>
      <w:bookmarkStart w:id="24" w:name="OLE_LINK49"/>
      <w:r w:rsidRPr="00853ED7">
        <w:rPr>
          <w:sz w:val="22"/>
          <w:szCs w:val="22"/>
        </w:rPr>
        <w:t>Study 1689 was a 12-month</w:t>
      </w:r>
      <w:r w:rsidR="001127FD" w:rsidRPr="00853ED7">
        <w:rPr>
          <w:sz w:val="22"/>
          <w:szCs w:val="22"/>
        </w:rPr>
        <w:t>, m</w:t>
      </w:r>
      <w:r w:rsidRPr="00853ED7">
        <w:rPr>
          <w:sz w:val="22"/>
          <w:szCs w:val="22"/>
        </w:rPr>
        <w:t>ul</w:t>
      </w:r>
      <w:r w:rsidR="001127FD" w:rsidRPr="00853ED7">
        <w:rPr>
          <w:sz w:val="22"/>
          <w:szCs w:val="22"/>
        </w:rPr>
        <w:t>tinational, multi-centre, o</w:t>
      </w:r>
      <w:r w:rsidRPr="00853ED7">
        <w:rPr>
          <w:sz w:val="22"/>
          <w:szCs w:val="22"/>
        </w:rPr>
        <w:t xml:space="preserve">pen- </w:t>
      </w:r>
      <w:r w:rsidR="001127FD" w:rsidRPr="00853ED7">
        <w:rPr>
          <w:sz w:val="22"/>
          <w:szCs w:val="22"/>
        </w:rPr>
        <w:t>labelled, r</w:t>
      </w:r>
      <w:r w:rsidRPr="00853ED7">
        <w:rPr>
          <w:sz w:val="22"/>
          <w:szCs w:val="22"/>
        </w:rPr>
        <w:t>an</w:t>
      </w:r>
      <w:r w:rsidR="001127FD" w:rsidRPr="00853ED7">
        <w:rPr>
          <w:sz w:val="22"/>
          <w:szCs w:val="22"/>
        </w:rPr>
        <w:t>domised, parallel, e</w:t>
      </w:r>
      <w:r w:rsidRPr="00853ED7">
        <w:rPr>
          <w:sz w:val="22"/>
          <w:szCs w:val="22"/>
        </w:rPr>
        <w:t xml:space="preserve">fficacy and </w:t>
      </w:r>
      <w:r w:rsidR="00F3671D" w:rsidRPr="00853ED7">
        <w:rPr>
          <w:sz w:val="22"/>
          <w:szCs w:val="22"/>
        </w:rPr>
        <w:t>s</w:t>
      </w:r>
      <w:r w:rsidRPr="00853ED7">
        <w:rPr>
          <w:sz w:val="22"/>
          <w:szCs w:val="22"/>
        </w:rPr>
        <w:t>afety clinical trial comparing</w:t>
      </w:r>
      <w:r w:rsidR="00F3671D" w:rsidRPr="00853ED7">
        <w:rPr>
          <w:sz w:val="22"/>
          <w:szCs w:val="22"/>
        </w:rPr>
        <w:t xml:space="preserve"> </w:t>
      </w:r>
      <w:proofErr w:type="spellStart"/>
      <w:r w:rsidR="00F3671D" w:rsidRPr="00853ED7">
        <w:rPr>
          <w:sz w:val="22"/>
          <w:szCs w:val="22"/>
        </w:rPr>
        <w:t>Levemir</w:t>
      </w:r>
      <w:proofErr w:type="spellEnd"/>
      <w:r w:rsidRPr="00853ED7">
        <w:rPr>
          <w:sz w:val="22"/>
          <w:szCs w:val="22"/>
        </w:rPr>
        <w:t xml:space="preserve"> and NPH Insulin in</w:t>
      </w:r>
      <w:r w:rsidR="00A86B8B" w:rsidRPr="00853ED7">
        <w:rPr>
          <w:sz w:val="22"/>
          <w:szCs w:val="22"/>
        </w:rPr>
        <w:t xml:space="preserve"> 348</w:t>
      </w:r>
      <w:r w:rsidRPr="00853ED7">
        <w:rPr>
          <w:sz w:val="22"/>
          <w:szCs w:val="22"/>
        </w:rPr>
        <w:t xml:space="preserve"> </w:t>
      </w:r>
      <w:r w:rsidR="001879C7" w:rsidRPr="00853ED7">
        <w:rPr>
          <w:sz w:val="22"/>
          <w:szCs w:val="22"/>
        </w:rPr>
        <w:t>c</w:t>
      </w:r>
      <w:r w:rsidRPr="00853ED7">
        <w:rPr>
          <w:sz w:val="22"/>
          <w:szCs w:val="22"/>
        </w:rPr>
        <w:t xml:space="preserve">hildren and </w:t>
      </w:r>
      <w:r w:rsidR="001879C7" w:rsidRPr="00853ED7">
        <w:rPr>
          <w:sz w:val="22"/>
          <w:szCs w:val="22"/>
        </w:rPr>
        <w:t>a</w:t>
      </w:r>
      <w:r w:rsidRPr="00853ED7">
        <w:rPr>
          <w:sz w:val="22"/>
          <w:szCs w:val="22"/>
        </w:rPr>
        <w:t>dolescents 2-16 years with</w:t>
      </w:r>
    </w:p>
    <w:p w:rsidR="002028E9" w:rsidRPr="00853ED7" w:rsidRDefault="001879C7" w:rsidP="001D5870">
      <w:pPr>
        <w:rPr>
          <w:sz w:val="22"/>
          <w:szCs w:val="22"/>
          <w:lang w:eastAsia="en-AU"/>
        </w:rPr>
      </w:pPr>
      <w:r w:rsidRPr="00853ED7">
        <w:rPr>
          <w:sz w:val="22"/>
          <w:szCs w:val="22"/>
        </w:rPr>
        <w:t>t</w:t>
      </w:r>
      <w:r w:rsidR="002028E9" w:rsidRPr="00853ED7">
        <w:rPr>
          <w:sz w:val="22"/>
          <w:szCs w:val="22"/>
        </w:rPr>
        <w:t xml:space="preserve">ype 1 </w:t>
      </w:r>
      <w:r w:rsidRPr="00853ED7">
        <w:rPr>
          <w:sz w:val="22"/>
          <w:szCs w:val="22"/>
        </w:rPr>
        <w:t>d</w:t>
      </w:r>
      <w:r w:rsidR="002028E9" w:rsidRPr="00853ED7">
        <w:rPr>
          <w:sz w:val="22"/>
          <w:szCs w:val="22"/>
        </w:rPr>
        <w:t xml:space="preserve">iabetes on a </w:t>
      </w:r>
      <w:r w:rsidRPr="00853ED7">
        <w:rPr>
          <w:sz w:val="22"/>
          <w:szCs w:val="22"/>
        </w:rPr>
        <w:t>b</w:t>
      </w:r>
      <w:r w:rsidR="002028E9" w:rsidRPr="00853ED7">
        <w:rPr>
          <w:sz w:val="22"/>
          <w:szCs w:val="22"/>
        </w:rPr>
        <w:t>asal-</w:t>
      </w:r>
      <w:r w:rsidRPr="00853ED7">
        <w:rPr>
          <w:sz w:val="22"/>
          <w:szCs w:val="22"/>
        </w:rPr>
        <w:t>bolus r</w:t>
      </w:r>
      <w:r w:rsidR="002028E9" w:rsidRPr="00853ED7">
        <w:rPr>
          <w:sz w:val="22"/>
          <w:szCs w:val="22"/>
        </w:rPr>
        <w:t xml:space="preserve">egimen with </w:t>
      </w:r>
      <w:r w:rsidR="003924F5" w:rsidRPr="00853ED7">
        <w:rPr>
          <w:sz w:val="22"/>
          <w:szCs w:val="22"/>
        </w:rPr>
        <w:t xml:space="preserve">insulin </w:t>
      </w:r>
      <w:proofErr w:type="spellStart"/>
      <w:r w:rsidR="003924F5" w:rsidRPr="00853ED7">
        <w:rPr>
          <w:sz w:val="22"/>
          <w:szCs w:val="22"/>
        </w:rPr>
        <w:t>aspart</w:t>
      </w:r>
      <w:proofErr w:type="spellEnd"/>
      <w:r w:rsidR="002028E9" w:rsidRPr="00853ED7">
        <w:rPr>
          <w:sz w:val="22"/>
          <w:szCs w:val="22"/>
        </w:rPr>
        <w:t xml:space="preserve"> as </w:t>
      </w:r>
      <w:r w:rsidRPr="00853ED7">
        <w:rPr>
          <w:sz w:val="22"/>
          <w:szCs w:val="22"/>
        </w:rPr>
        <w:t>bolus i</w:t>
      </w:r>
      <w:r w:rsidR="002028E9" w:rsidRPr="00853ED7">
        <w:rPr>
          <w:sz w:val="22"/>
          <w:szCs w:val="22"/>
        </w:rPr>
        <w:t>nsulin. G</w:t>
      </w:r>
      <w:r w:rsidR="002028E9" w:rsidRPr="00853ED7">
        <w:rPr>
          <w:sz w:val="22"/>
          <w:szCs w:val="22"/>
          <w:lang w:eastAsia="en-AU"/>
        </w:rPr>
        <w:t xml:space="preserve">lycaemic control </w:t>
      </w:r>
      <w:r w:rsidR="001127FD" w:rsidRPr="00853ED7">
        <w:rPr>
          <w:sz w:val="22"/>
          <w:szCs w:val="22"/>
          <w:lang w:eastAsia="en-AU"/>
        </w:rPr>
        <w:t>(HbA</w:t>
      </w:r>
      <w:r w:rsidR="001127FD" w:rsidRPr="00853ED7">
        <w:rPr>
          <w:sz w:val="22"/>
          <w:szCs w:val="22"/>
          <w:vertAlign w:val="subscript"/>
          <w:lang w:eastAsia="en-AU"/>
        </w:rPr>
        <w:t>1c</w:t>
      </w:r>
      <w:r w:rsidR="001127FD" w:rsidRPr="00853ED7">
        <w:rPr>
          <w:sz w:val="22"/>
          <w:szCs w:val="22"/>
          <w:lang w:eastAsia="en-AU"/>
        </w:rPr>
        <w:t xml:space="preserve">) with </w:t>
      </w:r>
      <w:proofErr w:type="spellStart"/>
      <w:r w:rsidR="001127FD" w:rsidRPr="00853ED7">
        <w:rPr>
          <w:sz w:val="22"/>
          <w:szCs w:val="22"/>
          <w:lang w:eastAsia="en-AU"/>
        </w:rPr>
        <w:t>Levemir</w:t>
      </w:r>
      <w:proofErr w:type="spellEnd"/>
      <w:r w:rsidR="005A3C05" w:rsidRPr="00853ED7">
        <w:rPr>
          <w:sz w:val="22"/>
          <w:szCs w:val="22"/>
          <w:lang w:eastAsia="en-AU"/>
        </w:rPr>
        <w:t xml:space="preserve"> was similar</w:t>
      </w:r>
      <w:r w:rsidR="002028E9" w:rsidRPr="00853ED7">
        <w:rPr>
          <w:sz w:val="22"/>
          <w:szCs w:val="22"/>
          <w:lang w:eastAsia="en-AU"/>
        </w:rPr>
        <w:t xml:space="preserve"> to NPH insulin when given as basal-bolus therapy. A lower risk of 2</w:t>
      </w:r>
      <w:r w:rsidR="005A3C05" w:rsidRPr="00853ED7">
        <w:rPr>
          <w:sz w:val="22"/>
          <w:szCs w:val="22"/>
          <w:lang w:eastAsia="en-AU"/>
        </w:rPr>
        <w:t xml:space="preserve">4h and nocturnal hypoglycaemia and </w:t>
      </w:r>
      <w:r w:rsidR="002028E9" w:rsidRPr="00853ED7">
        <w:rPr>
          <w:sz w:val="22"/>
          <w:szCs w:val="22"/>
          <w:lang w:eastAsia="en-AU"/>
        </w:rPr>
        <w:t xml:space="preserve">a lower rate (number of events/1000 exposure </w:t>
      </w:r>
      <w:r w:rsidR="005A3C05" w:rsidRPr="00853ED7">
        <w:rPr>
          <w:sz w:val="22"/>
          <w:szCs w:val="22"/>
          <w:lang w:eastAsia="en-AU"/>
        </w:rPr>
        <w:t xml:space="preserve">years) of severe adverse events were observed with </w:t>
      </w:r>
      <w:proofErr w:type="spellStart"/>
      <w:r w:rsidR="005A3C05" w:rsidRPr="00853ED7">
        <w:rPr>
          <w:sz w:val="22"/>
          <w:szCs w:val="22"/>
          <w:lang w:eastAsia="en-AU"/>
        </w:rPr>
        <w:t>Levemir</w:t>
      </w:r>
      <w:proofErr w:type="spellEnd"/>
      <w:r w:rsidR="005A3C05" w:rsidRPr="00853ED7">
        <w:rPr>
          <w:sz w:val="22"/>
          <w:szCs w:val="22"/>
          <w:lang w:eastAsia="en-AU"/>
        </w:rPr>
        <w:t xml:space="preserve"> than with NPH. Furthermore, less weight gain was</w:t>
      </w:r>
      <w:r w:rsidR="002028E9" w:rsidRPr="00853ED7">
        <w:rPr>
          <w:sz w:val="22"/>
          <w:szCs w:val="22"/>
          <w:lang w:eastAsia="en-AU"/>
        </w:rPr>
        <w:t xml:space="preserve"> observed wit</w:t>
      </w:r>
      <w:r w:rsidR="00F3671D" w:rsidRPr="00853ED7">
        <w:rPr>
          <w:sz w:val="22"/>
          <w:szCs w:val="22"/>
          <w:lang w:eastAsia="en-AU"/>
        </w:rPr>
        <w:t xml:space="preserve">h </w:t>
      </w:r>
      <w:proofErr w:type="spellStart"/>
      <w:r w:rsidR="00F3671D" w:rsidRPr="00853ED7">
        <w:rPr>
          <w:sz w:val="22"/>
          <w:szCs w:val="22"/>
          <w:lang w:eastAsia="en-AU"/>
        </w:rPr>
        <w:t>Levemir</w:t>
      </w:r>
      <w:proofErr w:type="spellEnd"/>
      <w:r w:rsidR="002028E9" w:rsidRPr="00853ED7">
        <w:rPr>
          <w:sz w:val="22"/>
          <w:szCs w:val="22"/>
          <w:lang w:eastAsia="en-AU"/>
        </w:rPr>
        <w:t xml:space="preserve"> than with NPH insulin</w:t>
      </w:r>
      <w:r w:rsidR="007D1CF2" w:rsidRPr="00853ED7">
        <w:rPr>
          <w:sz w:val="22"/>
          <w:szCs w:val="22"/>
          <w:lang w:eastAsia="en-AU"/>
        </w:rPr>
        <w:t>. T</w:t>
      </w:r>
      <w:r w:rsidR="005A3C05" w:rsidRPr="00853ED7">
        <w:rPr>
          <w:sz w:val="22"/>
          <w:szCs w:val="22"/>
          <w:lang w:eastAsia="en-AU"/>
        </w:rPr>
        <w:t>he change in mean weight</w:t>
      </w:r>
      <w:r w:rsidR="007D1CF2" w:rsidRPr="00853ED7">
        <w:rPr>
          <w:sz w:val="22"/>
          <w:szCs w:val="22"/>
          <w:lang w:eastAsia="en-AU"/>
        </w:rPr>
        <w:t xml:space="preserve"> at </w:t>
      </w:r>
      <w:r w:rsidR="005A3C05" w:rsidRPr="00853ED7">
        <w:rPr>
          <w:sz w:val="22"/>
          <w:szCs w:val="22"/>
          <w:lang w:eastAsia="en-AU"/>
        </w:rPr>
        <w:t xml:space="preserve">52 weeks </w:t>
      </w:r>
      <w:r w:rsidR="007D1CF2" w:rsidRPr="00853ED7">
        <w:rPr>
          <w:sz w:val="22"/>
          <w:szCs w:val="22"/>
          <w:lang w:eastAsia="en-AU"/>
        </w:rPr>
        <w:t xml:space="preserve">from baseline </w:t>
      </w:r>
      <w:r w:rsidR="005A3C05" w:rsidRPr="00853ED7">
        <w:rPr>
          <w:sz w:val="22"/>
          <w:szCs w:val="22"/>
          <w:lang w:eastAsia="en-AU"/>
        </w:rPr>
        <w:t xml:space="preserve">in the </w:t>
      </w:r>
      <w:proofErr w:type="spellStart"/>
      <w:r w:rsidR="005A3C05" w:rsidRPr="00853ED7">
        <w:rPr>
          <w:sz w:val="22"/>
          <w:szCs w:val="22"/>
          <w:lang w:eastAsia="en-AU"/>
        </w:rPr>
        <w:t>Levemir</w:t>
      </w:r>
      <w:proofErr w:type="spellEnd"/>
      <w:r w:rsidR="005A3C05" w:rsidRPr="00853ED7">
        <w:rPr>
          <w:sz w:val="22"/>
          <w:szCs w:val="22"/>
          <w:lang w:eastAsia="en-AU"/>
        </w:rPr>
        <w:t xml:space="preserve"> group was 3.2</w:t>
      </w:r>
      <w:r w:rsidRPr="00853ED7">
        <w:rPr>
          <w:sz w:val="22"/>
          <w:szCs w:val="22"/>
          <w:lang w:eastAsia="en-AU"/>
        </w:rPr>
        <w:t xml:space="preserve"> </w:t>
      </w:r>
      <w:r w:rsidR="005A3C05" w:rsidRPr="00853ED7">
        <w:rPr>
          <w:sz w:val="22"/>
          <w:szCs w:val="22"/>
          <w:lang w:eastAsia="en-AU"/>
        </w:rPr>
        <w:t>kg and 4.1</w:t>
      </w:r>
      <w:r w:rsidRPr="00853ED7">
        <w:rPr>
          <w:sz w:val="22"/>
          <w:szCs w:val="22"/>
          <w:lang w:eastAsia="en-AU"/>
        </w:rPr>
        <w:t xml:space="preserve"> </w:t>
      </w:r>
      <w:r w:rsidR="005A3C05" w:rsidRPr="00853ED7">
        <w:rPr>
          <w:sz w:val="22"/>
          <w:szCs w:val="22"/>
          <w:lang w:eastAsia="en-AU"/>
        </w:rPr>
        <w:t>kg in the NPH group</w:t>
      </w:r>
      <w:r w:rsidR="002028E9" w:rsidRPr="00853ED7">
        <w:rPr>
          <w:sz w:val="22"/>
          <w:szCs w:val="22"/>
          <w:lang w:eastAsia="en-AU"/>
        </w:rPr>
        <w:t>. No severe nocturnal hypoglycaemic epis</w:t>
      </w:r>
      <w:r w:rsidR="00F3671D" w:rsidRPr="00853ED7">
        <w:rPr>
          <w:sz w:val="22"/>
          <w:szCs w:val="22"/>
          <w:lang w:eastAsia="en-AU"/>
        </w:rPr>
        <w:t xml:space="preserve">odes were reported with </w:t>
      </w:r>
      <w:proofErr w:type="spellStart"/>
      <w:r w:rsidR="00F3671D" w:rsidRPr="00853ED7">
        <w:rPr>
          <w:sz w:val="22"/>
          <w:szCs w:val="22"/>
          <w:lang w:eastAsia="en-AU"/>
        </w:rPr>
        <w:t>Levemir</w:t>
      </w:r>
      <w:proofErr w:type="spellEnd"/>
      <w:r w:rsidR="002028E9" w:rsidRPr="00853ED7">
        <w:rPr>
          <w:sz w:val="22"/>
          <w:szCs w:val="22"/>
          <w:lang w:eastAsia="en-AU"/>
        </w:rPr>
        <w:t xml:space="preserve"> in this trial.</w:t>
      </w:r>
    </w:p>
    <w:bookmarkEnd w:id="22"/>
    <w:bookmarkEnd w:id="23"/>
    <w:bookmarkEnd w:id="24"/>
    <w:p w:rsidR="00D77859" w:rsidRPr="00853ED7" w:rsidRDefault="00D77859" w:rsidP="00115DE9">
      <w:pPr>
        <w:rPr>
          <w:sz w:val="22"/>
          <w:szCs w:val="22"/>
        </w:rPr>
      </w:pPr>
    </w:p>
    <w:p w:rsidR="00D77859" w:rsidRPr="00853ED7" w:rsidRDefault="00D77859" w:rsidP="002D4E2E">
      <w:pPr>
        <w:pStyle w:val="Heading5"/>
      </w:pPr>
      <w:r w:rsidRPr="00853ED7">
        <w:t>Table 4. Results in type 1 diabetes - children and adolescents (stud</w:t>
      </w:r>
      <w:r w:rsidR="00E6771C" w:rsidRPr="00853ED7">
        <w:t>ies</w:t>
      </w:r>
      <w:r w:rsidRPr="00853ED7">
        <w:t xml:space="preserve"> 1379</w:t>
      </w:r>
      <w:r w:rsidR="00E6771C" w:rsidRPr="00853ED7">
        <w:t xml:space="preserve"> &amp; 1689</w:t>
      </w:r>
      <w:r w:rsidRPr="00853ED7">
        <w:t>)</w:t>
      </w:r>
    </w:p>
    <w:tbl>
      <w:tblPr>
        <w:tblW w:w="963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76"/>
        <w:gridCol w:w="3686"/>
        <w:gridCol w:w="1417"/>
        <w:gridCol w:w="3260"/>
      </w:tblGrid>
      <w:tr w:rsidR="00E6771C" w:rsidRPr="00853ED7" w:rsidTr="006F4353">
        <w:tc>
          <w:tcPr>
            <w:tcW w:w="1276" w:type="dxa"/>
            <w:shd w:val="clear" w:color="auto" w:fill="FFFF99"/>
          </w:tcPr>
          <w:p w:rsidR="00E6771C" w:rsidRPr="00853ED7" w:rsidRDefault="00E6771C" w:rsidP="00001057">
            <w:pPr>
              <w:keepNext/>
              <w:jc w:val="center"/>
              <w:rPr>
                <w:b/>
                <w:sz w:val="20"/>
              </w:rPr>
            </w:pPr>
            <w:r w:rsidRPr="00853ED7">
              <w:rPr>
                <w:b/>
                <w:sz w:val="20"/>
              </w:rPr>
              <w:t>Trial ID</w:t>
            </w:r>
          </w:p>
        </w:tc>
        <w:tc>
          <w:tcPr>
            <w:tcW w:w="3686" w:type="dxa"/>
            <w:shd w:val="clear" w:color="auto" w:fill="FFFF99"/>
          </w:tcPr>
          <w:p w:rsidR="00E6771C" w:rsidRPr="00853ED7" w:rsidRDefault="00E6771C" w:rsidP="00001057">
            <w:pPr>
              <w:keepNext/>
              <w:jc w:val="center"/>
              <w:rPr>
                <w:b/>
                <w:sz w:val="20"/>
              </w:rPr>
            </w:pPr>
            <w:r w:rsidRPr="00853ED7">
              <w:rPr>
                <w:b/>
                <w:sz w:val="20"/>
              </w:rPr>
              <w:t>Treatment</w:t>
            </w:r>
          </w:p>
        </w:tc>
        <w:tc>
          <w:tcPr>
            <w:tcW w:w="1417" w:type="dxa"/>
            <w:shd w:val="clear" w:color="auto" w:fill="FFFF99"/>
          </w:tcPr>
          <w:p w:rsidR="00E6771C" w:rsidRPr="00853ED7" w:rsidRDefault="00E6771C" w:rsidP="00001057">
            <w:pPr>
              <w:keepNext/>
              <w:jc w:val="center"/>
              <w:rPr>
                <w:b/>
                <w:sz w:val="20"/>
              </w:rPr>
            </w:pPr>
            <w:r w:rsidRPr="00853ED7">
              <w:rPr>
                <w:b/>
                <w:sz w:val="20"/>
              </w:rPr>
              <w:t>N</w:t>
            </w:r>
            <w:r w:rsidRPr="00853ED7">
              <w:rPr>
                <w:b/>
                <w:sz w:val="20"/>
                <w:vertAlign w:val="superscript"/>
              </w:rPr>
              <w:t>#</w:t>
            </w:r>
          </w:p>
        </w:tc>
        <w:tc>
          <w:tcPr>
            <w:tcW w:w="3260" w:type="dxa"/>
            <w:shd w:val="clear" w:color="auto" w:fill="FFFF99"/>
          </w:tcPr>
          <w:p w:rsidR="00E6771C" w:rsidRPr="00853ED7" w:rsidRDefault="00E6771C" w:rsidP="00001057">
            <w:pPr>
              <w:keepNext/>
              <w:jc w:val="center"/>
              <w:rPr>
                <w:b/>
                <w:sz w:val="20"/>
              </w:rPr>
            </w:pPr>
            <w:r w:rsidRPr="00853ED7">
              <w:rPr>
                <w:b/>
                <w:sz w:val="20"/>
              </w:rPr>
              <w:t>HbA</w:t>
            </w:r>
            <w:r w:rsidRPr="00853ED7">
              <w:rPr>
                <w:b/>
                <w:sz w:val="20"/>
                <w:vertAlign w:val="subscript"/>
              </w:rPr>
              <w:t>1c</w:t>
            </w:r>
            <w:r w:rsidRPr="00853ED7">
              <w:rPr>
                <w:b/>
                <w:sz w:val="20"/>
              </w:rPr>
              <w:t xml:space="preserve"> (%) – </w:t>
            </w:r>
          </w:p>
          <w:p w:rsidR="00E6771C" w:rsidRPr="00853ED7" w:rsidRDefault="00E6771C" w:rsidP="00001057">
            <w:pPr>
              <w:keepNext/>
              <w:jc w:val="center"/>
              <w:rPr>
                <w:b/>
                <w:sz w:val="20"/>
              </w:rPr>
            </w:pPr>
            <w:r w:rsidRPr="00853ED7">
              <w:rPr>
                <w:b/>
                <w:sz w:val="20"/>
              </w:rPr>
              <w:t>end of study mean</w:t>
            </w:r>
          </w:p>
        </w:tc>
      </w:tr>
      <w:tr w:rsidR="00E6771C" w:rsidRPr="00853ED7" w:rsidTr="006F4353">
        <w:tc>
          <w:tcPr>
            <w:tcW w:w="1276" w:type="dxa"/>
            <w:vMerge w:val="restart"/>
          </w:tcPr>
          <w:p w:rsidR="00E6771C" w:rsidRPr="00853ED7" w:rsidRDefault="00E6771C" w:rsidP="00001057">
            <w:pPr>
              <w:keepNext/>
              <w:jc w:val="center"/>
              <w:rPr>
                <w:sz w:val="20"/>
              </w:rPr>
            </w:pPr>
            <w:r w:rsidRPr="00853ED7">
              <w:rPr>
                <w:sz w:val="20"/>
              </w:rPr>
              <w:t>1379</w:t>
            </w:r>
          </w:p>
        </w:tc>
        <w:tc>
          <w:tcPr>
            <w:tcW w:w="3686" w:type="dxa"/>
            <w:vAlign w:val="center"/>
          </w:tcPr>
          <w:p w:rsidR="00E6771C" w:rsidRPr="00853ED7" w:rsidRDefault="00E6771C" w:rsidP="00001057">
            <w:pPr>
              <w:keepNext/>
              <w:jc w:val="center"/>
              <w:rPr>
                <w:sz w:val="20"/>
              </w:rPr>
            </w:pPr>
          </w:p>
        </w:tc>
        <w:tc>
          <w:tcPr>
            <w:tcW w:w="1417" w:type="dxa"/>
            <w:vAlign w:val="center"/>
          </w:tcPr>
          <w:p w:rsidR="00E6771C" w:rsidRPr="00853ED7" w:rsidRDefault="00E6771C" w:rsidP="00001057">
            <w:pPr>
              <w:keepNext/>
              <w:jc w:val="center"/>
              <w:rPr>
                <w:sz w:val="20"/>
              </w:rPr>
            </w:pPr>
          </w:p>
        </w:tc>
        <w:tc>
          <w:tcPr>
            <w:tcW w:w="3260" w:type="dxa"/>
            <w:vAlign w:val="center"/>
          </w:tcPr>
          <w:p w:rsidR="00E6771C" w:rsidRPr="00853ED7" w:rsidRDefault="00E6771C" w:rsidP="00001057">
            <w:pPr>
              <w:keepNext/>
              <w:jc w:val="center"/>
              <w:rPr>
                <w:sz w:val="20"/>
              </w:rPr>
            </w:pPr>
            <w:r w:rsidRPr="00853ED7">
              <w:rPr>
                <w:b/>
                <w:i/>
                <w:sz w:val="20"/>
              </w:rPr>
              <w:t>(</w:t>
            </w:r>
            <w:proofErr w:type="spellStart"/>
            <w:r w:rsidRPr="00853ED7">
              <w:rPr>
                <w:b/>
                <w:i/>
                <w:sz w:val="20"/>
              </w:rPr>
              <w:t>Levemir</w:t>
            </w:r>
            <w:proofErr w:type="spellEnd"/>
            <w:r w:rsidRPr="00853ED7">
              <w:rPr>
                <w:b/>
                <w:i/>
                <w:sz w:val="20"/>
              </w:rPr>
              <w:t>-NPH [95% CI])</w:t>
            </w:r>
          </w:p>
        </w:tc>
      </w:tr>
      <w:tr w:rsidR="00E6771C" w:rsidRPr="00853ED7" w:rsidTr="006F4353">
        <w:tc>
          <w:tcPr>
            <w:tcW w:w="1276" w:type="dxa"/>
            <w:vMerge/>
          </w:tcPr>
          <w:p w:rsidR="00E6771C" w:rsidRPr="00853ED7" w:rsidRDefault="00E6771C" w:rsidP="00001057">
            <w:pPr>
              <w:keepNext/>
              <w:jc w:val="center"/>
              <w:rPr>
                <w:sz w:val="20"/>
              </w:rPr>
            </w:pPr>
          </w:p>
        </w:tc>
        <w:tc>
          <w:tcPr>
            <w:tcW w:w="3686" w:type="dxa"/>
            <w:vAlign w:val="center"/>
          </w:tcPr>
          <w:p w:rsidR="00E6771C" w:rsidRPr="00853ED7" w:rsidRDefault="00E6771C" w:rsidP="003924F5">
            <w:pPr>
              <w:keepNext/>
              <w:jc w:val="center"/>
              <w:rPr>
                <w:sz w:val="20"/>
              </w:rPr>
            </w:pPr>
            <w:proofErr w:type="spellStart"/>
            <w:r w:rsidRPr="00853ED7">
              <w:rPr>
                <w:sz w:val="20"/>
              </w:rPr>
              <w:t>Levemir</w:t>
            </w:r>
            <w:proofErr w:type="spellEnd"/>
            <w:r w:rsidRPr="00853ED7">
              <w:rPr>
                <w:sz w:val="20"/>
              </w:rPr>
              <w:t xml:space="preserve"> + </w:t>
            </w:r>
            <w:r w:rsidR="003924F5" w:rsidRPr="00853ED7">
              <w:rPr>
                <w:sz w:val="20"/>
              </w:rPr>
              <w:t xml:space="preserve">insulin </w:t>
            </w:r>
            <w:proofErr w:type="spellStart"/>
            <w:r w:rsidR="003924F5" w:rsidRPr="00853ED7">
              <w:rPr>
                <w:sz w:val="20"/>
              </w:rPr>
              <w:t>aspart</w:t>
            </w:r>
            <w:proofErr w:type="spellEnd"/>
          </w:p>
        </w:tc>
        <w:tc>
          <w:tcPr>
            <w:tcW w:w="1417" w:type="dxa"/>
            <w:vAlign w:val="center"/>
          </w:tcPr>
          <w:p w:rsidR="00E6771C" w:rsidRPr="00853ED7" w:rsidRDefault="00E6771C" w:rsidP="00001057">
            <w:pPr>
              <w:keepNext/>
              <w:jc w:val="center"/>
              <w:rPr>
                <w:sz w:val="20"/>
              </w:rPr>
            </w:pPr>
            <w:r w:rsidRPr="00853ED7">
              <w:rPr>
                <w:sz w:val="20"/>
              </w:rPr>
              <w:t>232</w:t>
            </w:r>
          </w:p>
        </w:tc>
        <w:tc>
          <w:tcPr>
            <w:tcW w:w="3260" w:type="dxa"/>
            <w:vAlign w:val="center"/>
          </w:tcPr>
          <w:p w:rsidR="00E6771C" w:rsidRPr="00853ED7" w:rsidRDefault="00E6771C" w:rsidP="00001057">
            <w:pPr>
              <w:keepNext/>
              <w:jc w:val="center"/>
              <w:rPr>
                <w:sz w:val="20"/>
              </w:rPr>
            </w:pPr>
            <w:r w:rsidRPr="00853ED7">
              <w:rPr>
                <w:sz w:val="20"/>
              </w:rPr>
              <w:t>8.02</w:t>
            </w:r>
          </w:p>
        </w:tc>
      </w:tr>
      <w:tr w:rsidR="00E6771C" w:rsidRPr="00853ED7" w:rsidTr="006F4353">
        <w:tc>
          <w:tcPr>
            <w:tcW w:w="1276" w:type="dxa"/>
            <w:vMerge/>
          </w:tcPr>
          <w:p w:rsidR="00E6771C" w:rsidRPr="00853ED7" w:rsidRDefault="00E6771C" w:rsidP="00001057">
            <w:pPr>
              <w:keepNext/>
              <w:jc w:val="center"/>
              <w:rPr>
                <w:sz w:val="20"/>
              </w:rPr>
            </w:pPr>
          </w:p>
        </w:tc>
        <w:tc>
          <w:tcPr>
            <w:tcW w:w="3686" w:type="dxa"/>
            <w:vAlign w:val="center"/>
          </w:tcPr>
          <w:p w:rsidR="00E6771C" w:rsidRPr="00853ED7" w:rsidRDefault="00E6771C" w:rsidP="003924F5">
            <w:pPr>
              <w:keepNext/>
              <w:jc w:val="center"/>
              <w:rPr>
                <w:sz w:val="20"/>
              </w:rPr>
            </w:pPr>
            <w:r w:rsidRPr="00853ED7">
              <w:rPr>
                <w:sz w:val="20"/>
              </w:rPr>
              <w:t xml:space="preserve">NPH + </w:t>
            </w:r>
            <w:r w:rsidR="00C24A18" w:rsidRPr="00853ED7">
              <w:rPr>
                <w:sz w:val="20"/>
              </w:rPr>
              <w:t xml:space="preserve"> </w:t>
            </w:r>
            <w:r w:rsidR="003924F5" w:rsidRPr="00853ED7">
              <w:rPr>
                <w:sz w:val="20"/>
              </w:rPr>
              <w:t xml:space="preserve">insulin </w:t>
            </w:r>
            <w:proofErr w:type="spellStart"/>
            <w:r w:rsidR="003924F5" w:rsidRPr="00853ED7">
              <w:rPr>
                <w:sz w:val="20"/>
              </w:rPr>
              <w:t>aspart</w:t>
            </w:r>
            <w:proofErr w:type="spellEnd"/>
          </w:p>
        </w:tc>
        <w:tc>
          <w:tcPr>
            <w:tcW w:w="1417" w:type="dxa"/>
            <w:vAlign w:val="center"/>
          </w:tcPr>
          <w:p w:rsidR="00E6771C" w:rsidRPr="00853ED7" w:rsidRDefault="00E6771C" w:rsidP="00001057">
            <w:pPr>
              <w:keepNext/>
              <w:jc w:val="center"/>
              <w:rPr>
                <w:sz w:val="20"/>
              </w:rPr>
            </w:pPr>
            <w:r w:rsidRPr="00853ED7">
              <w:rPr>
                <w:sz w:val="20"/>
              </w:rPr>
              <w:t>115</w:t>
            </w:r>
          </w:p>
        </w:tc>
        <w:tc>
          <w:tcPr>
            <w:tcW w:w="3260" w:type="dxa"/>
            <w:vAlign w:val="center"/>
          </w:tcPr>
          <w:p w:rsidR="00E6771C" w:rsidRPr="00853ED7" w:rsidRDefault="00E6771C" w:rsidP="00001057">
            <w:pPr>
              <w:keepNext/>
              <w:jc w:val="center"/>
              <w:rPr>
                <w:sz w:val="20"/>
              </w:rPr>
            </w:pPr>
            <w:r w:rsidRPr="00853ED7">
              <w:rPr>
                <w:sz w:val="20"/>
              </w:rPr>
              <w:t>7.93</w:t>
            </w:r>
          </w:p>
        </w:tc>
      </w:tr>
      <w:tr w:rsidR="00E6771C" w:rsidRPr="00853ED7" w:rsidTr="006F4353">
        <w:tc>
          <w:tcPr>
            <w:tcW w:w="1276" w:type="dxa"/>
            <w:vMerge/>
          </w:tcPr>
          <w:p w:rsidR="00E6771C" w:rsidRPr="00853ED7" w:rsidRDefault="00E6771C" w:rsidP="00001057">
            <w:pPr>
              <w:keepNext/>
              <w:jc w:val="center"/>
              <w:rPr>
                <w:sz w:val="20"/>
              </w:rPr>
            </w:pPr>
          </w:p>
        </w:tc>
        <w:tc>
          <w:tcPr>
            <w:tcW w:w="3686" w:type="dxa"/>
            <w:vAlign w:val="center"/>
          </w:tcPr>
          <w:p w:rsidR="00E6771C" w:rsidRPr="00853ED7" w:rsidRDefault="00E6771C" w:rsidP="00001057">
            <w:pPr>
              <w:keepNext/>
              <w:jc w:val="center"/>
              <w:rPr>
                <w:sz w:val="20"/>
              </w:rPr>
            </w:pPr>
          </w:p>
        </w:tc>
        <w:tc>
          <w:tcPr>
            <w:tcW w:w="1417" w:type="dxa"/>
            <w:vAlign w:val="center"/>
          </w:tcPr>
          <w:p w:rsidR="00E6771C" w:rsidRPr="00853ED7" w:rsidRDefault="00E6771C" w:rsidP="00001057">
            <w:pPr>
              <w:keepNext/>
              <w:jc w:val="center"/>
              <w:rPr>
                <w:sz w:val="20"/>
              </w:rPr>
            </w:pPr>
          </w:p>
        </w:tc>
        <w:tc>
          <w:tcPr>
            <w:tcW w:w="3260" w:type="dxa"/>
            <w:vAlign w:val="center"/>
          </w:tcPr>
          <w:p w:rsidR="00E6771C" w:rsidRPr="00853ED7" w:rsidRDefault="00E6771C" w:rsidP="006F4353">
            <w:pPr>
              <w:keepNext/>
              <w:jc w:val="center"/>
              <w:rPr>
                <w:sz w:val="20"/>
              </w:rPr>
            </w:pPr>
            <w:r w:rsidRPr="00853ED7">
              <w:rPr>
                <w:i/>
                <w:sz w:val="20"/>
              </w:rPr>
              <w:t>(0.09 [-0.12, 0.29])</w:t>
            </w:r>
            <w:r w:rsidRPr="00853ED7">
              <w:rPr>
                <w:i/>
                <w:sz w:val="20"/>
                <w:vertAlign w:val="superscript"/>
              </w:rPr>
              <w:t>†</w:t>
            </w:r>
          </w:p>
        </w:tc>
      </w:tr>
      <w:tr w:rsidR="007917D8" w:rsidRPr="00853ED7" w:rsidTr="006F4353">
        <w:tc>
          <w:tcPr>
            <w:tcW w:w="1276" w:type="dxa"/>
          </w:tcPr>
          <w:p w:rsidR="007917D8" w:rsidRPr="00853ED7" w:rsidRDefault="007917D8" w:rsidP="00001057">
            <w:pPr>
              <w:keepNext/>
              <w:jc w:val="center"/>
              <w:rPr>
                <w:sz w:val="20"/>
              </w:rPr>
            </w:pPr>
          </w:p>
        </w:tc>
        <w:tc>
          <w:tcPr>
            <w:tcW w:w="3686" w:type="dxa"/>
            <w:vAlign w:val="center"/>
          </w:tcPr>
          <w:p w:rsidR="007917D8" w:rsidRPr="00853ED7" w:rsidRDefault="007917D8" w:rsidP="00001057">
            <w:pPr>
              <w:keepNext/>
              <w:jc w:val="center"/>
              <w:rPr>
                <w:sz w:val="20"/>
              </w:rPr>
            </w:pPr>
          </w:p>
        </w:tc>
        <w:tc>
          <w:tcPr>
            <w:tcW w:w="1417" w:type="dxa"/>
            <w:vAlign w:val="center"/>
          </w:tcPr>
          <w:p w:rsidR="007917D8" w:rsidRPr="00853ED7" w:rsidRDefault="007917D8" w:rsidP="00001057">
            <w:pPr>
              <w:keepNext/>
              <w:jc w:val="center"/>
              <w:rPr>
                <w:sz w:val="20"/>
              </w:rPr>
            </w:pPr>
          </w:p>
        </w:tc>
        <w:tc>
          <w:tcPr>
            <w:tcW w:w="3260" w:type="dxa"/>
            <w:vAlign w:val="center"/>
          </w:tcPr>
          <w:p w:rsidR="007917D8" w:rsidRPr="00853ED7" w:rsidRDefault="007917D8" w:rsidP="00001057">
            <w:pPr>
              <w:keepNext/>
              <w:jc w:val="center"/>
              <w:rPr>
                <w:i/>
                <w:sz w:val="20"/>
              </w:rPr>
            </w:pPr>
          </w:p>
        </w:tc>
      </w:tr>
      <w:tr w:rsidR="00F838BB" w:rsidRPr="00853ED7" w:rsidTr="006F4353">
        <w:tc>
          <w:tcPr>
            <w:tcW w:w="1276" w:type="dxa"/>
            <w:vMerge w:val="restart"/>
          </w:tcPr>
          <w:p w:rsidR="00F838BB" w:rsidRPr="00853ED7" w:rsidRDefault="00F838BB" w:rsidP="00001057">
            <w:pPr>
              <w:keepNext/>
              <w:jc w:val="center"/>
              <w:rPr>
                <w:sz w:val="20"/>
              </w:rPr>
            </w:pPr>
            <w:r w:rsidRPr="00853ED7">
              <w:rPr>
                <w:sz w:val="20"/>
              </w:rPr>
              <w:t>1689</w:t>
            </w:r>
          </w:p>
        </w:tc>
        <w:tc>
          <w:tcPr>
            <w:tcW w:w="3686" w:type="dxa"/>
            <w:vAlign w:val="center"/>
          </w:tcPr>
          <w:p w:rsidR="00F838BB" w:rsidRPr="00853ED7" w:rsidRDefault="00F838BB" w:rsidP="003924F5">
            <w:pPr>
              <w:keepNext/>
              <w:jc w:val="center"/>
              <w:rPr>
                <w:sz w:val="20"/>
              </w:rPr>
            </w:pPr>
            <w:proofErr w:type="spellStart"/>
            <w:r w:rsidRPr="00853ED7">
              <w:rPr>
                <w:sz w:val="20"/>
              </w:rPr>
              <w:t>Levemir</w:t>
            </w:r>
            <w:proofErr w:type="spellEnd"/>
            <w:r w:rsidRPr="00853ED7">
              <w:rPr>
                <w:sz w:val="20"/>
              </w:rPr>
              <w:t xml:space="preserve"> +  insulin </w:t>
            </w:r>
            <w:proofErr w:type="spellStart"/>
            <w:r w:rsidRPr="00853ED7">
              <w:rPr>
                <w:sz w:val="20"/>
              </w:rPr>
              <w:t>aspart</w:t>
            </w:r>
            <w:proofErr w:type="spellEnd"/>
          </w:p>
        </w:tc>
        <w:tc>
          <w:tcPr>
            <w:tcW w:w="1417" w:type="dxa"/>
            <w:vAlign w:val="center"/>
          </w:tcPr>
          <w:p w:rsidR="00F838BB" w:rsidRPr="00853ED7" w:rsidRDefault="00F838BB" w:rsidP="00001057">
            <w:pPr>
              <w:keepNext/>
              <w:jc w:val="center"/>
              <w:rPr>
                <w:sz w:val="20"/>
              </w:rPr>
            </w:pPr>
            <w:r w:rsidRPr="00853ED7">
              <w:rPr>
                <w:sz w:val="20"/>
              </w:rPr>
              <w:t>177</w:t>
            </w:r>
          </w:p>
        </w:tc>
        <w:tc>
          <w:tcPr>
            <w:tcW w:w="3260" w:type="dxa"/>
            <w:vAlign w:val="center"/>
          </w:tcPr>
          <w:p w:rsidR="00F838BB" w:rsidRPr="00853ED7" w:rsidRDefault="00F838BB" w:rsidP="00001057">
            <w:pPr>
              <w:keepNext/>
              <w:jc w:val="center"/>
              <w:rPr>
                <w:i/>
                <w:sz w:val="20"/>
              </w:rPr>
            </w:pPr>
            <w:r w:rsidRPr="00853ED7">
              <w:rPr>
                <w:i/>
                <w:sz w:val="20"/>
              </w:rPr>
              <w:t>8.75</w:t>
            </w:r>
          </w:p>
        </w:tc>
      </w:tr>
      <w:tr w:rsidR="00F838BB" w:rsidRPr="00853ED7" w:rsidTr="006F4353">
        <w:tc>
          <w:tcPr>
            <w:tcW w:w="1276" w:type="dxa"/>
            <w:vMerge/>
          </w:tcPr>
          <w:p w:rsidR="00F838BB" w:rsidRPr="00853ED7" w:rsidRDefault="00F838BB" w:rsidP="00001057">
            <w:pPr>
              <w:keepNext/>
              <w:jc w:val="center"/>
              <w:rPr>
                <w:sz w:val="20"/>
              </w:rPr>
            </w:pPr>
          </w:p>
        </w:tc>
        <w:tc>
          <w:tcPr>
            <w:tcW w:w="3686" w:type="dxa"/>
            <w:vAlign w:val="center"/>
          </w:tcPr>
          <w:p w:rsidR="00F838BB" w:rsidRPr="00853ED7" w:rsidRDefault="00F838BB" w:rsidP="003924F5">
            <w:pPr>
              <w:keepNext/>
              <w:jc w:val="center"/>
              <w:rPr>
                <w:sz w:val="20"/>
              </w:rPr>
            </w:pPr>
            <w:r w:rsidRPr="00853ED7">
              <w:rPr>
                <w:sz w:val="20"/>
              </w:rPr>
              <w:t xml:space="preserve">NPH +  insulin </w:t>
            </w:r>
            <w:proofErr w:type="spellStart"/>
            <w:r w:rsidRPr="00853ED7">
              <w:rPr>
                <w:sz w:val="20"/>
              </w:rPr>
              <w:t>aspart</w:t>
            </w:r>
            <w:proofErr w:type="spellEnd"/>
          </w:p>
        </w:tc>
        <w:tc>
          <w:tcPr>
            <w:tcW w:w="1417" w:type="dxa"/>
            <w:vAlign w:val="center"/>
          </w:tcPr>
          <w:p w:rsidR="00F838BB" w:rsidRPr="00853ED7" w:rsidRDefault="00F838BB" w:rsidP="00001057">
            <w:pPr>
              <w:keepNext/>
              <w:jc w:val="center"/>
              <w:rPr>
                <w:sz w:val="20"/>
              </w:rPr>
            </w:pPr>
            <w:r w:rsidRPr="00853ED7">
              <w:rPr>
                <w:sz w:val="20"/>
              </w:rPr>
              <w:t>170</w:t>
            </w:r>
            <w:bookmarkStart w:id="25" w:name="OLE_LINK43"/>
            <w:r w:rsidRPr="00853ED7">
              <w:rPr>
                <w:sz w:val="20"/>
              </w:rPr>
              <w:t>‡</w:t>
            </w:r>
            <w:bookmarkEnd w:id="25"/>
          </w:p>
        </w:tc>
        <w:tc>
          <w:tcPr>
            <w:tcW w:w="3260" w:type="dxa"/>
            <w:vAlign w:val="center"/>
          </w:tcPr>
          <w:p w:rsidR="00F838BB" w:rsidRPr="00853ED7" w:rsidRDefault="00F838BB" w:rsidP="00001057">
            <w:pPr>
              <w:keepNext/>
              <w:jc w:val="center"/>
              <w:rPr>
                <w:i/>
                <w:sz w:val="20"/>
              </w:rPr>
            </w:pPr>
            <w:r w:rsidRPr="00853ED7">
              <w:rPr>
                <w:i/>
                <w:sz w:val="20"/>
              </w:rPr>
              <w:t>8.64</w:t>
            </w:r>
          </w:p>
        </w:tc>
      </w:tr>
      <w:tr w:rsidR="00F838BB" w:rsidRPr="00853ED7" w:rsidTr="006F4353">
        <w:tc>
          <w:tcPr>
            <w:tcW w:w="1276" w:type="dxa"/>
            <w:vMerge/>
          </w:tcPr>
          <w:p w:rsidR="00F838BB" w:rsidRPr="00853ED7" w:rsidRDefault="00F838BB" w:rsidP="00001057">
            <w:pPr>
              <w:keepNext/>
              <w:jc w:val="center"/>
              <w:rPr>
                <w:sz w:val="20"/>
              </w:rPr>
            </w:pPr>
          </w:p>
        </w:tc>
        <w:tc>
          <w:tcPr>
            <w:tcW w:w="3686" w:type="dxa"/>
            <w:vAlign w:val="center"/>
          </w:tcPr>
          <w:p w:rsidR="00F838BB" w:rsidRPr="00853ED7" w:rsidRDefault="00F838BB" w:rsidP="00001057">
            <w:pPr>
              <w:keepNext/>
              <w:jc w:val="center"/>
              <w:rPr>
                <w:sz w:val="20"/>
              </w:rPr>
            </w:pPr>
          </w:p>
        </w:tc>
        <w:tc>
          <w:tcPr>
            <w:tcW w:w="1417" w:type="dxa"/>
            <w:vAlign w:val="center"/>
          </w:tcPr>
          <w:p w:rsidR="00F838BB" w:rsidRPr="00853ED7" w:rsidRDefault="00F838BB" w:rsidP="00001057">
            <w:pPr>
              <w:keepNext/>
              <w:jc w:val="center"/>
              <w:rPr>
                <w:sz w:val="20"/>
              </w:rPr>
            </w:pPr>
          </w:p>
        </w:tc>
        <w:tc>
          <w:tcPr>
            <w:tcW w:w="3260" w:type="dxa"/>
            <w:vAlign w:val="center"/>
          </w:tcPr>
          <w:p w:rsidR="00F838BB" w:rsidRPr="00853ED7" w:rsidRDefault="00F838BB" w:rsidP="00001057">
            <w:pPr>
              <w:keepNext/>
              <w:jc w:val="center"/>
              <w:rPr>
                <w:i/>
                <w:sz w:val="20"/>
              </w:rPr>
            </w:pPr>
            <w:r w:rsidRPr="00853ED7">
              <w:rPr>
                <w:i/>
                <w:sz w:val="20"/>
              </w:rPr>
              <w:t>(0.12 [-0.12, 0.36])</w:t>
            </w:r>
            <w:r w:rsidRPr="00853ED7">
              <w:rPr>
                <w:i/>
                <w:sz w:val="20"/>
                <w:vertAlign w:val="superscript"/>
              </w:rPr>
              <w:t>†</w:t>
            </w:r>
          </w:p>
        </w:tc>
      </w:tr>
      <w:tr w:rsidR="00F838BB" w:rsidRPr="00853ED7" w:rsidTr="006F4353">
        <w:tc>
          <w:tcPr>
            <w:tcW w:w="1276" w:type="dxa"/>
            <w:vMerge/>
          </w:tcPr>
          <w:p w:rsidR="00F838BB" w:rsidRPr="00853ED7" w:rsidRDefault="00F838BB" w:rsidP="00001057">
            <w:pPr>
              <w:keepNext/>
              <w:jc w:val="center"/>
              <w:rPr>
                <w:sz w:val="20"/>
              </w:rPr>
            </w:pPr>
          </w:p>
        </w:tc>
        <w:tc>
          <w:tcPr>
            <w:tcW w:w="3686" w:type="dxa"/>
            <w:vAlign w:val="center"/>
          </w:tcPr>
          <w:p w:rsidR="00F838BB" w:rsidRPr="00853ED7" w:rsidRDefault="00F838BB" w:rsidP="00001057">
            <w:pPr>
              <w:keepNext/>
              <w:jc w:val="center"/>
              <w:rPr>
                <w:sz w:val="20"/>
              </w:rPr>
            </w:pPr>
          </w:p>
        </w:tc>
        <w:tc>
          <w:tcPr>
            <w:tcW w:w="1417" w:type="dxa"/>
            <w:vAlign w:val="center"/>
          </w:tcPr>
          <w:p w:rsidR="00F838BB" w:rsidRPr="00853ED7" w:rsidRDefault="00F838BB" w:rsidP="00001057">
            <w:pPr>
              <w:keepNext/>
              <w:jc w:val="center"/>
              <w:rPr>
                <w:sz w:val="20"/>
              </w:rPr>
            </w:pPr>
          </w:p>
        </w:tc>
        <w:tc>
          <w:tcPr>
            <w:tcW w:w="3260" w:type="dxa"/>
            <w:vAlign w:val="center"/>
          </w:tcPr>
          <w:p w:rsidR="00F838BB" w:rsidRPr="00853ED7" w:rsidRDefault="00F838BB" w:rsidP="00001057">
            <w:pPr>
              <w:keepNext/>
              <w:jc w:val="center"/>
              <w:rPr>
                <w:i/>
                <w:sz w:val="20"/>
              </w:rPr>
            </w:pPr>
          </w:p>
        </w:tc>
      </w:tr>
    </w:tbl>
    <w:p w:rsidR="00831423" w:rsidRPr="00853ED7" w:rsidRDefault="00D77859" w:rsidP="001D5870">
      <w:pPr>
        <w:rPr>
          <w:rStyle w:val="Emphasis"/>
          <w:sz w:val="18"/>
          <w:szCs w:val="18"/>
        </w:rPr>
      </w:pPr>
      <w:r w:rsidRPr="00853ED7">
        <w:rPr>
          <w:rStyle w:val="Emphasis"/>
          <w:sz w:val="18"/>
          <w:szCs w:val="18"/>
        </w:rPr>
        <w:t>#N = number of subjects randomised</w:t>
      </w:r>
      <w:r w:rsidR="009F742C" w:rsidRPr="00853ED7">
        <w:rPr>
          <w:rStyle w:val="Emphasis"/>
          <w:sz w:val="18"/>
          <w:szCs w:val="18"/>
        </w:rPr>
        <w:t xml:space="preserve">.  </w:t>
      </w:r>
    </w:p>
    <w:p w:rsidR="00D77859" w:rsidRPr="00853ED7" w:rsidRDefault="009F742C" w:rsidP="001D5870">
      <w:pPr>
        <w:rPr>
          <w:rStyle w:val="Emphasis"/>
          <w:sz w:val="18"/>
          <w:szCs w:val="18"/>
        </w:rPr>
      </w:pPr>
      <w:r w:rsidRPr="00853ED7">
        <w:rPr>
          <w:rStyle w:val="Emphasis"/>
          <w:sz w:val="18"/>
          <w:szCs w:val="18"/>
        </w:rPr>
        <w:t xml:space="preserve">†Non-inferiority defined as </w:t>
      </w:r>
      <w:r w:rsidR="00123D21" w:rsidRPr="00853ED7">
        <w:rPr>
          <w:rStyle w:val="Emphasis"/>
          <w:sz w:val="18"/>
          <w:szCs w:val="18"/>
        </w:rPr>
        <w:t xml:space="preserve">upper limit of </w:t>
      </w:r>
      <w:r w:rsidRPr="00853ED7">
        <w:rPr>
          <w:rStyle w:val="Emphasis"/>
          <w:sz w:val="18"/>
          <w:szCs w:val="18"/>
        </w:rPr>
        <w:t xml:space="preserve">95% </w:t>
      </w:r>
      <w:r w:rsidR="006A00CF" w:rsidRPr="00853ED7">
        <w:rPr>
          <w:rStyle w:val="Emphasis"/>
          <w:sz w:val="18"/>
          <w:szCs w:val="18"/>
        </w:rPr>
        <w:t>CI for</w:t>
      </w:r>
      <w:r w:rsidRPr="00853ED7">
        <w:rPr>
          <w:rStyle w:val="Emphasis"/>
          <w:sz w:val="18"/>
          <w:szCs w:val="18"/>
        </w:rPr>
        <w:t xml:space="preserve"> (HbA</w:t>
      </w:r>
      <w:r w:rsidRPr="00853ED7">
        <w:rPr>
          <w:rStyle w:val="Emphasis"/>
          <w:sz w:val="18"/>
          <w:szCs w:val="18"/>
          <w:vertAlign w:val="subscript"/>
        </w:rPr>
        <w:t>1c</w:t>
      </w:r>
      <w:r w:rsidRPr="00853ED7">
        <w:rPr>
          <w:rStyle w:val="Emphasis"/>
          <w:sz w:val="18"/>
          <w:szCs w:val="18"/>
        </w:rPr>
        <w:t xml:space="preserve"> (</w:t>
      </w:r>
      <w:proofErr w:type="spellStart"/>
      <w:r w:rsidRPr="00853ED7">
        <w:rPr>
          <w:rStyle w:val="Emphasis"/>
          <w:sz w:val="18"/>
          <w:szCs w:val="18"/>
        </w:rPr>
        <w:t>Lev</w:t>
      </w:r>
      <w:r w:rsidR="00C24A18" w:rsidRPr="00853ED7">
        <w:rPr>
          <w:rStyle w:val="Emphasis"/>
          <w:sz w:val="18"/>
          <w:szCs w:val="18"/>
        </w:rPr>
        <w:t>emir</w:t>
      </w:r>
      <w:proofErr w:type="spellEnd"/>
      <w:r w:rsidRPr="00853ED7">
        <w:rPr>
          <w:rStyle w:val="Emphasis"/>
          <w:sz w:val="18"/>
          <w:szCs w:val="18"/>
        </w:rPr>
        <w:t>)</w:t>
      </w:r>
      <w:r w:rsidR="00123D21" w:rsidRPr="00853ED7">
        <w:rPr>
          <w:rStyle w:val="Emphasis"/>
          <w:sz w:val="18"/>
          <w:szCs w:val="18"/>
        </w:rPr>
        <w:t xml:space="preserve"> </w:t>
      </w:r>
      <w:r w:rsidRPr="00853ED7">
        <w:rPr>
          <w:rStyle w:val="Emphasis"/>
          <w:sz w:val="18"/>
          <w:szCs w:val="18"/>
        </w:rPr>
        <w:t>-</w:t>
      </w:r>
      <w:r w:rsidR="00123D21" w:rsidRPr="00853ED7">
        <w:rPr>
          <w:rStyle w:val="Emphasis"/>
          <w:sz w:val="18"/>
          <w:szCs w:val="18"/>
        </w:rPr>
        <w:t xml:space="preserve"> HbA</w:t>
      </w:r>
      <w:r w:rsidR="00123D21" w:rsidRPr="00853ED7">
        <w:rPr>
          <w:rStyle w:val="Emphasis"/>
          <w:sz w:val="18"/>
          <w:szCs w:val="18"/>
          <w:vertAlign w:val="subscript"/>
        </w:rPr>
        <w:t>1c</w:t>
      </w:r>
      <w:r w:rsidR="00123D21" w:rsidRPr="00853ED7">
        <w:rPr>
          <w:rStyle w:val="Emphasis"/>
          <w:sz w:val="18"/>
          <w:szCs w:val="18"/>
        </w:rPr>
        <w:t xml:space="preserve"> (</w:t>
      </w:r>
      <w:r w:rsidRPr="00853ED7">
        <w:rPr>
          <w:rStyle w:val="Emphasis"/>
          <w:sz w:val="18"/>
          <w:szCs w:val="18"/>
        </w:rPr>
        <w:t>NPH)</w:t>
      </w:r>
      <w:r w:rsidR="00364330" w:rsidRPr="00853ED7">
        <w:rPr>
          <w:rStyle w:val="Emphasis"/>
          <w:sz w:val="18"/>
          <w:szCs w:val="18"/>
        </w:rPr>
        <w:t>)</w:t>
      </w:r>
      <w:r w:rsidR="00123D21" w:rsidRPr="00853ED7">
        <w:rPr>
          <w:rStyle w:val="Emphasis"/>
          <w:sz w:val="18"/>
          <w:szCs w:val="18"/>
        </w:rPr>
        <w:t xml:space="preserve"> &lt; 0.4%</w:t>
      </w:r>
      <w:r w:rsidRPr="00853ED7">
        <w:rPr>
          <w:rStyle w:val="Emphasis"/>
          <w:sz w:val="18"/>
          <w:szCs w:val="18"/>
        </w:rPr>
        <w:t xml:space="preserve"> </w:t>
      </w:r>
    </w:p>
    <w:p w:rsidR="00A86B8B" w:rsidRPr="00853ED7" w:rsidRDefault="00A86B8B" w:rsidP="001D5870">
      <w:pPr>
        <w:rPr>
          <w:szCs w:val="24"/>
        </w:rPr>
      </w:pPr>
      <w:r w:rsidRPr="00853ED7">
        <w:rPr>
          <w:rStyle w:val="Emphasis"/>
          <w:sz w:val="18"/>
          <w:szCs w:val="18"/>
        </w:rPr>
        <w:t>‡One patient randomised to the NPH arm withdrew consent prior to the administration of insulin.</w:t>
      </w:r>
    </w:p>
    <w:p w:rsidR="00C24A18" w:rsidRPr="00186DDC" w:rsidRDefault="00C24A18" w:rsidP="001D5870">
      <w:pPr>
        <w:rPr>
          <w:sz w:val="22"/>
          <w:szCs w:val="24"/>
        </w:rPr>
      </w:pPr>
    </w:p>
    <w:p w:rsidR="00A83DD0" w:rsidRPr="00853ED7" w:rsidRDefault="00C24A18" w:rsidP="00A83DD0">
      <w:pPr>
        <w:rPr>
          <w:sz w:val="22"/>
          <w:szCs w:val="22"/>
          <w:lang w:eastAsia="da-DK"/>
        </w:rPr>
      </w:pPr>
      <w:r w:rsidRPr="00853ED7">
        <w:rPr>
          <w:sz w:val="22"/>
          <w:szCs w:val="22"/>
          <w:lang w:eastAsia="da-DK"/>
        </w:rPr>
        <w:t xml:space="preserve">Study 1689 was extended for an additional 12 months (total of 24 months’ treatment data; extension designated as ‘study 1690’) to assess antibody formation after long-term treatment with </w:t>
      </w:r>
      <w:proofErr w:type="spellStart"/>
      <w:r w:rsidRPr="00853ED7">
        <w:rPr>
          <w:sz w:val="22"/>
          <w:szCs w:val="22"/>
          <w:lang w:eastAsia="da-DK"/>
        </w:rPr>
        <w:t>Levemir</w:t>
      </w:r>
      <w:proofErr w:type="spellEnd"/>
      <w:r w:rsidRPr="00853ED7">
        <w:rPr>
          <w:sz w:val="22"/>
          <w:szCs w:val="22"/>
          <w:lang w:eastAsia="da-DK"/>
        </w:rPr>
        <w:t xml:space="preserve">. After an increase in the levels of insulin antibodies during the first year, the levels decreased during the second year to those slightly higher than observed pre-trial. </w:t>
      </w:r>
      <w:r w:rsidR="00A83DD0" w:rsidRPr="00853ED7">
        <w:rPr>
          <w:sz w:val="22"/>
          <w:szCs w:val="22"/>
          <w:lang w:eastAsia="da-DK"/>
        </w:rPr>
        <w:t>There was slight increase in HbA</w:t>
      </w:r>
      <w:r w:rsidR="00A83DD0" w:rsidRPr="00853ED7">
        <w:rPr>
          <w:sz w:val="22"/>
          <w:szCs w:val="22"/>
          <w:vertAlign w:val="subscript"/>
          <w:lang w:eastAsia="da-DK"/>
        </w:rPr>
        <w:t>1c</w:t>
      </w:r>
      <w:r w:rsidR="00A83DD0" w:rsidRPr="00853ED7">
        <w:rPr>
          <w:sz w:val="22"/>
          <w:szCs w:val="22"/>
          <w:lang w:eastAsia="da-DK"/>
        </w:rPr>
        <w:t xml:space="preserve"> during the extension period for all the age groups: mean% (SD) 0.10% (0.77) for the 2 to 5 year age group, 0.27% (1.08) for the 6 to 12 year, 0.11% (1.60) for the 13 to 16 year and 0.17% (1.22) for the overall population. Of the total population, 15 (10.3%) patients were within the target range for pre-prandial PG of ≥4 to ≤7 </w:t>
      </w:r>
      <w:proofErr w:type="spellStart"/>
      <w:r w:rsidR="00A83DD0" w:rsidRPr="00853ED7">
        <w:rPr>
          <w:sz w:val="22"/>
          <w:szCs w:val="22"/>
          <w:lang w:eastAsia="da-DK"/>
        </w:rPr>
        <w:t>mmol</w:t>
      </w:r>
      <w:proofErr w:type="spellEnd"/>
      <w:r w:rsidR="00A83DD0" w:rsidRPr="00853ED7">
        <w:rPr>
          <w:sz w:val="22"/>
          <w:szCs w:val="22"/>
          <w:lang w:eastAsia="da-DK"/>
        </w:rPr>
        <w:t>/L.</w:t>
      </w:r>
    </w:p>
    <w:p w:rsidR="002D4E2E" w:rsidRPr="00853ED7" w:rsidRDefault="002D4E2E" w:rsidP="00115DE9">
      <w:pPr>
        <w:rPr>
          <w:sz w:val="22"/>
          <w:szCs w:val="22"/>
        </w:rPr>
      </w:pPr>
    </w:p>
    <w:p w:rsidR="00D77859" w:rsidRPr="00853ED7" w:rsidRDefault="00D77859" w:rsidP="002D4E2E">
      <w:pPr>
        <w:pStyle w:val="Heading3"/>
        <w:rPr>
          <w:sz w:val="22"/>
          <w:szCs w:val="22"/>
        </w:rPr>
      </w:pPr>
      <w:r w:rsidRPr="00853ED7">
        <w:rPr>
          <w:sz w:val="22"/>
          <w:szCs w:val="22"/>
        </w:rPr>
        <w:t>Clinical studies in type 2 diabetes</w:t>
      </w:r>
    </w:p>
    <w:p w:rsidR="00D77859" w:rsidRPr="00853ED7" w:rsidRDefault="00D77859" w:rsidP="002D4E2E">
      <w:pPr>
        <w:pStyle w:val="Heading4"/>
        <w:rPr>
          <w:sz w:val="22"/>
          <w:szCs w:val="22"/>
          <w:u w:val="single"/>
        </w:rPr>
      </w:pPr>
      <w:r w:rsidRPr="00853ED7">
        <w:rPr>
          <w:sz w:val="22"/>
          <w:szCs w:val="22"/>
          <w:u w:val="single"/>
        </w:rPr>
        <w:t xml:space="preserve">Combination therapy with oral </w:t>
      </w:r>
      <w:proofErr w:type="spellStart"/>
      <w:r w:rsidRPr="00853ED7">
        <w:rPr>
          <w:sz w:val="22"/>
          <w:szCs w:val="22"/>
          <w:u w:val="single"/>
        </w:rPr>
        <w:t>antidiabetic</w:t>
      </w:r>
      <w:proofErr w:type="spellEnd"/>
      <w:r w:rsidRPr="00853ED7">
        <w:rPr>
          <w:sz w:val="22"/>
          <w:szCs w:val="22"/>
          <w:u w:val="single"/>
        </w:rPr>
        <w:t xml:space="preserve"> drugs (OADs) (studies 1337, 1373, 1530, 1632)</w:t>
      </w:r>
    </w:p>
    <w:p w:rsidR="00D77859" w:rsidRPr="00853ED7" w:rsidRDefault="00D77859" w:rsidP="001D5870">
      <w:pPr>
        <w:rPr>
          <w:sz w:val="22"/>
          <w:szCs w:val="22"/>
        </w:rPr>
      </w:pPr>
      <w:r w:rsidRPr="00853ED7">
        <w:rPr>
          <w:sz w:val="22"/>
          <w:szCs w:val="22"/>
        </w:rPr>
        <w:t xml:space="preserve">Four phase 3, multicentre, open, randomised studies of </w:t>
      </w:r>
      <w:proofErr w:type="spellStart"/>
      <w:r w:rsidRPr="00853ED7">
        <w:rPr>
          <w:sz w:val="22"/>
          <w:szCs w:val="22"/>
        </w:rPr>
        <w:t>Levemir</w:t>
      </w:r>
      <w:proofErr w:type="spellEnd"/>
      <w:r w:rsidRPr="00853ED7">
        <w:rPr>
          <w:sz w:val="22"/>
          <w:szCs w:val="22"/>
        </w:rPr>
        <w:t xml:space="preserve"> versus NPH and/or insulin </w:t>
      </w:r>
      <w:proofErr w:type="spellStart"/>
      <w:r w:rsidRPr="00853ED7">
        <w:rPr>
          <w:sz w:val="22"/>
          <w:szCs w:val="22"/>
        </w:rPr>
        <w:t>glargine</w:t>
      </w:r>
      <w:proofErr w:type="spellEnd"/>
      <w:r w:rsidRPr="00853ED7">
        <w:rPr>
          <w:sz w:val="22"/>
          <w:szCs w:val="22"/>
        </w:rPr>
        <w:t xml:space="preserve">, all in combination with one or more OADs, have been conducted in patients with type 2 diabetes inadequately controlled on OADs (or, in the case of study 1337, inadequately controlled on basal </w:t>
      </w:r>
      <w:proofErr w:type="spellStart"/>
      <w:r w:rsidRPr="00853ED7">
        <w:rPr>
          <w:sz w:val="22"/>
          <w:szCs w:val="22"/>
        </w:rPr>
        <w:t>monotherapy</w:t>
      </w:r>
      <w:proofErr w:type="spellEnd"/>
      <w:r w:rsidRPr="00853ED7">
        <w:rPr>
          <w:sz w:val="22"/>
          <w:szCs w:val="22"/>
        </w:rPr>
        <w:t xml:space="preserve">). The studies (N = 2029 total) were conducted with durations between 20 weeks and 1 year, and in all studies the primary efficacy measure was </w:t>
      </w:r>
      <w:r w:rsidRPr="00853ED7">
        <w:rPr>
          <w:sz w:val="22"/>
          <w:szCs w:val="22"/>
          <w:lang w:eastAsia="da-DK"/>
        </w:rPr>
        <w:t>HbA</w:t>
      </w:r>
      <w:r w:rsidRPr="00853ED7">
        <w:rPr>
          <w:sz w:val="22"/>
          <w:szCs w:val="22"/>
          <w:vertAlign w:val="subscript"/>
          <w:lang w:eastAsia="da-DK"/>
        </w:rPr>
        <w:t>1c</w:t>
      </w:r>
      <w:r w:rsidRPr="00853ED7">
        <w:rPr>
          <w:sz w:val="22"/>
          <w:szCs w:val="22"/>
        </w:rPr>
        <w:t xml:space="preserve"> and s</w:t>
      </w:r>
      <w:r w:rsidRPr="00853ED7">
        <w:rPr>
          <w:sz w:val="22"/>
          <w:szCs w:val="22"/>
          <w:lang w:eastAsia="da-DK"/>
        </w:rPr>
        <w:t>econdary endpoints included FPG, multi-point blood glucose profiles, within-subject variability, hypoglycaemia, weight and safety profiles.</w:t>
      </w:r>
    </w:p>
    <w:p w:rsidR="00D77859" w:rsidRPr="00853ED7" w:rsidRDefault="00D77859" w:rsidP="001D5870">
      <w:pPr>
        <w:rPr>
          <w:sz w:val="22"/>
          <w:szCs w:val="22"/>
        </w:rPr>
      </w:pPr>
    </w:p>
    <w:p w:rsidR="00057BDA" w:rsidRPr="00853ED7" w:rsidRDefault="00D77859" w:rsidP="001D5870">
      <w:pPr>
        <w:rPr>
          <w:sz w:val="22"/>
          <w:szCs w:val="22"/>
          <w:lang w:eastAsia="da-DK"/>
        </w:rPr>
      </w:pPr>
      <w:r w:rsidRPr="00853ED7">
        <w:rPr>
          <w:sz w:val="22"/>
          <w:szCs w:val="22"/>
          <w:lang w:eastAsia="da-DK"/>
        </w:rPr>
        <w:t xml:space="preserve">In study 1337 (N = 467), the earliest of the aforementioned combination-with-OAD studies, </w:t>
      </w:r>
      <w:proofErr w:type="spellStart"/>
      <w:r w:rsidRPr="00853ED7">
        <w:rPr>
          <w:sz w:val="22"/>
          <w:szCs w:val="22"/>
          <w:lang w:eastAsia="da-DK"/>
        </w:rPr>
        <w:t>Levemir</w:t>
      </w:r>
      <w:proofErr w:type="spellEnd"/>
      <w:r w:rsidRPr="00853ED7">
        <w:rPr>
          <w:sz w:val="22"/>
          <w:szCs w:val="22"/>
          <w:lang w:eastAsia="da-DK"/>
        </w:rPr>
        <w:t xml:space="preserve"> was inferior to NPH insulin for HbA</w:t>
      </w:r>
      <w:r w:rsidRPr="00853ED7">
        <w:rPr>
          <w:sz w:val="22"/>
          <w:szCs w:val="22"/>
          <w:vertAlign w:val="subscript"/>
          <w:lang w:eastAsia="da-DK"/>
        </w:rPr>
        <w:t>1c</w:t>
      </w:r>
      <w:r w:rsidRPr="00853ED7">
        <w:rPr>
          <w:sz w:val="22"/>
          <w:szCs w:val="22"/>
        </w:rPr>
        <w:t xml:space="preserve"> </w:t>
      </w:r>
      <w:r w:rsidRPr="00853ED7">
        <w:rPr>
          <w:sz w:val="22"/>
          <w:szCs w:val="22"/>
          <w:lang w:eastAsia="da-DK"/>
        </w:rPr>
        <w:t>(mean difference (</w:t>
      </w:r>
      <w:proofErr w:type="spellStart"/>
      <w:r w:rsidR="00C24A18" w:rsidRPr="00853ED7">
        <w:rPr>
          <w:sz w:val="22"/>
          <w:szCs w:val="22"/>
          <w:lang w:eastAsia="da-DK"/>
        </w:rPr>
        <w:t>Levemir</w:t>
      </w:r>
      <w:proofErr w:type="spellEnd"/>
      <w:r w:rsidRPr="00853ED7">
        <w:rPr>
          <w:sz w:val="22"/>
          <w:szCs w:val="22"/>
          <w:lang w:eastAsia="da-DK"/>
        </w:rPr>
        <w:t xml:space="preserve"> – NPH) [95% CI] was 0.56 [0.33, 0.78]). In the studies performed subsequently (N = 1562 total), </w:t>
      </w:r>
      <w:proofErr w:type="spellStart"/>
      <w:r w:rsidRPr="00853ED7">
        <w:rPr>
          <w:sz w:val="22"/>
          <w:szCs w:val="22"/>
          <w:lang w:eastAsia="da-DK"/>
        </w:rPr>
        <w:t>Levemir</w:t>
      </w:r>
      <w:proofErr w:type="spellEnd"/>
      <w:r w:rsidRPr="00853ED7">
        <w:rPr>
          <w:sz w:val="22"/>
          <w:szCs w:val="22"/>
          <w:lang w:eastAsia="da-DK"/>
        </w:rPr>
        <w:t xml:space="preserve"> was non-inferior to the NPH/insulin </w:t>
      </w:r>
      <w:proofErr w:type="spellStart"/>
      <w:r w:rsidRPr="00853ED7">
        <w:rPr>
          <w:sz w:val="22"/>
          <w:szCs w:val="22"/>
          <w:lang w:eastAsia="da-DK"/>
        </w:rPr>
        <w:t>glargine</w:t>
      </w:r>
      <w:proofErr w:type="spellEnd"/>
      <w:r w:rsidRPr="00853ED7">
        <w:rPr>
          <w:sz w:val="22"/>
          <w:szCs w:val="22"/>
          <w:lang w:eastAsia="da-DK"/>
        </w:rPr>
        <w:t xml:space="preserve"> comparator for HbA</w:t>
      </w:r>
      <w:r w:rsidRPr="00853ED7">
        <w:rPr>
          <w:sz w:val="22"/>
          <w:szCs w:val="22"/>
          <w:vertAlign w:val="subscript"/>
          <w:lang w:eastAsia="da-DK"/>
        </w:rPr>
        <w:t>1c</w:t>
      </w:r>
      <w:r w:rsidRPr="00853ED7">
        <w:rPr>
          <w:sz w:val="22"/>
          <w:szCs w:val="22"/>
          <w:lang w:eastAsia="da-DK"/>
        </w:rPr>
        <w:t xml:space="preserve"> (Table 5). Secondary endpoints were similar between </w:t>
      </w:r>
      <w:proofErr w:type="spellStart"/>
      <w:r w:rsidRPr="00853ED7">
        <w:rPr>
          <w:sz w:val="22"/>
          <w:szCs w:val="22"/>
          <w:lang w:eastAsia="da-DK"/>
        </w:rPr>
        <w:t>Levemir</w:t>
      </w:r>
      <w:proofErr w:type="spellEnd"/>
      <w:r w:rsidRPr="00853ED7">
        <w:rPr>
          <w:sz w:val="22"/>
          <w:szCs w:val="22"/>
          <w:lang w:eastAsia="da-DK"/>
        </w:rPr>
        <w:t xml:space="preserve"> and comparators with the exception of weight </w:t>
      </w:r>
      <w:r w:rsidR="001B6EC8" w:rsidRPr="00853ED7">
        <w:rPr>
          <w:sz w:val="22"/>
          <w:szCs w:val="22"/>
          <w:lang w:eastAsia="da-DK"/>
        </w:rPr>
        <w:t>(s</w:t>
      </w:r>
      <w:r w:rsidRPr="00853ED7">
        <w:rPr>
          <w:sz w:val="22"/>
          <w:szCs w:val="22"/>
          <w:lang w:eastAsia="da-DK"/>
        </w:rPr>
        <w:t>ee ‘Pharmacodynamics’).</w:t>
      </w:r>
      <w:r w:rsidR="002A3E1B" w:rsidRPr="00853ED7">
        <w:rPr>
          <w:sz w:val="22"/>
          <w:szCs w:val="22"/>
          <w:lang w:eastAsia="da-DK"/>
        </w:rPr>
        <w:t xml:space="preserve"> </w:t>
      </w:r>
    </w:p>
    <w:p w:rsidR="00057BDA" w:rsidRPr="00853ED7" w:rsidRDefault="00057BDA" w:rsidP="001D5870">
      <w:pPr>
        <w:rPr>
          <w:sz w:val="22"/>
          <w:szCs w:val="22"/>
          <w:lang w:eastAsia="da-DK"/>
        </w:rPr>
      </w:pPr>
    </w:p>
    <w:p w:rsidR="00FD1194" w:rsidRPr="00853ED7" w:rsidRDefault="00FD1194" w:rsidP="001D5870">
      <w:pPr>
        <w:rPr>
          <w:sz w:val="22"/>
          <w:szCs w:val="22"/>
        </w:rPr>
      </w:pPr>
      <w:r w:rsidRPr="00853ED7">
        <w:rPr>
          <w:sz w:val="22"/>
          <w:szCs w:val="22"/>
          <w:lang w:eastAsia="en-AU"/>
        </w:rPr>
        <w:t>In study 13</w:t>
      </w:r>
      <w:r w:rsidR="00807A9A" w:rsidRPr="00853ED7">
        <w:rPr>
          <w:sz w:val="22"/>
          <w:szCs w:val="22"/>
          <w:lang w:eastAsia="en-AU"/>
        </w:rPr>
        <w:t>73</w:t>
      </w:r>
      <w:r w:rsidRPr="00853ED7">
        <w:rPr>
          <w:sz w:val="22"/>
          <w:szCs w:val="22"/>
          <w:lang w:eastAsia="en-AU"/>
        </w:rPr>
        <w:t xml:space="preserve">, a comparison with insulin </w:t>
      </w:r>
      <w:proofErr w:type="spellStart"/>
      <w:r w:rsidRPr="00853ED7">
        <w:rPr>
          <w:sz w:val="22"/>
          <w:szCs w:val="22"/>
          <w:lang w:eastAsia="en-AU"/>
        </w:rPr>
        <w:t>glargine</w:t>
      </w:r>
      <w:proofErr w:type="spellEnd"/>
      <w:r w:rsidRPr="00853ED7">
        <w:rPr>
          <w:sz w:val="22"/>
          <w:szCs w:val="22"/>
          <w:lang w:eastAsia="en-AU"/>
        </w:rPr>
        <w:t>, the results of the primary efficacy endpoint was for the ITT group 0.045 (-0.114 to 0.205)</w:t>
      </w:r>
      <w:r w:rsidR="00123D21" w:rsidRPr="00853ED7">
        <w:rPr>
          <w:sz w:val="22"/>
          <w:szCs w:val="22"/>
          <w:lang w:eastAsia="en-AU"/>
        </w:rPr>
        <w:t>,</w:t>
      </w:r>
      <w:r w:rsidRPr="00853ED7">
        <w:rPr>
          <w:sz w:val="22"/>
          <w:szCs w:val="22"/>
          <w:lang w:eastAsia="en-AU"/>
        </w:rPr>
        <w:t xml:space="preserve"> indicating that the predefined non-inferiority criteria were met.  In the ITT group, the mean (SE) HbA</w:t>
      </w:r>
      <w:r w:rsidRPr="00853ED7">
        <w:rPr>
          <w:sz w:val="22"/>
          <w:szCs w:val="22"/>
          <w:vertAlign w:val="subscript"/>
          <w:lang w:eastAsia="en-AU"/>
        </w:rPr>
        <w:t>1c</w:t>
      </w:r>
      <w:r w:rsidRPr="00853ED7">
        <w:rPr>
          <w:sz w:val="22"/>
          <w:szCs w:val="22"/>
          <w:lang w:eastAsia="en-AU"/>
        </w:rPr>
        <w:t xml:space="preserve"> at end of treatment was 7.16 (0.078) for the</w:t>
      </w:r>
      <w:r w:rsidR="00C24A18" w:rsidRPr="00853ED7">
        <w:rPr>
          <w:sz w:val="22"/>
          <w:szCs w:val="22"/>
          <w:lang w:eastAsia="en-AU"/>
        </w:rPr>
        <w:t xml:space="preserve"> </w:t>
      </w:r>
      <w:proofErr w:type="spellStart"/>
      <w:r w:rsidR="00C24A18" w:rsidRPr="00853ED7">
        <w:rPr>
          <w:sz w:val="22"/>
          <w:szCs w:val="22"/>
          <w:lang w:eastAsia="en-AU"/>
        </w:rPr>
        <w:t>Levemir</w:t>
      </w:r>
      <w:proofErr w:type="spellEnd"/>
      <w:r w:rsidRPr="00853ED7">
        <w:rPr>
          <w:sz w:val="22"/>
          <w:szCs w:val="22"/>
          <w:lang w:eastAsia="en-AU"/>
        </w:rPr>
        <w:t xml:space="preserve"> group and 7.12 (0.078) for the </w:t>
      </w:r>
      <w:proofErr w:type="spellStart"/>
      <w:r w:rsidRPr="00853ED7">
        <w:rPr>
          <w:sz w:val="22"/>
          <w:szCs w:val="22"/>
          <w:lang w:eastAsia="en-AU"/>
        </w:rPr>
        <w:t>glargine</w:t>
      </w:r>
      <w:proofErr w:type="spellEnd"/>
      <w:r w:rsidRPr="00853ED7">
        <w:rPr>
          <w:sz w:val="22"/>
          <w:szCs w:val="22"/>
          <w:lang w:eastAsia="en-AU"/>
        </w:rPr>
        <w:t xml:space="preserve"> group.  For the once daily </w:t>
      </w:r>
      <w:proofErr w:type="spellStart"/>
      <w:r w:rsidR="00C24A18" w:rsidRPr="00853ED7">
        <w:rPr>
          <w:sz w:val="22"/>
          <w:szCs w:val="22"/>
          <w:lang w:eastAsia="en-AU"/>
        </w:rPr>
        <w:t>Levemir</w:t>
      </w:r>
      <w:proofErr w:type="spellEnd"/>
      <w:r w:rsidRPr="00853ED7">
        <w:rPr>
          <w:sz w:val="22"/>
          <w:szCs w:val="22"/>
          <w:lang w:eastAsia="en-AU"/>
        </w:rPr>
        <w:t xml:space="preserve"> group, the difference was 0.061 (-0.142 to 0.263) and for the twice daily group, 0.003 (-0.189 to 0.195).  There was no significant difference in fasting plasma glucose at 52 weeks. The ratio of final daily dose (U/kg </w:t>
      </w:r>
      <w:proofErr w:type="spellStart"/>
      <w:r w:rsidR="00C24A18" w:rsidRPr="00853ED7">
        <w:rPr>
          <w:sz w:val="22"/>
          <w:szCs w:val="22"/>
          <w:lang w:eastAsia="en-AU"/>
        </w:rPr>
        <w:t>Levemir</w:t>
      </w:r>
      <w:proofErr w:type="spellEnd"/>
      <w:r w:rsidRPr="00853ED7">
        <w:rPr>
          <w:sz w:val="22"/>
          <w:szCs w:val="22"/>
          <w:lang w:eastAsia="en-AU"/>
        </w:rPr>
        <w:t>/</w:t>
      </w:r>
      <w:proofErr w:type="spellStart"/>
      <w:r w:rsidRPr="00853ED7">
        <w:rPr>
          <w:sz w:val="22"/>
          <w:szCs w:val="22"/>
          <w:lang w:eastAsia="en-AU"/>
        </w:rPr>
        <w:t>glargine</w:t>
      </w:r>
      <w:proofErr w:type="spellEnd"/>
      <w:r w:rsidRPr="00853ED7">
        <w:rPr>
          <w:sz w:val="22"/>
          <w:szCs w:val="22"/>
          <w:lang w:eastAsia="en-AU"/>
        </w:rPr>
        <w:t xml:space="preserve">) was 1.16 for the once daily </w:t>
      </w:r>
      <w:proofErr w:type="spellStart"/>
      <w:r w:rsidR="00C24A18" w:rsidRPr="00853ED7">
        <w:rPr>
          <w:sz w:val="22"/>
          <w:szCs w:val="22"/>
          <w:lang w:eastAsia="en-AU"/>
        </w:rPr>
        <w:t>Levemir</w:t>
      </w:r>
      <w:proofErr w:type="spellEnd"/>
      <w:r w:rsidR="00C24A18" w:rsidRPr="00853ED7">
        <w:rPr>
          <w:sz w:val="22"/>
          <w:szCs w:val="22"/>
          <w:lang w:eastAsia="en-AU"/>
        </w:rPr>
        <w:t xml:space="preserve"> </w:t>
      </w:r>
      <w:r w:rsidRPr="00853ED7">
        <w:rPr>
          <w:sz w:val="22"/>
          <w:szCs w:val="22"/>
          <w:lang w:eastAsia="en-AU"/>
        </w:rPr>
        <w:t>group and 2.26 for the twice daily group, and 1.77 overall.</w:t>
      </w:r>
      <w:r w:rsidRPr="00853ED7">
        <w:rPr>
          <w:sz w:val="22"/>
          <w:szCs w:val="22"/>
        </w:rPr>
        <w:t xml:space="preserve">  </w:t>
      </w:r>
    </w:p>
    <w:p w:rsidR="00FD1194" w:rsidRPr="00853ED7" w:rsidRDefault="00FD1194" w:rsidP="001D5870">
      <w:pPr>
        <w:rPr>
          <w:sz w:val="22"/>
          <w:szCs w:val="22"/>
        </w:rPr>
      </w:pPr>
    </w:p>
    <w:p w:rsidR="00137947" w:rsidRPr="00853ED7" w:rsidRDefault="00137947" w:rsidP="001D5870">
      <w:pPr>
        <w:rPr>
          <w:sz w:val="22"/>
          <w:szCs w:val="22"/>
          <w:lang w:eastAsia="da-DK"/>
        </w:rPr>
      </w:pPr>
      <w:r w:rsidRPr="00853ED7">
        <w:rPr>
          <w:sz w:val="22"/>
          <w:szCs w:val="22"/>
          <w:lang w:eastAsia="da-DK"/>
        </w:rPr>
        <w:t xml:space="preserve">In study 1632, there was less risk of nocturnal hypoglycaemia with morning </w:t>
      </w:r>
      <w:proofErr w:type="spellStart"/>
      <w:r w:rsidR="00C24A18" w:rsidRPr="00853ED7">
        <w:rPr>
          <w:sz w:val="22"/>
          <w:szCs w:val="22"/>
          <w:lang w:eastAsia="da-DK"/>
        </w:rPr>
        <w:t>Levemir</w:t>
      </w:r>
      <w:proofErr w:type="spellEnd"/>
      <w:r w:rsidRPr="00853ED7">
        <w:rPr>
          <w:sz w:val="22"/>
          <w:szCs w:val="22"/>
          <w:lang w:eastAsia="da-DK"/>
        </w:rPr>
        <w:t xml:space="preserve"> than evening</w:t>
      </w:r>
      <w:r w:rsidR="00C24A18" w:rsidRPr="00853ED7">
        <w:rPr>
          <w:sz w:val="22"/>
          <w:szCs w:val="22"/>
          <w:lang w:eastAsia="da-DK"/>
        </w:rPr>
        <w:t xml:space="preserve"> </w:t>
      </w:r>
      <w:proofErr w:type="spellStart"/>
      <w:r w:rsidR="00C24A18" w:rsidRPr="00853ED7">
        <w:rPr>
          <w:sz w:val="22"/>
          <w:szCs w:val="22"/>
          <w:lang w:eastAsia="da-DK"/>
        </w:rPr>
        <w:t>Levemir</w:t>
      </w:r>
      <w:proofErr w:type="spellEnd"/>
      <w:r w:rsidRPr="00853ED7">
        <w:rPr>
          <w:sz w:val="22"/>
          <w:szCs w:val="22"/>
          <w:lang w:eastAsia="da-DK"/>
        </w:rPr>
        <w:t>.</w:t>
      </w:r>
    </w:p>
    <w:p w:rsidR="00D77859" w:rsidRPr="00853ED7" w:rsidRDefault="00D77859" w:rsidP="001D5870">
      <w:pPr>
        <w:rPr>
          <w:sz w:val="22"/>
          <w:szCs w:val="22"/>
          <w:lang w:eastAsia="da-DK"/>
        </w:rPr>
      </w:pPr>
    </w:p>
    <w:p w:rsidR="00D77859" w:rsidRPr="00853ED7" w:rsidRDefault="00D77859" w:rsidP="006F4353">
      <w:pPr>
        <w:pStyle w:val="Heading5"/>
        <w:ind w:right="0"/>
      </w:pPr>
      <w:r w:rsidRPr="00853ED7">
        <w:t>Table 5</w:t>
      </w:r>
      <w:r w:rsidR="001B5F5E" w:rsidRPr="00853ED7">
        <w:t>.</w:t>
      </w:r>
      <w:r w:rsidRPr="00853ED7">
        <w:t xml:space="preserve"> Results in type 2 diabetes -  combination therapy with OADs (studies 1337, 1373, 1530, 1632)</w:t>
      </w:r>
    </w:p>
    <w:tbl>
      <w:tblPr>
        <w:tblW w:w="963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73"/>
        <w:gridCol w:w="2913"/>
        <w:gridCol w:w="567"/>
        <w:gridCol w:w="2693"/>
        <w:gridCol w:w="2693"/>
      </w:tblGrid>
      <w:tr w:rsidR="00D77859" w:rsidRPr="00853ED7" w:rsidTr="006F4353">
        <w:tc>
          <w:tcPr>
            <w:tcW w:w="773" w:type="dxa"/>
            <w:shd w:val="clear" w:color="auto" w:fill="FFFF99"/>
          </w:tcPr>
          <w:p w:rsidR="00D77859" w:rsidRPr="00853ED7" w:rsidRDefault="00D77859" w:rsidP="00001057">
            <w:pPr>
              <w:keepNext/>
              <w:jc w:val="center"/>
              <w:rPr>
                <w:b/>
                <w:sz w:val="20"/>
              </w:rPr>
            </w:pPr>
            <w:r w:rsidRPr="00853ED7">
              <w:rPr>
                <w:b/>
                <w:sz w:val="20"/>
              </w:rPr>
              <w:t>Trial ID</w:t>
            </w:r>
          </w:p>
        </w:tc>
        <w:tc>
          <w:tcPr>
            <w:tcW w:w="2913" w:type="dxa"/>
            <w:shd w:val="clear" w:color="auto" w:fill="FFFF99"/>
          </w:tcPr>
          <w:p w:rsidR="00D77859" w:rsidRPr="00853ED7" w:rsidRDefault="00D77859" w:rsidP="00001057">
            <w:pPr>
              <w:keepNext/>
              <w:jc w:val="center"/>
              <w:rPr>
                <w:b/>
                <w:sz w:val="20"/>
              </w:rPr>
            </w:pPr>
            <w:r w:rsidRPr="00853ED7">
              <w:rPr>
                <w:b/>
                <w:sz w:val="20"/>
              </w:rPr>
              <w:t xml:space="preserve">Treatment </w:t>
            </w:r>
            <w:r w:rsidRPr="00853ED7">
              <w:rPr>
                <w:b/>
                <w:i/>
                <w:sz w:val="20"/>
              </w:rPr>
              <w:t>(regimen)</w:t>
            </w:r>
          </w:p>
        </w:tc>
        <w:tc>
          <w:tcPr>
            <w:tcW w:w="567" w:type="dxa"/>
            <w:shd w:val="clear" w:color="auto" w:fill="FFFF99"/>
          </w:tcPr>
          <w:p w:rsidR="00D77859" w:rsidRPr="00853ED7" w:rsidRDefault="00D77859" w:rsidP="00001057">
            <w:pPr>
              <w:keepNext/>
              <w:jc w:val="center"/>
              <w:rPr>
                <w:b/>
                <w:sz w:val="20"/>
              </w:rPr>
            </w:pPr>
            <w:r w:rsidRPr="00853ED7">
              <w:rPr>
                <w:b/>
                <w:sz w:val="20"/>
              </w:rPr>
              <w:t>N</w:t>
            </w:r>
            <w:r w:rsidRPr="00853ED7">
              <w:rPr>
                <w:b/>
                <w:sz w:val="20"/>
                <w:vertAlign w:val="superscript"/>
              </w:rPr>
              <w:t>#</w:t>
            </w:r>
          </w:p>
        </w:tc>
        <w:tc>
          <w:tcPr>
            <w:tcW w:w="2693" w:type="dxa"/>
            <w:shd w:val="clear" w:color="auto" w:fill="FFFF99"/>
          </w:tcPr>
          <w:p w:rsidR="00D77859" w:rsidRPr="00853ED7" w:rsidRDefault="00D77859" w:rsidP="00001057">
            <w:pPr>
              <w:keepNext/>
              <w:jc w:val="center"/>
              <w:rPr>
                <w:b/>
                <w:sz w:val="20"/>
              </w:rPr>
            </w:pPr>
            <w:r w:rsidRPr="00853ED7">
              <w:rPr>
                <w:b/>
                <w:sz w:val="20"/>
              </w:rPr>
              <w:t>HbA</w:t>
            </w:r>
            <w:r w:rsidRPr="00853ED7">
              <w:rPr>
                <w:b/>
                <w:sz w:val="20"/>
                <w:vertAlign w:val="subscript"/>
              </w:rPr>
              <w:t>1c</w:t>
            </w:r>
            <w:r w:rsidRPr="00853ED7">
              <w:rPr>
                <w:b/>
                <w:sz w:val="20"/>
              </w:rPr>
              <w:t xml:space="preserve"> (%) – </w:t>
            </w:r>
          </w:p>
          <w:p w:rsidR="00D77859" w:rsidRPr="00853ED7" w:rsidRDefault="00D77859" w:rsidP="00001057">
            <w:pPr>
              <w:keepNext/>
              <w:jc w:val="center"/>
              <w:rPr>
                <w:b/>
                <w:sz w:val="20"/>
              </w:rPr>
            </w:pPr>
            <w:r w:rsidRPr="00853ED7">
              <w:rPr>
                <w:b/>
                <w:sz w:val="20"/>
              </w:rPr>
              <w:t>end of study mean</w:t>
            </w:r>
          </w:p>
        </w:tc>
        <w:tc>
          <w:tcPr>
            <w:tcW w:w="2693" w:type="dxa"/>
            <w:shd w:val="clear" w:color="auto" w:fill="FFFF99"/>
          </w:tcPr>
          <w:p w:rsidR="00D77859" w:rsidRPr="00853ED7" w:rsidRDefault="00D77859" w:rsidP="00001057">
            <w:pPr>
              <w:keepNext/>
              <w:jc w:val="center"/>
              <w:rPr>
                <w:b/>
                <w:sz w:val="20"/>
              </w:rPr>
            </w:pPr>
            <w:r w:rsidRPr="00853ED7">
              <w:rPr>
                <w:b/>
                <w:sz w:val="20"/>
              </w:rPr>
              <w:t>FPG (</w:t>
            </w:r>
            <w:proofErr w:type="spellStart"/>
            <w:r w:rsidRPr="00853ED7">
              <w:rPr>
                <w:b/>
                <w:sz w:val="20"/>
              </w:rPr>
              <w:t>mmol</w:t>
            </w:r>
            <w:proofErr w:type="spellEnd"/>
            <w:r w:rsidRPr="00853ED7">
              <w:rPr>
                <w:b/>
                <w:sz w:val="20"/>
              </w:rPr>
              <w:t xml:space="preserve">/L) – </w:t>
            </w:r>
          </w:p>
          <w:p w:rsidR="00D77859" w:rsidRPr="00853ED7" w:rsidRDefault="00D77859" w:rsidP="00001057">
            <w:pPr>
              <w:keepNext/>
              <w:jc w:val="center"/>
              <w:rPr>
                <w:b/>
                <w:sz w:val="20"/>
              </w:rPr>
            </w:pPr>
            <w:r w:rsidRPr="00853ED7">
              <w:rPr>
                <w:b/>
                <w:sz w:val="20"/>
              </w:rPr>
              <w:t>end of study mean</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r w:rsidRPr="00853ED7">
              <w:rPr>
                <w:b/>
                <w:i/>
                <w:sz w:val="20"/>
              </w:rPr>
              <w:t>(</w:t>
            </w:r>
            <w:proofErr w:type="spellStart"/>
            <w:r w:rsidRPr="00853ED7">
              <w:rPr>
                <w:b/>
                <w:i/>
                <w:sz w:val="20"/>
              </w:rPr>
              <w:t>Levemir</w:t>
            </w:r>
            <w:proofErr w:type="spellEnd"/>
            <w:r w:rsidRPr="00853ED7">
              <w:rPr>
                <w:b/>
                <w:i/>
                <w:sz w:val="20"/>
              </w:rPr>
              <w:t xml:space="preserve"> - comparator [95% CI])</w:t>
            </w:r>
          </w:p>
        </w:tc>
        <w:tc>
          <w:tcPr>
            <w:tcW w:w="2693" w:type="dxa"/>
            <w:vAlign w:val="center"/>
          </w:tcPr>
          <w:p w:rsidR="00D77859" w:rsidRPr="00853ED7" w:rsidRDefault="00D77859" w:rsidP="00001057">
            <w:pPr>
              <w:keepNext/>
              <w:jc w:val="center"/>
              <w:rPr>
                <w:sz w:val="20"/>
              </w:rPr>
            </w:pPr>
            <w:r w:rsidRPr="00853ED7">
              <w:rPr>
                <w:b/>
                <w:i/>
                <w:sz w:val="20"/>
              </w:rPr>
              <w:t>(</w:t>
            </w:r>
            <w:proofErr w:type="spellStart"/>
            <w:r w:rsidRPr="00853ED7">
              <w:rPr>
                <w:b/>
                <w:i/>
                <w:sz w:val="20"/>
              </w:rPr>
              <w:t>Levemir</w:t>
            </w:r>
            <w:proofErr w:type="spellEnd"/>
            <w:r w:rsidRPr="00853ED7">
              <w:rPr>
                <w:b/>
                <w:i/>
                <w:sz w:val="20"/>
              </w:rPr>
              <w:t xml:space="preserve"> - comparator [95% CI])</w:t>
            </w:r>
          </w:p>
        </w:tc>
      </w:tr>
      <w:tr w:rsidR="00D77859" w:rsidRPr="00853ED7" w:rsidTr="006F4353">
        <w:tc>
          <w:tcPr>
            <w:tcW w:w="773" w:type="dxa"/>
            <w:vAlign w:val="center"/>
          </w:tcPr>
          <w:p w:rsidR="00D77859" w:rsidRPr="00853ED7" w:rsidRDefault="00D77859" w:rsidP="00001057">
            <w:pPr>
              <w:keepNext/>
              <w:jc w:val="center"/>
              <w:rPr>
                <w:sz w:val="20"/>
              </w:rPr>
            </w:pPr>
            <w:r w:rsidRPr="00853ED7">
              <w:rPr>
                <w:sz w:val="20"/>
              </w:rPr>
              <w:t>1337</w:t>
            </w:r>
          </w:p>
        </w:tc>
        <w:tc>
          <w:tcPr>
            <w:tcW w:w="2913" w:type="dxa"/>
            <w:vAlign w:val="center"/>
          </w:tcPr>
          <w:p w:rsidR="00D77859" w:rsidRPr="00853ED7" w:rsidRDefault="00D77859" w:rsidP="00001057">
            <w:pPr>
              <w:keepNext/>
              <w:jc w:val="center"/>
              <w:rPr>
                <w:sz w:val="20"/>
              </w:rPr>
            </w:pPr>
            <w:proofErr w:type="spellStart"/>
            <w:r w:rsidRPr="00853ED7">
              <w:rPr>
                <w:sz w:val="20"/>
              </w:rPr>
              <w:t>Levemir</w:t>
            </w:r>
            <w:proofErr w:type="spellEnd"/>
            <w:r w:rsidRPr="00853ED7">
              <w:rPr>
                <w:sz w:val="20"/>
              </w:rPr>
              <w:t xml:space="preserve"> </w:t>
            </w:r>
            <w:r w:rsidRPr="00853ED7">
              <w:rPr>
                <w:i/>
                <w:sz w:val="20"/>
              </w:rPr>
              <w:t>(</w:t>
            </w:r>
            <w:proofErr w:type="spellStart"/>
            <w:r w:rsidRPr="00853ED7">
              <w:rPr>
                <w:i/>
                <w:sz w:val="20"/>
              </w:rPr>
              <w:t>o.d</w:t>
            </w:r>
            <w:proofErr w:type="spellEnd"/>
            <w:r w:rsidRPr="00853ED7">
              <w:rPr>
                <w:i/>
                <w:sz w:val="20"/>
              </w:rPr>
              <w:t>.)</w:t>
            </w:r>
            <w:r w:rsidRPr="00853ED7">
              <w:rPr>
                <w:sz w:val="20"/>
              </w:rPr>
              <w:t xml:space="preserve"> + metformin</w:t>
            </w:r>
          </w:p>
        </w:tc>
        <w:tc>
          <w:tcPr>
            <w:tcW w:w="567" w:type="dxa"/>
            <w:vAlign w:val="center"/>
          </w:tcPr>
          <w:p w:rsidR="00D77859" w:rsidRPr="00853ED7" w:rsidRDefault="00D77859" w:rsidP="00001057">
            <w:pPr>
              <w:keepNext/>
              <w:jc w:val="center"/>
              <w:rPr>
                <w:sz w:val="20"/>
              </w:rPr>
            </w:pPr>
            <w:r w:rsidRPr="00853ED7">
              <w:rPr>
                <w:sz w:val="20"/>
              </w:rPr>
              <w:t>309</w:t>
            </w:r>
          </w:p>
        </w:tc>
        <w:tc>
          <w:tcPr>
            <w:tcW w:w="2693" w:type="dxa"/>
            <w:vAlign w:val="center"/>
          </w:tcPr>
          <w:p w:rsidR="00D77859" w:rsidRPr="00853ED7" w:rsidRDefault="00D77859" w:rsidP="00001057">
            <w:pPr>
              <w:keepNext/>
              <w:jc w:val="center"/>
              <w:rPr>
                <w:sz w:val="20"/>
              </w:rPr>
            </w:pPr>
            <w:r w:rsidRPr="00853ED7">
              <w:rPr>
                <w:sz w:val="20"/>
              </w:rPr>
              <w:t>8.5</w:t>
            </w:r>
          </w:p>
        </w:tc>
        <w:tc>
          <w:tcPr>
            <w:tcW w:w="2693" w:type="dxa"/>
            <w:vAlign w:val="center"/>
          </w:tcPr>
          <w:p w:rsidR="00D77859" w:rsidRPr="00853ED7" w:rsidRDefault="00D77859" w:rsidP="00001057">
            <w:pPr>
              <w:keepNext/>
              <w:jc w:val="center"/>
              <w:rPr>
                <w:sz w:val="20"/>
              </w:rPr>
            </w:pPr>
            <w:r w:rsidRPr="00853ED7">
              <w:rPr>
                <w:sz w:val="20"/>
              </w:rPr>
              <w:t>8.6</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o.d</w:t>
            </w:r>
            <w:proofErr w:type="spellEnd"/>
            <w:r w:rsidRPr="00853ED7">
              <w:rPr>
                <w:i/>
                <w:sz w:val="20"/>
              </w:rPr>
              <w:t>.)</w:t>
            </w:r>
            <w:r w:rsidRPr="00853ED7">
              <w:rPr>
                <w:sz w:val="20"/>
              </w:rPr>
              <w:t xml:space="preserve"> + metformin</w:t>
            </w:r>
          </w:p>
        </w:tc>
        <w:tc>
          <w:tcPr>
            <w:tcW w:w="567" w:type="dxa"/>
            <w:vAlign w:val="center"/>
          </w:tcPr>
          <w:p w:rsidR="00D77859" w:rsidRPr="00853ED7" w:rsidRDefault="00D77859" w:rsidP="00001057">
            <w:pPr>
              <w:keepNext/>
              <w:jc w:val="center"/>
              <w:rPr>
                <w:sz w:val="20"/>
              </w:rPr>
            </w:pPr>
            <w:r w:rsidRPr="00853ED7">
              <w:rPr>
                <w:sz w:val="20"/>
              </w:rPr>
              <w:t>158</w:t>
            </w:r>
          </w:p>
        </w:tc>
        <w:tc>
          <w:tcPr>
            <w:tcW w:w="2693" w:type="dxa"/>
            <w:vAlign w:val="center"/>
          </w:tcPr>
          <w:p w:rsidR="00D77859" w:rsidRPr="00853ED7" w:rsidRDefault="00D77859" w:rsidP="00001057">
            <w:pPr>
              <w:keepNext/>
              <w:jc w:val="center"/>
              <w:rPr>
                <w:sz w:val="20"/>
              </w:rPr>
            </w:pPr>
            <w:r w:rsidRPr="00853ED7">
              <w:rPr>
                <w:sz w:val="20"/>
              </w:rPr>
              <w:t>8.0</w:t>
            </w:r>
          </w:p>
        </w:tc>
        <w:tc>
          <w:tcPr>
            <w:tcW w:w="2693" w:type="dxa"/>
            <w:vAlign w:val="center"/>
          </w:tcPr>
          <w:p w:rsidR="00D77859" w:rsidRPr="00853ED7" w:rsidRDefault="00D77859" w:rsidP="00001057">
            <w:pPr>
              <w:keepNext/>
              <w:jc w:val="center"/>
              <w:rPr>
                <w:sz w:val="20"/>
              </w:rPr>
            </w:pPr>
            <w:r w:rsidRPr="00853ED7">
              <w:rPr>
                <w:sz w:val="20"/>
              </w:rPr>
              <w:t>8.6</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r w:rsidRPr="00853ED7">
              <w:rPr>
                <w:i/>
                <w:sz w:val="20"/>
              </w:rPr>
              <w:t>(0.56 [0.33, 0.78])</w:t>
            </w:r>
          </w:p>
        </w:tc>
        <w:tc>
          <w:tcPr>
            <w:tcW w:w="2693" w:type="dxa"/>
            <w:vAlign w:val="center"/>
          </w:tcPr>
          <w:p w:rsidR="00D77859" w:rsidRPr="00853ED7" w:rsidRDefault="00D77859" w:rsidP="00001057">
            <w:pPr>
              <w:keepNext/>
              <w:jc w:val="center"/>
              <w:rPr>
                <w:sz w:val="20"/>
              </w:rPr>
            </w:pPr>
            <w:r w:rsidRPr="00853ED7">
              <w:rPr>
                <w:i/>
                <w:sz w:val="20"/>
              </w:rPr>
              <w:t>(-0.1 [-0.71,-0.49])</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p>
        </w:tc>
      </w:tr>
      <w:tr w:rsidR="00D77859" w:rsidRPr="00853ED7" w:rsidTr="006F4353">
        <w:tc>
          <w:tcPr>
            <w:tcW w:w="773" w:type="dxa"/>
            <w:vAlign w:val="center"/>
          </w:tcPr>
          <w:p w:rsidR="00D77859" w:rsidRPr="00853ED7" w:rsidRDefault="00D77859" w:rsidP="00001057">
            <w:pPr>
              <w:keepNext/>
              <w:jc w:val="center"/>
              <w:rPr>
                <w:sz w:val="20"/>
              </w:rPr>
            </w:pPr>
            <w:r w:rsidRPr="00853ED7">
              <w:rPr>
                <w:sz w:val="20"/>
              </w:rPr>
              <w:t>1373</w:t>
            </w:r>
          </w:p>
        </w:tc>
        <w:tc>
          <w:tcPr>
            <w:tcW w:w="2913" w:type="dxa"/>
            <w:vAlign w:val="center"/>
          </w:tcPr>
          <w:p w:rsidR="00D77859" w:rsidRPr="00853ED7" w:rsidRDefault="00D77859" w:rsidP="00001057">
            <w:pPr>
              <w:keepNext/>
              <w:jc w:val="center"/>
              <w:rPr>
                <w:sz w:val="20"/>
              </w:rPr>
            </w:pPr>
            <w:proofErr w:type="spellStart"/>
            <w:r w:rsidRPr="00853ED7">
              <w:rPr>
                <w:sz w:val="20"/>
              </w:rPr>
              <w:t>Levemir</w:t>
            </w:r>
            <w:proofErr w:type="spellEnd"/>
            <w:r w:rsidRPr="00853ED7">
              <w:rPr>
                <w:sz w:val="20"/>
              </w:rPr>
              <w:t xml:space="preserve"> </w:t>
            </w:r>
            <w:r w:rsidRPr="00853ED7">
              <w:rPr>
                <w:i/>
                <w:sz w:val="20"/>
              </w:rPr>
              <w:t>(</w:t>
            </w:r>
            <w:proofErr w:type="spellStart"/>
            <w:r w:rsidRPr="00853ED7">
              <w:rPr>
                <w:i/>
                <w:sz w:val="20"/>
              </w:rPr>
              <w:t>o.d</w:t>
            </w:r>
            <w:proofErr w:type="spellEnd"/>
            <w:r w:rsidRPr="00853ED7">
              <w:rPr>
                <w:i/>
                <w:sz w:val="20"/>
              </w:rPr>
              <w:t xml:space="preserve"> or </w:t>
            </w:r>
            <w:proofErr w:type="spellStart"/>
            <w:r w:rsidRPr="00853ED7">
              <w:rPr>
                <w:i/>
                <w:sz w:val="20"/>
              </w:rPr>
              <w:t>b.d</w:t>
            </w:r>
            <w:proofErr w:type="spellEnd"/>
            <w:r w:rsidRPr="00853ED7">
              <w:rPr>
                <w:i/>
                <w:sz w:val="20"/>
              </w:rPr>
              <w:t xml:space="preserve">.) </w:t>
            </w:r>
            <w:r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291</w:t>
            </w:r>
          </w:p>
        </w:tc>
        <w:tc>
          <w:tcPr>
            <w:tcW w:w="2693" w:type="dxa"/>
            <w:vAlign w:val="center"/>
          </w:tcPr>
          <w:p w:rsidR="00D77859" w:rsidRPr="00853ED7" w:rsidRDefault="00D77859" w:rsidP="00001057">
            <w:pPr>
              <w:keepNext/>
              <w:jc w:val="center"/>
              <w:rPr>
                <w:sz w:val="20"/>
              </w:rPr>
            </w:pPr>
            <w:r w:rsidRPr="00853ED7">
              <w:rPr>
                <w:sz w:val="20"/>
              </w:rPr>
              <w:t>7.16</w:t>
            </w:r>
          </w:p>
        </w:tc>
        <w:tc>
          <w:tcPr>
            <w:tcW w:w="2693" w:type="dxa"/>
            <w:vAlign w:val="center"/>
          </w:tcPr>
          <w:p w:rsidR="00D77859" w:rsidRPr="00853ED7" w:rsidRDefault="00D77859" w:rsidP="00001057">
            <w:pPr>
              <w:keepNext/>
              <w:jc w:val="center"/>
              <w:rPr>
                <w:sz w:val="20"/>
              </w:rPr>
            </w:pPr>
            <w:r w:rsidRPr="00853ED7">
              <w:rPr>
                <w:sz w:val="20"/>
              </w:rPr>
              <w:t>7.14</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C24A18" w:rsidP="00001057">
            <w:pPr>
              <w:keepNext/>
              <w:jc w:val="center"/>
              <w:rPr>
                <w:sz w:val="20"/>
              </w:rPr>
            </w:pPr>
            <w:proofErr w:type="spellStart"/>
            <w:r w:rsidRPr="00853ED7">
              <w:rPr>
                <w:sz w:val="20"/>
              </w:rPr>
              <w:t>g</w:t>
            </w:r>
            <w:r w:rsidR="00D77859" w:rsidRPr="00853ED7">
              <w:rPr>
                <w:sz w:val="20"/>
              </w:rPr>
              <w:t>largine</w:t>
            </w:r>
            <w:proofErr w:type="spellEnd"/>
            <w:r w:rsidR="00D77859" w:rsidRPr="00853ED7">
              <w:rPr>
                <w:sz w:val="20"/>
              </w:rPr>
              <w:t xml:space="preserve"> </w:t>
            </w:r>
            <w:r w:rsidR="00D77859" w:rsidRPr="00853ED7">
              <w:rPr>
                <w:i/>
                <w:sz w:val="20"/>
              </w:rPr>
              <w:t>(</w:t>
            </w:r>
            <w:proofErr w:type="spellStart"/>
            <w:r w:rsidR="00D77859" w:rsidRPr="00853ED7">
              <w:rPr>
                <w:i/>
                <w:sz w:val="20"/>
              </w:rPr>
              <w:t>o.d</w:t>
            </w:r>
            <w:proofErr w:type="spellEnd"/>
            <w:r w:rsidR="00D77859" w:rsidRPr="00853ED7">
              <w:rPr>
                <w:i/>
                <w:sz w:val="20"/>
              </w:rPr>
              <w:t>.)</w:t>
            </w:r>
            <w:r w:rsidR="00D77859"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291</w:t>
            </w:r>
          </w:p>
        </w:tc>
        <w:tc>
          <w:tcPr>
            <w:tcW w:w="2693" w:type="dxa"/>
            <w:vAlign w:val="center"/>
          </w:tcPr>
          <w:p w:rsidR="00D77859" w:rsidRPr="00853ED7" w:rsidRDefault="00D77859" w:rsidP="00001057">
            <w:pPr>
              <w:keepNext/>
              <w:jc w:val="center"/>
              <w:rPr>
                <w:sz w:val="20"/>
              </w:rPr>
            </w:pPr>
            <w:r w:rsidRPr="00853ED7">
              <w:rPr>
                <w:sz w:val="20"/>
              </w:rPr>
              <w:t>7.12</w:t>
            </w:r>
          </w:p>
        </w:tc>
        <w:tc>
          <w:tcPr>
            <w:tcW w:w="2693" w:type="dxa"/>
            <w:vAlign w:val="center"/>
          </w:tcPr>
          <w:p w:rsidR="00D77859" w:rsidRPr="00853ED7" w:rsidRDefault="00D77859" w:rsidP="00001057">
            <w:pPr>
              <w:keepNext/>
              <w:jc w:val="center"/>
              <w:rPr>
                <w:sz w:val="20"/>
              </w:rPr>
            </w:pPr>
            <w:r w:rsidRPr="00853ED7">
              <w:rPr>
                <w:sz w:val="20"/>
              </w:rPr>
              <w:t>6.98</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r w:rsidRPr="00853ED7">
              <w:rPr>
                <w:i/>
                <w:sz w:val="20"/>
              </w:rPr>
              <w:t>(0.05 [-0.11, 0.21])</w:t>
            </w:r>
          </w:p>
        </w:tc>
        <w:tc>
          <w:tcPr>
            <w:tcW w:w="2693" w:type="dxa"/>
            <w:vAlign w:val="center"/>
          </w:tcPr>
          <w:p w:rsidR="00D77859" w:rsidRPr="00853ED7" w:rsidRDefault="00D77859" w:rsidP="00001057">
            <w:pPr>
              <w:keepNext/>
              <w:jc w:val="center"/>
              <w:rPr>
                <w:i/>
                <w:sz w:val="20"/>
              </w:rPr>
            </w:pPr>
            <w:r w:rsidRPr="00853ED7">
              <w:rPr>
                <w:i/>
                <w:sz w:val="20"/>
              </w:rPr>
              <w:t>(0.16 [-0.26, 0.58])</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sz w:val="20"/>
              </w:rPr>
            </w:pPr>
          </w:p>
        </w:tc>
      </w:tr>
      <w:tr w:rsidR="00D77859" w:rsidRPr="00853ED7" w:rsidTr="006F4353">
        <w:tc>
          <w:tcPr>
            <w:tcW w:w="773" w:type="dxa"/>
            <w:vAlign w:val="center"/>
          </w:tcPr>
          <w:p w:rsidR="00D77859" w:rsidRPr="00853ED7" w:rsidRDefault="00D77859" w:rsidP="00001057">
            <w:pPr>
              <w:keepNext/>
              <w:jc w:val="center"/>
              <w:rPr>
                <w:sz w:val="20"/>
              </w:rPr>
            </w:pPr>
            <w:r w:rsidRPr="00853ED7">
              <w:rPr>
                <w:sz w:val="20"/>
              </w:rPr>
              <w:t>1530</w:t>
            </w:r>
          </w:p>
        </w:tc>
        <w:tc>
          <w:tcPr>
            <w:tcW w:w="2913" w:type="dxa"/>
            <w:vAlign w:val="center"/>
          </w:tcPr>
          <w:p w:rsidR="00D77859" w:rsidRPr="00853ED7" w:rsidRDefault="00D77859" w:rsidP="00001057">
            <w:pPr>
              <w:keepNext/>
              <w:jc w:val="center"/>
              <w:rPr>
                <w:sz w:val="20"/>
              </w:rPr>
            </w:pPr>
            <w:proofErr w:type="spellStart"/>
            <w:r w:rsidRPr="00853ED7">
              <w:rPr>
                <w:sz w:val="20"/>
              </w:rPr>
              <w:t>Levemir</w:t>
            </w:r>
            <w:proofErr w:type="spellEnd"/>
            <w:r w:rsidRPr="00853ED7">
              <w:rPr>
                <w:sz w:val="20"/>
              </w:rPr>
              <w:t xml:space="preserve"> </w:t>
            </w:r>
            <w:r w:rsidRPr="00853ED7">
              <w:rPr>
                <w:i/>
                <w:sz w:val="20"/>
              </w:rPr>
              <w:t>(</w:t>
            </w:r>
            <w:proofErr w:type="spellStart"/>
            <w:r w:rsidRPr="00853ED7">
              <w:rPr>
                <w:i/>
                <w:sz w:val="20"/>
              </w:rPr>
              <w:t>b.d</w:t>
            </w:r>
            <w:proofErr w:type="spellEnd"/>
            <w:r w:rsidRPr="00853ED7">
              <w:rPr>
                <w:i/>
                <w:sz w:val="20"/>
              </w:rPr>
              <w:t>.)</w:t>
            </w:r>
            <w:r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237</w:t>
            </w:r>
          </w:p>
        </w:tc>
        <w:tc>
          <w:tcPr>
            <w:tcW w:w="2693" w:type="dxa"/>
            <w:vAlign w:val="center"/>
          </w:tcPr>
          <w:p w:rsidR="00D77859" w:rsidRPr="00853ED7" w:rsidRDefault="00D77859" w:rsidP="00001057">
            <w:pPr>
              <w:keepNext/>
              <w:jc w:val="center"/>
              <w:rPr>
                <w:sz w:val="20"/>
              </w:rPr>
            </w:pPr>
            <w:r w:rsidRPr="00853ED7">
              <w:rPr>
                <w:sz w:val="20"/>
              </w:rPr>
              <w:t>6.58</w:t>
            </w:r>
          </w:p>
        </w:tc>
        <w:tc>
          <w:tcPr>
            <w:tcW w:w="2693" w:type="dxa"/>
            <w:vAlign w:val="center"/>
          </w:tcPr>
          <w:p w:rsidR="00D77859" w:rsidRPr="00853ED7" w:rsidRDefault="00D77859" w:rsidP="00001057">
            <w:pPr>
              <w:keepNext/>
              <w:jc w:val="center"/>
              <w:rPr>
                <w:sz w:val="20"/>
              </w:rPr>
            </w:pPr>
            <w:r w:rsidRPr="00853ED7">
              <w:rPr>
                <w:sz w:val="20"/>
              </w:rPr>
              <w:t>6.62</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b.d</w:t>
            </w:r>
            <w:proofErr w:type="spellEnd"/>
            <w:r w:rsidRPr="00853ED7">
              <w:rPr>
                <w:i/>
                <w:sz w:val="20"/>
              </w:rPr>
              <w:t>.)</w:t>
            </w:r>
            <w:r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239</w:t>
            </w:r>
          </w:p>
        </w:tc>
        <w:tc>
          <w:tcPr>
            <w:tcW w:w="2693" w:type="dxa"/>
            <w:vAlign w:val="center"/>
          </w:tcPr>
          <w:p w:rsidR="00D77859" w:rsidRPr="00853ED7" w:rsidRDefault="00D77859" w:rsidP="00001057">
            <w:pPr>
              <w:keepNext/>
              <w:jc w:val="center"/>
              <w:rPr>
                <w:sz w:val="20"/>
              </w:rPr>
            </w:pPr>
            <w:r w:rsidRPr="00853ED7">
              <w:rPr>
                <w:sz w:val="20"/>
              </w:rPr>
              <w:t>6.46</w:t>
            </w:r>
          </w:p>
        </w:tc>
        <w:tc>
          <w:tcPr>
            <w:tcW w:w="2693" w:type="dxa"/>
            <w:vAlign w:val="center"/>
          </w:tcPr>
          <w:p w:rsidR="00D77859" w:rsidRPr="00853ED7" w:rsidRDefault="00D77859" w:rsidP="00001057">
            <w:pPr>
              <w:keepNext/>
              <w:jc w:val="center"/>
              <w:rPr>
                <w:sz w:val="20"/>
              </w:rPr>
            </w:pPr>
            <w:r w:rsidRPr="00853ED7">
              <w:rPr>
                <w:sz w:val="20"/>
              </w:rPr>
              <w:t>6.30</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r w:rsidRPr="00853ED7">
              <w:rPr>
                <w:i/>
                <w:sz w:val="20"/>
              </w:rPr>
              <w:t>(0.13 [0.00, 0.25])</w:t>
            </w:r>
          </w:p>
        </w:tc>
        <w:tc>
          <w:tcPr>
            <w:tcW w:w="2693" w:type="dxa"/>
            <w:vAlign w:val="center"/>
          </w:tcPr>
          <w:p w:rsidR="00D77859" w:rsidRPr="00853ED7" w:rsidRDefault="00D77859" w:rsidP="00001057">
            <w:pPr>
              <w:keepNext/>
              <w:jc w:val="center"/>
              <w:rPr>
                <w:i/>
                <w:sz w:val="20"/>
              </w:rPr>
            </w:pPr>
            <w:r w:rsidRPr="00853ED7">
              <w:rPr>
                <w:i/>
                <w:sz w:val="20"/>
              </w:rPr>
              <w:t>(0.32 [-0.02, 0.66])</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p>
        </w:tc>
        <w:tc>
          <w:tcPr>
            <w:tcW w:w="2693" w:type="dxa"/>
            <w:vAlign w:val="center"/>
          </w:tcPr>
          <w:p w:rsidR="00D77859" w:rsidRPr="00853ED7" w:rsidRDefault="00D77859" w:rsidP="00001057">
            <w:pPr>
              <w:keepNext/>
              <w:jc w:val="center"/>
              <w:rPr>
                <w:i/>
                <w:sz w:val="20"/>
              </w:rPr>
            </w:pPr>
          </w:p>
        </w:tc>
      </w:tr>
      <w:tr w:rsidR="00D77859" w:rsidRPr="00853ED7" w:rsidTr="006F4353">
        <w:tc>
          <w:tcPr>
            <w:tcW w:w="773" w:type="dxa"/>
            <w:vAlign w:val="center"/>
          </w:tcPr>
          <w:p w:rsidR="00D77859" w:rsidRPr="00853ED7" w:rsidRDefault="00D77859" w:rsidP="00001057">
            <w:pPr>
              <w:keepNext/>
              <w:jc w:val="center"/>
              <w:rPr>
                <w:sz w:val="20"/>
              </w:rPr>
            </w:pPr>
            <w:r w:rsidRPr="00853ED7">
              <w:rPr>
                <w:sz w:val="20"/>
              </w:rPr>
              <w:t>1632</w:t>
            </w:r>
          </w:p>
        </w:tc>
        <w:tc>
          <w:tcPr>
            <w:tcW w:w="2913" w:type="dxa"/>
            <w:vAlign w:val="center"/>
          </w:tcPr>
          <w:p w:rsidR="00D77859" w:rsidRPr="00853ED7" w:rsidRDefault="00D77859" w:rsidP="00001057">
            <w:pPr>
              <w:keepNext/>
              <w:jc w:val="center"/>
              <w:rPr>
                <w:sz w:val="20"/>
              </w:rPr>
            </w:pPr>
            <w:proofErr w:type="spellStart"/>
            <w:r w:rsidRPr="00853ED7">
              <w:rPr>
                <w:sz w:val="20"/>
              </w:rPr>
              <w:t>Levemir</w:t>
            </w:r>
            <w:proofErr w:type="spellEnd"/>
            <w:r w:rsidRPr="00853ED7">
              <w:rPr>
                <w:sz w:val="20"/>
              </w:rPr>
              <w:t xml:space="preserve"> </w:t>
            </w:r>
            <w:r w:rsidRPr="00853ED7">
              <w:rPr>
                <w:i/>
                <w:sz w:val="20"/>
              </w:rPr>
              <w:t>(</w:t>
            </w:r>
            <w:proofErr w:type="spellStart"/>
            <w:r w:rsidRPr="00853ED7">
              <w:rPr>
                <w:i/>
                <w:sz w:val="20"/>
              </w:rPr>
              <w:t>o.d</w:t>
            </w:r>
            <w:proofErr w:type="spellEnd"/>
            <w:r w:rsidRPr="00853ED7">
              <w:rPr>
                <w:i/>
                <w:sz w:val="20"/>
              </w:rPr>
              <w:t>. - morning)</w:t>
            </w:r>
            <w:r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168</w:t>
            </w:r>
          </w:p>
        </w:tc>
        <w:tc>
          <w:tcPr>
            <w:tcW w:w="2693" w:type="dxa"/>
            <w:vAlign w:val="center"/>
          </w:tcPr>
          <w:p w:rsidR="00D77859" w:rsidRPr="00853ED7" w:rsidRDefault="00D77859" w:rsidP="00001057">
            <w:pPr>
              <w:keepNext/>
              <w:jc w:val="center"/>
              <w:rPr>
                <w:sz w:val="20"/>
              </w:rPr>
            </w:pPr>
            <w:r w:rsidRPr="00853ED7">
              <w:rPr>
                <w:sz w:val="20"/>
              </w:rPr>
              <w:t>7.48</w:t>
            </w:r>
          </w:p>
        </w:tc>
        <w:tc>
          <w:tcPr>
            <w:tcW w:w="2693" w:type="dxa"/>
            <w:vAlign w:val="center"/>
          </w:tcPr>
          <w:p w:rsidR="00D77859" w:rsidRPr="00853ED7" w:rsidRDefault="00D77859" w:rsidP="00001057">
            <w:pPr>
              <w:keepNext/>
              <w:jc w:val="center"/>
              <w:rPr>
                <w:sz w:val="20"/>
              </w:rPr>
            </w:pPr>
            <w:r w:rsidRPr="00853ED7">
              <w:rPr>
                <w:sz w:val="20"/>
              </w:rPr>
              <w:t>8.32</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o.d</w:t>
            </w:r>
            <w:proofErr w:type="spellEnd"/>
            <w:r w:rsidRPr="00853ED7">
              <w:rPr>
                <w:i/>
                <w:sz w:val="20"/>
              </w:rPr>
              <w:t>. - evening)</w:t>
            </w:r>
            <w:r w:rsidRPr="00853ED7">
              <w:rPr>
                <w:sz w:val="20"/>
              </w:rPr>
              <w:t xml:space="preserve"> + OAD</w:t>
            </w:r>
          </w:p>
        </w:tc>
        <w:tc>
          <w:tcPr>
            <w:tcW w:w="567" w:type="dxa"/>
            <w:vAlign w:val="center"/>
          </w:tcPr>
          <w:p w:rsidR="00D77859" w:rsidRPr="00853ED7" w:rsidRDefault="00D66528" w:rsidP="00001057">
            <w:pPr>
              <w:keepNext/>
              <w:jc w:val="center"/>
              <w:rPr>
                <w:sz w:val="20"/>
              </w:rPr>
            </w:pPr>
            <w:r w:rsidRPr="00853ED7">
              <w:rPr>
                <w:sz w:val="20"/>
              </w:rPr>
              <w:t>166</w:t>
            </w:r>
          </w:p>
        </w:tc>
        <w:tc>
          <w:tcPr>
            <w:tcW w:w="2693" w:type="dxa"/>
            <w:vAlign w:val="center"/>
          </w:tcPr>
          <w:p w:rsidR="00D77859" w:rsidRPr="00853ED7" w:rsidRDefault="00D77859" w:rsidP="00001057">
            <w:pPr>
              <w:keepNext/>
              <w:jc w:val="center"/>
              <w:rPr>
                <w:sz w:val="20"/>
              </w:rPr>
            </w:pPr>
            <w:r w:rsidRPr="00853ED7">
              <w:rPr>
                <w:sz w:val="20"/>
              </w:rPr>
              <w:t>7.36</w:t>
            </w:r>
          </w:p>
        </w:tc>
        <w:tc>
          <w:tcPr>
            <w:tcW w:w="2693" w:type="dxa"/>
            <w:vAlign w:val="center"/>
          </w:tcPr>
          <w:p w:rsidR="00D77859" w:rsidRPr="00853ED7" w:rsidRDefault="00D77859" w:rsidP="00001057">
            <w:pPr>
              <w:keepNext/>
              <w:jc w:val="center"/>
              <w:rPr>
                <w:sz w:val="20"/>
              </w:rPr>
            </w:pPr>
            <w:r w:rsidRPr="00853ED7">
              <w:rPr>
                <w:sz w:val="20"/>
              </w:rPr>
              <w:t>7.44</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r w:rsidRPr="00853ED7">
              <w:rPr>
                <w:i/>
                <w:sz w:val="20"/>
              </w:rPr>
              <w:t>(0.13 [-0.07, 0.32])</w:t>
            </w:r>
          </w:p>
        </w:tc>
        <w:tc>
          <w:tcPr>
            <w:tcW w:w="2693" w:type="dxa"/>
            <w:vAlign w:val="center"/>
          </w:tcPr>
          <w:p w:rsidR="00D77859" w:rsidRPr="00853ED7" w:rsidRDefault="00D77859" w:rsidP="00001057">
            <w:pPr>
              <w:keepNext/>
              <w:jc w:val="center"/>
              <w:rPr>
                <w:i/>
                <w:sz w:val="20"/>
              </w:rPr>
            </w:pPr>
            <w:r w:rsidRPr="00853ED7">
              <w:rPr>
                <w:i/>
                <w:sz w:val="20"/>
              </w:rPr>
              <w:t>(0.88 [0.31, 1.45])</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roofErr w:type="spellStart"/>
            <w:r w:rsidRPr="00853ED7">
              <w:rPr>
                <w:sz w:val="20"/>
              </w:rPr>
              <w:t>Levemir</w:t>
            </w:r>
            <w:proofErr w:type="spellEnd"/>
            <w:r w:rsidRPr="00853ED7">
              <w:rPr>
                <w:sz w:val="20"/>
              </w:rPr>
              <w:t xml:space="preserve"> </w:t>
            </w:r>
            <w:r w:rsidRPr="00853ED7">
              <w:rPr>
                <w:i/>
                <w:sz w:val="20"/>
              </w:rPr>
              <w:t>(</w:t>
            </w:r>
            <w:proofErr w:type="spellStart"/>
            <w:r w:rsidRPr="00853ED7">
              <w:rPr>
                <w:i/>
                <w:sz w:val="20"/>
              </w:rPr>
              <w:t>o.d</w:t>
            </w:r>
            <w:proofErr w:type="spellEnd"/>
            <w:r w:rsidRPr="00853ED7">
              <w:rPr>
                <w:i/>
                <w:sz w:val="20"/>
              </w:rPr>
              <w:t>. - evening)</w:t>
            </w:r>
            <w:r w:rsidRPr="00853ED7">
              <w:rPr>
                <w:sz w:val="20"/>
              </w:rPr>
              <w:t xml:space="preserve"> + OAD</w:t>
            </w:r>
          </w:p>
        </w:tc>
        <w:tc>
          <w:tcPr>
            <w:tcW w:w="567" w:type="dxa"/>
            <w:vAlign w:val="center"/>
          </w:tcPr>
          <w:p w:rsidR="00D77859" w:rsidRPr="00853ED7" w:rsidRDefault="00D77859" w:rsidP="00001057">
            <w:pPr>
              <w:keepNext/>
              <w:jc w:val="center"/>
              <w:rPr>
                <w:sz w:val="20"/>
              </w:rPr>
            </w:pPr>
            <w:r w:rsidRPr="00853ED7">
              <w:rPr>
                <w:sz w:val="20"/>
              </w:rPr>
              <w:t>170</w:t>
            </w:r>
          </w:p>
        </w:tc>
        <w:tc>
          <w:tcPr>
            <w:tcW w:w="2693" w:type="dxa"/>
            <w:vAlign w:val="center"/>
          </w:tcPr>
          <w:p w:rsidR="00D77859" w:rsidRPr="00853ED7" w:rsidRDefault="00D77859" w:rsidP="00001057">
            <w:pPr>
              <w:keepNext/>
              <w:jc w:val="center"/>
              <w:rPr>
                <w:sz w:val="20"/>
              </w:rPr>
            </w:pPr>
            <w:r w:rsidRPr="00853ED7">
              <w:rPr>
                <w:sz w:val="20"/>
              </w:rPr>
              <w:t>7.43</w:t>
            </w:r>
          </w:p>
        </w:tc>
        <w:tc>
          <w:tcPr>
            <w:tcW w:w="2693" w:type="dxa"/>
            <w:vAlign w:val="center"/>
          </w:tcPr>
          <w:p w:rsidR="00D77859" w:rsidRPr="00853ED7" w:rsidRDefault="00D77859" w:rsidP="00001057">
            <w:pPr>
              <w:keepNext/>
              <w:jc w:val="center"/>
              <w:rPr>
                <w:sz w:val="20"/>
              </w:rPr>
            </w:pPr>
            <w:r w:rsidRPr="00853ED7">
              <w:rPr>
                <w:sz w:val="20"/>
              </w:rPr>
              <w:t>7.04</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r w:rsidRPr="00853ED7">
              <w:rPr>
                <w:sz w:val="20"/>
              </w:rPr>
              <w:t xml:space="preserve">NPH </w:t>
            </w:r>
            <w:r w:rsidRPr="00853ED7">
              <w:rPr>
                <w:i/>
                <w:sz w:val="20"/>
              </w:rPr>
              <w:t>(</w:t>
            </w:r>
            <w:proofErr w:type="spellStart"/>
            <w:r w:rsidRPr="00853ED7">
              <w:rPr>
                <w:i/>
                <w:sz w:val="20"/>
              </w:rPr>
              <w:t>o.d</w:t>
            </w:r>
            <w:proofErr w:type="spellEnd"/>
            <w:r w:rsidRPr="00853ED7">
              <w:rPr>
                <w:i/>
                <w:sz w:val="20"/>
              </w:rPr>
              <w:t>. - evening)</w:t>
            </w:r>
            <w:r w:rsidRPr="00853ED7">
              <w:rPr>
                <w:sz w:val="20"/>
              </w:rPr>
              <w:t xml:space="preserve"> + OAD</w:t>
            </w:r>
          </w:p>
        </w:tc>
        <w:tc>
          <w:tcPr>
            <w:tcW w:w="567" w:type="dxa"/>
            <w:vAlign w:val="center"/>
          </w:tcPr>
          <w:p w:rsidR="00D77859" w:rsidRPr="00853ED7" w:rsidRDefault="00D66528" w:rsidP="00001057">
            <w:pPr>
              <w:keepNext/>
              <w:jc w:val="center"/>
              <w:rPr>
                <w:sz w:val="20"/>
              </w:rPr>
            </w:pPr>
            <w:r w:rsidRPr="00853ED7">
              <w:rPr>
                <w:sz w:val="20"/>
              </w:rPr>
              <w:t>166</w:t>
            </w:r>
          </w:p>
        </w:tc>
        <w:tc>
          <w:tcPr>
            <w:tcW w:w="2693" w:type="dxa"/>
            <w:vAlign w:val="center"/>
          </w:tcPr>
          <w:p w:rsidR="00D77859" w:rsidRPr="00853ED7" w:rsidRDefault="00D77859" w:rsidP="00001057">
            <w:pPr>
              <w:keepNext/>
              <w:jc w:val="center"/>
              <w:rPr>
                <w:sz w:val="20"/>
              </w:rPr>
            </w:pPr>
            <w:r w:rsidRPr="00853ED7">
              <w:rPr>
                <w:sz w:val="20"/>
              </w:rPr>
              <w:t>7.33</w:t>
            </w:r>
          </w:p>
        </w:tc>
        <w:tc>
          <w:tcPr>
            <w:tcW w:w="2693" w:type="dxa"/>
            <w:vAlign w:val="center"/>
          </w:tcPr>
          <w:p w:rsidR="00D77859" w:rsidRPr="00853ED7" w:rsidRDefault="00D77859" w:rsidP="00001057">
            <w:pPr>
              <w:keepNext/>
              <w:jc w:val="center"/>
              <w:rPr>
                <w:sz w:val="20"/>
              </w:rPr>
            </w:pPr>
            <w:r w:rsidRPr="00853ED7">
              <w:rPr>
                <w:sz w:val="20"/>
              </w:rPr>
              <w:t>7.50</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r w:rsidRPr="00853ED7">
              <w:rPr>
                <w:i/>
                <w:sz w:val="20"/>
              </w:rPr>
              <w:t>(0.10 [-0.08, 0.29])</w:t>
            </w:r>
          </w:p>
        </w:tc>
        <w:tc>
          <w:tcPr>
            <w:tcW w:w="2693" w:type="dxa"/>
            <w:vAlign w:val="center"/>
          </w:tcPr>
          <w:p w:rsidR="00D77859" w:rsidRPr="00853ED7" w:rsidRDefault="00D77859" w:rsidP="00001057">
            <w:pPr>
              <w:keepNext/>
              <w:jc w:val="center"/>
              <w:rPr>
                <w:i/>
                <w:sz w:val="20"/>
              </w:rPr>
            </w:pPr>
            <w:r w:rsidRPr="00853ED7">
              <w:rPr>
                <w:i/>
                <w:sz w:val="20"/>
              </w:rPr>
              <w:t>(-0.46 [-1.05, 0.13])</w:t>
            </w:r>
          </w:p>
        </w:tc>
      </w:tr>
      <w:tr w:rsidR="00D77859" w:rsidRPr="00853ED7" w:rsidTr="006F4353">
        <w:tc>
          <w:tcPr>
            <w:tcW w:w="773" w:type="dxa"/>
            <w:vAlign w:val="center"/>
          </w:tcPr>
          <w:p w:rsidR="00D77859" w:rsidRPr="00853ED7" w:rsidRDefault="00D77859" w:rsidP="00001057">
            <w:pPr>
              <w:keepNext/>
              <w:jc w:val="center"/>
              <w:rPr>
                <w:sz w:val="20"/>
              </w:rPr>
            </w:pPr>
          </w:p>
        </w:tc>
        <w:tc>
          <w:tcPr>
            <w:tcW w:w="2913" w:type="dxa"/>
            <w:vAlign w:val="center"/>
          </w:tcPr>
          <w:p w:rsidR="00D77859" w:rsidRPr="00853ED7" w:rsidRDefault="00D77859" w:rsidP="00001057">
            <w:pPr>
              <w:keepNext/>
              <w:jc w:val="center"/>
              <w:rPr>
                <w:sz w:val="20"/>
              </w:rPr>
            </w:pPr>
          </w:p>
        </w:tc>
        <w:tc>
          <w:tcPr>
            <w:tcW w:w="567" w:type="dxa"/>
            <w:vAlign w:val="center"/>
          </w:tcPr>
          <w:p w:rsidR="00D77859" w:rsidRPr="00853ED7" w:rsidRDefault="00D77859" w:rsidP="00001057">
            <w:pPr>
              <w:keepNext/>
              <w:jc w:val="center"/>
              <w:rPr>
                <w:sz w:val="20"/>
              </w:rPr>
            </w:pPr>
          </w:p>
        </w:tc>
        <w:tc>
          <w:tcPr>
            <w:tcW w:w="2693" w:type="dxa"/>
            <w:vAlign w:val="center"/>
          </w:tcPr>
          <w:p w:rsidR="00D77859" w:rsidRPr="00853ED7" w:rsidRDefault="00D77859" w:rsidP="00001057">
            <w:pPr>
              <w:keepNext/>
              <w:jc w:val="center"/>
              <w:rPr>
                <w:i/>
                <w:sz w:val="20"/>
              </w:rPr>
            </w:pPr>
          </w:p>
        </w:tc>
        <w:tc>
          <w:tcPr>
            <w:tcW w:w="2693" w:type="dxa"/>
            <w:vAlign w:val="center"/>
          </w:tcPr>
          <w:p w:rsidR="00D77859" w:rsidRPr="00853ED7" w:rsidRDefault="00D77859" w:rsidP="00001057">
            <w:pPr>
              <w:keepNext/>
              <w:jc w:val="center"/>
              <w:rPr>
                <w:i/>
                <w:sz w:val="20"/>
              </w:rPr>
            </w:pPr>
          </w:p>
        </w:tc>
      </w:tr>
    </w:tbl>
    <w:p w:rsidR="00D77859" w:rsidRPr="00853ED7" w:rsidRDefault="00D77859">
      <w:pPr>
        <w:tabs>
          <w:tab w:val="left" w:pos="567"/>
        </w:tabs>
        <w:rPr>
          <w:rStyle w:val="Emphasis"/>
          <w:sz w:val="18"/>
          <w:szCs w:val="18"/>
        </w:rPr>
      </w:pPr>
      <w:r w:rsidRPr="00853ED7">
        <w:rPr>
          <w:rStyle w:val="Emphasis"/>
          <w:sz w:val="18"/>
          <w:szCs w:val="18"/>
        </w:rPr>
        <w:t xml:space="preserve">#N = number of subjects randomised. </w:t>
      </w:r>
      <w:proofErr w:type="spellStart"/>
      <w:r w:rsidR="00C24A18" w:rsidRPr="00853ED7">
        <w:rPr>
          <w:rStyle w:val="Emphasis"/>
          <w:sz w:val="18"/>
          <w:szCs w:val="18"/>
        </w:rPr>
        <w:t>o</w:t>
      </w:r>
      <w:r w:rsidRPr="00853ED7">
        <w:rPr>
          <w:rStyle w:val="Emphasis"/>
          <w:sz w:val="18"/>
          <w:szCs w:val="18"/>
        </w:rPr>
        <w:t>.d</w:t>
      </w:r>
      <w:proofErr w:type="spellEnd"/>
      <w:r w:rsidRPr="00853ED7">
        <w:rPr>
          <w:rStyle w:val="Emphasis"/>
          <w:sz w:val="18"/>
          <w:szCs w:val="18"/>
        </w:rPr>
        <w:t xml:space="preserve">. = once daily injection. </w:t>
      </w:r>
      <w:proofErr w:type="spellStart"/>
      <w:r w:rsidR="00C24A18" w:rsidRPr="00853ED7">
        <w:rPr>
          <w:rStyle w:val="Emphasis"/>
          <w:sz w:val="18"/>
          <w:szCs w:val="18"/>
        </w:rPr>
        <w:t>b</w:t>
      </w:r>
      <w:r w:rsidRPr="00853ED7">
        <w:rPr>
          <w:rStyle w:val="Emphasis"/>
          <w:sz w:val="18"/>
          <w:szCs w:val="18"/>
        </w:rPr>
        <w:t>.d</w:t>
      </w:r>
      <w:proofErr w:type="spellEnd"/>
      <w:r w:rsidRPr="00853ED7">
        <w:rPr>
          <w:rStyle w:val="Emphasis"/>
          <w:sz w:val="18"/>
          <w:szCs w:val="18"/>
        </w:rPr>
        <w:t>. = twice daily injection.</w:t>
      </w:r>
    </w:p>
    <w:p w:rsidR="00D77859" w:rsidRPr="00853ED7" w:rsidRDefault="00D77859">
      <w:pPr>
        <w:overflowPunct/>
        <w:textAlignment w:val="auto"/>
        <w:rPr>
          <w:sz w:val="22"/>
        </w:rPr>
      </w:pPr>
    </w:p>
    <w:p w:rsidR="00C24A18" w:rsidRPr="00853ED7" w:rsidRDefault="00C24A18" w:rsidP="002D4E2E">
      <w:pPr>
        <w:pStyle w:val="Heading4"/>
        <w:rPr>
          <w:sz w:val="22"/>
          <w:szCs w:val="22"/>
          <w:u w:val="single"/>
        </w:rPr>
      </w:pPr>
      <w:r w:rsidRPr="00853ED7">
        <w:rPr>
          <w:sz w:val="22"/>
          <w:szCs w:val="22"/>
          <w:u w:val="single"/>
        </w:rPr>
        <w:t xml:space="preserve">Add-on therapy to </w:t>
      </w:r>
      <w:proofErr w:type="spellStart"/>
      <w:r w:rsidRPr="00853ED7">
        <w:rPr>
          <w:sz w:val="22"/>
          <w:szCs w:val="22"/>
          <w:u w:val="single"/>
        </w:rPr>
        <w:t>liraglutide</w:t>
      </w:r>
      <w:proofErr w:type="spellEnd"/>
      <w:r w:rsidRPr="00853ED7">
        <w:rPr>
          <w:sz w:val="22"/>
          <w:szCs w:val="22"/>
          <w:u w:val="single"/>
        </w:rPr>
        <w:t xml:space="preserve"> plus OAD</w:t>
      </w:r>
      <w:r w:rsidR="004E042A" w:rsidRPr="00853ED7">
        <w:rPr>
          <w:sz w:val="22"/>
          <w:szCs w:val="22"/>
          <w:u w:val="single"/>
        </w:rPr>
        <w:t>s</w:t>
      </w:r>
      <w:r w:rsidRPr="00853ED7">
        <w:rPr>
          <w:sz w:val="22"/>
          <w:szCs w:val="22"/>
          <w:u w:val="single"/>
        </w:rPr>
        <w:t xml:space="preserve"> (studies 1842, 1842 ext.)</w:t>
      </w:r>
    </w:p>
    <w:p w:rsidR="00C24A18" w:rsidRPr="00853ED7" w:rsidRDefault="00C24A18" w:rsidP="001D5870">
      <w:pPr>
        <w:rPr>
          <w:sz w:val="22"/>
          <w:szCs w:val="22"/>
        </w:rPr>
      </w:pPr>
      <w:r w:rsidRPr="00853ED7">
        <w:rPr>
          <w:sz w:val="22"/>
          <w:szCs w:val="22"/>
        </w:rPr>
        <w:t xml:space="preserve">An open-label randomised study in patients with type 2 diabetes not reaching target with OADs was conducted. The trial started with a 12 week run-in period with </w:t>
      </w:r>
      <w:proofErr w:type="spellStart"/>
      <w:r w:rsidR="00763FAD" w:rsidRPr="00853ED7">
        <w:rPr>
          <w:sz w:val="22"/>
          <w:szCs w:val="22"/>
        </w:rPr>
        <w:t>liraglutide</w:t>
      </w:r>
      <w:r w:rsidRPr="00853ED7">
        <w:rPr>
          <w:sz w:val="22"/>
          <w:szCs w:val="22"/>
        </w:rPr>
        <w:t>+metformin</w:t>
      </w:r>
      <w:proofErr w:type="spellEnd"/>
      <w:r w:rsidRPr="00853ED7">
        <w:rPr>
          <w:sz w:val="22"/>
          <w:szCs w:val="22"/>
        </w:rPr>
        <w:t>, where 61% reached an HbA</w:t>
      </w:r>
      <w:r w:rsidRPr="00853ED7">
        <w:rPr>
          <w:sz w:val="22"/>
          <w:szCs w:val="22"/>
          <w:vertAlign w:val="subscript"/>
        </w:rPr>
        <w:t>1c</w:t>
      </w:r>
      <w:r w:rsidRPr="00853ED7">
        <w:rPr>
          <w:sz w:val="22"/>
          <w:szCs w:val="22"/>
        </w:rPr>
        <w:t xml:space="preserve"> &lt;7%. The 39% of patients not achieving target were randomised to have </w:t>
      </w:r>
      <w:proofErr w:type="spellStart"/>
      <w:r w:rsidRPr="00853ED7">
        <w:rPr>
          <w:sz w:val="22"/>
          <w:szCs w:val="22"/>
        </w:rPr>
        <w:t>Levemir</w:t>
      </w:r>
      <w:proofErr w:type="spellEnd"/>
      <w:r w:rsidRPr="00853ED7">
        <w:rPr>
          <w:sz w:val="22"/>
          <w:szCs w:val="22"/>
        </w:rPr>
        <w:t xml:space="preserve"> once-daily added or continue on </w:t>
      </w:r>
      <w:proofErr w:type="spellStart"/>
      <w:r w:rsidR="00763FAD" w:rsidRPr="00853ED7">
        <w:rPr>
          <w:sz w:val="22"/>
          <w:szCs w:val="22"/>
        </w:rPr>
        <w:t>liraglutide</w:t>
      </w:r>
      <w:r w:rsidRPr="00853ED7">
        <w:rPr>
          <w:sz w:val="22"/>
          <w:szCs w:val="22"/>
        </w:rPr>
        <w:t>+metformin</w:t>
      </w:r>
      <w:proofErr w:type="spellEnd"/>
      <w:r w:rsidRPr="00853ED7">
        <w:rPr>
          <w:sz w:val="22"/>
          <w:szCs w:val="22"/>
        </w:rPr>
        <w:t xml:space="preserve"> for 52 weeks. Addition of </w:t>
      </w:r>
      <w:proofErr w:type="spellStart"/>
      <w:r w:rsidRPr="00853ED7">
        <w:rPr>
          <w:sz w:val="22"/>
          <w:szCs w:val="22"/>
        </w:rPr>
        <w:t>Levemir</w:t>
      </w:r>
      <w:proofErr w:type="spellEnd"/>
      <w:r w:rsidRPr="00853ED7">
        <w:rPr>
          <w:sz w:val="22"/>
          <w:szCs w:val="22"/>
        </w:rPr>
        <w:t xml:space="preserve"> provided a further reduction of HbA</w:t>
      </w:r>
      <w:r w:rsidRPr="00853ED7">
        <w:rPr>
          <w:sz w:val="22"/>
          <w:szCs w:val="22"/>
          <w:vertAlign w:val="subscript"/>
        </w:rPr>
        <w:t>1c</w:t>
      </w:r>
      <w:r w:rsidRPr="00853ED7">
        <w:rPr>
          <w:sz w:val="22"/>
          <w:szCs w:val="22"/>
        </w:rPr>
        <w:t xml:space="preserve"> from 7.6% to 7.1% after 52 weeks, no major hypoglycaemic episodes were reported with </w:t>
      </w:r>
      <w:proofErr w:type="spellStart"/>
      <w:r w:rsidRPr="00853ED7">
        <w:rPr>
          <w:sz w:val="22"/>
          <w:szCs w:val="22"/>
        </w:rPr>
        <w:t>Levemir</w:t>
      </w:r>
      <w:proofErr w:type="spellEnd"/>
      <w:r w:rsidR="002827EB" w:rsidRPr="00853ED7">
        <w:rPr>
          <w:sz w:val="22"/>
          <w:szCs w:val="22"/>
        </w:rPr>
        <w:t xml:space="preserve"> (see Table 6)</w:t>
      </w:r>
      <w:r w:rsidRPr="00853ED7">
        <w:rPr>
          <w:sz w:val="22"/>
          <w:szCs w:val="22"/>
        </w:rPr>
        <w:t xml:space="preserve">.  </w:t>
      </w:r>
      <w:r w:rsidR="00777874" w:rsidRPr="00853ED7">
        <w:rPr>
          <w:sz w:val="22"/>
          <w:szCs w:val="22"/>
        </w:rPr>
        <w:t xml:space="preserve"> Adding </w:t>
      </w:r>
      <w:proofErr w:type="spellStart"/>
      <w:r w:rsidR="00777874" w:rsidRPr="00853ED7">
        <w:rPr>
          <w:sz w:val="22"/>
          <w:szCs w:val="22"/>
        </w:rPr>
        <w:t>Levemir</w:t>
      </w:r>
      <w:proofErr w:type="spellEnd"/>
      <w:r w:rsidR="00777874" w:rsidRPr="00853ED7">
        <w:rPr>
          <w:sz w:val="22"/>
          <w:szCs w:val="22"/>
        </w:rPr>
        <w:t xml:space="preserve"> did not result in any further clinically significant loss of weight but the initial loss obtained with </w:t>
      </w:r>
      <w:proofErr w:type="spellStart"/>
      <w:r w:rsidR="00777874" w:rsidRPr="00853ED7">
        <w:rPr>
          <w:sz w:val="22"/>
          <w:szCs w:val="22"/>
        </w:rPr>
        <w:t>liraglutide+metformin</w:t>
      </w:r>
      <w:proofErr w:type="spellEnd"/>
      <w:r w:rsidR="00777874" w:rsidRPr="00853ED7">
        <w:rPr>
          <w:sz w:val="22"/>
          <w:szCs w:val="22"/>
        </w:rPr>
        <w:t xml:space="preserve"> dual therapy during the run-in period was maintained.</w:t>
      </w:r>
    </w:p>
    <w:p w:rsidR="00C24A18" w:rsidRPr="00853ED7" w:rsidRDefault="00ED7E0B" w:rsidP="006F4353">
      <w:pPr>
        <w:pStyle w:val="Heading5"/>
        <w:ind w:right="0"/>
      </w:pPr>
      <w:r w:rsidRPr="00853ED7">
        <w:br w:type="page"/>
      </w:r>
      <w:r w:rsidR="00C24A18" w:rsidRPr="00853ED7">
        <w:lastRenderedPageBreak/>
        <w:t>Table 6. Results in type 2 diabetes - Levemir as add-on therapy to liraglutide+metformin (studies 1842, 1842 ext.)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1701"/>
        <w:gridCol w:w="1701"/>
        <w:gridCol w:w="1842"/>
        <w:gridCol w:w="1134"/>
      </w:tblGrid>
      <w:tr w:rsidR="00840826" w:rsidRPr="00853ED7" w:rsidTr="001601C1">
        <w:trPr>
          <w:trHeight w:val="1056"/>
        </w:trPr>
        <w:tc>
          <w:tcPr>
            <w:tcW w:w="1985" w:type="dxa"/>
            <w:shd w:val="clear" w:color="auto" w:fill="FFFF99"/>
          </w:tcPr>
          <w:p w:rsidR="00F72493" w:rsidRPr="00853ED7" w:rsidRDefault="00F72493" w:rsidP="00BE6435">
            <w:pPr>
              <w:rPr>
                <w:rStyle w:val="PageNumber"/>
                <w:sz w:val="20"/>
              </w:rPr>
            </w:pPr>
          </w:p>
        </w:tc>
        <w:tc>
          <w:tcPr>
            <w:tcW w:w="1276" w:type="dxa"/>
            <w:shd w:val="clear" w:color="auto" w:fill="FFFF99"/>
          </w:tcPr>
          <w:p w:rsidR="00F72493" w:rsidRPr="00853ED7" w:rsidRDefault="00F72493" w:rsidP="001601C1">
            <w:pPr>
              <w:jc w:val="center"/>
              <w:rPr>
                <w:rStyle w:val="PageNumber"/>
                <w:sz w:val="20"/>
              </w:rPr>
            </w:pPr>
            <w:r w:rsidRPr="00853ED7">
              <w:rPr>
                <w:b/>
                <w:sz w:val="20"/>
              </w:rPr>
              <w:t>Study weeks</w:t>
            </w:r>
          </w:p>
        </w:tc>
        <w:tc>
          <w:tcPr>
            <w:tcW w:w="1701" w:type="dxa"/>
            <w:shd w:val="clear" w:color="auto" w:fill="FFFF99"/>
          </w:tcPr>
          <w:p w:rsidR="00F72493" w:rsidRPr="00853ED7" w:rsidRDefault="00F72493" w:rsidP="001601C1">
            <w:pPr>
              <w:tabs>
                <w:tab w:val="left" w:pos="567"/>
              </w:tabs>
              <w:spacing w:after="240" w:line="264" w:lineRule="auto"/>
              <w:jc w:val="center"/>
              <w:rPr>
                <w:rStyle w:val="PageNumber"/>
                <w:sz w:val="20"/>
              </w:rPr>
            </w:pPr>
            <w:r w:rsidRPr="00853ED7">
              <w:rPr>
                <w:b/>
                <w:sz w:val="20"/>
              </w:rPr>
              <w:t xml:space="preserve">Randomised </w:t>
            </w:r>
            <w:proofErr w:type="spellStart"/>
            <w:r w:rsidRPr="00853ED7">
              <w:rPr>
                <w:b/>
                <w:sz w:val="20"/>
              </w:rPr>
              <w:t>Levemir</w:t>
            </w:r>
            <w:proofErr w:type="spellEnd"/>
            <w:r w:rsidRPr="00853ED7">
              <w:rPr>
                <w:b/>
                <w:sz w:val="20"/>
              </w:rPr>
              <w:t xml:space="preserve"> + </w:t>
            </w:r>
            <w:proofErr w:type="spellStart"/>
            <w:r w:rsidRPr="00853ED7">
              <w:rPr>
                <w:b/>
                <w:sz w:val="20"/>
              </w:rPr>
              <w:t>liraglutide</w:t>
            </w:r>
            <w:proofErr w:type="spellEnd"/>
            <w:r w:rsidRPr="00853ED7">
              <w:rPr>
                <w:b/>
                <w:sz w:val="20"/>
              </w:rPr>
              <w:t xml:space="preserve"> + metformin </w:t>
            </w:r>
            <w:r w:rsidRPr="00853ED7">
              <w:rPr>
                <w:b/>
                <w:sz w:val="20"/>
              </w:rPr>
              <w:br/>
              <w:t>(N = 160)</w:t>
            </w:r>
          </w:p>
        </w:tc>
        <w:tc>
          <w:tcPr>
            <w:tcW w:w="1701" w:type="dxa"/>
            <w:shd w:val="clear" w:color="auto" w:fill="FFFF99"/>
          </w:tcPr>
          <w:p w:rsidR="00F72493" w:rsidRPr="00853ED7" w:rsidRDefault="00F72493" w:rsidP="001601C1">
            <w:pPr>
              <w:tabs>
                <w:tab w:val="left" w:pos="567"/>
              </w:tabs>
              <w:spacing w:after="240" w:line="264" w:lineRule="auto"/>
              <w:jc w:val="center"/>
              <w:rPr>
                <w:rStyle w:val="PageNumber"/>
                <w:sz w:val="20"/>
              </w:rPr>
            </w:pPr>
            <w:r w:rsidRPr="00853ED7">
              <w:rPr>
                <w:b/>
                <w:sz w:val="20"/>
              </w:rPr>
              <w:t xml:space="preserve">Randomised </w:t>
            </w:r>
            <w:proofErr w:type="spellStart"/>
            <w:r w:rsidRPr="00853ED7">
              <w:rPr>
                <w:b/>
                <w:sz w:val="20"/>
              </w:rPr>
              <w:t>liraglutide</w:t>
            </w:r>
            <w:proofErr w:type="spellEnd"/>
            <w:r w:rsidRPr="00853ED7">
              <w:rPr>
                <w:b/>
                <w:sz w:val="20"/>
              </w:rPr>
              <w:t xml:space="preserve"> + metformin</w:t>
            </w:r>
            <w:r w:rsidRPr="00853ED7">
              <w:rPr>
                <w:b/>
                <w:sz w:val="20"/>
              </w:rPr>
              <w:br/>
              <w:t>(N = 149)</w:t>
            </w:r>
          </w:p>
        </w:tc>
        <w:tc>
          <w:tcPr>
            <w:tcW w:w="1842" w:type="dxa"/>
            <w:shd w:val="clear" w:color="auto" w:fill="FFFF99"/>
          </w:tcPr>
          <w:p w:rsidR="00F72493" w:rsidRPr="00853ED7" w:rsidRDefault="001601C1" w:rsidP="001601C1">
            <w:pPr>
              <w:jc w:val="center"/>
              <w:rPr>
                <w:b/>
                <w:sz w:val="20"/>
              </w:rPr>
            </w:pPr>
            <w:r w:rsidRPr="00853ED7">
              <w:rPr>
                <w:b/>
                <w:sz w:val="20"/>
              </w:rPr>
              <w:t>Treatment difference/ratio [95% CI]</w:t>
            </w:r>
          </w:p>
        </w:tc>
        <w:tc>
          <w:tcPr>
            <w:tcW w:w="1134" w:type="dxa"/>
            <w:shd w:val="clear" w:color="auto" w:fill="FFFF99"/>
          </w:tcPr>
          <w:p w:rsidR="00F72493" w:rsidRPr="00853ED7" w:rsidRDefault="00F72493" w:rsidP="001601C1">
            <w:pPr>
              <w:jc w:val="center"/>
              <w:rPr>
                <w:rStyle w:val="PageNumber"/>
                <w:sz w:val="20"/>
              </w:rPr>
            </w:pPr>
            <w:r w:rsidRPr="00853ED7">
              <w:rPr>
                <w:b/>
                <w:sz w:val="20"/>
              </w:rPr>
              <w:t>P-value</w:t>
            </w:r>
          </w:p>
        </w:tc>
      </w:tr>
      <w:tr w:rsidR="001601C1" w:rsidRPr="00853ED7" w:rsidTr="001601C1">
        <w:trPr>
          <w:trHeight w:val="156"/>
        </w:trPr>
        <w:tc>
          <w:tcPr>
            <w:tcW w:w="1985" w:type="dxa"/>
            <w:vMerge w:val="restart"/>
            <w:shd w:val="clear" w:color="auto" w:fill="auto"/>
          </w:tcPr>
          <w:p w:rsidR="001601C1" w:rsidRPr="00853ED7" w:rsidRDefault="001601C1" w:rsidP="00BE6435">
            <w:pPr>
              <w:rPr>
                <w:rStyle w:val="PageNumber"/>
                <w:sz w:val="20"/>
              </w:rPr>
            </w:pPr>
            <w:r w:rsidRPr="00853ED7">
              <w:rPr>
                <w:rStyle w:val="PageNumber"/>
                <w:sz w:val="20"/>
              </w:rPr>
              <w:t>Mean change in HbA</w:t>
            </w:r>
            <w:r w:rsidRPr="00853ED7">
              <w:rPr>
                <w:rStyle w:val="PageNumber"/>
                <w:sz w:val="20"/>
                <w:vertAlign w:val="subscript"/>
              </w:rPr>
              <w:t>1c</w:t>
            </w:r>
            <w:r w:rsidRPr="00853ED7">
              <w:rPr>
                <w:rStyle w:val="PageNumber"/>
                <w:sz w:val="20"/>
              </w:rPr>
              <w:t xml:space="preserve"> from baseline (%)</w:t>
            </w:r>
          </w:p>
        </w:tc>
        <w:tc>
          <w:tcPr>
            <w:tcW w:w="1276"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26</w:t>
            </w:r>
          </w:p>
        </w:tc>
        <w:tc>
          <w:tcPr>
            <w:tcW w:w="1701"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-0.51</w:t>
            </w:r>
          </w:p>
        </w:tc>
        <w:tc>
          <w:tcPr>
            <w:tcW w:w="1701"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+0.02</w:t>
            </w:r>
          </w:p>
        </w:tc>
        <w:tc>
          <w:tcPr>
            <w:tcW w:w="1842" w:type="dxa"/>
          </w:tcPr>
          <w:p w:rsidR="001601C1" w:rsidRPr="00853ED7" w:rsidRDefault="001601C1" w:rsidP="00F72493">
            <w:pPr>
              <w:tabs>
                <w:tab w:val="left" w:pos="567"/>
              </w:tabs>
              <w:spacing w:after="240" w:line="264" w:lineRule="auto"/>
              <w:jc w:val="center"/>
              <w:rPr>
                <w:sz w:val="20"/>
              </w:rPr>
            </w:pPr>
            <w:r w:rsidRPr="00853ED7">
              <w:rPr>
                <w:sz w:val="20"/>
              </w:rPr>
              <w:t>-0.52 [-0.68 ; -0.36]</w:t>
            </w:r>
          </w:p>
        </w:tc>
        <w:tc>
          <w:tcPr>
            <w:tcW w:w="1134"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&lt;0.0001</w:t>
            </w:r>
          </w:p>
        </w:tc>
      </w:tr>
      <w:tr w:rsidR="001601C1" w:rsidRPr="00853ED7" w:rsidTr="001601C1">
        <w:trPr>
          <w:trHeight w:val="201"/>
        </w:trPr>
        <w:tc>
          <w:tcPr>
            <w:tcW w:w="1985" w:type="dxa"/>
            <w:vMerge/>
            <w:shd w:val="clear" w:color="auto" w:fill="auto"/>
          </w:tcPr>
          <w:p w:rsidR="001601C1" w:rsidRPr="00853ED7" w:rsidRDefault="001601C1" w:rsidP="00BE6435">
            <w:pPr>
              <w:rPr>
                <w:rStyle w:val="PageNumber"/>
                <w:sz w:val="20"/>
              </w:rPr>
            </w:pPr>
          </w:p>
        </w:tc>
        <w:tc>
          <w:tcPr>
            <w:tcW w:w="1276"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52</w:t>
            </w:r>
          </w:p>
        </w:tc>
        <w:tc>
          <w:tcPr>
            <w:tcW w:w="1701"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-0.50</w:t>
            </w:r>
          </w:p>
        </w:tc>
        <w:tc>
          <w:tcPr>
            <w:tcW w:w="1701"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0.01</w:t>
            </w:r>
          </w:p>
        </w:tc>
        <w:tc>
          <w:tcPr>
            <w:tcW w:w="1842" w:type="dxa"/>
          </w:tcPr>
          <w:p w:rsidR="001601C1" w:rsidRPr="00853ED7" w:rsidRDefault="004757A1" w:rsidP="002F4192">
            <w:pPr>
              <w:tabs>
                <w:tab w:val="left" w:pos="567"/>
              </w:tabs>
              <w:spacing w:after="240" w:line="264" w:lineRule="auto"/>
              <w:jc w:val="center"/>
              <w:rPr>
                <w:sz w:val="20"/>
              </w:rPr>
            </w:pPr>
            <w:r>
              <w:rPr>
                <w:sz w:val="20"/>
              </w:rPr>
              <w:t>-0.</w:t>
            </w:r>
            <w:r w:rsidR="001601C1" w:rsidRPr="00853ED7">
              <w:rPr>
                <w:sz w:val="20"/>
              </w:rPr>
              <w:t>51 [-0.70 ; -0.31]</w:t>
            </w:r>
          </w:p>
        </w:tc>
        <w:tc>
          <w:tcPr>
            <w:tcW w:w="1134" w:type="dxa"/>
            <w:shd w:val="clear" w:color="auto" w:fill="auto"/>
            <w:vAlign w:val="bottom"/>
          </w:tcPr>
          <w:p w:rsidR="001601C1" w:rsidRPr="00853ED7" w:rsidRDefault="001601C1" w:rsidP="002F4192">
            <w:pPr>
              <w:tabs>
                <w:tab w:val="left" w:pos="567"/>
              </w:tabs>
              <w:spacing w:after="240" w:line="264" w:lineRule="auto"/>
              <w:jc w:val="center"/>
              <w:rPr>
                <w:sz w:val="20"/>
              </w:rPr>
            </w:pPr>
            <w:r w:rsidRPr="00853ED7">
              <w:rPr>
                <w:sz w:val="20"/>
              </w:rPr>
              <w:t>&lt;0.0001</w:t>
            </w:r>
          </w:p>
        </w:tc>
      </w:tr>
      <w:tr w:rsidR="00840826" w:rsidRPr="00853ED7" w:rsidTr="001601C1">
        <w:trPr>
          <w:trHeight w:val="338"/>
        </w:trPr>
        <w:tc>
          <w:tcPr>
            <w:tcW w:w="1985" w:type="dxa"/>
            <w:vMerge w:val="restart"/>
            <w:shd w:val="clear" w:color="auto" w:fill="auto"/>
          </w:tcPr>
          <w:p w:rsidR="00F72493" w:rsidRPr="00853ED7" w:rsidRDefault="00F72493" w:rsidP="00BE6435">
            <w:pPr>
              <w:rPr>
                <w:rStyle w:val="PageNumber"/>
                <w:sz w:val="20"/>
              </w:rPr>
            </w:pPr>
            <w:r w:rsidRPr="00853ED7">
              <w:rPr>
                <w:sz w:val="20"/>
              </w:rPr>
              <w:t>Proportions of patients achieving HbA</w:t>
            </w:r>
            <w:r w:rsidRPr="00853ED7">
              <w:rPr>
                <w:sz w:val="20"/>
                <w:vertAlign w:val="subscript"/>
              </w:rPr>
              <w:t>1c</w:t>
            </w:r>
            <w:r w:rsidRPr="00853ED7">
              <w:rPr>
                <w:sz w:val="20"/>
              </w:rPr>
              <w:t xml:space="preserve"> &lt;7% targets (%)</w:t>
            </w:r>
          </w:p>
        </w:tc>
        <w:tc>
          <w:tcPr>
            <w:tcW w:w="1276"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26</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43.1</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16.8</w:t>
            </w:r>
          </w:p>
        </w:tc>
        <w:tc>
          <w:tcPr>
            <w:tcW w:w="1842" w:type="dxa"/>
          </w:tcPr>
          <w:p w:rsidR="00840826" w:rsidRPr="00853ED7" w:rsidRDefault="001601C1" w:rsidP="002F4192">
            <w:pPr>
              <w:tabs>
                <w:tab w:val="left" w:pos="567"/>
              </w:tabs>
              <w:spacing w:after="240" w:line="264" w:lineRule="auto"/>
              <w:jc w:val="center"/>
              <w:rPr>
                <w:sz w:val="20"/>
              </w:rPr>
            </w:pPr>
            <w:r w:rsidRPr="00853ED7">
              <w:rPr>
                <w:sz w:val="20"/>
              </w:rPr>
              <w:t>3.75</w:t>
            </w:r>
            <w:r w:rsidRPr="00853ED7">
              <w:rPr>
                <w:sz w:val="20"/>
                <w:vertAlign w:val="superscript"/>
              </w:rPr>
              <w:t>a</w:t>
            </w:r>
            <w:r w:rsidRPr="00853ED7">
              <w:rPr>
                <w:sz w:val="20"/>
              </w:rPr>
              <w:t xml:space="preserve"> [2.19 ; 6,45]</w:t>
            </w:r>
          </w:p>
        </w:tc>
        <w:tc>
          <w:tcPr>
            <w:tcW w:w="1134"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&lt;0.0001</w:t>
            </w:r>
          </w:p>
        </w:tc>
      </w:tr>
      <w:tr w:rsidR="00840826" w:rsidRPr="00853ED7" w:rsidTr="001601C1">
        <w:trPr>
          <w:trHeight w:val="101"/>
        </w:trPr>
        <w:tc>
          <w:tcPr>
            <w:tcW w:w="1985" w:type="dxa"/>
            <w:vMerge/>
            <w:shd w:val="clear" w:color="auto" w:fill="auto"/>
          </w:tcPr>
          <w:p w:rsidR="00F72493" w:rsidRPr="00853ED7" w:rsidRDefault="00F72493" w:rsidP="00BE6435">
            <w:pPr>
              <w:rPr>
                <w:rStyle w:val="PageNumber"/>
                <w:sz w:val="20"/>
              </w:rPr>
            </w:pPr>
          </w:p>
        </w:tc>
        <w:tc>
          <w:tcPr>
            <w:tcW w:w="1276"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52</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51.9</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21.5</w:t>
            </w:r>
          </w:p>
        </w:tc>
        <w:tc>
          <w:tcPr>
            <w:tcW w:w="1842" w:type="dxa"/>
          </w:tcPr>
          <w:p w:rsidR="00E85C71" w:rsidRPr="00853ED7" w:rsidRDefault="001601C1" w:rsidP="002F4192">
            <w:pPr>
              <w:tabs>
                <w:tab w:val="left" w:pos="567"/>
              </w:tabs>
              <w:spacing w:after="240" w:line="264" w:lineRule="auto"/>
              <w:jc w:val="center"/>
              <w:rPr>
                <w:sz w:val="20"/>
              </w:rPr>
            </w:pPr>
            <w:r w:rsidRPr="00853ED7">
              <w:rPr>
                <w:sz w:val="20"/>
              </w:rPr>
              <w:t>3.94</w:t>
            </w:r>
            <w:r w:rsidRPr="00853ED7">
              <w:rPr>
                <w:sz w:val="20"/>
                <w:vertAlign w:val="superscript"/>
              </w:rPr>
              <w:t>a</w:t>
            </w:r>
            <w:r w:rsidRPr="00853ED7">
              <w:rPr>
                <w:sz w:val="20"/>
              </w:rPr>
              <w:t xml:space="preserve"> [2.37 ; 6.55]</w:t>
            </w:r>
          </w:p>
        </w:tc>
        <w:tc>
          <w:tcPr>
            <w:tcW w:w="1134"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&lt;0.0001</w:t>
            </w:r>
          </w:p>
        </w:tc>
      </w:tr>
      <w:tr w:rsidR="00840826" w:rsidRPr="00853ED7" w:rsidTr="001601C1">
        <w:trPr>
          <w:trHeight w:val="338"/>
        </w:trPr>
        <w:tc>
          <w:tcPr>
            <w:tcW w:w="1985" w:type="dxa"/>
            <w:vMerge w:val="restart"/>
            <w:shd w:val="clear" w:color="auto" w:fill="auto"/>
          </w:tcPr>
          <w:p w:rsidR="00F72493" w:rsidRPr="00853ED7" w:rsidRDefault="00F72493" w:rsidP="00BE6435">
            <w:pPr>
              <w:rPr>
                <w:rStyle w:val="PageNumber"/>
                <w:sz w:val="20"/>
              </w:rPr>
            </w:pPr>
            <w:r w:rsidRPr="00853ED7">
              <w:rPr>
                <w:sz w:val="20"/>
              </w:rPr>
              <w:t>Minor hypoglycaemic episodes (per patient year)</w:t>
            </w:r>
          </w:p>
        </w:tc>
        <w:tc>
          <w:tcPr>
            <w:tcW w:w="1276"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26</w:t>
            </w:r>
          </w:p>
        </w:tc>
        <w:tc>
          <w:tcPr>
            <w:tcW w:w="1701" w:type="dxa"/>
            <w:shd w:val="clear" w:color="auto" w:fill="auto"/>
            <w:vAlign w:val="bottom"/>
          </w:tcPr>
          <w:p w:rsidR="00F72493" w:rsidRPr="00853ED7" w:rsidRDefault="00F72493" w:rsidP="007368AF">
            <w:pPr>
              <w:tabs>
                <w:tab w:val="left" w:pos="567"/>
              </w:tabs>
              <w:spacing w:after="240" w:line="264" w:lineRule="auto"/>
              <w:jc w:val="center"/>
              <w:rPr>
                <w:sz w:val="20"/>
              </w:rPr>
            </w:pPr>
            <w:r w:rsidRPr="00853ED7">
              <w:rPr>
                <w:sz w:val="20"/>
              </w:rPr>
              <w:t>0.286</w:t>
            </w:r>
          </w:p>
        </w:tc>
        <w:tc>
          <w:tcPr>
            <w:tcW w:w="1701" w:type="dxa"/>
            <w:shd w:val="clear" w:color="auto" w:fill="auto"/>
            <w:vAlign w:val="bottom"/>
          </w:tcPr>
          <w:p w:rsidR="00F72493" w:rsidRPr="00853ED7" w:rsidRDefault="00F72493" w:rsidP="007368AF">
            <w:pPr>
              <w:tabs>
                <w:tab w:val="left" w:pos="567"/>
              </w:tabs>
              <w:spacing w:after="240" w:line="264" w:lineRule="auto"/>
              <w:jc w:val="center"/>
              <w:rPr>
                <w:sz w:val="20"/>
              </w:rPr>
            </w:pPr>
            <w:r w:rsidRPr="00853ED7">
              <w:rPr>
                <w:sz w:val="20"/>
              </w:rPr>
              <w:t>0.029</w:t>
            </w:r>
          </w:p>
        </w:tc>
        <w:tc>
          <w:tcPr>
            <w:tcW w:w="1842" w:type="dxa"/>
          </w:tcPr>
          <w:p w:rsidR="00F72493" w:rsidRPr="00853ED7" w:rsidRDefault="001601C1" w:rsidP="007368AF">
            <w:pPr>
              <w:tabs>
                <w:tab w:val="left" w:pos="567"/>
              </w:tabs>
              <w:spacing w:after="240" w:line="264" w:lineRule="auto"/>
              <w:jc w:val="center"/>
              <w:rPr>
                <w:sz w:val="20"/>
              </w:rPr>
            </w:pPr>
            <w:r w:rsidRPr="00853ED7">
              <w:rPr>
                <w:sz w:val="20"/>
              </w:rPr>
              <w:t>9.91</w:t>
            </w:r>
            <w:r w:rsidRPr="00853ED7">
              <w:rPr>
                <w:sz w:val="20"/>
                <w:vertAlign w:val="superscript"/>
              </w:rPr>
              <w:t>b</w:t>
            </w:r>
            <w:r w:rsidRPr="00853ED7">
              <w:rPr>
                <w:sz w:val="20"/>
              </w:rPr>
              <w:t xml:space="preserve"> [2.11 ; 46.62]</w:t>
            </w:r>
          </w:p>
        </w:tc>
        <w:tc>
          <w:tcPr>
            <w:tcW w:w="1134" w:type="dxa"/>
            <w:shd w:val="clear" w:color="auto" w:fill="auto"/>
            <w:vAlign w:val="bottom"/>
          </w:tcPr>
          <w:p w:rsidR="00F72493" w:rsidRPr="00853ED7" w:rsidRDefault="00F72493" w:rsidP="007368AF">
            <w:pPr>
              <w:tabs>
                <w:tab w:val="left" w:pos="567"/>
              </w:tabs>
              <w:spacing w:after="240" w:line="264" w:lineRule="auto"/>
              <w:jc w:val="center"/>
              <w:rPr>
                <w:sz w:val="20"/>
              </w:rPr>
            </w:pPr>
            <w:r w:rsidRPr="00853ED7">
              <w:rPr>
                <w:sz w:val="20"/>
              </w:rPr>
              <w:t>0.0037</w:t>
            </w:r>
          </w:p>
        </w:tc>
      </w:tr>
      <w:tr w:rsidR="00840826" w:rsidRPr="00853ED7" w:rsidTr="001601C1">
        <w:trPr>
          <w:trHeight w:val="70"/>
        </w:trPr>
        <w:tc>
          <w:tcPr>
            <w:tcW w:w="1985" w:type="dxa"/>
            <w:vMerge/>
            <w:shd w:val="clear" w:color="auto" w:fill="auto"/>
          </w:tcPr>
          <w:p w:rsidR="00F72493" w:rsidRPr="00853ED7" w:rsidRDefault="00F72493" w:rsidP="00BE6435">
            <w:pPr>
              <w:rPr>
                <w:rStyle w:val="PageNumber"/>
                <w:sz w:val="20"/>
              </w:rPr>
            </w:pPr>
          </w:p>
        </w:tc>
        <w:tc>
          <w:tcPr>
            <w:tcW w:w="1276"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52</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0.228</w:t>
            </w:r>
          </w:p>
        </w:tc>
        <w:tc>
          <w:tcPr>
            <w:tcW w:w="1701"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0.034</w:t>
            </w:r>
          </w:p>
        </w:tc>
        <w:tc>
          <w:tcPr>
            <w:tcW w:w="1842" w:type="dxa"/>
          </w:tcPr>
          <w:p w:rsidR="00F72493" w:rsidRPr="00853ED7" w:rsidRDefault="001601C1" w:rsidP="002F4192">
            <w:pPr>
              <w:tabs>
                <w:tab w:val="left" w:pos="567"/>
              </w:tabs>
              <w:spacing w:after="240" w:line="264" w:lineRule="auto"/>
              <w:jc w:val="center"/>
              <w:rPr>
                <w:sz w:val="20"/>
              </w:rPr>
            </w:pPr>
            <w:r w:rsidRPr="00853ED7">
              <w:rPr>
                <w:sz w:val="20"/>
              </w:rPr>
              <w:t>6.80</w:t>
            </w:r>
            <w:r w:rsidRPr="00853ED7">
              <w:rPr>
                <w:sz w:val="20"/>
                <w:vertAlign w:val="superscript"/>
              </w:rPr>
              <w:t>b</w:t>
            </w:r>
            <w:r w:rsidRPr="00853ED7">
              <w:rPr>
                <w:sz w:val="20"/>
              </w:rPr>
              <w:t xml:space="preserve"> [0.78 ; 8.97]</w:t>
            </w:r>
          </w:p>
        </w:tc>
        <w:tc>
          <w:tcPr>
            <w:tcW w:w="1134" w:type="dxa"/>
            <w:shd w:val="clear" w:color="auto" w:fill="auto"/>
            <w:vAlign w:val="bottom"/>
          </w:tcPr>
          <w:p w:rsidR="00F72493" w:rsidRPr="00853ED7" w:rsidRDefault="00F72493" w:rsidP="002F4192">
            <w:pPr>
              <w:tabs>
                <w:tab w:val="left" w:pos="567"/>
              </w:tabs>
              <w:spacing w:after="240" w:line="264" w:lineRule="auto"/>
              <w:jc w:val="center"/>
              <w:rPr>
                <w:sz w:val="20"/>
              </w:rPr>
            </w:pPr>
            <w:r w:rsidRPr="00853ED7">
              <w:rPr>
                <w:sz w:val="20"/>
              </w:rPr>
              <w:t>0.0011</w:t>
            </w:r>
          </w:p>
        </w:tc>
      </w:tr>
    </w:tbl>
    <w:p w:rsidR="00C24A18" w:rsidRPr="00853ED7" w:rsidRDefault="001601C1" w:rsidP="001601C1">
      <w:pPr>
        <w:overflowPunct/>
        <w:textAlignment w:val="auto"/>
        <w:rPr>
          <w:i/>
          <w:sz w:val="22"/>
        </w:rPr>
      </w:pPr>
      <w:r w:rsidRPr="00853ED7">
        <w:rPr>
          <w:i/>
          <w:sz w:val="18"/>
        </w:rPr>
        <w:t xml:space="preserve"> </w:t>
      </w:r>
      <w:proofErr w:type="spellStart"/>
      <w:r w:rsidR="00C261A3" w:rsidRPr="00C261A3">
        <w:rPr>
          <w:i/>
          <w:sz w:val="18"/>
          <w:vertAlign w:val="superscript"/>
        </w:rPr>
        <w:t>a</w:t>
      </w:r>
      <w:r w:rsidRPr="00853ED7">
        <w:rPr>
          <w:i/>
          <w:sz w:val="18"/>
        </w:rPr>
        <w:t>Odds</w:t>
      </w:r>
      <w:proofErr w:type="spellEnd"/>
      <w:r w:rsidRPr="00853ED7">
        <w:rPr>
          <w:i/>
          <w:sz w:val="18"/>
        </w:rPr>
        <w:t xml:space="preserve"> ratio; </w:t>
      </w:r>
      <w:proofErr w:type="spellStart"/>
      <w:r w:rsidRPr="00853ED7">
        <w:rPr>
          <w:i/>
          <w:sz w:val="18"/>
          <w:vertAlign w:val="superscript"/>
        </w:rPr>
        <w:t>b</w:t>
      </w:r>
      <w:r w:rsidRPr="00853ED7">
        <w:rPr>
          <w:i/>
          <w:sz w:val="18"/>
        </w:rPr>
        <w:t>Rate</w:t>
      </w:r>
      <w:proofErr w:type="spellEnd"/>
      <w:r w:rsidRPr="00853ED7">
        <w:rPr>
          <w:i/>
          <w:sz w:val="18"/>
        </w:rPr>
        <w:t xml:space="preserve"> ratio</w:t>
      </w:r>
    </w:p>
    <w:p w:rsidR="001601C1" w:rsidRPr="00853ED7" w:rsidRDefault="001601C1" w:rsidP="001601C1">
      <w:pPr>
        <w:overflowPunct/>
        <w:textAlignment w:val="auto"/>
        <w:rPr>
          <w:sz w:val="22"/>
        </w:rPr>
      </w:pPr>
    </w:p>
    <w:p w:rsidR="00D77859" w:rsidRPr="00853ED7" w:rsidRDefault="00D77859" w:rsidP="002D4E2E">
      <w:pPr>
        <w:pStyle w:val="Heading4"/>
        <w:rPr>
          <w:sz w:val="22"/>
          <w:szCs w:val="22"/>
          <w:u w:val="single"/>
        </w:rPr>
      </w:pPr>
      <w:r w:rsidRPr="00853ED7">
        <w:rPr>
          <w:sz w:val="22"/>
          <w:szCs w:val="22"/>
          <w:u w:val="single"/>
        </w:rPr>
        <w:t>Basal/bolus therapy (study 1336)</w:t>
      </w:r>
    </w:p>
    <w:p w:rsidR="00D77859" w:rsidRPr="00853ED7" w:rsidRDefault="00D77859" w:rsidP="001D5870">
      <w:pPr>
        <w:rPr>
          <w:sz w:val="22"/>
          <w:szCs w:val="22"/>
        </w:rPr>
      </w:pPr>
      <w:r w:rsidRPr="00853ED7">
        <w:rPr>
          <w:sz w:val="22"/>
          <w:szCs w:val="22"/>
          <w:lang w:eastAsia="da-DK"/>
        </w:rPr>
        <w:t xml:space="preserve">Study 1336 (N = 505) was a 6 month, phase 3, multicentre, open, randomised, parallel study of </w:t>
      </w:r>
      <w:proofErr w:type="spellStart"/>
      <w:r w:rsidRPr="00853ED7">
        <w:rPr>
          <w:sz w:val="22"/>
          <w:szCs w:val="22"/>
          <w:lang w:eastAsia="da-DK"/>
        </w:rPr>
        <w:t>Levemir</w:t>
      </w:r>
      <w:proofErr w:type="spellEnd"/>
      <w:r w:rsidRPr="00853ED7">
        <w:rPr>
          <w:sz w:val="22"/>
          <w:szCs w:val="22"/>
          <w:lang w:eastAsia="da-DK"/>
        </w:rPr>
        <w:t xml:space="preserve"> (marketed formulation insulin </w:t>
      </w:r>
      <w:proofErr w:type="spellStart"/>
      <w:r w:rsidRPr="00853ED7">
        <w:rPr>
          <w:sz w:val="22"/>
          <w:szCs w:val="22"/>
          <w:lang w:eastAsia="da-DK"/>
        </w:rPr>
        <w:t>detemir</w:t>
      </w:r>
      <w:proofErr w:type="spellEnd"/>
      <w:r w:rsidRPr="00853ED7">
        <w:rPr>
          <w:sz w:val="22"/>
          <w:szCs w:val="22"/>
          <w:lang w:eastAsia="da-DK"/>
        </w:rPr>
        <w:t xml:space="preserve">) and NPH in patients with type 2 diabetes treated with a basal/bolus regimen. </w:t>
      </w:r>
      <w:r w:rsidR="00C906A4" w:rsidRPr="00853ED7">
        <w:rPr>
          <w:sz w:val="22"/>
          <w:szCs w:val="22"/>
          <w:lang w:eastAsia="da-DK"/>
        </w:rPr>
        <w:t xml:space="preserve"> </w:t>
      </w:r>
      <w:r w:rsidR="003924F5" w:rsidRPr="00853ED7">
        <w:rPr>
          <w:sz w:val="22"/>
          <w:szCs w:val="22"/>
          <w:lang w:eastAsia="da-DK"/>
        </w:rPr>
        <w:t xml:space="preserve">Insulin </w:t>
      </w:r>
      <w:proofErr w:type="spellStart"/>
      <w:r w:rsidR="003924F5" w:rsidRPr="00853ED7">
        <w:rPr>
          <w:sz w:val="22"/>
          <w:szCs w:val="22"/>
          <w:lang w:eastAsia="da-DK"/>
        </w:rPr>
        <w:t>aspart</w:t>
      </w:r>
      <w:proofErr w:type="spellEnd"/>
      <w:r w:rsidR="00C906A4" w:rsidRPr="00853ED7">
        <w:rPr>
          <w:sz w:val="22"/>
          <w:szCs w:val="22"/>
          <w:lang w:eastAsia="da-DK"/>
        </w:rPr>
        <w:t xml:space="preserve"> </w:t>
      </w:r>
      <w:r w:rsidRPr="00853ED7">
        <w:rPr>
          <w:sz w:val="22"/>
          <w:szCs w:val="22"/>
          <w:lang w:eastAsia="da-DK"/>
        </w:rPr>
        <w:t>was employed as the bolus insulin. The primary endpoint was HbA</w:t>
      </w:r>
      <w:r w:rsidRPr="00853ED7">
        <w:rPr>
          <w:sz w:val="22"/>
          <w:szCs w:val="22"/>
          <w:vertAlign w:val="subscript"/>
          <w:lang w:eastAsia="da-DK"/>
        </w:rPr>
        <w:t>1c</w:t>
      </w:r>
      <w:r w:rsidRPr="00853ED7">
        <w:rPr>
          <w:sz w:val="22"/>
          <w:szCs w:val="22"/>
          <w:lang w:eastAsia="da-DK"/>
        </w:rPr>
        <w:t xml:space="preserve">, and after 6 months the reduction in </w:t>
      </w:r>
      <w:bookmarkStart w:id="26" w:name="OLE_LINK1"/>
      <w:bookmarkStart w:id="27" w:name="OLE_LINK2"/>
      <w:r w:rsidRPr="00853ED7">
        <w:rPr>
          <w:sz w:val="22"/>
          <w:szCs w:val="22"/>
          <w:lang w:eastAsia="da-DK"/>
        </w:rPr>
        <w:t>HbA</w:t>
      </w:r>
      <w:r w:rsidRPr="00853ED7">
        <w:rPr>
          <w:sz w:val="22"/>
          <w:szCs w:val="22"/>
          <w:vertAlign w:val="subscript"/>
          <w:lang w:eastAsia="da-DK"/>
        </w:rPr>
        <w:t>1c</w:t>
      </w:r>
      <w:bookmarkEnd w:id="26"/>
      <w:bookmarkEnd w:id="27"/>
      <w:r w:rsidRPr="00853ED7">
        <w:rPr>
          <w:sz w:val="22"/>
          <w:szCs w:val="22"/>
          <w:lang w:eastAsia="da-DK"/>
        </w:rPr>
        <w:t xml:space="preserve"> was non-inferior for </w:t>
      </w:r>
      <w:proofErr w:type="spellStart"/>
      <w:r w:rsidR="00C906A4" w:rsidRPr="00853ED7">
        <w:rPr>
          <w:sz w:val="22"/>
          <w:szCs w:val="22"/>
          <w:lang w:eastAsia="da-DK"/>
        </w:rPr>
        <w:t>Levemir</w:t>
      </w:r>
      <w:proofErr w:type="spellEnd"/>
      <w:r w:rsidR="00C906A4" w:rsidRPr="00853ED7">
        <w:rPr>
          <w:sz w:val="22"/>
          <w:szCs w:val="22"/>
          <w:lang w:eastAsia="da-DK"/>
        </w:rPr>
        <w:t xml:space="preserve"> </w:t>
      </w:r>
      <w:r w:rsidRPr="00853ED7">
        <w:rPr>
          <w:sz w:val="22"/>
          <w:szCs w:val="22"/>
          <w:lang w:eastAsia="da-DK"/>
        </w:rPr>
        <w:t>versus NPH (mean difference (</w:t>
      </w:r>
      <w:proofErr w:type="spellStart"/>
      <w:r w:rsidR="00C906A4" w:rsidRPr="00853ED7">
        <w:rPr>
          <w:sz w:val="22"/>
          <w:szCs w:val="22"/>
          <w:lang w:eastAsia="da-DK"/>
        </w:rPr>
        <w:t>Levemir</w:t>
      </w:r>
      <w:proofErr w:type="spellEnd"/>
      <w:r w:rsidR="00E01580" w:rsidRPr="00853ED7">
        <w:rPr>
          <w:sz w:val="22"/>
          <w:szCs w:val="22"/>
          <w:lang w:eastAsia="da-DK"/>
        </w:rPr>
        <w:t xml:space="preserve"> </w:t>
      </w:r>
      <w:r w:rsidRPr="00853ED7">
        <w:rPr>
          <w:sz w:val="22"/>
          <w:szCs w:val="22"/>
          <w:lang w:eastAsia="da-DK"/>
        </w:rPr>
        <w:t xml:space="preserve">– NPH) [95% CI] was 0.157 [0.003, 0.312]). Secondary endpoints such as FPG, 9 point blood glucose profiles, hypoglycaemia (total and nocturnal), quality of life and most of the safety profiles were all similar between the two treatment groups. The within-subject variation in FBG (p=0.021) was significantly lower for </w:t>
      </w:r>
      <w:proofErr w:type="spellStart"/>
      <w:r w:rsidRPr="00853ED7">
        <w:rPr>
          <w:sz w:val="22"/>
          <w:szCs w:val="22"/>
          <w:lang w:eastAsia="da-DK"/>
        </w:rPr>
        <w:t>Levemir</w:t>
      </w:r>
      <w:proofErr w:type="spellEnd"/>
      <w:r w:rsidRPr="00853ED7">
        <w:rPr>
          <w:sz w:val="22"/>
          <w:szCs w:val="22"/>
          <w:lang w:eastAsia="da-DK"/>
        </w:rPr>
        <w:t xml:space="preserve"> compared with NPH insulin.</w:t>
      </w:r>
      <w:r w:rsidR="00312DD2" w:rsidRPr="00853ED7">
        <w:rPr>
          <w:sz w:val="22"/>
          <w:szCs w:val="22"/>
          <w:lang w:eastAsia="da-DK"/>
        </w:rPr>
        <w:t xml:space="preserve"> </w:t>
      </w:r>
      <w:r w:rsidR="00312DD2" w:rsidRPr="00853ED7">
        <w:rPr>
          <w:sz w:val="22"/>
          <w:szCs w:val="22"/>
          <w:lang w:val="en-GB"/>
        </w:rPr>
        <w:t xml:space="preserve">At end of study, the mean basal insulin doses were 36.4 units per day for </w:t>
      </w:r>
      <w:proofErr w:type="spellStart"/>
      <w:r w:rsidR="00312DD2" w:rsidRPr="00853ED7">
        <w:rPr>
          <w:sz w:val="22"/>
          <w:szCs w:val="22"/>
          <w:lang w:val="en-GB"/>
        </w:rPr>
        <w:t>Levemir</w:t>
      </w:r>
      <w:proofErr w:type="spellEnd"/>
      <w:r w:rsidR="00312DD2" w:rsidRPr="00853ED7">
        <w:rPr>
          <w:sz w:val="22"/>
          <w:szCs w:val="22"/>
          <w:lang w:val="en-GB"/>
        </w:rPr>
        <w:t>, and 35.3 IU per day for NPH, and the mean bolus insulin doses were 40.2 U and 35.8 U per day respectively.</w:t>
      </w:r>
    </w:p>
    <w:p w:rsidR="00D77859" w:rsidRPr="00853ED7" w:rsidRDefault="00D77859" w:rsidP="001D5870">
      <w:pPr>
        <w:rPr>
          <w:sz w:val="22"/>
          <w:szCs w:val="22"/>
        </w:rPr>
      </w:pPr>
    </w:p>
    <w:p w:rsidR="00D77859" w:rsidRPr="00853ED7" w:rsidRDefault="00D77859" w:rsidP="001D5870">
      <w:pPr>
        <w:rPr>
          <w:sz w:val="22"/>
          <w:szCs w:val="22"/>
          <w:lang w:eastAsia="da-DK"/>
        </w:rPr>
      </w:pPr>
      <w:r w:rsidRPr="00853ED7">
        <w:rPr>
          <w:sz w:val="22"/>
          <w:szCs w:val="22"/>
          <w:lang w:eastAsia="da-DK"/>
        </w:rPr>
        <w:t xml:space="preserve">Results of other ongoing studies supporting the basal/bolus use of </w:t>
      </w:r>
      <w:proofErr w:type="spellStart"/>
      <w:r w:rsidRPr="00853ED7">
        <w:rPr>
          <w:sz w:val="22"/>
          <w:szCs w:val="22"/>
          <w:lang w:eastAsia="da-DK"/>
        </w:rPr>
        <w:t>Levemir</w:t>
      </w:r>
      <w:proofErr w:type="spellEnd"/>
      <w:r w:rsidRPr="00853ED7">
        <w:rPr>
          <w:sz w:val="22"/>
          <w:szCs w:val="22"/>
          <w:lang w:eastAsia="da-DK"/>
        </w:rPr>
        <w:t xml:space="preserve"> in patients with type 2 diabetes mellitus are not yet available.</w:t>
      </w:r>
    </w:p>
    <w:p w:rsidR="00D77859" w:rsidRPr="00186DDC" w:rsidRDefault="00D77859" w:rsidP="001D5870">
      <w:pPr>
        <w:rPr>
          <w:sz w:val="22"/>
          <w:szCs w:val="22"/>
        </w:rPr>
      </w:pPr>
    </w:p>
    <w:p w:rsidR="00D77859" w:rsidRPr="00853ED7" w:rsidRDefault="00D77859" w:rsidP="002D4E2E">
      <w:pPr>
        <w:pStyle w:val="Heading4"/>
        <w:rPr>
          <w:sz w:val="22"/>
          <w:szCs w:val="22"/>
          <w:u w:val="single"/>
        </w:rPr>
      </w:pPr>
      <w:r w:rsidRPr="00853ED7">
        <w:rPr>
          <w:sz w:val="22"/>
          <w:szCs w:val="22"/>
          <w:u w:val="single"/>
        </w:rPr>
        <w:t xml:space="preserve">Basal </w:t>
      </w:r>
      <w:proofErr w:type="spellStart"/>
      <w:r w:rsidRPr="00853ED7">
        <w:rPr>
          <w:sz w:val="22"/>
          <w:szCs w:val="22"/>
          <w:u w:val="single"/>
        </w:rPr>
        <w:t>monotherapy</w:t>
      </w:r>
      <w:proofErr w:type="spellEnd"/>
      <w:r w:rsidRPr="00853ED7">
        <w:rPr>
          <w:sz w:val="22"/>
          <w:szCs w:val="22"/>
          <w:u w:val="single"/>
        </w:rPr>
        <w:t xml:space="preserve"> (study 1166)</w:t>
      </w:r>
    </w:p>
    <w:p w:rsidR="00D77859" w:rsidRPr="00853ED7" w:rsidRDefault="00D77859" w:rsidP="001D5870">
      <w:pPr>
        <w:rPr>
          <w:sz w:val="22"/>
          <w:szCs w:val="22"/>
        </w:rPr>
      </w:pPr>
      <w:r w:rsidRPr="00853ED7">
        <w:rPr>
          <w:sz w:val="22"/>
          <w:szCs w:val="22"/>
          <w:lang w:eastAsia="da-DK"/>
        </w:rPr>
        <w:t xml:space="preserve">Study 1166 (N = 439) was a 6 month, phase 3 basal </w:t>
      </w:r>
      <w:proofErr w:type="spellStart"/>
      <w:r w:rsidRPr="00853ED7">
        <w:rPr>
          <w:sz w:val="22"/>
          <w:szCs w:val="22"/>
          <w:lang w:eastAsia="da-DK"/>
        </w:rPr>
        <w:t>monotherapy</w:t>
      </w:r>
      <w:proofErr w:type="spellEnd"/>
      <w:r w:rsidRPr="00853ED7">
        <w:rPr>
          <w:sz w:val="22"/>
          <w:szCs w:val="22"/>
          <w:lang w:eastAsia="da-DK"/>
        </w:rPr>
        <w:t xml:space="preserve"> study of twice-daily </w:t>
      </w:r>
      <w:proofErr w:type="spellStart"/>
      <w:r w:rsidRPr="00853ED7">
        <w:rPr>
          <w:sz w:val="22"/>
          <w:szCs w:val="22"/>
          <w:lang w:eastAsia="da-DK"/>
        </w:rPr>
        <w:t>Levemir</w:t>
      </w:r>
      <w:proofErr w:type="spellEnd"/>
      <w:r w:rsidRPr="00853ED7">
        <w:rPr>
          <w:sz w:val="22"/>
          <w:szCs w:val="22"/>
          <w:lang w:eastAsia="da-DK"/>
        </w:rPr>
        <w:t xml:space="preserve"> (early-development formulation insulin </w:t>
      </w:r>
      <w:proofErr w:type="spellStart"/>
      <w:r w:rsidRPr="00853ED7">
        <w:rPr>
          <w:sz w:val="22"/>
          <w:szCs w:val="22"/>
          <w:lang w:eastAsia="da-DK"/>
        </w:rPr>
        <w:t>detemir</w:t>
      </w:r>
      <w:proofErr w:type="spellEnd"/>
      <w:r w:rsidRPr="00853ED7">
        <w:rPr>
          <w:sz w:val="22"/>
          <w:szCs w:val="22"/>
          <w:lang w:eastAsia="da-DK"/>
        </w:rPr>
        <w:t xml:space="preserve">) versus NPH, in patients aged 35 years or more with type 2 diabetes receiving ≤ 120 IU total insulin per day. </w:t>
      </w:r>
      <w:r w:rsidRPr="00853ED7">
        <w:rPr>
          <w:sz w:val="22"/>
          <w:szCs w:val="22"/>
        </w:rPr>
        <w:t>The primary endpoint was HbA</w:t>
      </w:r>
      <w:r w:rsidRPr="00853ED7">
        <w:rPr>
          <w:sz w:val="22"/>
          <w:szCs w:val="22"/>
          <w:vertAlign w:val="subscript"/>
          <w:lang w:eastAsia="da-DK"/>
        </w:rPr>
        <w:t>1c</w:t>
      </w:r>
      <w:r w:rsidRPr="00853ED7">
        <w:rPr>
          <w:sz w:val="22"/>
          <w:szCs w:val="22"/>
        </w:rPr>
        <w:t xml:space="preserve">, and after 6 months </w:t>
      </w:r>
      <w:proofErr w:type="spellStart"/>
      <w:r w:rsidRPr="00853ED7">
        <w:rPr>
          <w:sz w:val="22"/>
          <w:szCs w:val="22"/>
        </w:rPr>
        <w:t>Levemir</w:t>
      </w:r>
      <w:proofErr w:type="spellEnd"/>
      <w:r w:rsidRPr="00853ED7">
        <w:rPr>
          <w:sz w:val="22"/>
          <w:szCs w:val="22"/>
        </w:rPr>
        <w:t xml:space="preserve"> was inferior to NPH insulin </w:t>
      </w:r>
      <w:r w:rsidRPr="00853ED7">
        <w:rPr>
          <w:sz w:val="22"/>
          <w:szCs w:val="22"/>
          <w:lang w:eastAsia="da-DK"/>
        </w:rPr>
        <w:t>(mean difference (</w:t>
      </w:r>
      <w:proofErr w:type="spellStart"/>
      <w:r w:rsidR="00C906A4" w:rsidRPr="00853ED7">
        <w:rPr>
          <w:sz w:val="22"/>
          <w:szCs w:val="22"/>
          <w:lang w:eastAsia="da-DK"/>
        </w:rPr>
        <w:t>Levemir</w:t>
      </w:r>
      <w:proofErr w:type="spellEnd"/>
      <w:r w:rsidRPr="00853ED7">
        <w:rPr>
          <w:sz w:val="22"/>
          <w:szCs w:val="22"/>
          <w:lang w:eastAsia="da-DK"/>
        </w:rPr>
        <w:t>– NPH) [95% CI] was 0.660 [0.436, 0.885])</w:t>
      </w:r>
      <w:r w:rsidRPr="00853ED7">
        <w:rPr>
          <w:sz w:val="22"/>
          <w:szCs w:val="22"/>
        </w:rPr>
        <w:t xml:space="preserve">. Secondary endpoints included FPG, 9 point blood glucose profiles, within-subject variability, hypoglycaemia and weight control.  FPG and 9 point blood glucose profiles were inferior with </w:t>
      </w:r>
      <w:proofErr w:type="spellStart"/>
      <w:r w:rsidRPr="00853ED7">
        <w:rPr>
          <w:sz w:val="22"/>
          <w:szCs w:val="22"/>
        </w:rPr>
        <w:t>Levemir</w:t>
      </w:r>
      <w:proofErr w:type="spellEnd"/>
      <w:r w:rsidRPr="00853ED7">
        <w:rPr>
          <w:sz w:val="22"/>
          <w:szCs w:val="22"/>
        </w:rPr>
        <w:t xml:space="preserve"> compared with NPH.  Within-subject variability and hypoglycaemia were similar between the two treatment arms.  Withdrawals due to lack of efficacy were seen in 10.7% of </w:t>
      </w:r>
      <w:proofErr w:type="spellStart"/>
      <w:r w:rsidRPr="00853ED7">
        <w:rPr>
          <w:sz w:val="22"/>
          <w:szCs w:val="22"/>
        </w:rPr>
        <w:t>Levemir</w:t>
      </w:r>
      <w:proofErr w:type="spellEnd"/>
      <w:r w:rsidRPr="00853ED7">
        <w:rPr>
          <w:sz w:val="22"/>
          <w:szCs w:val="22"/>
        </w:rPr>
        <w:t xml:space="preserve"> subjects versus 0.7% of NPH subjects. </w:t>
      </w:r>
    </w:p>
    <w:p w:rsidR="00C906A4" w:rsidRPr="00853ED7" w:rsidRDefault="00C906A4">
      <w:pPr>
        <w:tabs>
          <w:tab w:val="left" w:pos="567"/>
        </w:tabs>
        <w:rPr>
          <w:sz w:val="22"/>
          <w:szCs w:val="22"/>
        </w:rPr>
      </w:pPr>
    </w:p>
    <w:p w:rsidR="00C906A4" w:rsidRPr="00853ED7" w:rsidRDefault="00C906A4" w:rsidP="002D4E2E">
      <w:pPr>
        <w:pStyle w:val="Heading3"/>
        <w:rPr>
          <w:sz w:val="22"/>
          <w:szCs w:val="22"/>
          <w:lang w:eastAsia="da-DK"/>
        </w:rPr>
      </w:pPr>
      <w:r w:rsidRPr="00853ED7">
        <w:rPr>
          <w:sz w:val="22"/>
          <w:szCs w:val="22"/>
          <w:lang w:eastAsia="da-DK"/>
        </w:rPr>
        <w:t>Clinical studies in pregnancy</w:t>
      </w:r>
    </w:p>
    <w:p w:rsidR="00C906A4" w:rsidRPr="00853ED7" w:rsidRDefault="00C906A4" w:rsidP="001D5870">
      <w:pPr>
        <w:rPr>
          <w:sz w:val="22"/>
          <w:szCs w:val="22"/>
          <w:lang w:eastAsia="da-DK"/>
        </w:rPr>
      </w:pPr>
      <w:r w:rsidRPr="00853ED7">
        <w:rPr>
          <w:sz w:val="22"/>
          <w:szCs w:val="22"/>
          <w:lang w:eastAsia="da-DK"/>
        </w:rPr>
        <w:t xml:space="preserve">In a randomised controlled clinical trial (study 1687), pregnant women with type 1 diabetes (N = 310) were treated in a basal-bolus regimen where </w:t>
      </w:r>
      <w:proofErr w:type="spellStart"/>
      <w:r w:rsidRPr="00853ED7">
        <w:rPr>
          <w:sz w:val="22"/>
          <w:szCs w:val="22"/>
          <w:lang w:eastAsia="da-DK"/>
        </w:rPr>
        <w:t>Levemir</w:t>
      </w:r>
      <w:proofErr w:type="spellEnd"/>
      <w:r w:rsidRPr="00853ED7">
        <w:rPr>
          <w:sz w:val="22"/>
          <w:szCs w:val="22"/>
          <w:lang w:eastAsia="da-DK"/>
        </w:rPr>
        <w:t xml:space="preserve"> (N = 152) was compared to NPH insulin (N = 158), with </w:t>
      </w:r>
      <w:r w:rsidR="003924F5" w:rsidRPr="00853ED7">
        <w:rPr>
          <w:sz w:val="22"/>
          <w:szCs w:val="22"/>
          <w:lang w:eastAsia="da-DK"/>
        </w:rPr>
        <w:t xml:space="preserve">insulin </w:t>
      </w:r>
      <w:proofErr w:type="spellStart"/>
      <w:r w:rsidR="003924F5" w:rsidRPr="00853ED7">
        <w:rPr>
          <w:sz w:val="22"/>
          <w:szCs w:val="22"/>
          <w:lang w:eastAsia="da-DK"/>
        </w:rPr>
        <w:t>aspart</w:t>
      </w:r>
      <w:proofErr w:type="spellEnd"/>
      <w:r w:rsidRPr="00853ED7">
        <w:rPr>
          <w:sz w:val="22"/>
          <w:szCs w:val="22"/>
          <w:lang w:eastAsia="da-DK"/>
        </w:rPr>
        <w:t xml:space="preserve"> as meal time insulin. </w:t>
      </w:r>
      <w:proofErr w:type="spellStart"/>
      <w:r w:rsidRPr="00853ED7">
        <w:rPr>
          <w:sz w:val="22"/>
          <w:szCs w:val="22"/>
          <w:lang w:eastAsia="da-DK"/>
        </w:rPr>
        <w:t>Levemir</w:t>
      </w:r>
      <w:proofErr w:type="spellEnd"/>
      <w:r w:rsidRPr="00853ED7">
        <w:rPr>
          <w:sz w:val="22"/>
          <w:szCs w:val="22"/>
          <w:lang w:eastAsia="da-DK"/>
        </w:rPr>
        <w:t xml:space="preserve"> was shown to be non-inferior to NPH insulin measured by HbA</w:t>
      </w:r>
      <w:r w:rsidRPr="00853ED7">
        <w:rPr>
          <w:sz w:val="22"/>
          <w:szCs w:val="22"/>
          <w:vertAlign w:val="subscript"/>
          <w:lang w:eastAsia="da-DK"/>
        </w:rPr>
        <w:t>1c</w:t>
      </w:r>
      <w:r w:rsidRPr="00853ED7">
        <w:rPr>
          <w:sz w:val="22"/>
          <w:szCs w:val="22"/>
          <w:lang w:eastAsia="da-DK"/>
        </w:rPr>
        <w:t xml:space="preserve"> at gestational week 36</w:t>
      </w:r>
      <w:r w:rsidR="00297F10" w:rsidRPr="00853ED7">
        <w:rPr>
          <w:sz w:val="22"/>
          <w:szCs w:val="22"/>
          <w:lang w:eastAsia="da-DK"/>
        </w:rPr>
        <w:t xml:space="preserve"> (treatment difference in the </w:t>
      </w:r>
      <w:r w:rsidR="00777874" w:rsidRPr="00853ED7">
        <w:rPr>
          <w:sz w:val="22"/>
          <w:szCs w:val="22"/>
          <w:lang w:eastAsia="da-DK"/>
        </w:rPr>
        <w:t>F</w:t>
      </w:r>
      <w:r w:rsidR="00297F10" w:rsidRPr="00853ED7">
        <w:rPr>
          <w:sz w:val="22"/>
          <w:szCs w:val="22"/>
          <w:lang w:eastAsia="da-DK"/>
        </w:rPr>
        <w:t xml:space="preserve">ull </w:t>
      </w:r>
      <w:r w:rsidR="00777874" w:rsidRPr="00853ED7">
        <w:rPr>
          <w:sz w:val="22"/>
          <w:szCs w:val="22"/>
          <w:lang w:eastAsia="da-DK"/>
        </w:rPr>
        <w:t>A</w:t>
      </w:r>
      <w:r w:rsidR="00297F10" w:rsidRPr="00853ED7">
        <w:rPr>
          <w:sz w:val="22"/>
          <w:szCs w:val="22"/>
          <w:lang w:eastAsia="da-DK"/>
        </w:rPr>
        <w:t xml:space="preserve">nalysis </w:t>
      </w:r>
      <w:r w:rsidR="00777874" w:rsidRPr="00853ED7">
        <w:rPr>
          <w:sz w:val="22"/>
          <w:szCs w:val="22"/>
          <w:lang w:eastAsia="da-DK"/>
        </w:rPr>
        <w:t>S</w:t>
      </w:r>
      <w:r w:rsidR="00297F10" w:rsidRPr="00853ED7">
        <w:rPr>
          <w:sz w:val="22"/>
          <w:szCs w:val="22"/>
          <w:lang w:eastAsia="da-DK"/>
        </w:rPr>
        <w:t xml:space="preserve">et, </w:t>
      </w:r>
      <w:r w:rsidR="00777874" w:rsidRPr="00853ED7">
        <w:rPr>
          <w:sz w:val="22"/>
          <w:szCs w:val="22"/>
          <w:lang w:eastAsia="da-DK"/>
        </w:rPr>
        <w:t>-</w:t>
      </w:r>
      <w:r w:rsidR="00297F10" w:rsidRPr="00853ED7">
        <w:rPr>
          <w:sz w:val="22"/>
          <w:szCs w:val="22"/>
          <w:lang w:eastAsia="da-DK"/>
        </w:rPr>
        <w:t>0.06</w:t>
      </w:r>
      <w:r w:rsidR="00A02C8C" w:rsidRPr="00853ED7">
        <w:rPr>
          <w:sz w:val="22"/>
          <w:szCs w:val="22"/>
          <w:lang w:eastAsia="da-DK"/>
        </w:rPr>
        <w:t>%</w:t>
      </w:r>
      <w:r w:rsidR="00297F10" w:rsidRPr="00853ED7">
        <w:rPr>
          <w:sz w:val="22"/>
          <w:szCs w:val="22"/>
          <w:lang w:eastAsia="da-DK"/>
        </w:rPr>
        <w:t xml:space="preserve"> [95% CI </w:t>
      </w:r>
      <w:r w:rsidR="00777874" w:rsidRPr="00853ED7">
        <w:rPr>
          <w:sz w:val="22"/>
          <w:szCs w:val="22"/>
          <w:lang w:eastAsia="da-DK"/>
        </w:rPr>
        <w:t>-</w:t>
      </w:r>
      <w:r w:rsidR="00297F10" w:rsidRPr="00853ED7">
        <w:rPr>
          <w:sz w:val="22"/>
          <w:szCs w:val="22"/>
          <w:lang w:eastAsia="da-DK"/>
        </w:rPr>
        <w:t>0.21 to 0.08</w:t>
      </w:r>
      <w:r w:rsidR="004D1967" w:rsidRPr="00853ED7">
        <w:rPr>
          <w:sz w:val="22"/>
          <w:szCs w:val="22"/>
          <w:lang w:eastAsia="da-DK"/>
        </w:rPr>
        <w:t>]</w:t>
      </w:r>
      <w:r w:rsidR="00297F10" w:rsidRPr="00853ED7">
        <w:rPr>
          <w:sz w:val="22"/>
          <w:szCs w:val="22"/>
          <w:lang w:eastAsia="da-DK"/>
        </w:rPr>
        <w:t>)</w:t>
      </w:r>
      <w:r w:rsidRPr="00853ED7">
        <w:rPr>
          <w:sz w:val="22"/>
          <w:szCs w:val="22"/>
          <w:lang w:eastAsia="da-DK"/>
        </w:rPr>
        <w:t>.</w:t>
      </w:r>
      <w:r w:rsidR="00297F10" w:rsidRPr="00853ED7">
        <w:rPr>
          <w:sz w:val="22"/>
          <w:szCs w:val="22"/>
          <w:lang w:eastAsia="da-DK"/>
        </w:rPr>
        <w:t xml:space="preserve"> </w:t>
      </w:r>
      <w:r w:rsidRPr="00853ED7">
        <w:rPr>
          <w:sz w:val="22"/>
          <w:szCs w:val="22"/>
          <w:lang w:eastAsia="da-DK"/>
        </w:rPr>
        <w:t xml:space="preserve">The </w:t>
      </w:r>
      <w:r w:rsidR="00FE0E02" w:rsidRPr="00853ED7">
        <w:rPr>
          <w:sz w:val="22"/>
          <w:szCs w:val="22"/>
          <w:lang w:eastAsia="da-DK"/>
        </w:rPr>
        <w:t>changes</w:t>
      </w:r>
      <w:r w:rsidRPr="00853ED7">
        <w:rPr>
          <w:sz w:val="22"/>
          <w:szCs w:val="22"/>
          <w:lang w:eastAsia="da-DK"/>
        </w:rPr>
        <w:t xml:space="preserve"> in mean HbA</w:t>
      </w:r>
      <w:r w:rsidRPr="00853ED7">
        <w:rPr>
          <w:sz w:val="22"/>
          <w:szCs w:val="22"/>
          <w:vertAlign w:val="subscript"/>
          <w:lang w:eastAsia="da-DK"/>
        </w:rPr>
        <w:t>1c</w:t>
      </w:r>
      <w:r w:rsidRPr="00853ED7">
        <w:rPr>
          <w:sz w:val="22"/>
          <w:szCs w:val="22"/>
          <w:lang w:eastAsia="da-DK"/>
        </w:rPr>
        <w:t xml:space="preserve"> through pregnancy </w:t>
      </w:r>
      <w:r w:rsidR="00777874" w:rsidRPr="00853ED7">
        <w:rPr>
          <w:sz w:val="22"/>
          <w:szCs w:val="22"/>
          <w:lang w:eastAsia="da-DK"/>
        </w:rPr>
        <w:t>were</w:t>
      </w:r>
      <w:r w:rsidRPr="00853ED7">
        <w:rPr>
          <w:sz w:val="22"/>
          <w:szCs w:val="22"/>
          <w:lang w:eastAsia="da-DK"/>
        </w:rPr>
        <w:t xml:space="preserve"> similar for subjects in the </w:t>
      </w:r>
      <w:proofErr w:type="spellStart"/>
      <w:r w:rsidRPr="00853ED7">
        <w:rPr>
          <w:sz w:val="22"/>
          <w:szCs w:val="22"/>
          <w:lang w:eastAsia="da-DK"/>
        </w:rPr>
        <w:t>Levemir</w:t>
      </w:r>
      <w:proofErr w:type="spellEnd"/>
      <w:r w:rsidRPr="00853ED7">
        <w:rPr>
          <w:sz w:val="22"/>
          <w:szCs w:val="22"/>
          <w:lang w:eastAsia="da-DK"/>
        </w:rPr>
        <w:t xml:space="preserve"> and NPH insulin groups. The target of HbA</w:t>
      </w:r>
      <w:r w:rsidRPr="00853ED7">
        <w:rPr>
          <w:sz w:val="22"/>
          <w:szCs w:val="22"/>
          <w:vertAlign w:val="subscript"/>
          <w:lang w:eastAsia="da-DK"/>
        </w:rPr>
        <w:t>1c</w:t>
      </w:r>
      <w:r w:rsidRPr="00853ED7">
        <w:rPr>
          <w:sz w:val="22"/>
          <w:szCs w:val="22"/>
          <w:lang w:eastAsia="da-DK"/>
        </w:rPr>
        <w:t xml:space="preserve"> ≤ 6.0% at both gestational week 24 and 36 was reached by 41% of the subjects </w:t>
      </w:r>
      <w:r w:rsidRPr="00853ED7">
        <w:rPr>
          <w:sz w:val="22"/>
          <w:szCs w:val="22"/>
          <w:lang w:eastAsia="da-DK"/>
        </w:rPr>
        <w:lastRenderedPageBreak/>
        <w:t xml:space="preserve">in the </w:t>
      </w:r>
      <w:proofErr w:type="spellStart"/>
      <w:r w:rsidRPr="00853ED7">
        <w:rPr>
          <w:sz w:val="22"/>
          <w:szCs w:val="22"/>
          <w:lang w:eastAsia="da-DK"/>
        </w:rPr>
        <w:t>Levemir</w:t>
      </w:r>
      <w:proofErr w:type="spellEnd"/>
      <w:r w:rsidRPr="00853ED7">
        <w:rPr>
          <w:sz w:val="22"/>
          <w:szCs w:val="22"/>
          <w:lang w:eastAsia="da-DK"/>
        </w:rPr>
        <w:t xml:space="preserve"> group and by 32% in the NPH insulin group. At gestational weeks 24 and 36, mean FPG was statistically significantly lower in the </w:t>
      </w:r>
      <w:proofErr w:type="spellStart"/>
      <w:r w:rsidRPr="00853ED7">
        <w:rPr>
          <w:sz w:val="22"/>
          <w:szCs w:val="22"/>
          <w:lang w:eastAsia="da-DK"/>
        </w:rPr>
        <w:t>Levemir</w:t>
      </w:r>
      <w:proofErr w:type="spellEnd"/>
      <w:r w:rsidRPr="00853ED7">
        <w:rPr>
          <w:sz w:val="22"/>
          <w:szCs w:val="22"/>
          <w:lang w:eastAsia="da-DK"/>
        </w:rPr>
        <w:t xml:space="preserve"> group than in the NPH insulin group.</w:t>
      </w:r>
      <w:r w:rsidR="004D1967" w:rsidRPr="00853ED7">
        <w:rPr>
          <w:sz w:val="22"/>
          <w:szCs w:val="22"/>
          <w:lang w:eastAsia="da-DK"/>
        </w:rPr>
        <w:t xml:space="preserve"> The estimated treatment difference </w:t>
      </w:r>
      <w:r w:rsidR="001C35E5" w:rsidRPr="00853ED7">
        <w:rPr>
          <w:sz w:val="22"/>
          <w:szCs w:val="22"/>
          <w:lang w:eastAsia="da-DK"/>
        </w:rPr>
        <w:t>was -0.94</w:t>
      </w:r>
      <w:r w:rsidR="00A02C8C" w:rsidRPr="00853ED7">
        <w:rPr>
          <w:sz w:val="22"/>
          <w:szCs w:val="22"/>
          <w:lang w:eastAsia="da-DK"/>
        </w:rPr>
        <w:t xml:space="preserve"> </w:t>
      </w:r>
      <w:proofErr w:type="spellStart"/>
      <w:r w:rsidR="00A02C8C" w:rsidRPr="00853ED7">
        <w:rPr>
          <w:sz w:val="22"/>
          <w:szCs w:val="22"/>
          <w:lang w:eastAsia="da-DK"/>
        </w:rPr>
        <w:t>mmol</w:t>
      </w:r>
      <w:proofErr w:type="spellEnd"/>
      <w:r w:rsidR="00A02C8C" w:rsidRPr="00853ED7">
        <w:rPr>
          <w:sz w:val="22"/>
          <w:szCs w:val="22"/>
          <w:lang w:eastAsia="da-DK"/>
        </w:rPr>
        <w:t>/L</w:t>
      </w:r>
      <w:r w:rsidR="001C35E5" w:rsidRPr="00853ED7">
        <w:rPr>
          <w:sz w:val="22"/>
          <w:szCs w:val="22"/>
          <w:lang w:eastAsia="da-DK"/>
        </w:rPr>
        <w:t xml:space="preserve"> </w:t>
      </w:r>
      <w:r w:rsidR="004D1967" w:rsidRPr="00853ED7">
        <w:rPr>
          <w:sz w:val="22"/>
          <w:szCs w:val="22"/>
          <w:lang w:eastAsia="da-DK"/>
        </w:rPr>
        <w:t>(95% CI: [-1.67 ; -0.21], p=0.012) at 24 gestational weeks and -0.65</w:t>
      </w:r>
      <w:r w:rsidR="00A02C8C" w:rsidRPr="00853ED7">
        <w:rPr>
          <w:sz w:val="22"/>
          <w:szCs w:val="22"/>
          <w:lang w:eastAsia="da-DK"/>
        </w:rPr>
        <w:t xml:space="preserve"> </w:t>
      </w:r>
      <w:proofErr w:type="spellStart"/>
      <w:r w:rsidR="00A02C8C" w:rsidRPr="00853ED7">
        <w:rPr>
          <w:sz w:val="22"/>
          <w:szCs w:val="22"/>
          <w:lang w:eastAsia="da-DK"/>
        </w:rPr>
        <w:t>mmol</w:t>
      </w:r>
      <w:proofErr w:type="spellEnd"/>
      <w:r w:rsidR="00A02C8C" w:rsidRPr="00853ED7">
        <w:rPr>
          <w:sz w:val="22"/>
          <w:szCs w:val="22"/>
          <w:lang w:eastAsia="da-DK"/>
        </w:rPr>
        <w:t xml:space="preserve">/L </w:t>
      </w:r>
      <w:r w:rsidR="004D1967" w:rsidRPr="00853ED7">
        <w:rPr>
          <w:sz w:val="22"/>
          <w:szCs w:val="22"/>
          <w:lang w:eastAsia="da-DK"/>
        </w:rPr>
        <w:t>(95% CI: [-1.19 ; -0.12], P = 0.017) at 36 gestational weeks.</w:t>
      </w:r>
      <w:r w:rsidRPr="00853ED7">
        <w:rPr>
          <w:sz w:val="22"/>
          <w:szCs w:val="22"/>
          <w:lang w:eastAsia="da-DK"/>
        </w:rPr>
        <w:t xml:space="preserve"> </w:t>
      </w:r>
    </w:p>
    <w:p w:rsidR="00C906A4" w:rsidRPr="00853ED7" w:rsidRDefault="003A24A4" w:rsidP="001D5870">
      <w:pPr>
        <w:rPr>
          <w:sz w:val="22"/>
          <w:szCs w:val="22"/>
          <w:lang w:eastAsia="da-DK"/>
        </w:rPr>
      </w:pPr>
      <w:r w:rsidRPr="00853ED7">
        <w:rPr>
          <w:sz w:val="22"/>
          <w:szCs w:val="22"/>
          <w:lang w:eastAsia="da-DK"/>
        </w:rPr>
        <w:t>The rate of hypoglycaemic episodes during pregnancy was similar bet</w:t>
      </w:r>
      <w:r w:rsidR="00C56CC6" w:rsidRPr="00853ED7">
        <w:rPr>
          <w:sz w:val="22"/>
          <w:szCs w:val="22"/>
          <w:lang w:eastAsia="da-DK"/>
        </w:rPr>
        <w:t xml:space="preserve">ween the </w:t>
      </w:r>
      <w:proofErr w:type="spellStart"/>
      <w:r w:rsidR="00C56CC6" w:rsidRPr="00853ED7">
        <w:rPr>
          <w:sz w:val="22"/>
          <w:szCs w:val="22"/>
          <w:lang w:eastAsia="da-DK"/>
        </w:rPr>
        <w:t>Levemir</w:t>
      </w:r>
      <w:proofErr w:type="spellEnd"/>
      <w:r w:rsidR="00C56CC6" w:rsidRPr="00853ED7">
        <w:rPr>
          <w:sz w:val="22"/>
          <w:szCs w:val="22"/>
          <w:lang w:eastAsia="da-DK"/>
        </w:rPr>
        <w:t xml:space="preserve"> and NPH groups</w:t>
      </w:r>
      <w:r w:rsidRPr="00853ED7">
        <w:rPr>
          <w:sz w:val="22"/>
          <w:szCs w:val="22"/>
          <w:lang w:eastAsia="da-DK"/>
        </w:rPr>
        <w:t xml:space="preserve">. </w:t>
      </w:r>
      <w:r w:rsidR="00C906A4" w:rsidRPr="00853ED7">
        <w:rPr>
          <w:sz w:val="22"/>
          <w:szCs w:val="22"/>
          <w:lang w:eastAsia="da-DK"/>
        </w:rPr>
        <w:t xml:space="preserve">The overall frequencies of maternal adverse events during pregnancy were similar for </w:t>
      </w:r>
      <w:proofErr w:type="spellStart"/>
      <w:r w:rsidR="00C906A4" w:rsidRPr="00853ED7">
        <w:rPr>
          <w:sz w:val="22"/>
          <w:szCs w:val="22"/>
          <w:lang w:eastAsia="da-DK"/>
        </w:rPr>
        <w:t>Levemir</w:t>
      </w:r>
      <w:proofErr w:type="spellEnd"/>
      <w:r w:rsidR="00C906A4" w:rsidRPr="00853ED7">
        <w:rPr>
          <w:sz w:val="22"/>
          <w:szCs w:val="22"/>
          <w:lang w:eastAsia="da-DK"/>
        </w:rPr>
        <w:t xml:space="preserve"> and NPH insulin treatment groups; however, a numerically higher frequency of serious adverse events during pregnancy in the mothers (61 (40%) vs. 49 (31%)) and in the offspring during pregnancy and after birth (36 (24%) vs. 32 (20%)) was seen for </w:t>
      </w:r>
      <w:proofErr w:type="spellStart"/>
      <w:r w:rsidR="00C906A4" w:rsidRPr="00853ED7">
        <w:rPr>
          <w:sz w:val="22"/>
          <w:szCs w:val="22"/>
          <w:lang w:eastAsia="da-DK"/>
        </w:rPr>
        <w:t>Levemir</w:t>
      </w:r>
      <w:proofErr w:type="spellEnd"/>
      <w:r w:rsidR="00C906A4" w:rsidRPr="00853ED7">
        <w:rPr>
          <w:sz w:val="22"/>
          <w:szCs w:val="22"/>
          <w:lang w:eastAsia="da-DK"/>
        </w:rPr>
        <w:t xml:space="preserve"> compared to NPH insulin</w:t>
      </w:r>
      <w:r w:rsidR="00115DE9" w:rsidRPr="00853ED7">
        <w:rPr>
          <w:sz w:val="22"/>
          <w:szCs w:val="22"/>
          <w:lang w:eastAsia="da-DK"/>
        </w:rPr>
        <w:t xml:space="preserve">. </w:t>
      </w:r>
      <w:r w:rsidR="00C906A4" w:rsidRPr="00853ED7">
        <w:rPr>
          <w:sz w:val="22"/>
          <w:szCs w:val="22"/>
          <w:lang w:eastAsia="da-DK"/>
        </w:rPr>
        <w:t xml:space="preserve">The number of live born children of women becoming pregnant after randomisation were 50 (83%) for </w:t>
      </w:r>
      <w:proofErr w:type="spellStart"/>
      <w:r w:rsidR="00C906A4" w:rsidRPr="00853ED7">
        <w:rPr>
          <w:sz w:val="22"/>
          <w:szCs w:val="22"/>
          <w:lang w:eastAsia="da-DK"/>
        </w:rPr>
        <w:t>Levemir</w:t>
      </w:r>
      <w:proofErr w:type="spellEnd"/>
      <w:r w:rsidR="00C906A4" w:rsidRPr="00853ED7">
        <w:rPr>
          <w:sz w:val="22"/>
          <w:szCs w:val="22"/>
          <w:lang w:eastAsia="da-DK"/>
        </w:rPr>
        <w:t xml:space="preserve"> and 55 (89%) for NPH insulin. The frequency of children with congenital malformations was 4 (5%) in the </w:t>
      </w:r>
      <w:proofErr w:type="spellStart"/>
      <w:r w:rsidR="00C906A4" w:rsidRPr="00853ED7">
        <w:rPr>
          <w:sz w:val="22"/>
          <w:szCs w:val="22"/>
          <w:lang w:eastAsia="da-DK"/>
        </w:rPr>
        <w:t>Levemir</w:t>
      </w:r>
      <w:proofErr w:type="spellEnd"/>
      <w:r w:rsidR="00C906A4" w:rsidRPr="00853ED7">
        <w:rPr>
          <w:sz w:val="22"/>
          <w:szCs w:val="22"/>
          <w:lang w:eastAsia="da-DK"/>
        </w:rPr>
        <w:t xml:space="preserve"> group and 11 (7%) in the NPH insulin group. Thereof, 3 (4%) children in the </w:t>
      </w:r>
      <w:proofErr w:type="spellStart"/>
      <w:r w:rsidR="00C906A4" w:rsidRPr="00853ED7">
        <w:rPr>
          <w:sz w:val="22"/>
          <w:szCs w:val="22"/>
          <w:lang w:eastAsia="da-DK"/>
        </w:rPr>
        <w:t>Levemir</w:t>
      </w:r>
      <w:proofErr w:type="spellEnd"/>
      <w:r w:rsidR="00C906A4" w:rsidRPr="00853ED7">
        <w:rPr>
          <w:sz w:val="22"/>
          <w:szCs w:val="22"/>
          <w:lang w:eastAsia="da-DK"/>
        </w:rPr>
        <w:t xml:space="preserve"> group and 3 (2%) children in the NPH insulin group had major malformations</w:t>
      </w:r>
      <w:r w:rsidR="00686874" w:rsidRPr="00853ED7">
        <w:rPr>
          <w:sz w:val="22"/>
          <w:szCs w:val="22"/>
          <w:lang w:eastAsia="da-DK"/>
        </w:rPr>
        <w:t xml:space="preserve"> (see </w:t>
      </w:r>
      <w:r w:rsidR="00173BF7" w:rsidRPr="00853ED7">
        <w:rPr>
          <w:sz w:val="22"/>
          <w:szCs w:val="22"/>
          <w:lang w:eastAsia="da-DK"/>
        </w:rPr>
        <w:t>‘</w:t>
      </w:r>
      <w:r w:rsidR="00686874" w:rsidRPr="00853ED7">
        <w:rPr>
          <w:sz w:val="22"/>
          <w:szCs w:val="22"/>
          <w:lang w:eastAsia="da-DK"/>
        </w:rPr>
        <w:t>Use in Pregnancy</w:t>
      </w:r>
      <w:r w:rsidR="00173BF7" w:rsidRPr="00853ED7">
        <w:rPr>
          <w:sz w:val="22"/>
          <w:szCs w:val="22"/>
          <w:lang w:eastAsia="da-DK"/>
        </w:rPr>
        <w:t>’</w:t>
      </w:r>
      <w:r w:rsidR="00686874" w:rsidRPr="00853ED7">
        <w:rPr>
          <w:sz w:val="22"/>
          <w:szCs w:val="22"/>
          <w:lang w:eastAsia="da-DK"/>
        </w:rPr>
        <w:t>)</w:t>
      </w:r>
      <w:r w:rsidR="00C906A4" w:rsidRPr="00853ED7">
        <w:rPr>
          <w:sz w:val="22"/>
          <w:szCs w:val="22"/>
          <w:lang w:eastAsia="da-DK"/>
        </w:rPr>
        <w:t>.</w:t>
      </w:r>
    </w:p>
    <w:p w:rsidR="00D77859" w:rsidRPr="00853ED7" w:rsidRDefault="00D77859" w:rsidP="001D5870">
      <w:pPr>
        <w:rPr>
          <w:sz w:val="22"/>
          <w:szCs w:val="22"/>
          <w:lang w:eastAsia="da-DK"/>
        </w:rPr>
      </w:pPr>
    </w:p>
    <w:p w:rsidR="00D77859" w:rsidRPr="00853ED7" w:rsidRDefault="00D77859" w:rsidP="00653079">
      <w:pPr>
        <w:pStyle w:val="Heading2"/>
        <w:rPr>
          <w:noProof/>
          <w:sz w:val="24"/>
          <w:szCs w:val="24"/>
        </w:rPr>
      </w:pPr>
      <w:r w:rsidRPr="00853ED7">
        <w:rPr>
          <w:noProof/>
          <w:sz w:val="24"/>
          <w:szCs w:val="24"/>
        </w:rPr>
        <w:t>INDICATIONS</w:t>
      </w:r>
    </w:p>
    <w:p w:rsidR="00D77859" w:rsidRPr="00853ED7" w:rsidRDefault="00D77859" w:rsidP="001D5870">
      <w:pPr>
        <w:rPr>
          <w:sz w:val="22"/>
          <w:szCs w:val="22"/>
          <w:lang w:val="en-GB"/>
        </w:rPr>
      </w:pPr>
    </w:p>
    <w:p w:rsidR="00D77859" w:rsidRPr="00853ED7" w:rsidRDefault="00D77859" w:rsidP="001D5870">
      <w:pPr>
        <w:rPr>
          <w:sz w:val="22"/>
          <w:szCs w:val="22"/>
        </w:rPr>
      </w:pPr>
      <w:r w:rsidRPr="00853ED7">
        <w:rPr>
          <w:sz w:val="22"/>
          <w:szCs w:val="22"/>
        </w:rPr>
        <w:t>Treatment of diabetes mellitus.</w:t>
      </w:r>
      <w:r w:rsidR="00485F16" w:rsidRPr="00853ED7">
        <w:rPr>
          <w:sz w:val="22"/>
          <w:szCs w:val="22"/>
        </w:rPr>
        <w:t xml:space="preserve"> </w:t>
      </w:r>
      <w:r w:rsidR="00123D21" w:rsidRPr="00853ED7">
        <w:rPr>
          <w:sz w:val="22"/>
          <w:szCs w:val="22"/>
        </w:rPr>
        <w:t>(</w:t>
      </w:r>
      <w:r w:rsidR="00485F16" w:rsidRPr="00853ED7">
        <w:rPr>
          <w:sz w:val="22"/>
          <w:szCs w:val="22"/>
        </w:rPr>
        <w:t xml:space="preserve">See </w:t>
      </w:r>
      <w:r w:rsidR="00C5792C" w:rsidRPr="00853ED7">
        <w:rPr>
          <w:sz w:val="22"/>
          <w:szCs w:val="22"/>
        </w:rPr>
        <w:t xml:space="preserve">‘Pharmacology’ and </w:t>
      </w:r>
      <w:r w:rsidR="00E83E57" w:rsidRPr="00853ED7">
        <w:rPr>
          <w:sz w:val="22"/>
          <w:szCs w:val="22"/>
        </w:rPr>
        <w:t>‘</w:t>
      </w:r>
      <w:r w:rsidR="00485F16" w:rsidRPr="00853ED7">
        <w:rPr>
          <w:sz w:val="22"/>
          <w:szCs w:val="22"/>
        </w:rPr>
        <w:t xml:space="preserve">Clinical </w:t>
      </w:r>
      <w:r w:rsidR="00123D21" w:rsidRPr="00853ED7">
        <w:rPr>
          <w:sz w:val="22"/>
          <w:szCs w:val="22"/>
        </w:rPr>
        <w:t>T</w:t>
      </w:r>
      <w:r w:rsidR="00485F16" w:rsidRPr="00853ED7">
        <w:rPr>
          <w:sz w:val="22"/>
          <w:szCs w:val="22"/>
        </w:rPr>
        <w:t>rials</w:t>
      </w:r>
      <w:r w:rsidR="00273EDB" w:rsidRPr="00853ED7">
        <w:rPr>
          <w:sz w:val="22"/>
          <w:szCs w:val="22"/>
        </w:rPr>
        <w:t>.</w:t>
      </w:r>
      <w:r w:rsidR="00E83E57" w:rsidRPr="00853ED7">
        <w:rPr>
          <w:sz w:val="22"/>
          <w:szCs w:val="22"/>
        </w:rPr>
        <w:t>’</w:t>
      </w:r>
      <w:r w:rsidR="00485F16" w:rsidRPr="00853ED7">
        <w:rPr>
          <w:sz w:val="22"/>
          <w:szCs w:val="22"/>
        </w:rPr>
        <w:t>)</w:t>
      </w:r>
    </w:p>
    <w:p w:rsidR="00485F16" w:rsidRPr="00853ED7" w:rsidRDefault="00485F16" w:rsidP="001D5870">
      <w:pPr>
        <w:rPr>
          <w:sz w:val="22"/>
          <w:szCs w:val="22"/>
        </w:rPr>
      </w:pPr>
    </w:p>
    <w:p w:rsidR="00D77859" w:rsidRPr="00853ED7" w:rsidRDefault="00D77859" w:rsidP="00653079">
      <w:pPr>
        <w:pStyle w:val="Heading2"/>
        <w:rPr>
          <w:noProof/>
          <w:sz w:val="24"/>
          <w:szCs w:val="24"/>
        </w:rPr>
      </w:pPr>
      <w:r w:rsidRPr="00853ED7">
        <w:rPr>
          <w:noProof/>
          <w:sz w:val="24"/>
          <w:szCs w:val="24"/>
        </w:rPr>
        <w:t>CONTRAINDICATIONS</w:t>
      </w:r>
    </w:p>
    <w:p w:rsidR="00D77859" w:rsidRPr="00853ED7" w:rsidRDefault="00D77859" w:rsidP="001D5870">
      <w:pPr>
        <w:rPr>
          <w:sz w:val="22"/>
          <w:szCs w:val="22"/>
          <w:lang w:val="en-GB"/>
        </w:rPr>
      </w:pPr>
    </w:p>
    <w:p w:rsidR="00D77859" w:rsidRPr="00853ED7" w:rsidRDefault="00D77859" w:rsidP="001D5870">
      <w:pPr>
        <w:rPr>
          <w:sz w:val="22"/>
          <w:szCs w:val="22"/>
          <w:lang w:eastAsia="da-DK"/>
        </w:rPr>
      </w:pPr>
      <w:r w:rsidRPr="00853ED7">
        <w:rPr>
          <w:sz w:val="22"/>
          <w:szCs w:val="22"/>
          <w:lang w:eastAsia="da-DK"/>
        </w:rPr>
        <w:t xml:space="preserve">Hypersensitivity to insulin </w:t>
      </w:r>
      <w:proofErr w:type="spellStart"/>
      <w:r w:rsidRPr="00853ED7">
        <w:rPr>
          <w:sz w:val="22"/>
          <w:szCs w:val="22"/>
          <w:lang w:eastAsia="da-DK"/>
        </w:rPr>
        <w:t>detemir</w:t>
      </w:r>
      <w:proofErr w:type="spellEnd"/>
      <w:r w:rsidRPr="00853ED7">
        <w:rPr>
          <w:sz w:val="22"/>
          <w:szCs w:val="22"/>
          <w:lang w:eastAsia="da-DK"/>
        </w:rPr>
        <w:t xml:space="preserve"> or any of the excipients.  </w:t>
      </w:r>
    </w:p>
    <w:p w:rsidR="00653079" w:rsidRPr="00853ED7" w:rsidRDefault="00653079" w:rsidP="001D5870">
      <w:pPr>
        <w:rPr>
          <w:sz w:val="22"/>
          <w:szCs w:val="22"/>
          <w:lang w:eastAsia="da-DK"/>
        </w:rPr>
      </w:pPr>
    </w:p>
    <w:p w:rsidR="00D77859" w:rsidRPr="00853ED7" w:rsidRDefault="00D77859" w:rsidP="00653079">
      <w:pPr>
        <w:pStyle w:val="Heading2"/>
        <w:rPr>
          <w:noProof/>
          <w:sz w:val="24"/>
          <w:szCs w:val="24"/>
        </w:rPr>
      </w:pPr>
      <w:r w:rsidRPr="00853ED7">
        <w:rPr>
          <w:noProof/>
          <w:sz w:val="24"/>
          <w:szCs w:val="24"/>
        </w:rPr>
        <w:t>PRECAUTIONS</w:t>
      </w:r>
    </w:p>
    <w:p w:rsidR="001B5307" w:rsidRPr="00186DDC" w:rsidRDefault="001B5307" w:rsidP="001B5307">
      <w:pPr>
        <w:rPr>
          <w:sz w:val="22"/>
          <w:lang w:val="en-GB"/>
        </w:rPr>
      </w:pPr>
    </w:p>
    <w:p w:rsidR="00D77859" w:rsidRPr="00853ED7" w:rsidRDefault="00354045" w:rsidP="002D4E2E">
      <w:pPr>
        <w:pStyle w:val="Heading3"/>
        <w:rPr>
          <w:sz w:val="22"/>
          <w:szCs w:val="22"/>
        </w:rPr>
      </w:pPr>
      <w:r w:rsidRPr="00853ED7">
        <w:rPr>
          <w:sz w:val="22"/>
          <w:szCs w:val="22"/>
        </w:rPr>
        <w:t>Hyperglycaemia</w:t>
      </w:r>
    </w:p>
    <w:p w:rsidR="00D77859" w:rsidRPr="00853ED7" w:rsidRDefault="00D77859" w:rsidP="001D5870">
      <w:pPr>
        <w:rPr>
          <w:sz w:val="22"/>
          <w:szCs w:val="22"/>
          <w:lang w:eastAsia="da-DK"/>
        </w:rPr>
      </w:pPr>
      <w:bookmarkStart w:id="28" w:name="OLE_LINK7"/>
      <w:bookmarkStart w:id="29" w:name="OLE_LINK8"/>
      <w:r w:rsidRPr="00853ED7">
        <w:rPr>
          <w:sz w:val="22"/>
          <w:szCs w:val="22"/>
          <w:lang w:eastAsia="da-DK"/>
        </w:rPr>
        <w:t>Inadequate dosing or discontinuation of treatment, especially in type 1 diabetes, may lead to hyperglycaemia and diabetic ketoacidosis. Usually the first symptoms of hyperglycaemia develop gradually over a period of hours or days. They include thirst, increased frequency of urination, nausea, vomiting, drowsiness, flushed</w:t>
      </w:r>
      <w:r w:rsidR="00F92A97" w:rsidRPr="00853ED7">
        <w:rPr>
          <w:sz w:val="22"/>
          <w:szCs w:val="22"/>
          <w:lang w:eastAsia="da-DK"/>
        </w:rPr>
        <w:t xml:space="preserve"> </w:t>
      </w:r>
      <w:r w:rsidRPr="00853ED7">
        <w:rPr>
          <w:sz w:val="22"/>
          <w:szCs w:val="22"/>
          <w:lang w:eastAsia="da-DK"/>
        </w:rPr>
        <w:t>dry skin, dry mouth, loss of appetite as well as acetone odour of breath. In type 1 diabetes, untreated hyperglycaemic events eventually lead to diabetic ketoacidosis, which is potentially lethal.</w:t>
      </w:r>
    </w:p>
    <w:p w:rsidR="00D77859" w:rsidRPr="00853ED7" w:rsidRDefault="00D77859" w:rsidP="001D5870">
      <w:pPr>
        <w:rPr>
          <w:sz w:val="22"/>
          <w:szCs w:val="22"/>
          <w:lang w:eastAsia="da-DK"/>
        </w:rPr>
      </w:pPr>
    </w:p>
    <w:p w:rsidR="00354045" w:rsidRPr="00853ED7" w:rsidRDefault="00354045" w:rsidP="002D4E2E">
      <w:pPr>
        <w:pStyle w:val="Heading3"/>
        <w:rPr>
          <w:sz w:val="22"/>
          <w:szCs w:val="22"/>
          <w:lang w:eastAsia="da-DK"/>
        </w:rPr>
      </w:pPr>
      <w:r w:rsidRPr="00853ED7">
        <w:rPr>
          <w:sz w:val="22"/>
          <w:szCs w:val="22"/>
          <w:lang w:eastAsia="da-DK"/>
        </w:rPr>
        <w:t>Hypoglycaemia</w:t>
      </w:r>
    </w:p>
    <w:p w:rsidR="00D77859" w:rsidRPr="00853ED7" w:rsidRDefault="00D77859" w:rsidP="001D5870">
      <w:pPr>
        <w:rPr>
          <w:sz w:val="22"/>
          <w:szCs w:val="22"/>
          <w:lang w:eastAsia="da-DK"/>
        </w:rPr>
      </w:pPr>
      <w:r w:rsidRPr="00853ED7">
        <w:rPr>
          <w:sz w:val="22"/>
          <w:szCs w:val="22"/>
          <w:lang w:eastAsia="da-DK"/>
        </w:rPr>
        <w:t>Hypoglycaemia may occur if the insulin dose is too high in relation to the insulin requirement (see ‘Adverse Effects’ and ‘</w:t>
      </w:r>
      <w:proofErr w:type="spellStart"/>
      <w:r w:rsidRPr="00853ED7">
        <w:rPr>
          <w:sz w:val="22"/>
          <w:szCs w:val="22"/>
          <w:lang w:eastAsia="da-DK"/>
        </w:rPr>
        <w:t>Overdosage</w:t>
      </w:r>
      <w:proofErr w:type="spellEnd"/>
      <w:r w:rsidRPr="00853ED7">
        <w:rPr>
          <w:sz w:val="22"/>
          <w:szCs w:val="22"/>
          <w:lang w:eastAsia="da-DK"/>
        </w:rPr>
        <w:t>’).</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bookmarkStart w:id="30" w:name="OLE_LINK11"/>
      <w:bookmarkStart w:id="31" w:name="OLE_LINK12"/>
      <w:r w:rsidRPr="00853ED7">
        <w:rPr>
          <w:sz w:val="22"/>
          <w:szCs w:val="22"/>
          <w:lang w:eastAsia="da-DK"/>
        </w:rPr>
        <w:t>The patient’s ability to concentrate and react may be impaired as a result of hypoglycaemia. This may constitute a risk in situations where these abilities are of special importance (for example, driving a car or operating machinery). Patients should be advised to take precautions to avoid hypoglycaemia while driving. This is particularly important in those who have reduced or absent awareness of the warning signs of hypoglycaemia or who have frequent episodes of hypoglycaemia. The advisability of driving should be considered in these circumstances.</w:t>
      </w:r>
    </w:p>
    <w:bookmarkEnd w:id="30"/>
    <w:bookmarkEnd w:id="31"/>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Omission of a meal or unplanned strenuous physical exercise may lead to hypoglycaemia</w:t>
      </w:r>
      <w:r w:rsidR="00354045" w:rsidRPr="00853ED7">
        <w:rPr>
          <w:sz w:val="22"/>
          <w:szCs w:val="22"/>
          <w:lang w:eastAsia="da-DK"/>
        </w:rPr>
        <w:t xml:space="preserve"> (see ‘Adverse Effects’ and ‘</w:t>
      </w:r>
      <w:proofErr w:type="spellStart"/>
      <w:r w:rsidR="00354045" w:rsidRPr="00853ED7">
        <w:rPr>
          <w:sz w:val="22"/>
          <w:szCs w:val="22"/>
          <w:lang w:eastAsia="da-DK"/>
        </w:rPr>
        <w:t>Overdosage</w:t>
      </w:r>
      <w:proofErr w:type="spellEnd"/>
      <w:r w:rsidR="00354045" w:rsidRPr="00853ED7">
        <w:rPr>
          <w:sz w:val="22"/>
          <w:szCs w:val="22"/>
          <w:lang w:eastAsia="da-DK"/>
        </w:rPr>
        <w:t>’)</w:t>
      </w:r>
      <w:r w:rsidRPr="00853ED7">
        <w:rPr>
          <w:sz w:val="22"/>
          <w:szCs w:val="22"/>
          <w:lang w:eastAsia="da-DK"/>
        </w:rPr>
        <w:t>.</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Patients whose blood glucose control is greatly improved, for example by intensified insulin therapy, may experience a change in their usual warning symptoms of hypoglycaemia, and should be advised accordingly. Usual warning symptoms may disappear in patients with longstanding diabetes.</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Concomitant illness, especially infections and feverish conditions, usually increases the patient's insulin requirements.</w:t>
      </w:r>
      <w:r w:rsidR="005574D4" w:rsidRPr="00853ED7">
        <w:rPr>
          <w:sz w:val="22"/>
          <w:szCs w:val="22"/>
          <w:lang w:eastAsia="da-DK"/>
        </w:rPr>
        <w:t xml:space="preserve"> </w:t>
      </w:r>
      <w:r w:rsidR="005574D4" w:rsidRPr="00853ED7">
        <w:rPr>
          <w:sz w:val="22"/>
          <w:szCs w:val="22"/>
        </w:rPr>
        <w:t>Concomitant diseases in the kidney, liver or affecting the adrenal, pituitary or thyroid gland can require changes in the insulin dose.</w:t>
      </w:r>
    </w:p>
    <w:p w:rsidR="00D77859" w:rsidRPr="00853ED7" w:rsidRDefault="00D77859" w:rsidP="001D5870">
      <w:pPr>
        <w:rPr>
          <w:sz w:val="22"/>
          <w:szCs w:val="22"/>
          <w:lang w:eastAsia="da-DK"/>
        </w:rPr>
      </w:pPr>
    </w:p>
    <w:p w:rsidR="00354045" w:rsidRPr="00853ED7" w:rsidRDefault="00354045" w:rsidP="002D4E2E">
      <w:pPr>
        <w:pStyle w:val="Heading3"/>
        <w:rPr>
          <w:sz w:val="22"/>
          <w:szCs w:val="22"/>
          <w:lang w:eastAsia="da-DK"/>
        </w:rPr>
      </w:pPr>
      <w:r w:rsidRPr="00853ED7">
        <w:rPr>
          <w:sz w:val="22"/>
          <w:szCs w:val="22"/>
          <w:lang w:eastAsia="da-DK"/>
        </w:rPr>
        <w:lastRenderedPageBreak/>
        <w:t>Administration</w:t>
      </w:r>
    </w:p>
    <w:p w:rsidR="00D77859" w:rsidRPr="00853ED7" w:rsidRDefault="00354045" w:rsidP="001D5870">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is for subcutaneous administration only. </w:t>
      </w:r>
      <w:r w:rsidR="00D77859" w:rsidRPr="00853ED7">
        <w:rPr>
          <w:sz w:val="22"/>
          <w:szCs w:val="22"/>
          <w:lang w:eastAsia="da-DK"/>
        </w:rPr>
        <w:t xml:space="preserve">Intramuscular administration should be avoided. </w:t>
      </w:r>
      <w:proofErr w:type="spellStart"/>
      <w:r w:rsidR="00D77859" w:rsidRPr="00853ED7">
        <w:rPr>
          <w:sz w:val="22"/>
          <w:szCs w:val="22"/>
          <w:lang w:eastAsia="da-DK"/>
        </w:rPr>
        <w:t>Levemir</w:t>
      </w:r>
      <w:proofErr w:type="spellEnd"/>
      <w:r w:rsidR="00D77859" w:rsidRPr="00853ED7">
        <w:rPr>
          <w:sz w:val="22"/>
          <w:szCs w:val="22"/>
          <w:lang w:eastAsia="da-DK"/>
        </w:rPr>
        <w:t xml:space="preserve"> is not to be administered intravenously as it may result in severe hypoglycaemia.</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 xml:space="preserve">If </w:t>
      </w:r>
      <w:proofErr w:type="spellStart"/>
      <w:r w:rsidRPr="00853ED7">
        <w:rPr>
          <w:sz w:val="22"/>
          <w:szCs w:val="22"/>
          <w:lang w:eastAsia="da-DK"/>
        </w:rPr>
        <w:t>Levemir</w:t>
      </w:r>
      <w:proofErr w:type="spellEnd"/>
      <w:r w:rsidRPr="00853ED7">
        <w:rPr>
          <w:sz w:val="22"/>
          <w:szCs w:val="22"/>
          <w:lang w:eastAsia="da-DK"/>
        </w:rPr>
        <w:t xml:space="preserve"> is mixed with other insulin preparations the profile of action of one or both individual components may change. Mixing </w:t>
      </w:r>
      <w:proofErr w:type="spellStart"/>
      <w:r w:rsidRPr="00853ED7">
        <w:rPr>
          <w:sz w:val="22"/>
          <w:szCs w:val="22"/>
          <w:lang w:eastAsia="da-DK"/>
        </w:rPr>
        <w:t>Levemir</w:t>
      </w:r>
      <w:proofErr w:type="spellEnd"/>
      <w:r w:rsidRPr="00853ED7">
        <w:rPr>
          <w:sz w:val="22"/>
          <w:szCs w:val="22"/>
          <w:lang w:eastAsia="da-DK"/>
        </w:rPr>
        <w:t xml:space="preserve"> with a rapid-acting insulin analogue like </w:t>
      </w:r>
      <w:r w:rsidR="003924F5" w:rsidRPr="00853ED7">
        <w:rPr>
          <w:sz w:val="22"/>
          <w:szCs w:val="22"/>
          <w:lang w:eastAsia="da-DK"/>
        </w:rPr>
        <w:t xml:space="preserve">insulin </w:t>
      </w:r>
      <w:proofErr w:type="spellStart"/>
      <w:r w:rsidR="003924F5" w:rsidRPr="00853ED7">
        <w:rPr>
          <w:sz w:val="22"/>
          <w:szCs w:val="22"/>
          <w:lang w:eastAsia="da-DK"/>
        </w:rPr>
        <w:t>aspart</w:t>
      </w:r>
      <w:proofErr w:type="spellEnd"/>
      <w:r w:rsidRPr="00853ED7">
        <w:rPr>
          <w:sz w:val="22"/>
          <w:szCs w:val="22"/>
          <w:lang w:eastAsia="da-DK"/>
        </w:rPr>
        <w:t xml:space="preserve"> will reduce and delay the maximum effect of the rapid-acting insulin compared to that observed following separate injections. </w:t>
      </w:r>
    </w:p>
    <w:p w:rsidR="00186DDC" w:rsidRDefault="00186DDC" w:rsidP="001D5870">
      <w:pPr>
        <w:rPr>
          <w:sz w:val="22"/>
          <w:szCs w:val="22"/>
          <w:lang w:eastAsia="da-DK"/>
        </w:rPr>
      </w:pPr>
    </w:p>
    <w:p w:rsidR="00D77859" w:rsidRPr="00853ED7" w:rsidRDefault="0027699A" w:rsidP="001D5870">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r w:rsidR="00D77859" w:rsidRPr="00853ED7">
        <w:rPr>
          <w:sz w:val="22"/>
          <w:szCs w:val="22"/>
          <w:lang w:eastAsia="da-DK"/>
        </w:rPr>
        <w:t>is not to be used in insulin infusion pumps.</w:t>
      </w:r>
    </w:p>
    <w:p w:rsidR="00354045" w:rsidRPr="00853ED7" w:rsidRDefault="000E2A45" w:rsidP="002D4E2E">
      <w:pPr>
        <w:pStyle w:val="Heading3"/>
        <w:rPr>
          <w:sz w:val="22"/>
          <w:szCs w:val="22"/>
        </w:rPr>
      </w:pPr>
      <w:r w:rsidRPr="00853ED7">
        <w:rPr>
          <w:sz w:val="22"/>
          <w:szCs w:val="22"/>
        </w:rPr>
        <w:br/>
      </w:r>
      <w:r w:rsidR="00354045" w:rsidRPr="00853ED7">
        <w:rPr>
          <w:sz w:val="22"/>
          <w:szCs w:val="22"/>
        </w:rPr>
        <w:t>Injection site reactions</w:t>
      </w:r>
    </w:p>
    <w:p w:rsidR="00D77859" w:rsidRPr="00853ED7" w:rsidRDefault="00D77859" w:rsidP="001D5870">
      <w:pPr>
        <w:rPr>
          <w:sz w:val="22"/>
          <w:szCs w:val="22"/>
        </w:rPr>
      </w:pPr>
      <w:r w:rsidRPr="00853ED7">
        <w:rPr>
          <w:sz w:val="22"/>
          <w:szCs w:val="22"/>
        </w:rPr>
        <w:t xml:space="preserve">As with any insulin therapy, injection site reactions may occur and include pain, itching, </w:t>
      </w:r>
      <w:r w:rsidR="004F392F" w:rsidRPr="00853ED7">
        <w:rPr>
          <w:sz w:val="22"/>
          <w:szCs w:val="22"/>
        </w:rPr>
        <w:t xml:space="preserve">redness, </w:t>
      </w:r>
      <w:r w:rsidRPr="00853ED7">
        <w:rPr>
          <w:sz w:val="22"/>
          <w:szCs w:val="22"/>
        </w:rPr>
        <w:t xml:space="preserve">hives, </w:t>
      </w:r>
      <w:r w:rsidR="00354045" w:rsidRPr="00853ED7">
        <w:rPr>
          <w:sz w:val="22"/>
          <w:szCs w:val="22"/>
        </w:rPr>
        <w:t xml:space="preserve">bruising, </w:t>
      </w:r>
      <w:r w:rsidRPr="00853ED7">
        <w:rPr>
          <w:sz w:val="22"/>
          <w:szCs w:val="22"/>
        </w:rPr>
        <w:t xml:space="preserve">swelling and inflammation. Continuous rotation of the injection site within a given area may help to reduce or prevent these reactions. Reactions usually resolve in a few days to a few weeks. On rare occasions, injection site reactions may require discontinuation of </w:t>
      </w:r>
      <w:proofErr w:type="spellStart"/>
      <w:r w:rsidRPr="00853ED7">
        <w:rPr>
          <w:sz w:val="22"/>
          <w:szCs w:val="22"/>
        </w:rPr>
        <w:t>Levemir</w:t>
      </w:r>
      <w:proofErr w:type="spellEnd"/>
      <w:r w:rsidRPr="00853ED7">
        <w:rPr>
          <w:sz w:val="22"/>
          <w:szCs w:val="22"/>
        </w:rPr>
        <w:t>.</w:t>
      </w:r>
    </w:p>
    <w:p w:rsidR="00D77859" w:rsidRPr="00853ED7" w:rsidRDefault="00D77859" w:rsidP="001D5870">
      <w:pPr>
        <w:rPr>
          <w:sz w:val="22"/>
          <w:szCs w:val="22"/>
        </w:rPr>
      </w:pPr>
    </w:p>
    <w:p w:rsidR="00D77859" w:rsidRPr="00853ED7" w:rsidRDefault="00D77859" w:rsidP="001D5870">
      <w:pPr>
        <w:rPr>
          <w:sz w:val="22"/>
          <w:szCs w:val="22"/>
        </w:rPr>
      </w:pPr>
      <w:proofErr w:type="spellStart"/>
      <w:r w:rsidRPr="00853ED7">
        <w:rPr>
          <w:sz w:val="22"/>
          <w:szCs w:val="22"/>
          <w:lang w:eastAsia="da-DK"/>
        </w:rPr>
        <w:t>Levemir</w:t>
      </w:r>
      <w:proofErr w:type="spellEnd"/>
      <w:r w:rsidRPr="00853ED7">
        <w:rPr>
          <w:sz w:val="22"/>
          <w:szCs w:val="22"/>
          <w:lang w:eastAsia="da-DK"/>
        </w:rPr>
        <w:t xml:space="preserve"> contains </w:t>
      </w:r>
      <w:proofErr w:type="spellStart"/>
      <w:r w:rsidRPr="00853ED7">
        <w:rPr>
          <w:sz w:val="22"/>
          <w:szCs w:val="22"/>
          <w:lang w:eastAsia="da-DK"/>
        </w:rPr>
        <w:t>metacresol</w:t>
      </w:r>
      <w:proofErr w:type="spellEnd"/>
      <w:r w:rsidRPr="00853ED7">
        <w:rPr>
          <w:sz w:val="22"/>
          <w:szCs w:val="22"/>
          <w:lang w:eastAsia="da-DK"/>
        </w:rPr>
        <w:t>, which may cause allergic reactions</w:t>
      </w:r>
      <w:r w:rsidR="00F9469A">
        <w:rPr>
          <w:sz w:val="22"/>
          <w:szCs w:val="22"/>
          <w:lang w:eastAsia="da-DK"/>
        </w:rPr>
        <w:t>.</w:t>
      </w:r>
    </w:p>
    <w:p w:rsidR="00D77859" w:rsidRPr="00853ED7" w:rsidRDefault="00D77859" w:rsidP="001D5870">
      <w:pPr>
        <w:rPr>
          <w:sz w:val="22"/>
          <w:szCs w:val="22"/>
        </w:rPr>
      </w:pPr>
    </w:p>
    <w:p w:rsidR="00D77859" w:rsidRPr="00853ED7" w:rsidRDefault="00D77859" w:rsidP="002D4E2E">
      <w:pPr>
        <w:pStyle w:val="Heading3"/>
        <w:rPr>
          <w:sz w:val="22"/>
          <w:szCs w:val="22"/>
        </w:rPr>
      </w:pPr>
      <w:r w:rsidRPr="00853ED7">
        <w:rPr>
          <w:sz w:val="22"/>
          <w:szCs w:val="22"/>
        </w:rPr>
        <w:t>Transfer of patients between insulin types</w:t>
      </w:r>
    </w:p>
    <w:p w:rsidR="00D77859" w:rsidRPr="00853ED7" w:rsidRDefault="00D77859" w:rsidP="001D5870">
      <w:pPr>
        <w:rPr>
          <w:sz w:val="22"/>
          <w:szCs w:val="22"/>
          <w:lang w:eastAsia="da-DK"/>
        </w:rPr>
      </w:pPr>
      <w:r w:rsidRPr="00853ED7">
        <w:rPr>
          <w:sz w:val="22"/>
          <w:szCs w:val="22"/>
          <w:lang w:eastAsia="da-DK"/>
        </w:rPr>
        <w:t>Transferring a patient to another type or brand of insulin should be done under strict medical supervision. Changes in strength, brand (manufacturer), type, origin (human</w:t>
      </w:r>
      <w:r w:rsidR="008774FF" w:rsidRPr="00853ED7">
        <w:rPr>
          <w:sz w:val="22"/>
          <w:szCs w:val="22"/>
          <w:lang w:eastAsia="da-DK"/>
        </w:rPr>
        <w:t xml:space="preserve"> insulin</w:t>
      </w:r>
      <w:r w:rsidRPr="00853ED7">
        <w:rPr>
          <w:sz w:val="22"/>
          <w:szCs w:val="22"/>
          <w:lang w:eastAsia="da-DK"/>
        </w:rPr>
        <w:t xml:space="preserve">, insulin analogue) and/or method of </w:t>
      </w:r>
      <w:r w:rsidR="000F1896" w:rsidRPr="00853ED7">
        <w:rPr>
          <w:sz w:val="22"/>
          <w:szCs w:val="22"/>
          <w:lang w:eastAsia="da-DK"/>
        </w:rPr>
        <w:t>manufacture may</w:t>
      </w:r>
      <w:r w:rsidRPr="00853ED7">
        <w:rPr>
          <w:sz w:val="22"/>
          <w:szCs w:val="22"/>
          <w:lang w:eastAsia="da-DK"/>
        </w:rPr>
        <w:t xml:space="preserve"> result in the need for a change in dosage. Patients</w:t>
      </w:r>
      <w:r w:rsidR="00354045" w:rsidRPr="00853ED7">
        <w:rPr>
          <w:sz w:val="22"/>
          <w:szCs w:val="22"/>
          <w:lang w:eastAsia="da-DK"/>
        </w:rPr>
        <w:t xml:space="preserve"> transferred to </w:t>
      </w:r>
      <w:proofErr w:type="spellStart"/>
      <w:r w:rsidRPr="00853ED7">
        <w:rPr>
          <w:sz w:val="22"/>
          <w:szCs w:val="22"/>
          <w:lang w:eastAsia="da-DK"/>
        </w:rPr>
        <w:t>Levemir</w:t>
      </w:r>
      <w:proofErr w:type="spellEnd"/>
      <w:r w:rsidRPr="00853ED7">
        <w:rPr>
          <w:sz w:val="22"/>
          <w:szCs w:val="22"/>
          <w:lang w:eastAsia="da-DK"/>
        </w:rPr>
        <w:t xml:space="preserve"> </w:t>
      </w:r>
      <w:r w:rsidR="00354045" w:rsidRPr="00853ED7">
        <w:rPr>
          <w:sz w:val="22"/>
          <w:szCs w:val="22"/>
          <w:lang w:eastAsia="da-DK"/>
        </w:rPr>
        <w:t xml:space="preserve">from another type of insulin </w:t>
      </w:r>
      <w:r w:rsidRPr="00853ED7">
        <w:rPr>
          <w:sz w:val="22"/>
          <w:szCs w:val="22"/>
          <w:lang w:eastAsia="da-DK"/>
        </w:rPr>
        <w:t>may require a change in dosage from that used with their usual insulin</w:t>
      </w:r>
      <w:r w:rsidR="00575F70" w:rsidRPr="00853ED7">
        <w:rPr>
          <w:sz w:val="22"/>
          <w:szCs w:val="22"/>
          <w:lang w:eastAsia="da-DK"/>
        </w:rPr>
        <w:t xml:space="preserve"> products</w:t>
      </w:r>
      <w:r w:rsidRPr="00853ED7">
        <w:rPr>
          <w:sz w:val="22"/>
          <w:szCs w:val="22"/>
          <w:lang w:eastAsia="da-DK"/>
        </w:rPr>
        <w:t>. If an adjustment is needed, it may occur with the first dose or during the first few weeks or months.</w:t>
      </w:r>
    </w:p>
    <w:p w:rsidR="00D77859" w:rsidRPr="00853ED7" w:rsidRDefault="00D77859" w:rsidP="001D5870">
      <w:pPr>
        <w:rPr>
          <w:sz w:val="22"/>
          <w:szCs w:val="22"/>
          <w:lang w:eastAsia="da-DK"/>
        </w:rPr>
      </w:pPr>
    </w:p>
    <w:p w:rsidR="00575F70" w:rsidRPr="00853ED7" w:rsidRDefault="00575F70" w:rsidP="002D4E2E">
      <w:pPr>
        <w:pStyle w:val="Heading3"/>
        <w:rPr>
          <w:sz w:val="22"/>
          <w:szCs w:val="22"/>
          <w:lang w:eastAsia="da-DK"/>
        </w:rPr>
      </w:pPr>
      <w:r w:rsidRPr="00853ED7">
        <w:rPr>
          <w:sz w:val="22"/>
          <w:szCs w:val="22"/>
          <w:lang w:eastAsia="da-DK"/>
        </w:rPr>
        <w:t xml:space="preserve">Combination of </w:t>
      </w:r>
      <w:proofErr w:type="spellStart"/>
      <w:r w:rsidRPr="00853ED7">
        <w:rPr>
          <w:sz w:val="22"/>
          <w:szCs w:val="22"/>
          <w:lang w:eastAsia="da-DK"/>
        </w:rPr>
        <w:t>thiazolidinediones</w:t>
      </w:r>
      <w:proofErr w:type="spellEnd"/>
      <w:r w:rsidRPr="00853ED7">
        <w:rPr>
          <w:sz w:val="22"/>
          <w:szCs w:val="22"/>
          <w:lang w:eastAsia="da-DK"/>
        </w:rPr>
        <w:t xml:space="preserve"> and insulin</w:t>
      </w:r>
    </w:p>
    <w:p w:rsidR="00575F70" w:rsidRPr="00853ED7" w:rsidRDefault="00575F70" w:rsidP="001D5870">
      <w:pPr>
        <w:rPr>
          <w:sz w:val="22"/>
          <w:szCs w:val="22"/>
          <w:lang w:eastAsia="da-DK"/>
        </w:rPr>
      </w:pPr>
      <w:r w:rsidRPr="00853ED7">
        <w:rPr>
          <w:sz w:val="22"/>
          <w:szCs w:val="22"/>
          <w:lang w:eastAsia="da-DK"/>
        </w:rPr>
        <w:t xml:space="preserve">Cases of congestive heart failure have been reported when </w:t>
      </w:r>
      <w:proofErr w:type="spellStart"/>
      <w:r w:rsidRPr="00853ED7">
        <w:rPr>
          <w:sz w:val="22"/>
          <w:szCs w:val="22"/>
          <w:lang w:eastAsia="da-DK"/>
        </w:rPr>
        <w:t>thiazolidinediones</w:t>
      </w:r>
      <w:proofErr w:type="spellEnd"/>
      <w:r w:rsidRPr="00853ED7">
        <w:rPr>
          <w:sz w:val="22"/>
          <w:szCs w:val="22"/>
          <w:lang w:eastAsia="da-DK"/>
        </w:rPr>
        <w:t xml:space="preserve"> were used in combination with insulin, especially in patients with risk factors for development of congestive heart failure. This should be kept in mind if treatment with the combination of </w:t>
      </w:r>
      <w:proofErr w:type="spellStart"/>
      <w:r w:rsidRPr="00853ED7">
        <w:rPr>
          <w:sz w:val="22"/>
          <w:szCs w:val="22"/>
          <w:lang w:eastAsia="da-DK"/>
        </w:rPr>
        <w:t>thiazolidinediones</w:t>
      </w:r>
      <w:proofErr w:type="spellEnd"/>
      <w:r w:rsidRPr="00853ED7">
        <w:rPr>
          <w:sz w:val="22"/>
          <w:szCs w:val="22"/>
          <w:lang w:eastAsia="da-DK"/>
        </w:rPr>
        <w:t xml:space="preserve"> and insulin medicinal products is considered. If the combination is used, patients should be observed for signs and symptoms of congestive</w:t>
      </w:r>
      <w:r w:rsidR="00822101" w:rsidRPr="00853ED7">
        <w:rPr>
          <w:sz w:val="22"/>
          <w:szCs w:val="22"/>
          <w:lang w:eastAsia="da-DK"/>
        </w:rPr>
        <w:t xml:space="preserve"> </w:t>
      </w:r>
      <w:r w:rsidRPr="00853ED7">
        <w:rPr>
          <w:sz w:val="22"/>
          <w:szCs w:val="22"/>
          <w:lang w:eastAsia="da-DK"/>
        </w:rPr>
        <w:t>heart f</w:t>
      </w:r>
      <w:r w:rsidR="00E85A7B" w:rsidRPr="00853ED7">
        <w:rPr>
          <w:sz w:val="22"/>
          <w:szCs w:val="22"/>
          <w:lang w:eastAsia="da-DK"/>
        </w:rPr>
        <w:t xml:space="preserve">ailure, weight gain and oedema. </w:t>
      </w:r>
      <w:proofErr w:type="spellStart"/>
      <w:r w:rsidRPr="00853ED7">
        <w:rPr>
          <w:sz w:val="22"/>
          <w:szCs w:val="22"/>
          <w:lang w:eastAsia="da-DK"/>
        </w:rPr>
        <w:t>Thiazolidinediones</w:t>
      </w:r>
      <w:proofErr w:type="spellEnd"/>
      <w:r w:rsidRPr="00853ED7">
        <w:rPr>
          <w:sz w:val="22"/>
          <w:szCs w:val="22"/>
          <w:lang w:eastAsia="da-DK"/>
        </w:rPr>
        <w:t xml:space="preserve"> should be discontinued if any deterioration in cardiac symptoms occurs.</w:t>
      </w:r>
    </w:p>
    <w:p w:rsidR="00575F70" w:rsidRPr="00853ED7" w:rsidRDefault="00575F70" w:rsidP="001D5870">
      <w:pPr>
        <w:rPr>
          <w:sz w:val="22"/>
          <w:szCs w:val="22"/>
          <w:lang w:eastAsia="da-DK"/>
        </w:rPr>
      </w:pPr>
      <w:r w:rsidRPr="00853ED7">
        <w:rPr>
          <w:sz w:val="22"/>
          <w:szCs w:val="22"/>
          <w:lang w:eastAsia="da-DK"/>
        </w:rPr>
        <w:tab/>
      </w:r>
    </w:p>
    <w:p w:rsidR="00575F70" w:rsidRPr="00853ED7" w:rsidRDefault="00575F70" w:rsidP="002D4E2E">
      <w:pPr>
        <w:pStyle w:val="Heading3"/>
        <w:rPr>
          <w:sz w:val="22"/>
          <w:szCs w:val="22"/>
          <w:lang w:eastAsia="da-DK"/>
        </w:rPr>
      </w:pPr>
      <w:r w:rsidRPr="00853ED7">
        <w:rPr>
          <w:sz w:val="22"/>
          <w:szCs w:val="22"/>
          <w:lang w:eastAsia="da-DK"/>
        </w:rPr>
        <w:t>Incompatibilities</w:t>
      </w:r>
    </w:p>
    <w:p w:rsidR="00575F70" w:rsidRPr="00853ED7" w:rsidRDefault="00575F70" w:rsidP="001D5870">
      <w:pPr>
        <w:rPr>
          <w:sz w:val="22"/>
          <w:szCs w:val="22"/>
          <w:lang w:eastAsia="da-DK"/>
        </w:rPr>
      </w:pPr>
      <w:r w:rsidRPr="00853ED7">
        <w:rPr>
          <w:sz w:val="22"/>
          <w:szCs w:val="22"/>
          <w:lang w:eastAsia="da-DK"/>
        </w:rPr>
        <w:t xml:space="preserve">Substances added to </w:t>
      </w:r>
      <w:proofErr w:type="spellStart"/>
      <w:r w:rsidRPr="00853ED7">
        <w:rPr>
          <w:sz w:val="22"/>
          <w:szCs w:val="22"/>
          <w:lang w:eastAsia="da-DK"/>
        </w:rPr>
        <w:t>Levemir</w:t>
      </w:r>
      <w:proofErr w:type="spellEnd"/>
      <w:r w:rsidRPr="00853ED7">
        <w:rPr>
          <w:sz w:val="22"/>
          <w:szCs w:val="22"/>
          <w:lang w:eastAsia="da-DK"/>
        </w:rPr>
        <w:t xml:space="preserve"> may cause degradation of insulin </w:t>
      </w:r>
      <w:proofErr w:type="spellStart"/>
      <w:r w:rsidRPr="00853ED7">
        <w:rPr>
          <w:sz w:val="22"/>
          <w:szCs w:val="22"/>
          <w:lang w:eastAsia="da-DK"/>
        </w:rPr>
        <w:t>detemir</w:t>
      </w:r>
      <w:proofErr w:type="spellEnd"/>
      <w:r w:rsidRPr="00853ED7">
        <w:rPr>
          <w:sz w:val="22"/>
          <w:szCs w:val="22"/>
          <w:lang w:eastAsia="da-DK"/>
        </w:rPr>
        <w:t xml:space="preserve">, for example if the medicinal product contains </w:t>
      </w:r>
      <w:proofErr w:type="spellStart"/>
      <w:r w:rsidRPr="00853ED7">
        <w:rPr>
          <w:sz w:val="22"/>
          <w:szCs w:val="22"/>
          <w:lang w:eastAsia="da-DK"/>
        </w:rPr>
        <w:t>thiols</w:t>
      </w:r>
      <w:proofErr w:type="spellEnd"/>
      <w:r w:rsidRPr="00853ED7">
        <w:rPr>
          <w:sz w:val="22"/>
          <w:szCs w:val="22"/>
          <w:lang w:eastAsia="da-DK"/>
        </w:rPr>
        <w:t xml:space="preserve"> or sulphites. </w:t>
      </w:r>
      <w:proofErr w:type="spellStart"/>
      <w:r w:rsidRPr="00853ED7">
        <w:rPr>
          <w:sz w:val="22"/>
          <w:szCs w:val="22"/>
          <w:lang w:eastAsia="da-DK"/>
        </w:rPr>
        <w:t>Levemir</w:t>
      </w:r>
      <w:proofErr w:type="spellEnd"/>
      <w:r w:rsidRPr="00853ED7">
        <w:rPr>
          <w:sz w:val="22"/>
          <w:szCs w:val="22"/>
          <w:lang w:eastAsia="da-DK"/>
        </w:rPr>
        <w:t xml:space="preserve"> should not be added to infusion fluids.</w:t>
      </w:r>
    </w:p>
    <w:p w:rsidR="00575F70" w:rsidRPr="00853ED7" w:rsidRDefault="00575F70" w:rsidP="001D5870">
      <w:pPr>
        <w:rPr>
          <w:sz w:val="22"/>
          <w:szCs w:val="22"/>
          <w:lang w:eastAsia="da-DK"/>
        </w:rPr>
      </w:pPr>
    </w:p>
    <w:p w:rsidR="00D77859" w:rsidRPr="00853ED7" w:rsidRDefault="00D77859" w:rsidP="002D4E2E">
      <w:pPr>
        <w:pStyle w:val="Heading3"/>
        <w:rPr>
          <w:sz w:val="22"/>
          <w:szCs w:val="22"/>
        </w:rPr>
      </w:pPr>
      <w:r w:rsidRPr="00853ED7">
        <w:rPr>
          <w:sz w:val="22"/>
          <w:szCs w:val="22"/>
        </w:rPr>
        <w:t xml:space="preserve">Carcinogenicity </w:t>
      </w:r>
    </w:p>
    <w:p w:rsidR="00D77859" w:rsidRPr="00853ED7" w:rsidRDefault="00D77859" w:rsidP="001D5870">
      <w:pPr>
        <w:rPr>
          <w:sz w:val="22"/>
          <w:szCs w:val="22"/>
          <w:lang w:eastAsia="da-DK"/>
        </w:rPr>
      </w:pPr>
      <w:r w:rsidRPr="00853ED7">
        <w:rPr>
          <w:sz w:val="22"/>
          <w:szCs w:val="22"/>
          <w:lang w:eastAsia="da-DK"/>
        </w:rPr>
        <w:t xml:space="preserve">The carcinogenic potential of insulin </w:t>
      </w:r>
      <w:proofErr w:type="spellStart"/>
      <w:r w:rsidRPr="00853ED7">
        <w:rPr>
          <w:sz w:val="22"/>
          <w:szCs w:val="22"/>
          <w:lang w:eastAsia="da-DK"/>
        </w:rPr>
        <w:t>detemir</w:t>
      </w:r>
      <w:proofErr w:type="spellEnd"/>
      <w:r w:rsidRPr="00853ED7">
        <w:rPr>
          <w:sz w:val="22"/>
          <w:szCs w:val="22"/>
          <w:lang w:eastAsia="da-DK"/>
        </w:rPr>
        <w:t xml:space="preserve"> has not been investigated in long-term animal studies. </w:t>
      </w:r>
    </w:p>
    <w:p w:rsidR="00D77859" w:rsidRPr="00853ED7" w:rsidRDefault="00D77859" w:rsidP="001D5870">
      <w:pPr>
        <w:rPr>
          <w:sz w:val="22"/>
          <w:szCs w:val="22"/>
          <w:lang w:eastAsia="da-DK"/>
        </w:rPr>
      </w:pPr>
    </w:p>
    <w:p w:rsidR="00D77859" w:rsidRPr="00853ED7" w:rsidRDefault="00D77859" w:rsidP="002D4E2E">
      <w:pPr>
        <w:pStyle w:val="Heading3"/>
        <w:rPr>
          <w:sz w:val="22"/>
          <w:szCs w:val="22"/>
          <w:lang w:eastAsia="da-DK"/>
        </w:rPr>
      </w:pPr>
      <w:proofErr w:type="spellStart"/>
      <w:r w:rsidRPr="00853ED7">
        <w:rPr>
          <w:sz w:val="22"/>
          <w:szCs w:val="22"/>
          <w:lang w:eastAsia="da-DK"/>
        </w:rPr>
        <w:t>Genotoxicity</w:t>
      </w:r>
      <w:proofErr w:type="spellEnd"/>
    </w:p>
    <w:p w:rsidR="00D77859" w:rsidRPr="00853ED7" w:rsidRDefault="00D77859" w:rsidP="001D5870">
      <w:pPr>
        <w:rPr>
          <w:sz w:val="22"/>
          <w:szCs w:val="22"/>
          <w:lang w:eastAsia="da-DK"/>
        </w:rPr>
      </w:pPr>
      <w:r w:rsidRPr="00853ED7">
        <w:rPr>
          <w:sz w:val="22"/>
          <w:szCs w:val="22"/>
          <w:lang w:eastAsia="da-DK"/>
        </w:rPr>
        <w:t xml:space="preserve">Insulin </w:t>
      </w:r>
      <w:proofErr w:type="spellStart"/>
      <w:r w:rsidRPr="00853ED7">
        <w:rPr>
          <w:sz w:val="22"/>
          <w:szCs w:val="22"/>
          <w:lang w:eastAsia="da-DK"/>
        </w:rPr>
        <w:t>detemir</w:t>
      </w:r>
      <w:proofErr w:type="spellEnd"/>
      <w:r w:rsidRPr="00853ED7">
        <w:rPr>
          <w:sz w:val="22"/>
          <w:szCs w:val="22"/>
          <w:lang w:eastAsia="da-DK"/>
        </w:rPr>
        <w:t xml:space="preserve"> was not </w:t>
      </w:r>
      <w:proofErr w:type="spellStart"/>
      <w:r w:rsidRPr="00853ED7">
        <w:rPr>
          <w:sz w:val="22"/>
          <w:szCs w:val="22"/>
          <w:lang w:eastAsia="da-DK"/>
        </w:rPr>
        <w:t>genotoxic</w:t>
      </w:r>
      <w:proofErr w:type="spellEnd"/>
      <w:r w:rsidRPr="00853ED7">
        <w:rPr>
          <w:sz w:val="22"/>
          <w:szCs w:val="22"/>
          <w:lang w:eastAsia="da-DK"/>
        </w:rPr>
        <w:t xml:space="preserve"> in assays for reverse gene mutation in bacterial or chromosomal damage in cultured human lymphocytes. An </w:t>
      </w:r>
      <w:r w:rsidRPr="00853ED7">
        <w:rPr>
          <w:i/>
          <w:sz w:val="22"/>
          <w:szCs w:val="22"/>
          <w:lang w:eastAsia="da-DK"/>
        </w:rPr>
        <w:t>in vivo</w:t>
      </w:r>
      <w:r w:rsidRPr="00853ED7">
        <w:rPr>
          <w:sz w:val="22"/>
          <w:szCs w:val="22"/>
          <w:lang w:eastAsia="da-DK"/>
        </w:rPr>
        <w:t xml:space="preserve"> micronucleus test in mice was also negative. </w:t>
      </w:r>
    </w:p>
    <w:p w:rsidR="00D77859" w:rsidRPr="00853ED7" w:rsidRDefault="00D77859" w:rsidP="001D5870">
      <w:pPr>
        <w:rPr>
          <w:sz w:val="22"/>
          <w:szCs w:val="22"/>
          <w:lang w:eastAsia="da-DK"/>
        </w:rPr>
      </w:pPr>
    </w:p>
    <w:p w:rsidR="00D77859" w:rsidRPr="00853ED7" w:rsidRDefault="00D77859" w:rsidP="002D4E2E">
      <w:pPr>
        <w:pStyle w:val="Heading3"/>
        <w:rPr>
          <w:sz w:val="22"/>
          <w:szCs w:val="22"/>
          <w:lang w:eastAsia="da-DK"/>
        </w:rPr>
      </w:pPr>
      <w:r w:rsidRPr="00853ED7">
        <w:rPr>
          <w:sz w:val="22"/>
          <w:szCs w:val="22"/>
          <w:lang w:eastAsia="da-DK"/>
        </w:rPr>
        <w:t>Effects on fertility</w:t>
      </w:r>
    </w:p>
    <w:p w:rsidR="00D77859" w:rsidRPr="00853ED7" w:rsidRDefault="00D77859" w:rsidP="001D5870">
      <w:pPr>
        <w:rPr>
          <w:sz w:val="22"/>
          <w:szCs w:val="22"/>
          <w:lang w:eastAsia="da-DK"/>
        </w:rPr>
      </w:pPr>
      <w:r w:rsidRPr="00853ED7">
        <w:rPr>
          <w:sz w:val="22"/>
          <w:szCs w:val="22"/>
          <w:lang w:eastAsia="da-DK"/>
        </w:rPr>
        <w:t xml:space="preserve">No adverse effects on male or female fertility were apparent in a study in rats dosed at levels up to 50 U/kg/day </w:t>
      </w:r>
      <w:proofErr w:type="spellStart"/>
      <w:r w:rsidR="00575F70" w:rsidRPr="00853ED7">
        <w:rPr>
          <w:sz w:val="22"/>
          <w:szCs w:val="22"/>
          <w:lang w:eastAsia="da-DK"/>
        </w:rPr>
        <w:t>s.c</w:t>
      </w:r>
      <w:r w:rsidRPr="00853ED7">
        <w:rPr>
          <w:sz w:val="22"/>
          <w:szCs w:val="22"/>
          <w:lang w:eastAsia="da-DK"/>
        </w:rPr>
        <w:t>.</w:t>
      </w:r>
      <w:proofErr w:type="spellEnd"/>
    </w:p>
    <w:bookmarkEnd w:id="28"/>
    <w:bookmarkEnd w:id="29"/>
    <w:p w:rsidR="00B103B4" w:rsidRPr="00853ED7" w:rsidRDefault="00B103B4" w:rsidP="001D5870">
      <w:pPr>
        <w:rPr>
          <w:sz w:val="22"/>
          <w:szCs w:val="22"/>
          <w:lang w:eastAsia="da-DK"/>
        </w:rPr>
      </w:pPr>
    </w:p>
    <w:p w:rsidR="00D77859" w:rsidRPr="00853ED7" w:rsidRDefault="00D77859" w:rsidP="002D4E2E">
      <w:pPr>
        <w:pStyle w:val="Heading3"/>
        <w:rPr>
          <w:sz w:val="22"/>
          <w:szCs w:val="22"/>
        </w:rPr>
      </w:pPr>
      <w:r w:rsidRPr="00853ED7">
        <w:rPr>
          <w:sz w:val="22"/>
          <w:szCs w:val="22"/>
        </w:rPr>
        <w:t>Use in Pregnancy</w:t>
      </w:r>
    </w:p>
    <w:p w:rsidR="00D77859" w:rsidRPr="00853ED7" w:rsidRDefault="00D77859" w:rsidP="001D5870">
      <w:pPr>
        <w:rPr>
          <w:sz w:val="22"/>
          <w:szCs w:val="22"/>
        </w:rPr>
      </w:pPr>
      <w:r w:rsidRPr="00853ED7">
        <w:rPr>
          <w:sz w:val="22"/>
          <w:szCs w:val="22"/>
        </w:rPr>
        <w:t xml:space="preserve">Pregnancy Category: </w:t>
      </w:r>
      <w:r w:rsidR="00575F70" w:rsidRPr="00853ED7">
        <w:rPr>
          <w:sz w:val="22"/>
          <w:szCs w:val="22"/>
        </w:rPr>
        <w:t>A</w:t>
      </w:r>
    </w:p>
    <w:p w:rsidR="00D77859" w:rsidRPr="00853ED7" w:rsidRDefault="00D77859" w:rsidP="001D5870">
      <w:pPr>
        <w:rPr>
          <w:sz w:val="22"/>
          <w:szCs w:val="22"/>
          <w:lang w:eastAsia="da-DK"/>
        </w:rPr>
      </w:pPr>
    </w:p>
    <w:p w:rsidR="00DD4866" w:rsidRPr="00853ED7" w:rsidRDefault="00575F70" w:rsidP="00553F63">
      <w:pPr>
        <w:rPr>
          <w:sz w:val="22"/>
          <w:szCs w:val="22"/>
          <w:lang w:eastAsia="da-DK"/>
        </w:rPr>
      </w:pPr>
      <w:r w:rsidRPr="00853ED7">
        <w:rPr>
          <w:sz w:val="22"/>
          <w:szCs w:val="22"/>
          <w:lang w:eastAsia="da-DK"/>
        </w:rPr>
        <w:t xml:space="preserve">Treatment with </w:t>
      </w:r>
      <w:proofErr w:type="spellStart"/>
      <w:r w:rsidRPr="00853ED7">
        <w:rPr>
          <w:sz w:val="22"/>
          <w:szCs w:val="22"/>
          <w:lang w:eastAsia="da-DK"/>
        </w:rPr>
        <w:t>Levemir</w:t>
      </w:r>
      <w:proofErr w:type="spellEnd"/>
      <w:r w:rsidRPr="00853ED7">
        <w:rPr>
          <w:sz w:val="22"/>
          <w:szCs w:val="22"/>
          <w:lang w:eastAsia="da-DK"/>
        </w:rPr>
        <w:t xml:space="preserve"> can be considered during pregnancy, if the benefit justifies possible risks. </w:t>
      </w:r>
    </w:p>
    <w:p w:rsidR="00DD4866" w:rsidRPr="00853ED7" w:rsidRDefault="00DD4866" w:rsidP="00553F63">
      <w:pPr>
        <w:rPr>
          <w:sz w:val="22"/>
          <w:szCs w:val="22"/>
          <w:lang w:eastAsia="da-DK"/>
        </w:rPr>
      </w:pPr>
    </w:p>
    <w:p w:rsidR="001601C1" w:rsidRPr="00853ED7" w:rsidRDefault="00553F63" w:rsidP="00DD4866">
      <w:pPr>
        <w:rPr>
          <w:sz w:val="22"/>
          <w:szCs w:val="22"/>
          <w:lang w:eastAsia="da-DK"/>
        </w:rPr>
      </w:pPr>
      <w:r w:rsidRPr="00853ED7">
        <w:rPr>
          <w:sz w:val="22"/>
          <w:szCs w:val="22"/>
          <w:lang w:eastAsia="da-DK"/>
        </w:rPr>
        <w:lastRenderedPageBreak/>
        <w:t>In a randomised controlled clinical trial</w:t>
      </w:r>
      <w:r w:rsidR="00686874" w:rsidRPr="00853ED7">
        <w:rPr>
          <w:sz w:val="22"/>
          <w:szCs w:val="22"/>
          <w:lang w:eastAsia="da-DK"/>
        </w:rPr>
        <w:t xml:space="preserve"> (study 1687)</w:t>
      </w:r>
      <w:r w:rsidRPr="00853ED7">
        <w:rPr>
          <w:sz w:val="22"/>
          <w:szCs w:val="22"/>
          <w:lang w:eastAsia="da-DK"/>
        </w:rPr>
        <w:t xml:space="preserve">, pregnant women with type 1 diabetes were treated in a basal-bolus regimen where </w:t>
      </w:r>
      <w:proofErr w:type="spellStart"/>
      <w:r w:rsidRPr="00853ED7">
        <w:rPr>
          <w:sz w:val="22"/>
          <w:szCs w:val="22"/>
          <w:lang w:eastAsia="da-DK"/>
        </w:rPr>
        <w:t>Levemir</w:t>
      </w:r>
      <w:proofErr w:type="spellEnd"/>
      <w:r w:rsidRPr="00853ED7">
        <w:rPr>
          <w:sz w:val="22"/>
          <w:szCs w:val="22"/>
          <w:lang w:eastAsia="da-DK"/>
        </w:rPr>
        <w:t xml:space="preserve"> (N = 152) was compared to NPH insulin (N = 158), with insulin </w:t>
      </w:r>
      <w:proofErr w:type="spellStart"/>
      <w:r w:rsidRPr="00853ED7">
        <w:rPr>
          <w:sz w:val="22"/>
          <w:szCs w:val="22"/>
          <w:lang w:eastAsia="da-DK"/>
        </w:rPr>
        <w:t>aspart</w:t>
      </w:r>
      <w:proofErr w:type="spellEnd"/>
      <w:r w:rsidRPr="00853ED7">
        <w:rPr>
          <w:sz w:val="22"/>
          <w:szCs w:val="22"/>
          <w:lang w:eastAsia="da-DK"/>
        </w:rPr>
        <w:t xml:space="preserve"> as meal time insulin. </w:t>
      </w:r>
      <w:r w:rsidR="00DD4866" w:rsidRPr="00853ED7">
        <w:rPr>
          <w:sz w:val="22"/>
          <w:szCs w:val="22"/>
          <w:lang w:eastAsia="da-DK"/>
        </w:rPr>
        <w:t xml:space="preserve">A total of 470 women were randomised to two parallel treatment groups (233 and 237 subjects in </w:t>
      </w:r>
      <w:proofErr w:type="spellStart"/>
      <w:r w:rsidR="00DD4866" w:rsidRPr="00853ED7">
        <w:rPr>
          <w:sz w:val="22"/>
          <w:szCs w:val="22"/>
          <w:lang w:eastAsia="da-DK"/>
        </w:rPr>
        <w:t>Levemir</w:t>
      </w:r>
      <w:proofErr w:type="spellEnd"/>
      <w:r w:rsidR="00DD4866" w:rsidRPr="00853ED7">
        <w:rPr>
          <w:sz w:val="22"/>
          <w:szCs w:val="22"/>
          <w:lang w:eastAsia="da-DK"/>
        </w:rPr>
        <w:t xml:space="preserve"> and NPH groups, respectively). The Full Analysis Set consisted of 152 women in the </w:t>
      </w:r>
      <w:proofErr w:type="spellStart"/>
      <w:r w:rsidR="00DD4866" w:rsidRPr="00853ED7">
        <w:rPr>
          <w:sz w:val="22"/>
          <w:szCs w:val="22"/>
          <w:lang w:eastAsia="da-DK"/>
        </w:rPr>
        <w:t>Levemir</w:t>
      </w:r>
      <w:proofErr w:type="spellEnd"/>
      <w:r w:rsidR="00DD4866" w:rsidRPr="00853ED7">
        <w:rPr>
          <w:sz w:val="22"/>
          <w:szCs w:val="22"/>
          <w:lang w:eastAsia="da-DK"/>
        </w:rPr>
        <w:t xml:space="preserve"> group (79 pregnant (gestational age 8-12 weeks) at randomisation; 73 became pregnant post randomisation) and 158 women in the NPH group (83 pregnant (gestational age 8-12 weeks) at randomisation; 75 became pregnant post randomisation). </w:t>
      </w:r>
      <w:proofErr w:type="spellStart"/>
      <w:r w:rsidRPr="00853ED7">
        <w:rPr>
          <w:sz w:val="22"/>
          <w:szCs w:val="22"/>
          <w:lang w:eastAsia="da-DK"/>
        </w:rPr>
        <w:t>Levemir</w:t>
      </w:r>
      <w:proofErr w:type="spellEnd"/>
      <w:r w:rsidRPr="00853ED7">
        <w:rPr>
          <w:sz w:val="22"/>
          <w:szCs w:val="22"/>
          <w:lang w:eastAsia="da-DK"/>
        </w:rPr>
        <w:t xml:space="preserve"> was shown to be non-inferior to NPH insulin measured by HbA</w:t>
      </w:r>
      <w:r w:rsidRPr="00853ED7">
        <w:rPr>
          <w:sz w:val="22"/>
          <w:szCs w:val="22"/>
          <w:vertAlign w:val="subscript"/>
          <w:lang w:eastAsia="da-DK"/>
        </w:rPr>
        <w:t>1c</w:t>
      </w:r>
      <w:r w:rsidRPr="00853ED7">
        <w:rPr>
          <w:sz w:val="22"/>
          <w:szCs w:val="22"/>
          <w:lang w:eastAsia="da-DK"/>
        </w:rPr>
        <w:t xml:space="preserve"> at gestational week 36. </w:t>
      </w:r>
    </w:p>
    <w:p w:rsidR="001601C1" w:rsidRPr="00853ED7" w:rsidRDefault="001601C1" w:rsidP="00DD4866">
      <w:pPr>
        <w:rPr>
          <w:sz w:val="22"/>
          <w:szCs w:val="22"/>
          <w:lang w:eastAsia="da-DK"/>
        </w:rPr>
      </w:pPr>
    </w:p>
    <w:p w:rsidR="00553F63" w:rsidRPr="00853ED7" w:rsidRDefault="00553F63" w:rsidP="00DD4866">
      <w:pPr>
        <w:rPr>
          <w:sz w:val="22"/>
          <w:szCs w:val="22"/>
          <w:lang w:eastAsia="da-DK"/>
        </w:rPr>
      </w:pPr>
      <w:r w:rsidRPr="00853ED7">
        <w:rPr>
          <w:sz w:val="22"/>
          <w:szCs w:val="22"/>
          <w:lang w:eastAsia="da-DK"/>
        </w:rPr>
        <w:t xml:space="preserve">There was no statistically significant difference between </w:t>
      </w:r>
      <w:proofErr w:type="spellStart"/>
      <w:r w:rsidRPr="00853ED7">
        <w:rPr>
          <w:sz w:val="22"/>
          <w:szCs w:val="22"/>
          <w:lang w:eastAsia="da-DK"/>
        </w:rPr>
        <w:t>Levemir</w:t>
      </w:r>
      <w:proofErr w:type="spellEnd"/>
      <w:r w:rsidRPr="00853ED7">
        <w:rPr>
          <w:sz w:val="22"/>
          <w:szCs w:val="22"/>
          <w:lang w:eastAsia="da-DK"/>
        </w:rPr>
        <w:t xml:space="preserve"> and NPH insulin treatment groups in the rate of hypoglycaemic episodes during pregnancy. The overall frequencies of maternal adverse events during pregnancy were similar for </w:t>
      </w:r>
      <w:proofErr w:type="spellStart"/>
      <w:r w:rsidRPr="00853ED7">
        <w:rPr>
          <w:sz w:val="22"/>
          <w:szCs w:val="22"/>
          <w:lang w:eastAsia="da-DK"/>
        </w:rPr>
        <w:t>Levemir</w:t>
      </w:r>
      <w:proofErr w:type="spellEnd"/>
      <w:r w:rsidRPr="00853ED7">
        <w:rPr>
          <w:sz w:val="22"/>
          <w:szCs w:val="22"/>
          <w:lang w:eastAsia="da-DK"/>
        </w:rPr>
        <w:t xml:space="preserve"> and NPH insulin treatment groups; however, a numerically higher frequency of serious adverse events during pregnancy in the mothers (61 (40%) vs. 49 (31%)) and in the offspring during pregnancy and after birth (36 (24%) vs. 32 (20%)) was seen for </w:t>
      </w:r>
      <w:proofErr w:type="spellStart"/>
      <w:r w:rsidRPr="00853ED7">
        <w:rPr>
          <w:sz w:val="22"/>
          <w:szCs w:val="22"/>
          <w:lang w:eastAsia="da-DK"/>
        </w:rPr>
        <w:t>Levemir</w:t>
      </w:r>
      <w:proofErr w:type="spellEnd"/>
      <w:r w:rsidRPr="00853ED7">
        <w:rPr>
          <w:sz w:val="22"/>
          <w:szCs w:val="22"/>
          <w:lang w:eastAsia="da-DK"/>
        </w:rPr>
        <w:t xml:space="preserve"> compared to NPH insulin. The number of live born children of women becoming pregnant after randomisation were 50 (83%) for </w:t>
      </w:r>
      <w:proofErr w:type="spellStart"/>
      <w:r w:rsidRPr="00853ED7">
        <w:rPr>
          <w:sz w:val="22"/>
          <w:szCs w:val="22"/>
          <w:lang w:eastAsia="da-DK"/>
        </w:rPr>
        <w:t>Levemir</w:t>
      </w:r>
      <w:proofErr w:type="spellEnd"/>
      <w:r w:rsidRPr="00853ED7">
        <w:rPr>
          <w:sz w:val="22"/>
          <w:szCs w:val="22"/>
          <w:lang w:eastAsia="da-DK"/>
        </w:rPr>
        <w:t xml:space="preserve"> and 55 (89%) for NPH insulin. The frequency of children with congenital malformations was 4 (5%) in the </w:t>
      </w:r>
      <w:proofErr w:type="spellStart"/>
      <w:r w:rsidRPr="00853ED7">
        <w:rPr>
          <w:sz w:val="22"/>
          <w:szCs w:val="22"/>
          <w:lang w:eastAsia="da-DK"/>
        </w:rPr>
        <w:t>Levemir</w:t>
      </w:r>
      <w:proofErr w:type="spellEnd"/>
      <w:r w:rsidRPr="00853ED7">
        <w:rPr>
          <w:sz w:val="22"/>
          <w:szCs w:val="22"/>
          <w:lang w:eastAsia="da-DK"/>
        </w:rPr>
        <w:t xml:space="preserve"> group and 11 (7%) in the NPH insulin group. Thereof, 3 (4%) children in the </w:t>
      </w:r>
      <w:proofErr w:type="spellStart"/>
      <w:r w:rsidRPr="00853ED7">
        <w:rPr>
          <w:sz w:val="22"/>
          <w:szCs w:val="22"/>
          <w:lang w:eastAsia="da-DK"/>
        </w:rPr>
        <w:t>Levemir</w:t>
      </w:r>
      <w:proofErr w:type="spellEnd"/>
      <w:r w:rsidRPr="00853ED7">
        <w:rPr>
          <w:sz w:val="22"/>
          <w:szCs w:val="22"/>
          <w:lang w:eastAsia="da-DK"/>
        </w:rPr>
        <w:t xml:space="preserve"> group and 3 (2%) children in the NPH insulin group had major malformations. Pre-</w:t>
      </w:r>
      <w:proofErr w:type="spellStart"/>
      <w:r w:rsidRPr="00853ED7">
        <w:rPr>
          <w:sz w:val="22"/>
          <w:szCs w:val="22"/>
          <w:lang w:eastAsia="da-DK"/>
        </w:rPr>
        <w:t>eclampsia</w:t>
      </w:r>
      <w:proofErr w:type="spellEnd"/>
      <w:r w:rsidRPr="00853ED7">
        <w:rPr>
          <w:sz w:val="22"/>
          <w:szCs w:val="22"/>
          <w:lang w:eastAsia="da-DK"/>
        </w:rPr>
        <w:t xml:space="preserve"> is a syndrome defined by symptoms of hypertension and proteinuria. Pre-</w:t>
      </w:r>
      <w:proofErr w:type="spellStart"/>
      <w:r w:rsidRPr="00853ED7">
        <w:rPr>
          <w:sz w:val="22"/>
          <w:szCs w:val="22"/>
          <w:lang w:eastAsia="da-DK"/>
        </w:rPr>
        <w:t>eclampsia</w:t>
      </w:r>
      <w:proofErr w:type="spellEnd"/>
      <w:r w:rsidRPr="00853ED7">
        <w:rPr>
          <w:sz w:val="22"/>
          <w:szCs w:val="22"/>
          <w:lang w:eastAsia="da-DK"/>
        </w:rPr>
        <w:t xml:space="preserve"> was reported at an incidence of 10.5% with </w:t>
      </w:r>
      <w:proofErr w:type="spellStart"/>
      <w:r w:rsidRPr="00853ED7">
        <w:rPr>
          <w:sz w:val="22"/>
          <w:szCs w:val="22"/>
          <w:lang w:eastAsia="da-DK"/>
        </w:rPr>
        <w:t>Levemir</w:t>
      </w:r>
      <w:proofErr w:type="spellEnd"/>
      <w:r w:rsidR="00023F14" w:rsidRPr="00853ED7">
        <w:rPr>
          <w:sz w:val="22"/>
          <w:szCs w:val="22"/>
          <w:lang w:eastAsia="da-DK"/>
        </w:rPr>
        <w:t xml:space="preserve"> compared to 7% in NPH group</w:t>
      </w:r>
      <w:r w:rsidRPr="00853ED7">
        <w:rPr>
          <w:sz w:val="22"/>
          <w:szCs w:val="22"/>
          <w:lang w:eastAsia="da-DK"/>
        </w:rPr>
        <w:t>.</w:t>
      </w:r>
    </w:p>
    <w:p w:rsidR="00DD4866" w:rsidRPr="00853ED7" w:rsidRDefault="00DD4866" w:rsidP="00DD4866">
      <w:pPr>
        <w:rPr>
          <w:sz w:val="22"/>
          <w:szCs w:val="22"/>
          <w:lang w:eastAsia="da-DK"/>
        </w:rPr>
      </w:pPr>
    </w:p>
    <w:p w:rsidR="008415E0" w:rsidRPr="00853ED7" w:rsidRDefault="008415E0" w:rsidP="001D5870">
      <w:pPr>
        <w:rPr>
          <w:sz w:val="22"/>
          <w:szCs w:val="22"/>
          <w:lang w:eastAsia="da-DK"/>
        </w:rPr>
      </w:pPr>
      <w:r w:rsidRPr="00853ED7">
        <w:rPr>
          <w:sz w:val="22"/>
          <w:szCs w:val="22"/>
          <w:lang w:eastAsia="da-DK"/>
        </w:rPr>
        <w:t xml:space="preserve">The clinical trial results showed similar efficacy of </w:t>
      </w:r>
      <w:proofErr w:type="spellStart"/>
      <w:r w:rsidRPr="00853ED7">
        <w:rPr>
          <w:sz w:val="22"/>
          <w:szCs w:val="22"/>
          <w:lang w:eastAsia="da-DK"/>
        </w:rPr>
        <w:t>Levemir</w:t>
      </w:r>
      <w:proofErr w:type="spellEnd"/>
      <w:r w:rsidRPr="00853ED7">
        <w:rPr>
          <w:sz w:val="22"/>
          <w:szCs w:val="22"/>
          <w:lang w:eastAsia="da-DK"/>
        </w:rPr>
        <w:t xml:space="preserve"> and NPH insulin</w:t>
      </w:r>
      <w:r w:rsidR="00023F14" w:rsidRPr="00853ED7">
        <w:rPr>
          <w:sz w:val="22"/>
          <w:szCs w:val="22"/>
          <w:lang w:eastAsia="da-DK"/>
        </w:rPr>
        <w:t xml:space="preserve"> </w:t>
      </w:r>
      <w:r w:rsidR="00173BF7" w:rsidRPr="00853ED7">
        <w:rPr>
          <w:sz w:val="22"/>
          <w:szCs w:val="22"/>
          <w:lang w:eastAsia="da-DK"/>
        </w:rPr>
        <w:t>(see ‘Clinical Trials’ –</w:t>
      </w:r>
      <w:r w:rsidR="00023F14" w:rsidRPr="00853ED7">
        <w:rPr>
          <w:sz w:val="22"/>
          <w:szCs w:val="22"/>
          <w:lang w:eastAsia="da-DK"/>
        </w:rPr>
        <w:t xml:space="preserve"> </w:t>
      </w:r>
      <w:r w:rsidR="00173BF7" w:rsidRPr="00853ED7">
        <w:rPr>
          <w:sz w:val="22"/>
          <w:szCs w:val="22"/>
          <w:lang w:eastAsia="da-DK"/>
        </w:rPr>
        <w:t>‘</w:t>
      </w:r>
      <w:r w:rsidR="00023F14" w:rsidRPr="00853ED7">
        <w:rPr>
          <w:sz w:val="22"/>
          <w:szCs w:val="22"/>
          <w:lang w:eastAsia="da-DK"/>
        </w:rPr>
        <w:t>Clinical studies in pregnancy</w:t>
      </w:r>
      <w:r w:rsidR="00173BF7" w:rsidRPr="00853ED7">
        <w:rPr>
          <w:sz w:val="22"/>
          <w:szCs w:val="22"/>
          <w:lang w:eastAsia="da-DK"/>
        </w:rPr>
        <w:t>’</w:t>
      </w:r>
      <w:r w:rsidR="00023F14" w:rsidRPr="00853ED7">
        <w:rPr>
          <w:sz w:val="22"/>
          <w:szCs w:val="22"/>
          <w:lang w:eastAsia="da-DK"/>
        </w:rPr>
        <w:t>)</w:t>
      </w:r>
      <w:r w:rsidRPr="00853ED7">
        <w:rPr>
          <w:sz w:val="22"/>
          <w:szCs w:val="22"/>
          <w:lang w:eastAsia="da-DK"/>
        </w:rPr>
        <w:t>.</w:t>
      </w:r>
    </w:p>
    <w:p w:rsidR="008415E0" w:rsidRPr="00853ED7" w:rsidRDefault="008415E0" w:rsidP="001D5870">
      <w:pPr>
        <w:rPr>
          <w:sz w:val="22"/>
          <w:szCs w:val="22"/>
          <w:lang w:eastAsia="da-DK"/>
        </w:rPr>
      </w:pPr>
    </w:p>
    <w:p w:rsidR="00575F70" w:rsidRPr="00853ED7" w:rsidRDefault="00575F70" w:rsidP="001D5870">
      <w:pPr>
        <w:rPr>
          <w:sz w:val="22"/>
          <w:szCs w:val="22"/>
          <w:lang w:eastAsia="da-DK"/>
        </w:rPr>
      </w:pPr>
      <w:r w:rsidRPr="00853ED7">
        <w:rPr>
          <w:sz w:val="22"/>
          <w:szCs w:val="22"/>
          <w:lang w:eastAsia="da-DK"/>
        </w:rPr>
        <w:t xml:space="preserve">Post-marketing data (approximately 300 outcomes from pregnant women exposed to </w:t>
      </w:r>
      <w:proofErr w:type="spellStart"/>
      <w:r w:rsidRPr="00853ED7">
        <w:rPr>
          <w:sz w:val="22"/>
          <w:szCs w:val="22"/>
          <w:lang w:eastAsia="da-DK"/>
        </w:rPr>
        <w:t>Levemir</w:t>
      </w:r>
      <w:proofErr w:type="spellEnd"/>
      <w:r w:rsidRPr="00853ED7">
        <w:rPr>
          <w:sz w:val="22"/>
          <w:szCs w:val="22"/>
          <w:lang w:eastAsia="da-DK"/>
        </w:rPr>
        <w:t xml:space="preserve">) indicate no adverse effect of </w:t>
      </w:r>
      <w:proofErr w:type="spellStart"/>
      <w:r w:rsidRPr="00853ED7">
        <w:rPr>
          <w:sz w:val="22"/>
          <w:szCs w:val="22"/>
          <w:lang w:eastAsia="da-DK"/>
        </w:rPr>
        <w:t>Levemir</w:t>
      </w:r>
      <w:proofErr w:type="spellEnd"/>
      <w:r w:rsidRPr="00853ED7">
        <w:rPr>
          <w:sz w:val="22"/>
          <w:szCs w:val="22"/>
          <w:lang w:eastAsia="da-DK"/>
        </w:rPr>
        <w:t xml:space="preserve"> on pregnancy and no </w:t>
      </w:r>
      <w:proofErr w:type="spellStart"/>
      <w:r w:rsidRPr="00853ED7">
        <w:rPr>
          <w:sz w:val="22"/>
          <w:szCs w:val="22"/>
          <w:lang w:eastAsia="da-DK"/>
        </w:rPr>
        <w:t>malformative</w:t>
      </w:r>
      <w:proofErr w:type="spellEnd"/>
      <w:r w:rsidRPr="00853ED7">
        <w:rPr>
          <w:sz w:val="22"/>
          <w:szCs w:val="22"/>
          <w:lang w:eastAsia="da-DK"/>
        </w:rPr>
        <w:t xml:space="preserve"> or </w:t>
      </w:r>
      <w:proofErr w:type="spellStart"/>
      <w:r w:rsidRPr="00853ED7">
        <w:rPr>
          <w:sz w:val="22"/>
          <w:szCs w:val="22"/>
          <w:lang w:eastAsia="da-DK"/>
        </w:rPr>
        <w:t>feto</w:t>
      </w:r>
      <w:proofErr w:type="spellEnd"/>
      <w:r w:rsidRPr="00853ED7">
        <w:rPr>
          <w:sz w:val="22"/>
          <w:szCs w:val="22"/>
          <w:lang w:eastAsia="da-DK"/>
        </w:rPr>
        <w:t xml:space="preserve">/neonatal toxicity of insulin </w:t>
      </w:r>
      <w:proofErr w:type="spellStart"/>
      <w:r w:rsidRPr="00853ED7">
        <w:rPr>
          <w:sz w:val="22"/>
          <w:szCs w:val="22"/>
          <w:lang w:eastAsia="da-DK"/>
        </w:rPr>
        <w:t>detemir</w:t>
      </w:r>
      <w:proofErr w:type="spellEnd"/>
      <w:r w:rsidRPr="00853ED7">
        <w:rPr>
          <w:sz w:val="22"/>
          <w:szCs w:val="22"/>
          <w:lang w:eastAsia="da-DK"/>
        </w:rPr>
        <w:t>.</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 xml:space="preserve">Animal reproduction studies showed increases in post-implantation loss and </w:t>
      </w:r>
      <w:proofErr w:type="spellStart"/>
      <w:r w:rsidRPr="00853ED7">
        <w:rPr>
          <w:sz w:val="22"/>
          <w:szCs w:val="22"/>
          <w:lang w:eastAsia="da-DK"/>
        </w:rPr>
        <w:t>fetal</w:t>
      </w:r>
      <w:proofErr w:type="spellEnd"/>
      <w:r w:rsidRPr="00853ED7">
        <w:rPr>
          <w:sz w:val="22"/>
          <w:szCs w:val="22"/>
          <w:lang w:eastAsia="da-DK"/>
        </w:rPr>
        <w:t xml:space="preserve"> anomalies in rats following treatment with insulin </w:t>
      </w:r>
      <w:proofErr w:type="spellStart"/>
      <w:r w:rsidRPr="00853ED7">
        <w:rPr>
          <w:sz w:val="22"/>
          <w:szCs w:val="22"/>
          <w:lang w:eastAsia="da-DK"/>
        </w:rPr>
        <w:t>detemir</w:t>
      </w:r>
      <w:proofErr w:type="spellEnd"/>
      <w:r w:rsidRPr="00853ED7">
        <w:rPr>
          <w:sz w:val="22"/>
          <w:szCs w:val="22"/>
          <w:lang w:eastAsia="da-DK"/>
        </w:rPr>
        <w:t xml:space="preserve"> at doses of 25-50 U/kg/day </w:t>
      </w:r>
      <w:proofErr w:type="spellStart"/>
      <w:r w:rsidR="006903A4" w:rsidRPr="00853ED7">
        <w:rPr>
          <w:sz w:val="22"/>
          <w:szCs w:val="22"/>
          <w:lang w:eastAsia="da-DK"/>
        </w:rPr>
        <w:t>s.c</w:t>
      </w:r>
      <w:r w:rsidRPr="00853ED7">
        <w:rPr>
          <w:sz w:val="22"/>
          <w:szCs w:val="22"/>
          <w:lang w:eastAsia="da-DK"/>
        </w:rPr>
        <w:t>.</w:t>
      </w:r>
      <w:proofErr w:type="spellEnd"/>
      <w:r w:rsidRPr="00853ED7">
        <w:rPr>
          <w:sz w:val="22"/>
          <w:szCs w:val="22"/>
          <w:lang w:eastAsia="da-DK"/>
        </w:rPr>
        <w:t xml:space="preserve"> A teratology study in rabbits revealed increased in utero deaths and post-implantation losses following dosing with 37.5 U/kg/day </w:t>
      </w:r>
      <w:proofErr w:type="spellStart"/>
      <w:r w:rsidR="006903A4" w:rsidRPr="00853ED7">
        <w:rPr>
          <w:sz w:val="22"/>
          <w:szCs w:val="22"/>
          <w:lang w:eastAsia="da-DK"/>
        </w:rPr>
        <w:t>s.c</w:t>
      </w:r>
      <w:r w:rsidRPr="00853ED7">
        <w:rPr>
          <w:sz w:val="22"/>
          <w:szCs w:val="22"/>
          <w:lang w:eastAsia="da-DK"/>
        </w:rPr>
        <w:t>.</w:t>
      </w:r>
      <w:proofErr w:type="spellEnd"/>
      <w:r w:rsidRPr="00853ED7">
        <w:rPr>
          <w:sz w:val="22"/>
          <w:szCs w:val="22"/>
          <w:lang w:eastAsia="da-DK"/>
        </w:rPr>
        <w:t xml:space="preserve"> Lower doses were not tested. Similar effects have also been reported for human insulin and other human insulin analogues. These effects are probably secondary to maternal hypoglycaemia.</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 xml:space="preserve">In general, intensified blood glucose control and monitoring of pregnant women with diabetes are recommended throughout pregnancy and when contemplating pregnancy. Insulin requirements usually fall in the first trimester and increase subsequently during the second and third trimester. After delivery, insulin requirements normally return rapidly to pre-pregnancy values. </w:t>
      </w:r>
    </w:p>
    <w:p w:rsidR="00D77859" w:rsidRPr="00853ED7" w:rsidRDefault="00D77859" w:rsidP="001D5870">
      <w:pPr>
        <w:rPr>
          <w:sz w:val="22"/>
          <w:szCs w:val="22"/>
          <w:lang w:eastAsia="da-DK"/>
        </w:rPr>
      </w:pPr>
    </w:p>
    <w:p w:rsidR="00D77859" w:rsidRPr="00853ED7" w:rsidRDefault="00D77859" w:rsidP="002D4E2E">
      <w:pPr>
        <w:pStyle w:val="Heading3"/>
        <w:rPr>
          <w:sz w:val="22"/>
          <w:szCs w:val="22"/>
        </w:rPr>
      </w:pPr>
      <w:r w:rsidRPr="00853ED7">
        <w:rPr>
          <w:sz w:val="22"/>
          <w:szCs w:val="22"/>
        </w:rPr>
        <w:t>Use in lactation</w:t>
      </w:r>
    </w:p>
    <w:p w:rsidR="008415E0" w:rsidRPr="00853ED7" w:rsidRDefault="008415E0" w:rsidP="008415E0">
      <w:pPr>
        <w:rPr>
          <w:sz w:val="22"/>
          <w:szCs w:val="22"/>
          <w:lang w:eastAsia="da-DK"/>
        </w:rPr>
      </w:pPr>
      <w:r w:rsidRPr="00853ED7">
        <w:rPr>
          <w:sz w:val="22"/>
          <w:szCs w:val="22"/>
          <w:lang w:eastAsia="da-DK"/>
        </w:rPr>
        <w:t xml:space="preserve">There is currently no clinical experience with insulin </w:t>
      </w:r>
      <w:proofErr w:type="spellStart"/>
      <w:r w:rsidRPr="00853ED7">
        <w:rPr>
          <w:sz w:val="22"/>
          <w:szCs w:val="22"/>
          <w:lang w:eastAsia="da-DK"/>
        </w:rPr>
        <w:t>detemir</w:t>
      </w:r>
      <w:proofErr w:type="spellEnd"/>
      <w:r w:rsidRPr="00853ED7">
        <w:rPr>
          <w:sz w:val="22"/>
          <w:szCs w:val="22"/>
          <w:lang w:eastAsia="da-DK"/>
        </w:rPr>
        <w:t xml:space="preserve"> during lactation. Lactating women may require adjustments in insulin dose and diet.</w:t>
      </w:r>
    </w:p>
    <w:p w:rsidR="002B5C7F" w:rsidRPr="00853ED7" w:rsidRDefault="002B5C7F" w:rsidP="001D5870">
      <w:pPr>
        <w:rPr>
          <w:sz w:val="22"/>
          <w:szCs w:val="22"/>
          <w:lang w:eastAsia="da-DK"/>
        </w:rPr>
      </w:pPr>
    </w:p>
    <w:p w:rsidR="00D77859" w:rsidRPr="00853ED7" w:rsidRDefault="00653079" w:rsidP="002B5C7F">
      <w:pPr>
        <w:pStyle w:val="Heading2"/>
        <w:rPr>
          <w:i/>
          <w:sz w:val="24"/>
          <w:szCs w:val="24"/>
        </w:rPr>
      </w:pPr>
      <w:bookmarkStart w:id="32" w:name="OLE_LINK9"/>
      <w:bookmarkStart w:id="33" w:name="OLE_LINK10"/>
      <w:r w:rsidRPr="00853ED7">
        <w:rPr>
          <w:noProof/>
          <w:sz w:val="24"/>
          <w:szCs w:val="24"/>
        </w:rPr>
        <w:t>INTERACTIONS WITH OTHER MEDICINES</w:t>
      </w:r>
    </w:p>
    <w:p w:rsidR="00D77859" w:rsidRPr="00853ED7" w:rsidRDefault="00D77859" w:rsidP="001D5870">
      <w:pPr>
        <w:rPr>
          <w:sz w:val="22"/>
          <w:szCs w:val="22"/>
          <w:lang w:eastAsia="da-DK"/>
        </w:rPr>
      </w:pPr>
    </w:p>
    <w:p w:rsidR="00D77859" w:rsidRPr="00853ED7" w:rsidRDefault="00D77859" w:rsidP="001D5870">
      <w:pPr>
        <w:rPr>
          <w:sz w:val="22"/>
          <w:szCs w:val="22"/>
          <w:lang w:eastAsia="da-DK"/>
        </w:rPr>
      </w:pPr>
      <w:r w:rsidRPr="00853ED7">
        <w:rPr>
          <w:sz w:val="22"/>
          <w:szCs w:val="22"/>
          <w:lang w:eastAsia="da-DK"/>
        </w:rPr>
        <w:t xml:space="preserve">A number of medicinal products are known to interact with glucose metabolism. Possible interactions must therefore be taken into account by the physician. </w:t>
      </w:r>
    </w:p>
    <w:p w:rsidR="00D77859" w:rsidRPr="00853ED7" w:rsidRDefault="00D77859" w:rsidP="001D5870">
      <w:pPr>
        <w:rPr>
          <w:sz w:val="22"/>
          <w:szCs w:val="22"/>
        </w:rPr>
      </w:pPr>
    </w:p>
    <w:p w:rsidR="00D77859" w:rsidRPr="00853ED7" w:rsidRDefault="00D77859" w:rsidP="001D5870">
      <w:pPr>
        <w:rPr>
          <w:sz w:val="22"/>
          <w:szCs w:val="22"/>
          <w:lang w:eastAsia="da-DK"/>
        </w:rPr>
      </w:pPr>
      <w:r w:rsidRPr="00853ED7">
        <w:rPr>
          <w:sz w:val="22"/>
          <w:szCs w:val="22"/>
          <w:lang w:eastAsia="da-DK"/>
        </w:rPr>
        <w:t>The following substances may reduce the patient’s insulin requirements:</w:t>
      </w:r>
    </w:p>
    <w:p w:rsidR="00D77859" w:rsidRPr="00853ED7" w:rsidRDefault="00D77859" w:rsidP="001D5870">
      <w:pPr>
        <w:rPr>
          <w:sz w:val="22"/>
          <w:szCs w:val="22"/>
          <w:lang w:eastAsia="da-DK"/>
        </w:rPr>
      </w:pPr>
      <w:r w:rsidRPr="00853ED7">
        <w:rPr>
          <w:sz w:val="22"/>
          <w:szCs w:val="22"/>
          <w:lang w:eastAsia="da-DK"/>
        </w:rPr>
        <w:t xml:space="preserve">Oral </w:t>
      </w:r>
      <w:proofErr w:type="spellStart"/>
      <w:r w:rsidR="001B5307" w:rsidRPr="00853ED7">
        <w:rPr>
          <w:sz w:val="22"/>
          <w:szCs w:val="22"/>
          <w:lang w:eastAsia="da-DK"/>
        </w:rPr>
        <w:t>antidiabetic</w:t>
      </w:r>
      <w:proofErr w:type="spellEnd"/>
      <w:r w:rsidR="001B5307" w:rsidRPr="00853ED7">
        <w:rPr>
          <w:sz w:val="22"/>
          <w:szCs w:val="22"/>
          <w:lang w:eastAsia="da-DK"/>
        </w:rPr>
        <w:t xml:space="preserve"> drugs (OADs)</w:t>
      </w:r>
      <w:r w:rsidR="00766714" w:rsidRPr="00853ED7">
        <w:rPr>
          <w:sz w:val="22"/>
          <w:szCs w:val="22"/>
          <w:lang w:eastAsia="da-DK"/>
        </w:rPr>
        <w:t>, monoamine</w:t>
      </w:r>
      <w:r w:rsidRPr="00853ED7">
        <w:rPr>
          <w:sz w:val="22"/>
          <w:szCs w:val="22"/>
          <w:lang w:eastAsia="da-DK"/>
        </w:rPr>
        <w:t xml:space="preserve"> oxidase inhibitors (MAOIs), non-selective beta-adrenergic blocking agents, angiotensin converting enzyme (ACE) inhibitors, salicylates, anabolic steroids (except </w:t>
      </w:r>
      <w:proofErr w:type="spellStart"/>
      <w:r w:rsidRPr="00853ED7">
        <w:rPr>
          <w:sz w:val="22"/>
          <w:szCs w:val="22"/>
          <w:lang w:eastAsia="da-DK"/>
        </w:rPr>
        <w:t>danazol</w:t>
      </w:r>
      <w:proofErr w:type="spellEnd"/>
      <w:r w:rsidRPr="00853ED7">
        <w:rPr>
          <w:sz w:val="22"/>
          <w:szCs w:val="22"/>
          <w:lang w:eastAsia="da-DK"/>
        </w:rPr>
        <w:t xml:space="preserve"> and </w:t>
      </w:r>
      <w:proofErr w:type="spellStart"/>
      <w:r w:rsidRPr="00853ED7">
        <w:rPr>
          <w:sz w:val="22"/>
          <w:szCs w:val="22"/>
          <w:lang w:eastAsia="da-DK"/>
        </w:rPr>
        <w:t>oxymetholone</w:t>
      </w:r>
      <w:proofErr w:type="spellEnd"/>
      <w:r w:rsidRPr="00853ED7">
        <w:rPr>
          <w:sz w:val="22"/>
          <w:szCs w:val="22"/>
          <w:lang w:eastAsia="da-DK"/>
        </w:rPr>
        <w:t>), alpha-adrenergic blocking agents, quinine, quinidine and sulphonamides.</w:t>
      </w:r>
    </w:p>
    <w:p w:rsidR="00D77859" w:rsidRPr="00853ED7" w:rsidRDefault="00D77859" w:rsidP="001D5870">
      <w:pPr>
        <w:rPr>
          <w:sz w:val="22"/>
          <w:szCs w:val="22"/>
        </w:rPr>
      </w:pPr>
    </w:p>
    <w:p w:rsidR="00D77859" w:rsidRPr="00853ED7" w:rsidRDefault="00D77859" w:rsidP="001D5870">
      <w:pPr>
        <w:rPr>
          <w:sz w:val="22"/>
          <w:szCs w:val="22"/>
          <w:lang w:eastAsia="da-DK"/>
        </w:rPr>
      </w:pPr>
      <w:r w:rsidRPr="00853ED7">
        <w:rPr>
          <w:sz w:val="22"/>
          <w:szCs w:val="22"/>
          <w:lang w:eastAsia="da-DK"/>
        </w:rPr>
        <w:t>The following substances may increase the patient’s insulin requirements:</w:t>
      </w:r>
    </w:p>
    <w:p w:rsidR="00D77859" w:rsidRPr="00853ED7" w:rsidRDefault="00D77859" w:rsidP="001D5870">
      <w:pPr>
        <w:rPr>
          <w:sz w:val="22"/>
          <w:szCs w:val="22"/>
          <w:lang w:eastAsia="da-DK"/>
        </w:rPr>
      </w:pPr>
      <w:r w:rsidRPr="00853ED7">
        <w:rPr>
          <w:sz w:val="22"/>
          <w:szCs w:val="22"/>
          <w:lang w:eastAsia="da-DK"/>
        </w:rPr>
        <w:t xml:space="preserve">Oral contraceptives, thiazides, glucocorticoids, thyroid hormones, </w:t>
      </w:r>
      <w:proofErr w:type="spellStart"/>
      <w:r w:rsidRPr="00853ED7">
        <w:rPr>
          <w:sz w:val="22"/>
          <w:szCs w:val="22"/>
          <w:lang w:eastAsia="da-DK"/>
        </w:rPr>
        <w:t>sympathomimetics</w:t>
      </w:r>
      <w:proofErr w:type="spellEnd"/>
      <w:r w:rsidRPr="00853ED7">
        <w:rPr>
          <w:sz w:val="22"/>
          <w:szCs w:val="22"/>
          <w:lang w:eastAsia="da-DK"/>
        </w:rPr>
        <w:t>, growth hormone,</w:t>
      </w:r>
      <w:r w:rsidR="0035064D" w:rsidRPr="00853ED7">
        <w:rPr>
          <w:sz w:val="22"/>
          <w:szCs w:val="22"/>
          <w:lang w:eastAsia="da-DK"/>
        </w:rPr>
        <w:t xml:space="preserve"> </w:t>
      </w:r>
      <w:proofErr w:type="spellStart"/>
      <w:r w:rsidRPr="00853ED7">
        <w:rPr>
          <w:sz w:val="22"/>
          <w:szCs w:val="22"/>
          <w:lang w:eastAsia="da-DK"/>
        </w:rPr>
        <w:t>diazoxide</w:t>
      </w:r>
      <w:proofErr w:type="spellEnd"/>
      <w:r w:rsidRPr="00853ED7">
        <w:rPr>
          <w:sz w:val="22"/>
          <w:szCs w:val="22"/>
          <w:lang w:eastAsia="da-DK"/>
        </w:rPr>
        <w:t xml:space="preserve">, </w:t>
      </w:r>
      <w:proofErr w:type="spellStart"/>
      <w:r w:rsidRPr="00853ED7">
        <w:rPr>
          <w:sz w:val="22"/>
          <w:szCs w:val="22"/>
          <w:lang w:eastAsia="da-DK"/>
        </w:rPr>
        <w:t>asparaginase</w:t>
      </w:r>
      <w:proofErr w:type="spellEnd"/>
      <w:r w:rsidRPr="00853ED7">
        <w:rPr>
          <w:sz w:val="22"/>
          <w:szCs w:val="22"/>
          <w:lang w:eastAsia="da-DK"/>
        </w:rPr>
        <w:t xml:space="preserve">, nicotinic acid, </w:t>
      </w:r>
      <w:proofErr w:type="spellStart"/>
      <w:r w:rsidRPr="00853ED7">
        <w:rPr>
          <w:sz w:val="22"/>
          <w:szCs w:val="22"/>
          <w:lang w:eastAsia="da-DK"/>
        </w:rPr>
        <w:t>oxymetholone</w:t>
      </w:r>
      <w:proofErr w:type="spellEnd"/>
      <w:r w:rsidRPr="00853ED7">
        <w:rPr>
          <w:sz w:val="22"/>
          <w:szCs w:val="22"/>
          <w:lang w:eastAsia="da-DK"/>
        </w:rPr>
        <w:t xml:space="preserve"> and </w:t>
      </w:r>
      <w:proofErr w:type="spellStart"/>
      <w:r w:rsidRPr="00853ED7">
        <w:rPr>
          <w:sz w:val="22"/>
          <w:szCs w:val="22"/>
          <w:lang w:eastAsia="da-DK"/>
        </w:rPr>
        <w:t>danazol</w:t>
      </w:r>
      <w:proofErr w:type="spellEnd"/>
      <w:r w:rsidRPr="00853ED7">
        <w:rPr>
          <w:sz w:val="22"/>
          <w:szCs w:val="22"/>
          <w:lang w:eastAsia="da-DK"/>
        </w:rPr>
        <w:t xml:space="preserve">. </w:t>
      </w:r>
    </w:p>
    <w:p w:rsidR="00D77859" w:rsidRPr="00853ED7" w:rsidRDefault="00D77859" w:rsidP="001D5870">
      <w:pPr>
        <w:rPr>
          <w:sz w:val="22"/>
          <w:szCs w:val="22"/>
        </w:rPr>
      </w:pPr>
    </w:p>
    <w:p w:rsidR="00D77859" w:rsidRPr="00853ED7" w:rsidRDefault="00D77859" w:rsidP="001D5870">
      <w:pPr>
        <w:rPr>
          <w:sz w:val="22"/>
          <w:szCs w:val="22"/>
          <w:lang w:eastAsia="da-DK"/>
        </w:rPr>
      </w:pPr>
      <w:r w:rsidRPr="00853ED7">
        <w:rPr>
          <w:sz w:val="22"/>
          <w:szCs w:val="22"/>
          <w:lang w:eastAsia="da-DK"/>
        </w:rPr>
        <w:t xml:space="preserve">Insulin </w:t>
      </w:r>
      <w:proofErr w:type="spellStart"/>
      <w:r w:rsidRPr="00853ED7">
        <w:rPr>
          <w:sz w:val="22"/>
          <w:szCs w:val="22"/>
          <w:lang w:eastAsia="da-DK"/>
        </w:rPr>
        <w:t>detemir</w:t>
      </w:r>
      <w:proofErr w:type="spellEnd"/>
      <w:r w:rsidRPr="00853ED7">
        <w:rPr>
          <w:sz w:val="22"/>
          <w:szCs w:val="22"/>
          <w:lang w:eastAsia="da-DK"/>
        </w:rPr>
        <w:t xml:space="preserve"> is greater than 97% protein-bound in plasma, independent of gender. The results of </w:t>
      </w:r>
      <w:r w:rsidRPr="00853ED7">
        <w:rPr>
          <w:i/>
          <w:sz w:val="22"/>
          <w:szCs w:val="22"/>
          <w:lang w:eastAsia="da-DK"/>
        </w:rPr>
        <w:t>in vitro</w:t>
      </w:r>
      <w:r w:rsidRPr="00853ED7">
        <w:rPr>
          <w:sz w:val="22"/>
          <w:szCs w:val="22"/>
          <w:lang w:eastAsia="da-DK"/>
        </w:rPr>
        <w:t xml:space="preserve"> studies do not suggest any clinically relevant albumin binding interactions between insulin </w:t>
      </w:r>
      <w:proofErr w:type="spellStart"/>
      <w:r w:rsidRPr="00853ED7">
        <w:rPr>
          <w:sz w:val="22"/>
          <w:szCs w:val="22"/>
          <w:lang w:eastAsia="da-DK"/>
        </w:rPr>
        <w:t>detemir</w:t>
      </w:r>
      <w:proofErr w:type="spellEnd"/>
      <w:r w:rsidRPr="00853ED7">
        <w:rPr>
          <w:sz w:val="22"/>
          <w:szCs w:val="22"/>
          <w:lang w:eastAsia="da-DK"/>
        </w:rPr>
        <w:t xml:space="preserve"> and fatty acids or other protein-bounds drugs (such as warfarin, </w:t>
      </w:r>
      <w:proofErr w:type="spellStart"/>
      <w:r w:rsidRPr="00853ED7">
        <w:rPr>
          <w:sz w:val="22"/>
          <w:szCs w:val="22"/>
          <w:lang w:eastAsia="da-DK"/>
        </w:rPr>
        <w:t>frusemide</w:t>
      </w:r>
      <w:proofErr w:type="spellEnd"/>
      <w:r w:rsidRPr="00853ED7">
        <w:rPr>
          <w:sz w:val="22"/>
          <w:szCs w:val="22"/>
          <w:lang w:eastAsia="da-DK"/>
        </w:rPr>
        <w:t xml:space="preserve">, </w:t>
      </w:r>
      <w:proofErr w:type="spellStart"/>
      <w:r w:rsidRPr="00853ED7">
        <w:rPr>
          <w:sz w:val="22"/>
          <w:szCs w:val="22"/>
          <w:lang w:eastAsia="da-DK"/>
        </w:rPr>
        <w:t>tolbutamide</w:t>
      </w:r>
      <w:proofErr w:type="spellEnd"/>
      <w:r w:rsidRPr="00853ED7">
        <w:rPr>
          <w:sz w:val="22"/>
          <w:szCs w:val="22"/>
          <w:lang w:eastAsia="da-DK"/>
        </w:rPr>
        <w:t xml:space="preserve">, diazepam, </w:t>
      </w:r>
      <w:proofErr w:type="spellStart"/>
      <w:r w:rsidRPr="00853ED7">
        <w:rPr>
          <w:sz w:val="22"/>
          <w:szCs w:val="22"/>
          <w:lang w:eastAsia="da-DK"/>
        </w:rPr>
        <w:t>glibenclamide</w:t>
      </w:r>
      <w:proofErr w:type="spellEnd"/>
      <w:r w:rsidRPr="00853ED7">
        <w:rPr>
          <w:sz w:val="22"/>
          <w:szCs w:val="22"/>
          <w:lang w:eastAsia="da-DK"/>
        </w:rPr>
        <w:t xml:space="preserve">, </w:t>
      </w:r>
      <w:proofErr w:type="spellStart"/>
      <w:r w:rsidRPr="00853ED7">
        <w:rPr>
          <w:sz w:val="22"/>
          <w:szCs w:val="22"/>
          <w:lang w:eastAsia="da-DK"/>
        </w:rPr>
        <w:t>nicardipine</w:t>
      </w:r>
      <w:proofErr w:type="spellEnd"/>
      <w:r w:rsidRPr="00853ED7">
        <w:rPr>
          <w:sz w:val="22"/>
          <w:szCs w:val="22"/>
          <w:lang w:eastAsia="da-DK"/>
        </w:rPr>
        <w:t xml:space="preserve">, </w:t>
      </w:r>
      <w:proofErr w:type="spellStart"/>
      <w:r w:rsidRPr="00853ED7">
        <w:rPr>
          <w:sz w:val="22"/>
          <w:szCs w:val="22"/>
          <w:lang w:eastAsia="da-DK"/>
        </w:rPr>
        <w:t>repaglinide</w:t>
      </w:r>
      <w:proofErr w:type="spellEnd"/>
      <w:r w:rsidRPr="00853ED7">
        <w:rPr>
          <w:sz w:val="22"/>
          <w:szCs w:val="22"/>
          <w:lang w:eastAsia="da-DK"/>
        </w:rPr>
        <w:t xml:space="preserve">, aspirin or </w:t>
      </w:r>
      <w:proofErr w:type="spellStart"/>
      <w:r w:rsidRPr="00853ED7">
        <w:rPr>
          <w:sz w:val="22"/>
          <w:szCs w:val="22"/>
          <w:lang w:eastAsia="da-DK"/>
        </w:rPr>
        <w:t>valproic</w:t>
      </w:r>
      <w:proofErr w:type="spellEnd"/>
      <w:r w:rsidRPr="00853ED7">
        <w:rPr>
          <w:sz w:val="22"/>
          <w:szCs w:val="22"/>
          <w:lang w:eastAsia="da-DK"/>
        </w:rPr>
        <w:t xml:space="preserve"> acid) or other drugs known to bind to domains IIA and IIIA of the albumin molecule. As there is a vast excess (about 400 000) of albumin binding sites available in plasma per insulin </w:t>
      </w:r>
      <w:proofErr w:type="spellStart"/>
      <w:r w:rsidRPr="00853ED7">
        <w:rPr>
          <w:sz w:val="22"/>
          <w:szCs w:val="22"/>
          <w:lang w:eastAsia="da-DK"/>
        </w:rPr>
        <w:t>detemir</w:t>
      </w:r>
      <w:proofErr w:type="spellEnd"/>
      <w:r w:rsidRPr="00853ED7">
        <w:rPr>
          <w:sz w:val="22"/>
          <w:szCs w:val="22"/>
          <w:lang w:eastAsia="da-DK"/>
        </w:rPr>
        <w:t xml:space="preserve"> molecule, there would be little risk that lower albumin concentrations resulting from some disease states like </w:t>
      </w:r>
      <w:proofErr w:type="spellStart"/>
      <w:r w:rsidRPr="00853ED7">
        <w:rPr>
          <w:sz w:val="22"/>
          <w:szCs w:val="22"/>
          <w:lang w:eastAsia="da-DK"/>
        </w:rPr>
        <w:t>nephrotic</w:t>
      </w:r>
      <w:proofErr w:type="spellEnd"/>
      <w:r w:rsidRPr="00853ED7">
        <w:rPr>
          <w:sz w:val="22"/>
          <w:szCs w:val="22"/>
          <w:lang w:eastAsia="da-DK"/>
        </w:rPr>
        <w:t xml:space="preserve"> syndrome might affect the ratio of bound to free insulin </w:t>
      </w:r>
      <w:proofErr w:type="spellStart"/>
      <w:r w:rsidRPr="00853ED7">
        <w:rPr>
          <w:sz w:val="22"/>
          <w:szCs w:val="22"/>
          <w:lang w:eastAsia="da-DK"/>
        </w:rPr>
        <w:t>detemir</w:t>
      </w:r>
      <w:proofErr w:type="spellEnd"/>
      <w:r w:rsidRPr="00853ED7">
        <w:rPr>
          <w:sz w:val="22"/>
          <w:szCs w:val="22"/>
          <w:lang w:eastAsia="da-DK"/>
        </w:rPr>
        <w:t xml:space="preserve"> or that acute displacement could occur. This is supported by </w:t>
      </w:r>
      <w:r w:rsidRPr="00853ED7">
        <w:rPr>
          <w:i/>
          <w:sz w:val="22"/>
          <w:szCs w:val="22"/>
          <w:lang w:eastAsia="da-DK"/>
        </w:rPr>
        <w:t>in vitro</w:t>
      </w:r>
      <w:r w:rsidRPr="00853ED7">
        <w:rPr>
          <w:sz w:val="22"/>
          <w:szCs w:val="22"/>
          <w:lang w:eastAsia="da-DK"/>
        </w:rPr>
        <w:t xml:space="preserve"> studies as well as subgroup analyses from the clinical trial programme. Nevertheless, there are limited data in patients with severe </w:t>
      </w:r>
      <w:proofErr w:type="spellStart"/>
      <w:r w:rsidRPr="00853ED7">
        <w:rPr>
          <w:sz w:val="22"/>
          <w:szCs w:val="22"/>
          <w:lang w:eastAsia="da-DK"/>
        </w:rPr>
        <w:t>hypoalbuminaemia</w:t>
      </w:r>
      <w:proofErr w:type="spellEnd"/>
      <w:r w:rsidRPr="00853ED7">
        <w:rPr>
          <w:sz w:val="22"/>
          <w:szCs w:val="22"/>
          <w:lang w:eastAsia="da-DK"/>
        </w:rPr>
        <w:t>.</w:t>
      </w:r>
    </w:p>
    <w:p w:rsidR="00D77859" w:rsidRPr="00853ED7" w:rsidRDefault="00D77859">
      <w:pPr>
        <w:tabs>
          <w:tab w:val="left" w:pos="567"/>
        </w:tabs>
        <w:rPr>
          <w:sz w:val="22"/>
          <w:szCs w:val="22"/>
          <w:lang w:eastAsia="da-DK"/>
        </w:rPr>
      </w:pPr>
    </w:p>
    <w:p w:rsidR="00D77859" w:rsidRPr="00853ED7" w:rsidRDefault="00D77859" w:rsidP="001D5870">
      <w:pPr>
        <w:rPr>
          <w:sz w:val="22"/>
          <w:szCs w:val="22"/>
          <w:lang w:eastAsia="da-DK"/>
        </w:rPr>
      </w:pPr>
      <w:r w:rsidRPr="00853ED7">
        <w:rPr>
          <w:sz w:val="22"/>
          <w:szCs w:val="22"/>
          <w:lang w:eastAsia="da-DK"/>
        </w:rPr>
        <w:t>Beta blockers may mask the symptoms of hypoglycaemia and delay recovery from hypoglycaemia.</w:t>
      </w:r>
    </w:p>
    <w:p w:rsidR="00D77859" w:rsidRPr="00853ED7" w:rsidRDefault="00D77859" w:rsidP="001D5870">
      <w:pPr>
        <w:rPr>
          <w:sz w:val="22"/>
          <w:szCs w:val="22"/>
        </w:rPr>
      </w:pPr>
    </w:p>
    <w:p w:rsidR="00575F70" w:rsidRPr="00853ED7" w:rsidRDefault="00575F70" w:rsidP="001D5870">
      <w:pPr>
        <w:rPr>
          <w:sz w:val="22"/>
          <w:szCs w:val="22"/>
        </w:rPr>
      </w:pPr>
      <w:proofErr w:type="spellStart"/>
      <w:r w:rsidRPr="00853ED7">
        <w:rPr>
          <w:sz w:val="22"/>
          <w:szCs w:val="22"/>
        </w:rPr>
        <w:t>Octreotide</w:t>
      </w:r>
      <w:proofErr w:type="spellEnd"/>
      <w:r w:rsidRPr="00853ED7">
        <w:rPr>
          <w:sz w:val="22"/>
          <w:szCs w:val="22"/>
        </w:rPr>
        <w:t xml:space="preserve"> and </w:t>
      </w:r>
      <w:proofErr w:type="spellStart"/>
      <w:r w:rsidRPr="00853ED7">
        <w:rPr>
          <w:sz w:val="22"/>
          <w:szCs w:val="22"/>
        </w:rPr>
        <w:t>lanreotide</w:t>
      </w:r>
      <w:proofErr w:type="spellEnd"/>
      <w:r w:rsidRPr="00853ED7">
        <w:rPr>
          <w:sz w:val="22"/>
          <w:szCs w:val="22"/>
        </w:rPr>
        <w:t xml:space="preserve"> may either increase or decrease the insulin requirement.</w:t>
      </w:r>
    </w:p>
    <w:p w:rsidR="00575F70" w:rsidRPr="00853ED7" w:rsidRDefault="00575F70" w:rsidP="001D5870">
      <w:pPr>
        <w:rPr>
          <w:sz w:val="22"/>
          <w:szCs w:val="22"/>
        </w:rPr>
      </w:pPr>
    </w:p>
    <w:p w:rsidR="00E04BFD" w:rsidRDefault="00D77859" w:rsidP="00E04BFD">
      <w:pPr>
        <w:rPr>
          <w:sz w:val="22"/>
          <w:szCs w:val="22"/>
          <w:lang w:eastAsia="da-DK"/>
        </w:rPr>
      </w:pPr>
      <w:r w:rsidRPr="00853ED7">
        <w:rPr>
          <w:sz w:val="22"/>
          <w:szCs w:val="22"/>
          <w:lang w:eastAsia="da-DK"/>
        </w:rPr>
        <w:t>Alcohol may intensify and prolong</w:t>
      </w:r>
      <w:r w:rsidR="00575F70" w:rsidRPr="00853ED7">
        <w:rPr>
          <w:sz w:val="22"/>
          <w:szCs w:val="22"/>
          <w:lang w:eastAsia="da-DK"/>
        </w:rPr>
        <w:t>, or reduce,</w:t>
      </w:r>
      <w:r w:rsidRPr="00853ED7">
        <w:rPr>
          <w:sz w:val="22"/>
          <w:szCs w:val="22"/>
          <w:lang w:eastAsia="da-DK"/>
        </w:rPr>
        <w:t xml:space="preserve"> the hypoglycaemic effect of insulin.</w:t>
      </w:r>
      <w:bookmarkEnd w:id="32"/>
      <w:bookmarkEnd w:id="33"/>
    </w:p>
    <w:p w:rsidR="00D77859" w:rsidRPr="00853ED7" w:rsidRDefault="00E04BFD" w:rsidP="00E04BFD">
      <w:pPr>
        <w:pStyle w:val="Heading2"/>
        <w:rPr>
          <w:noProof/>
          <w:sz w:val="24"/>
          <w:szCs w:val="24"/>
        </w:rPr>
      </w:pPr>
      <w:r>
        <w:rPr>
          <w:sz w:val="22"/>
          <w:szCs w:val="22"/>
          <w:lang w:eastAsia="da-DK"/>
        </w:rPr>
        <w:br w:type="page"/>
      </w:r>
      <w:r w:rsidR="00D77859" w:rsidRPr="00853ED7">
        <w:rPr>
          <w:noProof/>
          <w:sz w:val="24"/>
          <w:szCs w:val="24"/>
        </w:rPr>
        <w:lastRenderedPageBreak/>
        <w:t>ADVERSE EFFECTS</w:t>
      </w:r>
    </w:p>
    <w:p w:rsidR="0035064D" w:rsidRPr="00853ED7" w:rsidRDefault="0035064D" w:rsidP="0035064D">
      <w:pPr>
        <w:rPr>
          <w:sz w:val="22"/>
          <w:szCs w:val="22"/>
          <w:lang w:val="en-GB"/>
        </w:rPr>
      </w:pPr>
    </w:p>
    <w:p w:rsidR="00575F70" w:rsidRPr="00853ED7" w:rsidRDefault="00575F70" w:rsidP="002D4E2E">
      <w:pPr>
        <w:pStyle w:val="Heading3"/>
        <w:rPr>
          <w:rFonts w:ascii="TimesNewRoman" w:hAnsi="TimesNewRoman" w:cs="TimesNewRoman"/>
          <w:sz w:val="22"/>
          <w:szCs w:val="22"/>
          <w:lang w:eastAsia="en-AU"/>
        </w:rPr>
      </w:pPr>
      <w:bookmarkStart w:id="34" w:name="OLE_LINK15"/>
      <w:bookmarkStart w:id="35" w:name="OLE_LINK16"/>
      <w:bookmarkStart w:id="36" w:name="OLE_LINK13"/>
      <w:bookmarkStart w:id="37" w:name="OLE_LINK14"/>
      <w:r w:rsidRPr="00853ED7">
        <w:rPr>
          <w:sz w:val="22"/>
          <w:szCs w:val="22"/>
        </w:rPr>
        <w:t>a. Summary of the safety profile</w:t>
      </w:r>
    </w:p>
    <w:p w:rsidR="00BF3317" w:rsidRPr="00853ED7" w:rsidRDefault="00D77859" w:rsidP="001E4495">
      <w:pPr>
        <w:rPr>
          <w:sz w:val="22"/>
          <w:szCs w:val="22"/>
          <w:lang w:eastAsia="en-AU"/>
        </w:rPr>
      </w:pPr>
      <w:r w:rsidRPr="00853ED7">
        <w:rPr>
          <w:sz w:val="22"/>
          <w:szCs w:val="22"/>
          <w:lang w:eastAsia="en-AU"/>
        </w:rPr>
        <w:t xml:space="preserve">Adverse drug reactions observed in patients using </w:t>
      </w:r>
      <w:proofErr w:type="spellStart"/>
      <w:r w:rsidRPr="00853ED7">
        <w:rPr>
          <w:sz w:val="22"/>
          <w:szCs w:val="22"/>
          <w:lang w:eastAsia="en-AU"/>
        </w:rPr>
        <w:t>Levemir</w:t>
      </w:r>
      <w:proofErr w:type="spellEnd"/>
      <w:r w:rsidRPr="00853ED7">
        <w:rPr>
          <w:sz w:val="22"/>
          <w:szCs w:val="22"/>
          <w:lang w:eastAsia="en-AU"/>
        </w:rPr>
        <w:t xml:space="preserve"> are mainly dose-dependent and due to the pharmacologic effect of insulin.</w:t>
      </w:r>
      <w:bookmarkEnd w:id="34"/>
      <w:bookmarkEnd w:id="35"/>
      <w:r w:rsidR="0035064D" w:rsidRPr="00853ED7">
        <w:rPr>
          <w:sz w:val="22"/>
          <w:szCs w:val="22"/>
          <w:lang w:eastAsia="en-AU"/>
        </w:rPr>
        <w:t xml:space="preserve"> </w:t>
      </w:r>
      <w:r w:rsidR="00766714" w:rsidRPr="00853ED7">
        <w:rPr>
          <w:sz w:val="22"/>
          <w:szCs w:val="22"/>
          <w:lang w:eastAsia="en-AU"/>
        </w:rPr>
        <w:t xml:space="preserve">The most frequently reported adverse reaction is hypoglycaemia. It may occur if the insulin dose is too high in relation to the insulin requirement. </w:t>
      </w:r>
      <w:bookmarkStart w:id="38" w:name="OLE_LINK19"/>
      <w:bookmarkStart w:id="39" w:name="OLE_LINK20"/>
      <w:r w:rsidR="00766714" w:rsidRPr="00853ED7">
        <w:rPr>
          <w:sz w:val="22"/>
          <w:szCs w:val="22"/>
          <w:lang w:eastAsia="en-AU"/>
        </w:rPr>
        <w:t>Severe hypoglycaemia may lead to unconsciousness and/or convulsions and may result in temporary or permanent impairment of brain function or even death</w:t>
      </w:r>
      <w:bookmarkEnd w:id="38"/>
      <w:bookmarkEnd w:id="39"/>
      <w:r w:rsidR="00BF3317" w:rsidRPr="00853ED7">
        <w:rPr>
          <w:sz w:val="22"/>
          <w:szCs w:val="22"/>
          <w:lang w:eastAsia="en-AU"/>
        </w:rPr>
        <w:t>.</w:t>
      </w:r>
      <w:bookmarkStart w:id="40" w:name="OLE_LINK21"/>
      <w:bookmarkStart w:id="41" w:name="OLE_LINK22"/>
    </w:p>
    <w:p w:rsidR="00ED7E0B" w:rsidRPr="00853ED7" w:rsidRDefault="00ED7E0B" w:rsidP="001E4495">
      <w:pPr>
        <w:rPr>
          <w:sz w:val="22"/>
          <w:szCs w:val="22"/>
          <w:lang w:eastAsia="en-AU"/>
        </w:rPr>
      </w:pPr>
    </w:p>
    <w:p w:rsidR="00944B50" w:rsidRPr="00853ED7" w:rsidRDefault="00D77859" w:rsidP="001E4495">
      <w:pPr>
        <w:rPr>
          <w:rFonts w:ascii="TimesNewRoman" w:hAnsi="TimesNewRoman" w:cs="TimesNewRoman"/>
          <w:sz w:val="22"/>
          <w:szCs w:val="22"/>
          <w:lang w:eastAsia="en-AU"/>
        </w:rPr>
      </w:pPr>
      <w:r w:rsidRPr="00853ED7">
        <w:rPr>
          <w:sz w:val="22"/>
          <w:szCs w:val="22"/>
          <w:lang w:eastAsia="en-AU"/>
        </w:rPr>
        <w:t xml:space="preserve">Injection site reactions are seen more frequently during treatment with </w:t>
      </w:r>
      <w:proofErr w:type="spellStart"/>
      <w:r w:rsidRPr="00853ED7">
        <w:rPr>
          <w:sz w:val="22"/>
          <w:szCs w:val="22"/>
          <w:lang w:eastAsia="en-AU"/>
        </w:rPr>
        <w:t>Levemir</w:t>
      </w:r>
      <w:proofErr w:type="spellEnd"/>
      <w:r w:rsidRPr="00853ED7">
        <w:rPr>
          <w:sz w:val="22"/>
          <w:szCs w:val="22"/>
          <w:lang w:eastAsia="en-AU"/>
        </w:rPr>
        <w:t xml:space="preserve"> than with human insulin. These reactions include </w:t>
      </w:r>
      <w:bookmarkEnd w:id="40"/>
      <w:bookmarkEnd w:id="41"/>
      <w:r w:rsidR="001055C6" w:rsidRPr="00853ED7">
        <w:rPr>
          <w:sz w:val="22"/>
          <w:szCs w:val="22"/>
          <w:lang w:eastAsia="en-AU"/>
        </w:rPr>
        <w:t xml:space="preserve">pain, </w:t>
      </w:r>
      <w:r w:rsidRPr="00853ED7">
        <w:rPr>
          <w:sz w:val="22"/>
          <w:szCs w:val="22"/>
          <w:lang w:eastAsia="en-AU"/>
        </w:rPr>
        <w:t xml:space="preserve">redness, </w:t>
      </w:r>
      <w:r w:rsidR="001055C6" w:rsidRPr="00853ED7">
        <w:rPr>
          <w:sz w:val="22"/>
          <w:szCs w:val="22"/>
          <w:lang w:eastAsia="en-AU"/>
        </w:rPr>
        <w:t xml:space="preserve">hives, </w:t>
      </w:r>
      <w:r w:rsidRPr="00853ED7">
        <w:rPr>
          <w:sz w:val="22"/>
          <w:szCs w:val="22"/>
          <w:lang w:eastAsia="en-AU"/>
        </w:rPr>
        <w:t>inflammation, bruising, swelling and itching at the injection site. Most of the injection site reactions are minor and of a transitory nature</w:t>
      </w:r>
      <w:r w:rsidR="001055C6" w:rsidRPr="00853ED7">
        <w:rPr>
          <w:sz w:val="22"/>
          <w:szCs w:val="22"/>
          <w:lang w:eastAsia="en-AU"/>
        </w:rPr>
        <w:t>, i.e. they normally disappear during continued treatment in a few days to a few weeks.</w:t>
      </w:r>
      <w:r w:rsidRPr="00853ED7">
        <w:rPr>
          <w:rFonts w:ascii="TimesNewRoman" w:hAnsi="TimesNewRoman" w:cs="TimesNewRoman"/>
          <w:sz w:val="22"/>
          <w:szCs w:val="22"/>
          <w:lang w:eastAsia="en-AU"/>
        </w:rPr>
        <w:t xml:space="preserve"> </w:t>
      </w:r>
    </w:p>
    <w:p w:rsidR="00575F70" w:rsidRPr="00186DDC" w:rsidRDefault="00575F70" w:rsidP="001E4495">
      <w:pPr>
        <w:rPr>
          <w:sz w:val="22"/>
          <w:szCs w:val="22"/>
          <w:lang w:eastAsia="en-AU"/>
        </w:rPr>
      </w:pPr>
    </w:p>
    <w:p w:rsidR="00575F70" w:rsidRPr="00853ED7" w:rsidRDefault="00575F70" w:rsidP="001E4495">
      <w:pPr>
        <w:rPr>
          <w:sz w:val="22"/>
          <w:szCs w:val="22"/>
          <w:lang w:eastAsia="en-AU"/>
        </w:rPr>
      </w:pPr>
      <w:r w:rsidRPr="00853ED7">
        <w:rPr>
          <w:sz w:val="22"/>
          <w:szCs w:val="22"/>
          <w:lang w:eastAsia="en-AU"/>
        </w:rPr>
        <w:t>At the beginning of the insulin treatment, refraction anomalies and oedema may occur; these reactions are usually of transitory nature. Fast improvement in blood glucose control may be associated with acute painful neuropathy, which is usually reversible. Intensification of insulin therapy with abrupt improvement in glycaemic control may be associated with temporary worsening of diabetic retinopathy, while long-term improved glycaemic control decreases the risk of progression of diabetic retinopathy.</w:t>
      </w:r>
    </w:p>
    <w:p w:rsidR="00575F70" w:rsidRPr="00186DDC" w:rsidRDefault="00575F70" w:rsidP="001E4495">
      <w:pPr>
        <w:rPr>
          <w:sz w:val="22"/>
          <w:szCs w:val="22"/>
          <w:lang w:eastAsia="en-AU"/>
        </w:rPr>
      </w:pPr>
    </w:p>
    <w:p w:rsidR="00575F70" w:rsidRPr="00853ED7" w:rsidRDefault="00575F70" w:rsidP="002D4E2E">
      <w:pPr>
        <w:pStyle w:val="Heading3"/>
        <w:rPr>
          <w:sz w:val="22"/>
          <w:szCs w:val="22"/>
          <w:lang w:eastAsia="en-AU"/>
        </w:rPr>
      </w:pPr>
      <w:r w:rsidRPr="00853ED7">
        <w:rPr>
          <w:sz w:val="22"/>
          <w:szCs w:val="22"/>
          <w:lang w:eastAsia="en-AU"/>
        </w:rPr>
        <w:t>b. Tabulated list of adverse events and adverse reactions</w:t>
      </w:r>
    </w:p>
    <w:bookmarkEnd w:id="36"/>
    <w:bookmarkEnd w:id="37"/>
    <w:p w:rsidR="00175179" w:rsidRPr="00853ED7" w:rsidRDefault="00C9570A" w:rsidP="00961263">
      <w:pPr>
        <w:pStyle w:val="Heading5"/>
        <w:ind w:right="0"/>
        <w:rPr>
          <w:sz w:val="16"/>
          <w:szCs w:val="16"/>
        </w:rPr>
      </w:pPr>
      <w:r w:rsidRPr="00853ED7">
        <w:br/>
      </w:r>
      <w:r w:rsidR="00175179" w:rsidRPr="00853ED7">
        <w:t xml:space="preserve">Table </w:t>
      </w:r>
      <w:r w:rsidR="00575F70" w:rsidRPr="00853ED7">
        <w:t>7</w:t>
      </w:r>
      <w:r w:rsidR="001B5F5E" w:rsidRPr="00853ED7">
        <w:t>.</w:t>
      </w:r>
      <w:r w:rsidR="00175179" w:rsidRPr="00853ED7">
        <w:t xml:space="preserve">  Comparative incidence of adverse events (% of patients) during intermediate and long term clinical trials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2126"/>
        <w:gridCol w:w="2089"/>
      </w:tblGrid>
      <w:tr w:rsidR="00175179" w:rsidRPr="00853ED7">
        <w:trPr>
          <w:cantSplit/>
        </w:trPr>
        <w:tc>
          <w:tcPr>
            <w:tcW w:w="5070" w:type="dxa"/>
            <w:tcBorders>
              <w:bottom w:val="nil"/>
            </w:tcBorders>
            <w:vAlign w:val="bottom"/>
          </w:tcPr>
          <w:p w:rsidR="00175179" w:rsidRPr="00853ED7" w:rsidRDefault="00175179" w:rsidP="00291142">
            <w:pPr>
              <w:numPr>
                <w:ilvl w:val="12"/>
                <w:numId w:val="0"/>
              </w:numPr>
              <w:rPr>
                <w:sz w:val="20"/>
              </w:rPr>
            </w:pPr>
            <w:r w:rsidRPr="00853ED7">
              <w:rPr>
                <w:b/>
                <w:sz w:val="20"/>
                <w:lang w:val="pt-BR"/>
              </w:rPr>
              <w:t>EVENT</w:t>
            </w:r>
          </w:p>
        </w:tc>
        <w:tc>
          <w:tcPr>
            <w:tcW w:w="2126" w:type="dxa"/>
            <w:tcBorders>
              <w:bottom w:val="nil"/>
            </w:tcBorders>
          </w:tcPr>
          <w:p w:rsidR="00175179" w:rsidRPr="00853ED7" w:rsidRDefault="00175179" w:rsidP="00291142">
            <w:pPr>
              <w:numPr>
                <w:ilvl w:val="12"/>
                <w:numId w:val="0"/>
              </w:numPr>
              <w:jc w:val="center"/>
              <w:rPr>
                <w:b/>
                <w:sz w:val="20"/>
                <w:lang w:val="pt-BR"/>
              </w:rPr>
            </w:pPr>
            <w:r w:rsidRPr="00853ED7">
              <w:rPr>
                <w:b/>
                <w:sz w:val="20"/>
                <w:lang w:val="pt-BR"/>
              </w:rPr>
              <w:t>Levemir</w:t>
            </w:r>
          </w:p>
        </w:tc>
        <w:tc>
          <w:tcPr>
            <w:tcW w:w="2089" w:type="dxa"/>
            <w:tcBorders>
              <w:bottom w:val="nil"/>
            </w:tcBorders>
          </w:tcPr>
          <w:p w:rsidR="00175179" w:rsidRPr="00853ED7" w:rsidRDefault="00175179" w:rsidP="00291142">
            <w:pPr>
              <w:numPr>
                <w:ilvl w:val="12"/>
                <w:numId w:val="0"/>
              </w:numPr>
              <w:jc w:val="center"/>
              <w:rPr>
                <w:b/>
                <w:sz w:val="20"/>
                <w:lang w:val="pt-BR"/>
              </w:rPr>
            </w:pPr>
            <w:r w:rsidRPr="00853ED7">
              <w:rPr>
                <w:b/>
                <w:sz w:val="20"/>
                <w:lang w:val="pt-BR"/>
              </w:rPr>
              <w:t>Isophane human insulin</w:t>
            </w:r>
          </w:p>
        </w:tc>
      </w:tr>
      <w:tr w:rsidR="00175179" w:rsidRPr="00853ED7">
        <w:trPr>
          <w:cantSplit/>
          <w:trHeight w:val="93"/>
        </w:trPr>
        <w:tc>
          <w:tcPr>
            <w:tcW w:w="5070" w:type="dxa"/>
            <w:tcBorders>
              <w:top w:val="nil"/>
              <w:bottom w:val="nil"/>
            </w:tcBorders>
          </w:tcPr>
          <w:p w:rsidR="00175179" w:rsidRPr="00853ED7" w:rsidRDefault="00175179" w:rsidP="00291142">
            <w:pPr>
              <w:numPr>
                <w:ilvl w:val="12"/>
                <w:numId w:val="0"/>
              </w:numPr>
              <w:rPr>
                <w:sz w:val="20"/>
              </w:rPr>
            </w:pPr>
          </w:p>
        </w:tc>
        <w:tc>
          <w:tcPr>
            <w:tcW w:w="2126" w:type="dxa"/>
            <w:tcBorders>
              <w:top w:val="nil"/>
              <w:bottom w:val="nil"/>
            </w:tcBorders>
          </w:tcPr>
          <w:p w:rsidR="00175179" w:rsidRPr="00853ED7" w:rsidRDefault="00175179" w:rsidP="00291142">
            <w:pPr>
              <w:numPr>
                <w:ilvl w:val="12"/>
                <w:numId w:val="0"/>
              </w:numPr>
              <w:jc w:val="center"/>
              <w:rPr>
                <w:b/>
                <w:sz w:val="20"/>
                <w:lang w:val="pt-BR"/>
              </w:rPr>
            </w:pPr>
            <w:r w:rsidRPr="00853ED7">
              <w:rPr>
                <w:b/>
                <w:sz w:val="20"/>
                <w:lang w:val="pt-BR"/>
              </w:rPr>
              <w:t>N* = 32</w:t>
            </w:r>
            <w:r w:rsidR="00696118" w:rsidRPr="00853ED7">
              <w:rPr>
                <w:b/>
                <w:sz w:val="20"/>
                <w:lang w:val="pt-BR"/>
              </w:rPr>
              <w:t>49</w:t>
            </w:r>
          </w:p>
        </w:tc>
        <w:tc>
          <w:tcPr>
            <w:tcW w:w="2089" w:type="dxa"/>
            <w:tcBorders>
              <w:top w:val="nil"/>
              <w:bottom w:val="nil"/>
            </w:tcBorders>
          </w:tcPr>
          <w:p w:rsidR="00175179" w:rsidRPr="00853ED7" w:rsidRDefault="00175179" w:rsidP="00291142">
            <w:pPr>
              <w:numPr>
                <w:ilvl w:val="12"/>
                <w:numId w:val="0"/>
              </w:numPr>
              <w:jc w:val="center"/>
              <w:rPr>
                <w:b/>
                <w:sz w:val="20"/>
                <w:lang w:val="pt-BR"/>
              </w:rPr>
            </w:pPr>
            <w:r w:rsidRPr="00853ED7">
              <w:rPr>
                <w:b/>
                <w:sz w:val="20"/>
                <w:lang w:val="pt-BR"/>
              </w:rPr>
              <w:t>N* =</w:t>
            </w:r>
            <w:r w:rsidR="00696118" w:rsidRPr="00853ED7">
              <w:rPr>
                <w:b/>
                <w:sz w:val="20"/>
                <w:lang w:val="pt-BR"/>
              </w:rPr>
              <w:t xml:space="preserve"> 1944</w:t>
            </w:r>
          </w:p>
        </w:tc>
      </w:tr>
      <w:tr w:rsidR="00175179" w:rsidRPr="00853ED7">
        <w:trPr>
          <w:cantSplit/>
          <w:trHeight w:val="266"/>
        </w:trPr>
        <w:tc>
          <w:tcPr>
            <w:tcW w:w="5070" w:type="dxa"/>
            <w:tcBorders>
              <w:bottom w:val="nil"/>
            </w:tcBorders>
          </w:tcPr>
          <w:p w:rsidR="00175179" w:rsidRPr="00853ED7" w:rsidRDefault="00175179" w:rsidP="00291142">
            <w:pPr>
              <w:rPr>
                <w:b/>
                <w:sz w:val="20"/>
              </w:rPr>
            </w:pPr>
            <w:r w:rsidRPr="00853ED7">
              <w:rPr>
                <w:b/>
                <w:sz w:val="20"/>
              </w:rPr>
              <w:t>Respiratory</w:t>
            </w:r>
          </w:p>
        </w:tc>
        <w:tc>
          <w:tcPr>
            <w:tcW w:w="2126" w:type="dxa"/>
            <w:tcBorders>
              <w:bottom w:val="nil"/>
            </w:tcBorders>
          </w:tcPr>
          <w:p w:rsidR="00175179" w:rsidRPr="00853ED7" w:rsidRDefault="00175179" w:rsidP="00291142">
            <w:pPr>
              <w:numPr>
                <w:ilvl w:val="12"/>
                <w:numId w:val="0"/>
              </w:numPr>
              <w:jc w:val="center"/>
              <w:rPr>
                <w:sz w:val="20"/>
              </w:rPr>
            </w:pPr>
          </w:p>
        </w:tc>
        <w:tc>
          <w:tcPr>
            <w:tcW w:w="2089" w:type="dxa"/>
            <w:tcBorders>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ind w:left="284"/>
              <w:rPr>
                <w:sz w:val="20"/>
              </w:rPr>
            </w:pPr>
            <w:r w:rsidRPr="00853ED7">
              <w:rPr>
                <w:sz w:val="20"/>
              </w:rPr>
              <w:t>URTI</w:t>
            </w:r>
          </w:p>
        </w:tc>
        <w:tc>
          <w:tcPr>
            <w:tcW w:w="2126" w:type="dxa"/>
            <w:tcBorders>
              <w:top w:val="nil"/>
              <w:bottom w:val="nil"/>
            </w:tcBorders>
          </w:tcPr>
          <w:p w:rsidR="00175179" w:rsidRPr="00853ED7" w:rsidRDefault="00A124AF" w:rsidP="00291142">
            <w:pPr>
              <w:numPr>
                <w:ilvl w:val="12"/>
                <w:numId w:val="0"/>
              </w:numPr>
              <w:jc w:val="center"/>
              <w:rPr>
                <w:sz w:val="20"/>
              </w:rPr>
            </w:pPr>
            <w:r w:rsidRPr="00853ED7">
              <w:rPr>
                <w:sz w:val="20"/>
              </w:rPr>
              <w:t>19.3</w:t>
            </w:r>
          </w:p>
        </w:tc>
        <w:tc>
          <w:tcPr>
            <w:tcW w:w="2089" w:type="dxa"/>
            <w:tcBorders>
              <w:top w:val="nil"/>
              <w:bottom w:val="nil"/>
            </w:tcBorders>
          </w:tcPr>
          <w:p w:rsidR="00175179" w:rsidRPr="00853ED7" w:rsidRDefault="00A124AF" w:rsidP="00291142">
            <w:pPr>
              <w:numPr>
                <w:ilvl w:val="12"/>
                <w:numId w:val="0"/>
              </w:numPr>
              <w:jc w:val="center"/>
              <w:rPr>
                <w:sz w:val="20"/>
              </w:rPr>
            </w:pPr>
            <w:r w:rsidRPr="00853ED7">
              <w:rPr>
                <w:sz w:val="20"/>
              </w:rPr>
              <w:t xml:space="preserve">18.5 </w:t>
            </w:r>
          </w:p>
        </w:tc>
      </w:tr>
      <w:tr w:rsidR="00175179" w:rsidRPr="00853ED7">
        <w:trPr>
          <w:cantSplit/>
        </w:trPr>
        <w:tc>
          <w:tcPr>
            <w:tcW w:w="5070" w:type="dxa"/>
            <w:tcBorders>
              <w:top w:val="nil"/>
              <w:bottom w:val="nil"/>
            </w:tcBorders>
          </w:tcPr>
          <w:p w:rsidR="00175179" w:rsidRPr="00853ED7" w:rsidRDefault="00175179" w:rsidP="00291142">
            <w:pPr>
              <w:ind w:left="284"/>
              <w:rPr>
                <w:sz w:val="20"/>
              </w:rPr>
            </w:pPr>
            <w:r w:rsidRPr="00853ED7">
              <w:rPr>
                <w:sz w:val="20"/>
              </w:rPr>
              <w:t>Pharyngitis</w:t>
            </w:r>
          </w:p>
        </w:tc>
        <w:tc>
          <w:tcPr>
            <w:tcW w:w="2126" w:type="dxa"/>
            <w:tcBorders>
              <w:top w:val="nil"/>
              <w:bottom w:val="nil"/>
            </w:tcBorders>
          </w:tcPr>
          <w:p w:rsidR="00175179" w:rsidRPr="00853ED7" w:rsidRDefault="00A124AF" w:rsidP="00291142">
            <w:pPr>
              <w:numPr>
                <w:ilvl w:val="12"/>
                <w:numId w:val="0"/>
              </w:numPr>
              <w:jc w:val="center"/>
              <w:rPr>
                <w:sz w:val="20"/>
              </w:rPr>
            </w:pPr>
            <w:r w:rsidRPr="00853ED7">
              <w:rPr>
                <w:sz w:val="20"/>
              </w:rPr>
              <w:t>6.2</w:t>
            </w:r>
          </w:p>
        </w:tc>
        <w:tc>
          <w:tcPr>
            <w:tcW w:w="2089" w:type="dxa"/>
            <w:tcBorders>
              <w:top w:val="nil"/>
              <w:bottom w:val="nil"/>
            </w:tcBorders>
          </w:tcPr>
          <w:p w:rsidR="00175179" w:rsidRPr="00853ED7" w:rsidRDefault="00A124AF" w:rsidP="00291142">
            <w:pPr>
              <w:numPr>
                <w:ilvl w:val="12"/>
                <w:numId w:val="0"/>
              </w:numPr>
              <w:jc w:val="center"/>
              <w:rPr>
                <w:sz w:val="20"/>
              </w:rPr>
            </w:pPr>
            <w:r w:rsidRPr="00853ED7">
              <w:rPr>
                <w:sz w:val="20"/>
              </w:rPr>
              <w:t>5.7</w:t>
            </w:r>
          </w:p>
        </w:tc>
      </w:tr>
      <w:tr w:rsidR="00175179" w:rsidRPr="00853ED7">
        <w:trPr>
          <w:cantSplit/>
        </w:trPr>
        <w:tc>
          <w:tcPr>
            <w:tcW w:w="5070" w:type="dxa"/>
            <w:tcBorders>
              <w:top w:val="nil"/>
              <w:bottom w:val="nil"/>
            </w:tcBorders>
          </w:tcPr>
          <w:p w:rsidR="00175179" w:rsidRPr="00853ED7" w:rsidRDefault="00175179" w:rsidP="00291142">
            <w:pPr>
              <w:ind w:left="284"/>
              <w:rPr>
                <w:sz w:val="20"/>
              </w:rPr>
            </w:pPr>
            <w:r w:rsidRPr="00853ED7">
              <w:rPr>
                <w:sz w:val="20"/>
              </w:rPr>
              <w:t>Bronchitis</w:t>
            </w:r>
          </w:p>
        </w:tc>
        <w:tc>
          <w:tcPr>
            <w:tcW w:w="2126" w:type="dxa"/>
            <w:tcBorders>
              <w:top w:val="nil"/>
              <w:bottom w:val="nil"/>
            </w:tcBorders>
          </w:tcPr>
          <w:p w:rsidR="00175179" w:rsidRPr="00853ED7" w:rsidRDefault="00A124AF" w:rsidP="00291142">
            <w:pPr>
              <w:numPr>
                <w:ilvl w:val="12"/>
                <w:numId w:val="0"/>
              </w:numPr>
              <w:jc w:val="center"/>
              <w:rPr>
                <w:sz w:val="20"/>
              </w:rPr>
            </w:pPr>
            <w:r w:rsidRPr="00853ED7">
              <w:rPr>
                <w:sz w:val="20"/>
              </w:rPr>
              <w:t>3.1</w:t>
            </w:r>
          </w:p>
        </w:tc>
        <w:tc>
          <w:tcPr>
            <w:tcW w:w="2089" w:type="dxa"/>
            <w:tcBorders>
              <w:top w:val="nil"/>
              <w:bottom w:val="nil"/>
            </w:tcBorders>
          </w:tcPr>
          <w:p w:rsidR="00175179" w:rsidRPr="00853ED7" w:rsidRDefault="00225814" w:rsidP="00291142">
            <w:pPr>
              <w:numPr>
                <w:ilvl w:val="12"/>
                <w:numId w:val="0"/>
              </w:numPr>
              <w:jc w:val="center"/>
              <w:rPr>
                <w:sz w:val="20"/>
              </w:rPr>
            </w:pPr>
            <w:r w:rsidRPr="00853ED7">
              <w:rPr>
                <w:sz w:val="20"/>
              </w:rPr>
              <w:t>2.7</w:t>
            </w:r>
          </w:p>
        </w:tc>
      </w:tr>
      <w:tr w:rsidR="00A124AF" w:rsidRPr="00853ED7">
        <w:trPr>
          <w:cantSplit/>
        </w:trPr>
        <w:tc>
          <w:tcPr>
            <w:tcW w:w="5070" w:type="dxa"/>
            <w:tcBorders>
              <w:top w:val="nil"/>
              <w:bottom w:val="nil"/>
            </w:tcBorders>
          </w:tcPr>
          <w:p w:rsidR="00A124AF" w:rsidRPr="00853ED7" w:rsidRDefault="00A124AF" w:rsidP="00A124AF">
            <w:pPr>
              <w:numPr>
                <w:ilvl w:val="12"/>
                <w:numId w:val="0"/>
              </w:numPr>
              <w:tabs>
                <w:tab w:val="left" w:pos="567"/>
              </w:tabs>
              <w:ind w:left="318"/>
              <w:rPr>
                <w:sz w:val="20"/>
              </w:rPr>
            </w:pPr>
            <w:r w:rsidRPr="00853ED7">
              <w:rPr>
                <w:sz w:val="20"/>
              </w:rPr>
              <w:t>Sinusitis</w:t>
            </w:r>
          </w:p>
        </w:tc>
        <w:tc>
          <w:tcPr>
            <w:tcW w:w="2126" w:type="dxa"/>
            <w:tcBorders>
              <w:top w:val="nil"/>
              <w:bottom w:val="nil"/>
            </w:tcBorders>
          </w:tcPr>
          <w:p w:rsidR="00A124AF" w:rsidRPr="00853ED7" w:rsidRDefault="00A124AF" w:rsidP="00291142">
            <w:pPr>
              <w:numPr>
                <w:ilvl w:val="12"/>
                <w:numId w:val="0"/>
              </w:numPr>
              <w:jc w:val="center"/>
              <w:rPr>
                <w:sz w:val="20"/>
              </w:rPr>
            </w:pPr>
            <w:r w:rsidRPr="00853ED7">
              <w:rPr>
                <w:sz w:val="20"/>
              </w:rPr>
              <w:t>2.5</w:t>
            </w:r>
          </w:p>
        </w:tc>
        <w:tc>
          <w:tcPr>
            <w:tcW w:w="2089" w:type="dxa"/>
            <w:tcBorders>
              <w:top w:val="nil"/>
              <w:bottom w:val="nil"/>
            </w:tcBorders>
          </w:tcPr>
          <w:p w:rsidR="00A124AF" w:rsidRPr="00853ED7" w:rsidRDefault="00A124AF" w:rsidP="00291142">
            <w:pPr>
              <w:numPr>
                <w:ilvl w:val="12"/>
                <w:numId w:val="0"/>
              </w:numPr>
              <w:jc w:val="center"/>
              <w:rPr>
                <w:sz w:val="20"/>
              </w:rPr>
            </w:pPr>
            <w:r w:rsidRPr="00853ED7">
              <w:rPr>
                <w:sz w:val="20"/>
              </w:rPr>
              <w:t>2.3</w:t>
            </w:r>
          </w:p>
        </w:tc>
      </w:tr>
      <w:tr w:rsidR="00A124AF" w:rsidRPr="00853ED7">
        <w:trPr>
          <w:cantSplit/>
        </w:trPr>
        <w:tc>
          <w:tcPr>
            <w:tcW w:w="5070" w:type="dxa"/>
            <w:tcBorders>
              <w:top w:val="nil"/>
              <w:bottom w:val="nil"/>
            </w:tcBorders>
          </w:tcPr>
          <w:p w:rsidR="00A124AF" w:rsidRPr="00853ED7" w:rsidRDefault="00A124AF" w:rsidP="00A124AF">
            <w:pPr>
              <w:numPr>
                <w:ilvl w:val="12"/>
                <w:numId w:val="0"/>
              </w:numPr>
              <w:tabs>
                <w:tab w:val="left" w:pos="567"/>
              </w:tabs>
              <w:ind w:left="318"/>
              <w:rPr>
                <w:sz w:val="20"/>
              </w:rPr>
            </w:pPr>
            <w:r w:rsidRPr="00853ED7">
              <w:rPr>
                <w:sz w:val="20"/>
              </w:rPr>
              <w:t>Coughing</w:t>
            </w:r>
          </w:p>
        </w:tc>
        <w:tc>
          <w:tcPr>
            <w:tcW w:w="2126" w:type="dxa"/>
            <w:tcBorders>
              <w:top w:val="nil"/>
              <w:bottom w:val="nil"/>
            </w:tcBorders>
          </w:tcPr>
          <w:p w:rsidR="00A124AF" w:rsidRPr="00853ED7" w:rsidRDefault="00A124AF" w:rsidP="00291142">
            <w:pPr>
              <w:numPr>
                <w:ilvl w:val="12"/>
                <w:numId w:val="0"/>
              </w:numPr>
              <w:jc w:val="center"/>
              <w:rPr>
                <w:sz w:val="20"/>
              </w:rPr>
            </w:pPr>
            <w:r w:rsidRPr="00853ED7">
              <w:rPr>
                <w:sz w:val="20"/>
              </w:rPr>
              <w:t>2.4</w:t>
            </w:r>
          </w:p>
        </w:tc>
        <w:tc>
          <w:tcPr>
            <w:tcW w:w="2089" w:type="dxa"/>
            <w:tcBorders>
              <w:top w:val="nil"/>
              <w:bottom w:val="nil"/>
            </w:tcBorders>
          </w:tcPr>
          <w:p w:rsidR="00A124AF" w:rsidRPr="00853ED7" w:rsidRDefault="00A124AF" w:rsidP="00291142">
            <w:pPr>
              <w:numPr>
                <w:ilvl w:val="12"/>
                <w:numId w:val="0"/>
              </w:numPr>
              <w:jc w:val="center"/>
              <w:rPr>
                <w:sz w:val="20"/>
              </w:rPr>
            </w:pPr>
            <w:r w:rsidRPr="00853ED7">
              <w:rPr>
                <w:sz w:val="20"/>
              </w:rPr>
              <w:t>2.3</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b/>
                <w:sz w:val="20"/>
              </w:rPr>
            </w:pPr>
            <w:r w:rsidRPr="00853ED7">
              <w:rPr>
                <w:b/>
                <w:sz w:val="20"/>
              </w:rPr>
              <w:t>Central and Peripheral Nervous System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BA1512" w:rsidRPr="00853ED7">
        <w:trPr>
          <w:cantSplit/>
        </w:trPr>
        <w:tc>
          <w:tcPr>
            <w:tcW w:w="5070" w:type="dxa"/>
            <w:tcBorders>
              <w:top w:val="nil"/>
              <w:bottom w:val="nil"/>
            </w:tcBorders>
          </w:tcPr>
          <w:p w:rsidR="00BA1512" w:rsidRPr="00853ED7" w:rsidRDefault="00BA1512" w:rsidP="00291142">
            <w:pPr>
              <w:numPr>
                <w:ilvl w:val="12"/>
                <w:numId w:val="0"/>
              </w:numPr>
              <w:tabs>
                <w:tab w:val="left" w:pos="567"/>
              </w:tabs>
              <w:ind w:left="284"/>
              <w:rPr>
                <w:sz w:val="20"/>
              </w:rPr>
            </w:pPr>
            <w:r w:rsidRPr="00853ED7">
              <w:rPr>
                <w:sz w:val="20"/>
              </w:rPr>
              <w:t>Headache</w:t>
            </w:r>
          </w:p>
        </w:tc>
        <w:tc>
          <w:tcPr>
            <w:tcW w:w="2126" w:type="dxa"/>
            <w:tcBorders>
              <w:top w:val="nil"/>
              <w:bottom w:val="nil"/>
            </w:tcBorders>
          </w:tcPr>
          <w:p w:rsidR="00BA1512" w:rsidRPr="00853ED7" w:rsidRDefault="00BA1512" w:rsidP="00291142">
            <w:pPr>
              <w:numPr>
                <w:ilvl w:val="12"/>
                <w:numId w:val="0"/>
              </w:numPr>
              <w:jc w:val="center"/>
              <w:rPr>
                <w:sz w:val="20"/>
              </w:rPr>
            </w:pPr>
            <w:r w:rsidRPr="00853ED7">
              <w:rPr>
                <w:sz w:val="20"/>
              </w:rPr>
              <w:t>16.2</w:t>
            </w:r>
          </w:p>
        </w:tc>
        <w:tc>
          <w:tcPr>
            <w:tcW w:w="2089" w:type="dxa"/>
            <w:tcBorders>
              <w:top w:val="nil"/>
              <w:bottom w:val="nil"/>
            </w:tcBorders>
          </w:tcPr>
          <w:p w:rsidR="00BA1512" w:rsidRPr="00853ED7" w:rsidRDefault="00BA1512" w:rsidP="00291142">
            <w:pPr>
              <w:numPr>
                <w:ilvl w:val="12"/>
                <w:numId w:val="0"/>
              </w:numPr>
              <w:jc w:val="center"/>
              <w:rPr>
                <w:sz w:val="20"/>
              </w:rPr>
            </w:pPr>
            <w:r w:rsidRPr="00853ED7">
              <w:rPr>
                <w:sz w:val="20"/>
              </w:rPr>
              <w:t>15.8</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Migraine</w:t>
            </w:r>
          </w:p>
        </w:tc>
        <w:tc>
          <w:tcPr>
            <w:tcW w:w="2126" w:type="dxa"/>
            <w:tcBorders>
              <w:top w:val="nil"/>
              <w:bottom w:val="nil"/>
            </w:tcBorders>
          </w:tcPr>
          <w:p w:rsidR="00175179" w:rsidRPr="00853ED7" w:rsidRDefault="00225814" w:rsidP="00291142">
            <w:pPr>
              <w:numPr>
                <w:ilvl w:val="12"/>
                <w:numId w:val="0"/>
              </w:numPr>
              <w:jc w:val="center"/>
              <w:rPr>
                <w:sz w:val="20"/>
              </w:rPr>
            </w:pPr>
            <w:r w:rsidRPr="00853ED7">
              <w:rPr>
                <w:sz w:val="20"/>
              </w:rPr>
              <w:t>1.1</w:t>
            </w:r>
          </w:p>
        </w:tc>
        <w:tc>
          <w:tcPr>
            <w:tcW w:w="2089" w:type="dxa"/>
            <w:tcBorders>
              <w:top w:val="nil"/>
              <w:bottom w:val="nil"/>
            </w:tcBorders>
          </w:tcPr>
          <w:p w:rsidR="00175179" w:rsidRPr="00853ED7" w:rsidRDefault="00225814" w:rsidP="00291142">
            <w:pPr>
              <w:numPr>
                <w:ilvl w:val="12"/>
                <w:numId w:val="0"/>
              </w:numPr>
              <w:jc w:val="center"/>
              <w:rPr>
                <w:sz w:val="20"/>
              </w:rPr>
            </w:pPr>
            <w:r w:rsidRPr="00853ED7">
              <w:rPr>
                <w:sz w:val="20"/>
              </w:rPr>
              <w:t>0.9</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Dizziness</w:t>
            </w:r>
          </w:p>
        </w:tc>
        <w:tc>
          <w:tcPr>
            <w:tcW w:w="2126" w:type="dxa"/>
            <w:tcBorders>
              <w:top w:val="nil"/>
              <w:bottom w:val="nil"/>
            </w:tcBorders>
          </w:tcPr>
          <w:p w:rsidR="00175179" w:rsidRPr="00853ED7" w:rsidRDefault="00175179" w:rsidP="00291142">
            <w:pPr>
              <w:numPr>
                <w:ilvl w:val="12"/>
                <w:numId w:val="0"/>
              </w:numPr>
              <w:jc w:val="center"/>
              <w:rPr>
                <w:sz w:val="20"/>
              </w:rPr>
            </w:pPr>
            <w:r w:rsidRPr="00853ED7">
              <w:rPr>
                <w:sz w:val="20"/>
              </w:rPr>
              <w:t>1.1</w:t>
            </w:r>
          </w:p>
        </w:tc>
        <w:tc>
          <w:tcPr>
            <w:tcW w:w="2089" w:type="dxa"/>
            <w:tcBorders>
              <w:top w:val="nil"/>
              <w:bottom w:val="nil"/>
            </w:tcBorders>
          </w:tcPr>
          <w:p w:rsidR="00175179" w:rsidRPr="00853ED7" w:rsidRDefault="00C96BCB" w:rsidP="00291142">
            <w:pPr>
              <w:numPr>
                <w:ilvl w:val="12"/>
                <w:numId w:val="0"/>
              </w:numPr>
              <w:jc w:val="center"/>
              <w:rPr>
                <w:sz w:val="20"/>
              </w:rPr>
            </w:pPr>
            <w:r w:rsidRPr="00853ED7">
              <w:rPr>
                <w:sz w:val="20"/>
              </w:rPr>
              <w:t>0.8</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b/>
                <w:sz w:val="20"/>
              </w:rPr>
            </w:pPr>
            <w:r w:rsidRPr="00853ED7">
              <w:rPr>
                <w:b/>
                <w:sz w:val="20"/>
              </w:rPr>
              <w:t>Gastro-intestinal System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Abdominal pain</w:t>
            </w:r>
          </w:p>
        </w:tc>
        <w:tc>
          <w:tcPr>
            <w:tcW w:w="2126" w:type="dxa"/>
            <w:tcBorders>
              <w:top w:val="nil"/>
              <w:bottom w:val="nil"/>
            </w:tcBorders>
          </w:tcPr>
          <w:p w:rsidR="00175179" w:rsidRPr="00853ED7" w:rsidRDefault="00A124AF" w:rsidP="00291142">
            <w:pPr>
              <w:numPr>
                <w:ilvl w:val="12"/>
                <w:numId w:val="0"/>
              </w:numPr>
              <w:jc w:val="center"/>
              <w:rPr>
                <w:sz w:val="20"/>
              </w:rPr>
            </w:pPr>
            <w:r w:rsidRPr="00853ED7">
              <w:rPr>
                <w:sz w:val="20"/>
              </w:rPr>
              <w:t>4</w:t>
            </w:r>
            <w:r w:rsidR="00175179" w:rsidRPr="00853ED7">
              <w:rPr>
                <w:sz w:val="20"/>
              </w:rPr>
              <w:t>.9</w:t>
            </w:r>
          </w:p>
        </w:tc>
        <w:tc>
          <w:tcPr>
            <w:tcW w:w="2089" w:type="dxa"/>
            <w:tcBorders>
              <w:top w:val="nil"/>
              <w:bottom w:val="nil"/>
            </w:tcBorders>
          </w:tcPr>
          <w:p w:rsidR="00175179" w:rsidRPr="00853ED7" w:rsidRDefault="00A124AF" w:rsidP="00291142">
            <w:pPr>
              <w:numPr>
                <w:ilvl w:val="12"/>
                <w:numId w:val="0"/>
              </w:numPr>
              <w:jc w:val="center"/>
              <w:rPr>
                <w:sz w:val="20"/>
              </w:rPr>
            </w:pPr>
            <w:r w:rsidRPr="00853ED7">
              <w:rPr>
                <w:sz w:val="20"/>
              </w:rPr>
              <w:t>3.4</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Gastroenteritis</w:t>
            </w:r>
          </w:p>
        </w:tc>
        <w:tc>
          <w:tcPr>
            <w:tcW w:w="2126" w:type="dxa"/>
            <w:tcBorders>
              <w:top w:val="nil"/>
              <w:bottom w:val="nil"/>
            </w:tcBorders>
          </w:tcPr>
          <w:p w:rsidR="00175179" w:rsidRPr="00853ED7" w:rsidRDefault="00A124AF" w:rsidP="00291142">
            <w:pPr>
              <w:numPr>
                <w:ilvl w:val="12"/>
                <w:numId w:val="0"/>
              </w:numPr>
              <w:jc w:val="center"/>
              <w:rPr>
                <w:sz w:val="20"/>
              </w:rPr>
            </w:pPr>
            <w:r w:rsidRPr="00853ED7">
              <w:rPr>
                <w:sz w:val="20"/>
              </w:rPr>
              <w:t>4.1</w:t>
            </w:r>
          </w:p>
        </w:tc>
        <w:tc>
          <w:tcPr>
            <w:tcW w:w="2089" w:type="dxa"/>
            <w:tcBorders>
              <w:top w:val="nil"/>
              <w:bottom w:val="nil"/>
            </w:tcBorders>
          </w:tcPr>
          <w:p w:rsidR="00175179" w:rsidRPr="00853ED7" w:rsidRDefault="00A124AF" w:rsidP="00291142">
            <w:pPr>
              <w:numPr>
                <w:ilvl w:val="12"/>
                <w:numId w:val="0"/>
              </w:numPr>
              <w:jc w:val="center"/>
              <w:rPr>
                <w:sz w:val="20"/>
              </w:rPr>
            </w:pPr>
            <w:r w:rsidRPr="00853ED7">
              <w:rPr>
                <w:sz w:val="20"/>
              </w:rPr>
              <w:t>3.5</w:t>
            </w:r>
          </w:p>
        </w:tc>
      </w:tr>
      <w:tr w:rsidR="00175179" w:rsidRPr="00853ED7">
        <w:trPr>
          <w:cantSplit/>
        </w:trPr>
        <w:tc>
          <w:tcPr>
            <w:tcW w:w="5070" w:type="dxa"/>
            <w:tcBorders>
              <w:top w:val="nil"/>
              <w:bottom w:val="nil"/>
            </w:tcBorders>
          </w:tcPr>
          <w:p w:rsidR="00175179" w:rsidRPr="00853ED7" w:rsidRDefault="00225814" w:rsidP="00291142">
            <w:pPr>
              <w:numPr>
                <w:ilvl w:val="12"/>
                <w:numId w:val="0"/>
              </w:numPr>
              <w:tabs>
                <w:tab w:val="left" w:pos="567"/>
              </w:tabs>
              <w:ind w:left="284"/>
              <w:rPr>
                <w:sz w:val="20"/>
              </w:rPr>
            </w:pPr>
            <w:r w:rsidRPr="00853ED7">
              <w:rPr>
                <w:sz w:val="20"/>
              </w:rPr>
              <w:t>Toothache</w:t>
            </w:r>
          </w:p>
        </w:tc>
        <w:tc>
          <w:tcPr>
            <w:tcW w:w="2126" w:type="dxa"/>
            <w:tcBorders>
              <w:top w:val="nil"/>
              <w:bottom w:val="nil"/>
            </w:tcBorders>
          </w:tcPr>
          <w:p w:rsidR="00175179" w:rsidRPr="00853ED7" w:rsidRDefault="00225814" w:rsidP="00291142">
            <w:pPr>
              <w:numPr>
                <w:ilvl w:val="12"/>
                <w:numId w:val="0"/>
              </w:numPr>
              <w:jc w:val="center"/>
              <w:rPr>
                <w:sz w:val="20"/>
              </w:rPr>
            </w:pPr>
            <w:r w:rsidRPr="00853ED7">
              <w:rPr>
                <w:sz w:val="20"/>
              </w:rPr>
              <w:t>1.</w:t>
            </w:r>
            <w:r w:rsidR="00BA1512" w:rsidRPr="00853ED7">
              <w:rPr>
                <w:sz w:val="20"/>
              </w:rPr>
              <w:t>9</w:t>
            </w:r>
          </w:p>
        </w:tc>
        <w:tc>
          <w:tcPr>
            <w:tcW w:w="2089" w:type="dxa"/>
            <w:tcBorders>
              <w:top w:val="nil"/>
              <w:bottom w:val="nil"/>
            </w:tcBorders>
          </w:tcPr>
          <w:p w:rsidR="00175179" w:rsidRPr="00853ED7" w:rsidRDefault="00225814" w:rsidP="00291142">
            <w:pPr>
              <w:numPr>
                <w:ilvl w:val="12"/>
                <w:numId w:val="0"/>
              </w:numPr>
              <w:jc w:val="center"/>
              <w:rPr>
                <w:sz w:val="20"/>
              </w:rPr>
            </w:pPr>
            <w:r w:rsidRPr="00853ED7">
              <w:rPr>
                <w:sz w:val="20"/>
              </w:rPr>
              <w:t>1</w:t>
            </w:r>
            <w:r w:rsidR="00BA1512" w:rsidRPr="00853ED7">
              <w:rPr>
                <w:sz w:val="20"/>
              </w:rPr>
              <w:t>.7</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b/>
                <w:sz w:val="20"/>
              </w:rPr>
            </w:pPr>
            <w:r w:rsidRPr="00853ED7">
              <w:rPr>
                <w:b/>
                <w:sz w:val="20"/>
              </w:rPr>
              <w:t>Body as a Whole – General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Back pain</w:t>
            </w:r>
          </w:p>
        </w:tc>
        <w:tc>
          <w:tcPr>
            <w:tcW w:w="2126" w:type="dxa"/>
            <w:tcBorders>
              <w:top w:val="nil"/>
              <w:bottom w:val="nil"/>
            </w:tcBorders>
          </w:tcPr>
          <w:p w:rsidR="00175179" w:rsidRPr="00853ED7" w:rsidRDefault="00C96BCB" w:rsidP="00291142">
            <w:pPr>
              <w:numPr>
                <w:ilvl w:val="12"/>
                <w:numId w:val="0"/>
              </w:numPr>
              <w:jc w:val="center"/>
              <w:rPr>
                <w:sz w:val="20"/>
              </w:rPr>
            </w:pPr>
            <w:r w:rsidRPr="00853ED7">
              <w:rPr>
                <w:sz w:val="20"/>
              </w:rPr>
              <w:t>4.0</w:t>
            </w:r>
          </w:p>
        </w:tc>
        <w:tc>
          <w:tcPr>
            <w:tcW w:w="2089" w:type="dxa"/>
            <w:tcBorders>
              <w:top w:val="nil"/>
              <w:bottom w:val="nil"/>
            </w:tcBorders>
          </w:tcPr>
          <w:p w:rsidR="00175179" w:rsidRPr="00853ED7" w:rsidRDefault="00FE2D41" w:rsidP="00291142">
            <w:pPr>
              <w:numPr>
                <w:ilvl w:val="12"/>
                <w:numId w:val="0"/>
              </w:numPr>
              <w:jc w:val="center"/>
              <w:rPr>
                <w:sz w:val="20"/>
              </w:rPr>
            </w:pPr>
            <w:r w:rsidRPr="00853ED7">
              <w:rPr>
                <w:sz w:val="20"/>
              </w:rPr>
              <w:t>3.3</w:t>
            </w:r>
          </w:p>
        </w:tc>
      </w:tr>
      <w:tr w:rsidR="00175F69" w:rsidRPr="00853ED7">
        <w:trPr>
          <w:cantSplit/>
        </w:trPr>
        <w:tc>
          <w:tcPr>
            <w:tcW w:w="5070" w:type="dxa"/>
            <w:tcBorders>
              <w:top w:val="nil"/>
              <w:bottom w:val="nil"/>
            </w:tcBorders>
          </w:tcPr>
          <w:p w:rsidR="00175F69" w:rsidRPr="00853ED7" w:rsidRDefault="00175F69" w:rsidP="00291142">
            <w:pPr>
              <w:numPr>
                <w:ilvl w:val="12"/>
                <w:numId w:val="0"/>
              </w:numPr>
              <w:tabs>
                <w:tab w:val="left" w:pos="567"/>
              </w:tabs>
              <w:ind w:left="284"/>
              <w:rPr>
                <w:sz w:val="20"/>
              </w:rPr>
            </w:pPr>
            <w:r w:rsidRPr="00853ED7">
              <w:rPr>
                <w:sz w:val="20"/>
              </w:rPr>
              <w:t>Pain</w:t>
            </w:r>
          </w:p>
        </w:tc>
        <w:tc>
          <w:tcPr>
            <w:tcW w:w="2126" w:type="dxa"/>
            <w:tcBorders>
              <w:top w:val="nil"/>
              <w:bottom w:val="nil"/>
            </w:tcBorders>
          </w:tcPr>
          <w:p w:rsidR="00175F69" w:rsidRPr="00853ED7" w:rsidRDefault="00175F69" w:rsidP="00291142">
            <w:pPr>
              <w:numPr>
                <w:ilvl w:val="12"/>
                <w:numId w:val="0"/>
              </w:numPr>
              <w:jc w:val="center"/>
              <w:rPr>
                <w:sz w:val="20"/>
              </w:rPr>
            </w:pPr>
            <w:r w:rsidRPr="00853ED7">
              <w:rPr>
                <w:sz w:val="20"/>
              </w:rPr>
              <w:t>1.4</w:t>
            </w:r>
          </w:p>
        </w:tc>
        <w:tc>
          <w:tcPr>
            <w:tcW w:w="2089" w:type="dxa"/>
            <w:tcBorders>
              <w:top w:val="nil"/>
              <w:bottom w:val="nil"/>
            </w:tcBorders>
          </w:tcPr>
          <w:p w:rsidR="00175F69" w:rsidRPr="00853ED7" w:rsidRDefault="00175F69" w:rsidP="00291142">
            <w:pPr>
              <w:numPr>
                <w:ilvl w:val="12"/>
                <w:numId w:val="0"/>
              </w:numPr>
              <w:jc w:val="center"/>
              <w:rPr>
                <w:sz w:val="20"/>
              </w:rPr>
            </w:pPr>
            <w:r w:rsidRPr="00853ED7">
              <w:rPr>
                <w:sz w:val="20"/>
              </w:rPr>
              <w:t>0.9</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Allergic reaction</w:t>
            </w:r>
          </w:p>
        </w:tc>
        <w:tc>
          <w:tcPr>
            <w:tcW w:w="2126" w:type="dxa"/>
            <w:tcBorders>
              <w:top w:val="nil"/>
              <w:bottom w:val="nil"/>
            </w:tcBorders>
          </w:tcPr>
          <w:p w:rsidR="00175179" w:rsidRPr="00853ED7" w:rsidRDefault="00FE2D41" w:rsidP="00291142">
            <w:pPr>
              <w:numPr>
                <w:ilvl w:val="12"/>
                <w:numId w:val="0"/>
              </w:numPr>
              <w:jc w:val="center"/>
              <w:rPr>
                <w:sz w:val="20"/>
              </w:rPr>
            </w:pPr>
            <w:r w:rsidRPr="00853ED7">
              <w:rPr>
                <w:sz w:val="20"/>
              </w:rPr>
              <w:t>1.</w:t>
            </w:r>
            <w:r w:rsidR="00C96BCB" w:rsidRPr="00853ED7">
              <w:rPr>
                <w:sz w:val="20"/>
              </w:rPr>
              <w:t>2</w:t>
            </w:r>
          </w:p>
        </w:tc>
        <w:tc>
          <w:tcPr>
            <w:tcW w:w="2089" w:type="dxa"/>
            <w:tcBorders>
              <w:top w:val="nil"/>
              <w:bottom w:val="nil"/>
            </w:tcBorders>
          </w:tcPr>
          <w:p w:rsidR="00175179" w:rsidRPr="00853ED7" w:rsidRDefault="00C96BCB" w:rsidP="00291142">
            <w:pPr>
              <w:numPr>
                <w:ilvl w:val="12"/>
                <w:numId w:val="0"/>
              </w:numPr>
              <w:jc w:val="center"/>
              <w:rPr>
                <w:sz w:val="20"/>
              </w:rPr>
            </w:pPr>
            <w:r w:rsidRPr="00853ED7">
              <w:rPr>
                <w:sz w:val="20"/>
              </w:rPr>
              <w:t>1.0</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Fatigue</w:t>
            </w:r>
          </w:p>
        </w:tc>
        <w:tc>
          <w:tcPr>
            <w:tcW w:w="2126" w:type="dxa"/>
            <w:tcBorders>
              <w:top w:val="nil"/>
              <w:bottom w:val="nil"/>
            </w:tcBorders>
          </w:tcPr>
          <w:p w:rsidR="00175179" w:rsidRPr="00853ED7" w:rsidRDefault="00FE2D41" w:rsidP="00291142">
            <w:pPr>
              <w:numPr>
                <w:ilvl w:val="12"/>
                <w:numId w:val="0"/>
              </w:numPr>
              <w:jc w:val="center"/>
              <w:rPr>
                <w:sz w:val="20"/>
              </w:rPr>
            </w:pPr>
            <w:r w:rsidRPr="00853ED7">
              <w:rPr>
                <w:sz w:val="20"/>
              </w:rPr>
              <w:t>1.1</w:t>
            </w:r>
          </w:p>
        </w:tc>
        <w:tc>
          <w:tcPr>
            <w:tcW w:w="2089" w:type="dxa"/>
            <w:tcBorders>
              <w:top w:val="nil"/>
              <w:bottom w:val="nil"/>
            </w:tcBorders>
          </w:tcPr>
          <w:p w:rsidR="00175179" w:rsidRPr="00853ED7" w:rsidRDefault="002C1C4B" w:rsidP="00291142">
            <w:pPr>
              <w:numPr>
                <w:ilvl w:val="12"/>
                <w:numId w:val="0"/>
              </w:numPr>
              <w:jc w:val="center"/>
              <w:rPr>
                <w:sz w:val="20"/>
              </w:rPr>
            </w:pPr>
            <w:r w:rsidRPr="00853ED7">
              <w:rPr>
                <w:sz w:val="20"/>
              </w:rPr>
              <w:t>1.0</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r w:rsidRPr="00853ED7">
              <w:rPr>
                <w:b/>
                <w:sz w:val="20"/>
              </w:rPr>
              <w:t>Skin and Appendages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Skin disorder</w:t>
            </w:r>
          </w:p>
        </w:tc>
        <w:tc>
          <w:tcPr>
            <w:tcW w:w="2126" w:type="dxa"/>
            <w:tcBorders>
              <w:top w:val="nil"/>
              <w:bottom w:val="nil"/>
            </w:tcBorders>
          </w:tcPr>
          <w:p w:rsidR="00175179" w:rsidRPr="00853ED7" w:rsidRDefault="00FE2D41" w:rsidP="00291142">
            <w:pPr>
              <w:numPr>
                <w:ilvl w:val="12"/>
                <w:numId w:val="0"/>
              </w:numPr>
              <w:jc w:val="center"/>
              <w:rPr>
                <w:sz w:val="20"/>
              </w:rPr>
            </w:pPr>
            <w:r w:rsidRPr="00853ED7">
              <w:rPr>
                <w:sz w:val="20"/>
              </w:rPr>
              <w:t>1.0</w:t>
            </w:r>
          </w:p>
        </w:tc>
        <w:tc>
          <w:tcPr>
            <w:tcW w:w="2089" w:type="dxa"/>
            <w:tcBorders>
              <w:top w:val="nil"/>
              <w:bottom w:val="nil"/>
            </w:tcBorders>
          </w:tcPr>
          <w:p w:rsidR="00175179" w:rsidRPr="00853ED7" w:rsidRDefault="00FE2D41" w:rsidP="00291142">
            <w:pPr>
              <w:numPr>
                <w:ilvl w:val="12"/>
                <w:numId w:val="0"/>
              </w:numPr>
              <w:jc w:val="center"/>
              <w:rPr>
                <w:sz w:val="20"/>
              </w:rPr>
            </w:pPr>
            <w:r w:rsidRPr="00853ED7">
              <w:rPr>
                <w:sz w:val="20"/>
              </w:rPr>
              <w:t>0.7</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r w:rsidRPr="00853ED7">
              <w:rPr>
                <w:b/>
                <w:sz w:val="20"/>
              </w:rPr>
              <w:t>Urinary System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t>Urinary tract infection</w:t>
            </w:r>
          </w:p>
        </w:tc>
        <w:tc>
          <w:tcPr>
            <w:tcW w:w="2126" w:type="dxa"/>
            <w:tcBorders>
              <w:top w:val="nil"/>
              <w:bottom w:val="nil"/>
            </w:tcBorders>
          </w:tcPr>
          <w:p w:rsidR="00175179" w:rsidRPr="00853ED7" w:rsidRDefault="00FE2D41" w:rsidP="00291142">
            <w:pPr>
              <w:numPr>
                <w:ilvl w:val="12"/>
                <w:numId w:val="0"/>
              </w:numPr>
              <w:jc w:val="center"/>
              <w:rPr>
                <w:sz w:val="20"/>
              </w:rPr>
            </w:pPr>
            <w:r w:rsidRPr="00853ED7">
              <w:rPr>
                <w:sz w:val="20"/>
              </w:rPr>
              <w:t>1.8</w:t>
            </w:r>
          </w:p>
        </w:tc>
        <w:tc>
          <w:tcPr>
            <w:tcW w:w="2089" w:type="dxa"/>
            <w:tcBorders>
              <w:top w:val="nil"/>
              <w:bottom w:val="nil"/>
            </w:tcBorders>
          </w:tcPr>
          <w:p w:rsidR="00175179" w:rsidRPr="00853ED7" w:rsidRDefault="00FE2D41" w:rsidP="00291142">
            <w:pPr>
              <w:numPr>
                <w:ilvl w:val="12"/>
                <w:numId w:val="0"/>
              </w:numPr>
              <w:jc w:val="center"/>
              <w:rPr>
                <w:sz w:val="20"/>
              </w:rPr>
            </w:pPr>
            <w:r w:rsidRPr="00853ED7">
              <w:rPr>
                <w:sz w:val="20"/>
              </w:rPr>
              <w:t>1.5</w:t>
            </w: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sz w:val="20"/>
              </w:rPr>
            </w:pP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rPr>
                <w:b/>
                <w:sz w:val="20"/>
              </w:rPr>
            </w:pPr>
            <w:r w:rsidRPr="00853ED7">
              <w:rPr>
                <w:b/>
                <w:sz w:val="20"/>
              </w:rPr>
              <w:t>Application Site Disorders</w:t>
            </w:r>
          </w:p>
        </w:tc>
        <w:tc>
          <w:tcPr>
            <w:tcW w:w="2126" w:type="dxa"/>
            <w:tcBorders>
              <w:top w:val="nil"/>
              <w:bottom w:val="nil"/>
            </w:tcBorders>
          </w:tcPr>
          <w:p w:rsidR="00175179" w:rsidRPr="00853ED7" w:rsidRDefault="00175179" w:rsidP="00291142">
            <w:pPr>
              <w:numPr>
                <w:ilvl w:val="12"/>
                <w:numId w:val="0"/>
              </w:numPr>
              <w:jc w:val="center"/>
              <w:rPr>
                <w:sz w:val="20"/>
              </w:rPr>
            </w:pPr>
          </w:p>
        </w:tc>
        <w:tc>
          <w:tcPr>
            <w:tcW w:w="2089" w:type="dxa"/>
            <w:tcBorders>
              <w:top w:val="nil"/>
              <w:bottom w:val="nil"/>
            </w:tcBorders>
          </w:tcPr>
          <w:p w:rsidR="00175179" w:rsidRPr="00853ED7" w:rsidRDefault="00175179" w:rsidP="00291142">
            <w:pPr>
              <w:numPr>
                <w:ilvl w:val="12"/>
                <w:numId w:val="0"/>
              </w:numPr>
              <w:jc w:val="center"/>
              <w:rPr>
                <w:sz w:val="20"/>
              </w:rPr>
            </w:pPr>
          </w:p>
        </w:tc>
      </w:tr>
      <w:tr w:rsidR="00175179" w:rsidRPr="00853ED7">
        <w:trPr>
          <w:cantSplit/>
        </w:trPr>
        <w:tc>
          <w:tcPr>
            <w:tcW w:w="5070" w:type="dxa"/>
            <w:tcBorders>
              <w:top w:val="nil"/>
              <w:bottom w:val="nil"/>
            </w:tcBorders>
          </w:tcPr>
          <w:p w:rsidR="00175179" w:rsidRPr="00853ED7" w:rsidRDefault="00175179" w:rsidP="00291142">
            <w:pPr>
              <w:numPr>
                <w:ilvl w:val="12"/>
                <w:numId w:val="0"/>
              </w:numPr>
              <w:tabs>
                <w:tab w:val="left" w:pos="567"/>
              </w:tabs>
              <w:ind w:left="284"/>
              <w:rPr>
                <w:sz w:val="20"/>
              </w:rPr>
            </w:pPr>
            <w:r w:rsidRPr="00853ED7">
              <w:rPr>
                <w:sz w:val="20"/>
              </w:rPr>
              <w:lastRenderedPageBreak/>
              <w:t>Injection site reaction</w:t>
            </w:r>
          </w:p>
        </w:tc>
        <w:tc>
          <w:tcPr>
            <w:tcW w:w="2126" w:type="dxa"/>
            <w:tcBorders>
              <w:top w:val="nil"/>
              <w:bottom w:val="nil"/>
            </w:tcBorders>
          </w:tcPr>
          <w:p w:rsidR="00175179" w:rsidRPr="00853ED7" w:rsidRDefault="00FE2D41" w:rsidP="00291142">
            <w:pPr>
              <w:numPr>
                <w:ilvl w:val="12"/>
                <w:numId w:val="0"/>
              </w:numPr>
              <w:jc w:val="center"/>
              <w:rPr>
                <w:sz w:val="20"/>
              </w:rPr>
            </w:pPr>
            <w:r w:rsidRPr="00853ED7">
              <w:rPr>
                <w:sz w:val="20"/>
              </w:rPr>
              <w:t>1.</w:t>
            </w:r>
            <w:r w:rsidR="002C1C4B" w:rsidRPr="00853ED7">
              <w:rPr>
                <w:sz w:val="20"/>
              </w:rPr>
              <w:t>8</w:t>
            </w:r>
          </w:p>
        </w:tc>
        <w:tc>
          <w:tcPr>
            <w:tcW w:w="2089" w:type="dxa"/>
            <w:tcBorders>
              <w:top w:val="nil"/>
              <w:bottom w:val="nil"/>
            </w:tcBorders>
          </w:tcPr>
          <w:p w:rsidR="00175179" w:rsidRPr="00853ED7" w:rsidRDefault="00FE2D41" w:rsidP="00291142">
            <w:pPr>
              <w:numPr>
                <w:ilvl w:val="12"/>
                <w:numId w:val="0"/>
              </w:numPr>
              <w:jc w:val="center"/>
              <w:rPr>
                <w:sz w:val="20"/>
              </w:rPr>
            </w:pPr>
            <w:r w:rsidRPr="00853ED7">
              <w:rPr>
                <w:sz w:val="20"/>
              </w:rPr>
              <w:t>1</w:t>
            </w:r>
            <w:r w:rsidR="002C1C4B" w:rsidRPr="00853ED7">
              <w:rPr>
                <w:sz w:val="20"/>
              </w:rPr>
              <w:t>.1</w:t>
            </w:r>
          </w:p>
        </w:tc>
      </w:tr>
      <w:tr w:rsidR="00175179" w:rsidRPr="00853ED7">
        <w:trPr>
          <w:cantSplit/>
        </w:trPr>
        <w:tc>
          <w:tcPr>
            <w:tcW w:w="5070" w:type="dxa"/>
            <w:tcBorders>
              <w:top w:val="nil"/>
            </w:tcBorders>
          </w:tcPr>
          <w:p w:rsidR="00175179" w:rsidRPr="00853ED7" w:rsidRDefault="00175179" w:rsidP="00291142">
            <w:pPr>
              <w:numPr>
                <w:ilvl w:val="12"/>
                <w:numId w:val="0"/>
              </w:numPr>
              <w:tabs>
                <w:tab w:val="left" w:pos="567"/>
              </w:tabs>
              <w:rPr>
                <w:sz w:val="20"/>
              </w:rPr>
            </w:pPr>
          </w:p>
        </w:tc>
        <w:tc>
          <w:tcPr>
            <w:tcW w:w="2126" w:type="dxa"/>
            <w:tcBorders>
              <w:top w:val="nil"/>
            </w:tcBorders>
          </w:tcPr>
          <w:p w:rsidR="00175179" w:rsidRPr="00853ED7" w:rsidRDefault="00175179" w:rsidP="00291142">
            <w:pPr>
              <w:numPr>
                <w:ilvl w:val="12"/>
                <w:numId w:val="0"/>
              </w:numPr>
              <w:jc w:val="center"/>
              <w:rPr>
                <w:sz w:val="20"/>
              </w:rPr>
            </w:pPr>
          </w:p>
        </w:tc>
        <w:tc>
          <w:tcPr>
            <w:tcW w:w="2089" w:type="dxa"/>
            <w:tcBorders>
              <w:top w:val="nil"/>
            </w:tcBorders>
          </w:tcPr>
          <w:p w:rsidR="00175179" w:rsidRPr="00853ED7" w:rsidRDefault="00175179" w:rsidP="00291142">
            <w:pPr>
              <w:numPr>
                <w:ilvl w:val="12"/>
                <w:numId w:val="0"/>
              </w:numPr>
              <w:jc w:val="center"/>
              <w:rPr>
                <w:sz w:val="20"/>
              </w:rPr>
            </w:pPr>
          </w:p>
        </w:tc>
      </w:tr>
    </w:tbl>
    <w:p w:rsidR="00575F70" w:rsidRPr="00853ED7" w:rsidRDefault="00575F70" w:rsidP="001E4495">
      <w:pPr>
        <w:rPr>
          <w:rStyle w:val="Emphasis"/>
          <w:sz w:val="18"/>
          <w:szCs w:val="18"/>
        </w:rPr>
      </w:pPr>
      <w:r w:rsidRPr="00853ED7">
        <w:rPr>
          <w:rStyle w:val="Emphasis"/>
          <w:sz w:val="18"/>
          <w:szCs w:val="18"/>
        </w:rPr>
        <w:t xml:space="preserve">Treatment emergent adverse events; </w:t>
      </w:r>
      <w:proofErr w:type="spellStart"/>
      <w:r w:rsidRPr="00853ED7">
        <w:rPr>
          <w:rStyle w:val="Emphasis"/>
          <w:sz w:val="18"/>
          <w:szCs w:val="18"/>
        </w:rPr>
        <w:t>Levemir</w:t>
      </w:r>
      <w:proofErr w:type="spellEnd"/>
      <w:r w:rsidRPr="00853ED7">
        <w:rPr>
          <w:rStyle w:val="Emphasis"/>
          <w:sz w:val="18"/>
          <w:szCs w:val="18"/>
        </w:rPr>
        <w:t xml:space="preserve"> incidence ≥ 1.0 % and &gt; </w:t>
      </w:r>
      <w:proofErr w:type="spellStart"/>
      <w:r w:rsidRPr="00853ED7">
        <w:rPr>
          <w:rStyle w:val="Emphasis"/>
          <w:sz w:val="18"/>
          <w:szCs w:val="18"/>
        </w:rPr>
        <w:t>isophane</w:t>
      </w:r>
      <w:proofErr w:type="spellEnd"/>
      <w:r w:rsidRPr="00853ED7">
        <w:rPr>
          <w:rStyle w:val="Emphasis"/>
          <w:sz w:val="18"/>
          <w:szCs w:val="18"/>
        </w:rPr>
        <w:t xml:space="preserve"> human insulin group.</w:t>
      </w:r>
    </w:p>
    <w:p w:rsidR="00175179" w:rsidRPr="00853ED7" w:rsidRDefault="00175179" w:rsidP="001E4495">
      <w:pPr>
        <w:rPr>
          <w:sz w:val="22"/>
          <w:szCs w:val="22"/>
        </w:rPr>
      </w:pPr>
      <w:r w:rsidRPr="00853ED7">
        <w:rPr>
          <w:rStyle w:val="Emphasis"/>
          <w:sz w:val="18"/>
          <w:szCs w:val="18"/>
        </w:rPr>
        <w:t>*N = number of patients exposed to each treatment arm</w:t>
      </w:r>
    </w:p>
    <w:p w:rsidR="00874850" w:rsidRPr="00853ED7" w:rsidRDefault="00874850" w:rsidP="001E4495">
      <w:pPr>
        <w:rPr>
          <w:sz w:val="22"/>
          <w:szCs w:val="22"/>
          <w:lang w:eastAsia="en-AU"/>
        </w:rPr>
      </w:pPr>
      <w:r w:rsidRPr="00853ED7">
        <w:rPr>
          <w:sz w:val="22"/>
          <w:szCs w:val="22"/>
          <w:lang w:eastAsia="en-AU"/>
        </w:rPr>
        <w:t xml:space="preserve">Adverse reactions listed below are based on clinical trial data and classified according to </w:t>
      </w:r>
      <w:proofErr w:type="spellStart"/>
      <w:r w:rsidRPr="00853ED7">
        <w:rPr>
          <w:sz w:val="22"/>
          <w:szCs w:val="22"/>
          <w:lang w:eastAsia="en-AU"/>
        </w:rPr>
        <w:t>MedDRA</w:t>
      </w:r>
      <w:proofErr w:type="spellEnd"/>
      <w:r w:rsidRPr="00853ED7">
        <w:rPr>
          <w:sz w:val="22"/>
          <w:szCs w:val="22"/>
          <w:lang w:eastAsia="en-AU"/>
        </w:rPr>
        <w:t xml:space="preserve"> frequency and System Organ Class. Frequency categories are defined according to the following convention: Very common (≥ 1/10); common (≥ 1/100 to &lt; 1/10); uncommon (≥ 1/1,000 to &lt; 1/100); rare (≥ 1/10,000 to &lt; 1/1,000); very rare (&lt; 1/10,000); not known (cannot be estimated from the available data).</w:t>
      </w:r>
    </w:p>
    <w:p w:rsidR="00874850" w:rsidRPr="00853ED7" w:rsidRDefault="00874850" w:rsidP="001E4495">
      <w:pPr>
        <w:rPr>
          <w:sz w:val="22"/>
          <w:szCs w:val="22"/>
          <w:lang w:eastAsia="da-DK"/>
        </w:rPr>
      </w:pPr>
    </w:p>
    <w:p w:rsidR="00D77859" w:rsidRPr="00853ED7" w:rsidRDefault="00874850" w:rsidP="006F4353">
      <w:pPr>
        <w:pStyle w:val="Heading5"/>
        <w:ind w:right="0"/>
      </w:pPr>
      <w:r w:rsidRPr="00853ED7">
        <w:t xml:space="preserve">Table 8. </w:t>
      </w:r>
      <w:r w:rsidR="00944B50" w:rsidRPr="00853ED7">
        <w:rPr>
          <w:lang w:eastAsia="en-AU"/>
        </w:rPr>
        <w:t>Frequencies of adverse drug reactions from clinical trials, which by an overall judgement are considered related to Levemir.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103"/>
      </w:tblGrid>
      <w:tr w:rsidR="00A02605" w:rsidRPr="00853ED7" w:rsidTr="006F4353">
        <w:trPr>
          <w:trHeight w:val="470"/>
        </w:trPr>
        <w:tc>
          <w:tcPr>
            <w:tcW w:w="4111" w:type="dxa"/>
            <w:shd w:val="clear" w:color="auto" w:fill="auto"/>
          </w:tcPr>
          <w:p w:rsidR="00A02605" w:rsidRPr="00853ED7" w:rsidRDefault="00A02605" w:rsidP="00A02605">
            <w:pPr>
              <w:tabs>
                <w:tab w:val="left" w:pos="567"/>
              </w:tabs>
              <w:rPr>
                <w:b/>
                <w:iCs/>
                <w:sz w:val="20"/>
                <w:lang w:val="en-GB"/>
              </w:rPr>
            </w:pPr>
            <w:r w:rsidRPr="00853ED7">
              <w:rPr>
                <w:b/>
                <w:iCs/>
                <w:sz w:val="20"/>
              </w:rPr>
              <w:t>Metabolism and nutrition disorders</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Very common – Hypoglycaemia*</w:t>
            </w:r>
          </w:p>
        </w:tc>
      </w:tr>
      <w:tr w:rsidR="00A02605" w:rsidRPr="00853ED7" w:rsidTr="006F4353">
        <w:trPr>
          <w:trHeight w:val="470"/>
        </w:trPr>
        <w:tc>
          <w:tcPr>
            <w:tcW w:w="4111" w:type="dxa"/>
            <w:vMerge w:val="restart"/>
            <w:shd w:val="clear" w:color="auto" w:fill="auto"/>
          </w:tcPr>
          <w:p w:rsidR="00A02605" w:rsidRPr="00853ED7" w:rsidRDefault="00A02605" w:rsidP="00A02605">
            <w:pPr>
              <w:tabs>
                <w:tab w:val="left" w:pos="567"/>
              </w:tabs>
              <w:rPr>
                <w:iCs/>
                <w:sz w:val="20"/>
                <w:lang w:val="en-GB"/>
              </w:rPr>
            </w:pPr>
            <w:r w:rsidRPr="00853ED7">
              <w:rPr>
                <w:b/>
                <w:iCs/>
                <w:sz w:val="20"/>
              </w:rPr>
              <w:t>General disorders and administration site conditions</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Common – Injection site reactions</w:t>
            </w:r>
          </w:p>
        </w:tc>
      </w:tr>
      <w:tr w:rsidR="00A02605" w:rsidRPr="00853ED7" w:rsidTr="006F4353">
        <w:trPr>
          <w:trHeight w:val="471"/>
        </w:trPr>
        <w:tc>
          <w:tcPr>
            <w:tcW w:w="4111" w:type="dxa"/>
            <w:vMerge/>
            <w:shd w:val="clear" w:color="auto" w:fill="auto"/>
          </w:tcPr>
          <w:p w:rsidR="00A02605" w:rsidRPr="00853ED7" w:rsidRDefault="00A02605" w:rsidP="00A02605">
            <w:pPr>
              <w:tabs>
                <w:tab w:val="left" w:pos="567"/>
              </w:tabs>
              <w:rPr>
                <w:iCs/>
                <w:sz w:val="20"/>
                <w:lang w:val="en-GB"/>
              </w:rPr>
            </w:pP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Uncommon – Oedema</w:t>
            </w:r>
          </w:p>
        </w:tc>
      </w:tr>
      <w:tr w:rsidR="00A02605" w:rsidRPr="00853ED7" w:rsidTr="006F4353">
        <w:trPr>
          <w:trHeight w:val="470"/>
        </w:trPr>
        <w:tc>
          <w:tcPr>
            <w:tcW w:w="4111" w:type="dxa"/>
            <w:shd w:val="clear" w:color="auto" w:fill="auto"/>
          </w:tcPr>
          <w:p w:rsidR="00A02605" w:rsidRPr="00853ED7" w:rsidRDefault="00A02605" w:rsidP="00A02605">
            <w:pPr>
              <w:tabs>
                <w:tab w:val="left" w:pos="567"/>
              </w:tabs>
              <w:rPr>
                <w:iCs/>
                <w:sz w:val="20"/>
                <w:lang w:val="en-GB"/>
              </w:rPr>
            </w:pPr>
            <w:r w:rsidRPr="00853ED7">
              <w:rPr>
                <w:b/>
                <w:iCs/>
                <w:sz w:val="20"/>
              </w:rPr>
              <w:t>Skin and subcutaneous tissue disorders</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 xml:space="preserve">Uncommon – </w:t>
            </w:r>
            <w:proofErr w:type="spellStart"/>
            <w:r w:rsidRPr="00853ED7">
              <w:rPr>
                <w:iCs/>
                <w:sz w:val="20"/>
              </w:rPr>
              <w:t>Lipodystrophy</w:t>
            </w:r>
            <w:proofErr w:type="spellEnd"/>
            <w:r w:rsidRPr="00853ED7">
              <w:rPr>
                <w:iCs/>
                <w:sz w:val="20"/>
              </w:rPr>
              <w:t>*</w:t>
            </w:r>
          </w:p>
        </w:tc>
      </w:tr>
      <w:tr w:rsidR="00A02605" w:rsidRPr="00853ED7" w:rsidTr="006F4353">
        <w:trPr>
          <w:trHeight w:val="471"/>
        </w:trPr>
        <w:tc>
          <w:tcPr>
            <w:tcW w:w="4111" w:type="dxa"/>
            <w:vMerge w:val="restart"/>
            <w:shd w:val="clear" w:color="auto" w:fill="auto"/>
          </w:tcPr>
          <w:p w:rsidR="00A02605" w:rsidRPr="00853ED7" w:rsidRDefault="00A02605" w:rsidP="00A02605">
            <w:pPr>
              <w:tabs>
                <w:tab w:val="left" w:pos="567"/>
              </w:tabs>
              <w:rPr>
                <w:iCs/>
                <w:sz w:val="20"/>
                <w:lang w:val="en-GB"/>
              </w:rPr>
            </w:pPr>
            <w:r w:rsidRPr="00853ED7">
              <w:rPr>
                <w:b/>
                <w:iCs/>
                <w:sz w:val="20"/>
              </w:rPr>
              <w:t xml:space="preserve">Eye disorders </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Uncommon – Refraction disorders</w:t>
            </w:r>
          </w:p>
        </w:tc>
      </w:tr>
      <w:tr w:rsidR="00A02605" w:rsidRPr="00853ED7" w:rsidTr="006F4353">
        <w:trPr>
          <w:trHeight w:val="470"/>
        </w:trPr>
        <w:tc>
          <w:tcPr>
            <w:tcW w:w="4111" w:type="dxa"/>
            <w:vMerge/>
            <w:shd w:val="clear" w:color="auto" w:fill="auto"/>
          </w:tcPr>
          <w:p w:rsidR="00A02605" w:rsidRPr="00853ED7" w:rsidRDefault="00A02605" w:rsidP="00A02605">
            <w:pPr>
              <w:tabs>
                <w:tab w:val="left" w:pos="567"/>
              </w:tabs>
              <w:rPr>
                <w:iCs/>
                <w:sz w:val="20"/>
                <w:lang w:val="en-GB"/>
              </w:rPr>
            </w:pP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Uncommon – Diabetic retinopathy</w:t>
            </w:r>
          </w:p>
        </w:tc>
      </w:tr>
      <w:tr w:rsidR="00A02605" w:rsidRPr="00853ED7" w:rsidTr="006F4353">
        <w:trPr>
          <w:trHeight w:val="471"/>
        </w:trPr>
        <w:tc>
          <w:tcPr>
            <w:tcW w:w="4111" w:type="dxa"/>
            <w:shd w:val="clear" w:color="auto" w:fill="auto"/>
          </w:tcPr>
          <w:p w:rsidR="00A02605" w:rsidRPr="00853ED7" w:rsidRDefault="00A02605" w:rsidP="00A02605">
            <w:pPr>
              <w:tabs>
                <w:tab w:val="left" w:pos="567"/>
              </w:tabs>
              <w:rPr>
                <w:iCs/>
                <w:sz w:val="20"/>
                <w:lang w:val="en-GB"/>
              </w:rPr>
            </w:pPr>
            <w:r w:rsidRPr="00853ED7">
              <w:rPr>
                <w:b/>
                <w:iCs/>
                <w:sz w:val="20"/>
              </w:rPr>
              <w:t>Immune system disorders</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 xml:space="preserve">Uncommon – Allergic reactions, potentially allergic reactions, </w:t>
            </w:r>
            <w:proofErr w:type="spellStart"/>
            <w:r w:rsidRPr="00853ED7">
              <w:rPr>
                <w:iCs/>
                <w:sz w:val="20"/>
              </w:rPr>
              <w:t>urticaria</w:t>
            </w:r>
            <w:proofErr w:type="spellEnd"/>
            <w:r w:rsidRPr="00853ED7">
              <w:rPr>
                <w:iCs/>
                <w:sz w:val="20"/>
              </w:rPr>
              <w:t>, rash, eruptions*</w:t>
            </w:r>
          </w:p>
        </w:tc>
      </w:tr>
      <w:tr w:rsidR="00A02605" w:rsidRPr="00853ED7" w:rsidTr="006F4353">
        <w:trPr>
          <w:trHeight w:val="470"/>
        </w:trPr>
        <w:tc>
          <w:tcPr>
            <w:tcW w:w="4111" w:type="dxa"/>
            <w:shd w:val="clear" w:color="auto" w:fill="auto"/>
          </w:tcPr>
          <w:p w:rsidR="00A02605" w:rsidRPr="00853ED7" w:rsidRDefault="00A02605" w:rsidP="00A02605">
            <w:pPr>
              <w:tabs>
                <w:tab w:val="left" w:pos="567"/>
              </w:tabs>
              <w:rPr>
                <w:iCs/>
                <w:sz w:val="20"/>
                <w:lang w:val="en-GB"/>
              </w:rPr>
            </w:pPr>
            <w:r w:rsidRPr="00853ED7">
              <w:rPr>
                <w:b/>
                <w:iCs/>
                <w:sz w:val="20"/>
              </w:rPr>
              <w:t>Nervous system disorders</w:t>
            </w:r>
          </w:p>
        </w:tc>
        <w:tc>
          <w:tcPr>
            <w:tcW w:w="5103" w:type="dxa"/>
            <w:shd w:val="clear" w:color="auto" w:fill="auto"/>
          </w:tcPr>
          <w:p w:rsidR="00A02605" w:rsidRPr="00853ED7" w:rsidRDefault="00A02605" w:rsidP="00A02605">
            <w:pPr>
              <w:tabs>
                <w:tab w:val="left" w:pos="567"/>
              </w:tabs>
              <w:rPr>
                <w:iCs/>
                <w:sz w:val="20"/>
                <w:lang w:val="en-GB"/>
              </w:rPr>
            </w:pPr>
            <w:r w:rsidRPr="00853ED7">
              <w:rPr>
                <w:iCs/>
                <w:sz w:val="20"/>
              </w:rPr>
              <w:t>Rare – Peripheral neuropathy (painful neuropathy)</w:t>
            </w:r>
          </w:p>
        </w:tc>
      </w:tr>
      <w:tr w:rsidR="00A02605" w:rsidRPr="00853ED7" w:rsidTr="006F4353">
        <w:trPr>
          <w:trHeight w:val="471"/>
        </w:trPr>
        <w:tc>
          <w:tcPr>
            <w:tcW w:w="4111" w:type="dxa"/>
            <w:shd w:val="clear" w:color="auto" w:fill="auto"/>
          </w:tcPr>
          <w:p w:rsidR="00A02605" w:rsidRPr="00853ED7" w:rsidRDefault="00A02605" w:rsidP="00A02605">
            <w:pPr>
              <w:tabs>
                <w:tab w:val="left" w:pos="567"/>
              </w:tabs>
              <w:rPr>
                <w:b/>
                <w:iCs/>
                <w:sz w:val="20"/>
              </w:rPr>
            </w:pPr>
            <w:r w:rsidRPr="00853ED7">
              <w:rPr>
                <w:b/>
                <w:iCs/>
                <w:sz w:val="20"/>
              </w:rPr>
              <w:t>Immune system disorders</w:t>
            </w:r>
          </w:p>
        </w:tc>
        <w:tc>
          <w:tcPr>
            <w:tcW w:w="5103" w:type="dxa"/>
            <w:shd w:val="clear" w:color="auto" w:fill="auto"/>
          </w:tcPr>
          <w:p w:rsidR="00A02605" w:rsidRPr="00853ED7" w:rsidRDefault="00A02605" w:rsidP="00A02605">
            <w:pPr>
              <w:tabs>
                <w:tab w:val="left" w:pos="567"/>
              </w:tabs>
              <w:rPr>
                <w:iCs/>
                <w:sz w:val="20"/>
              </w:rPr>
            </w:pPr>
            <w:r w:rsidRPr="00853ED7">
              <w:rPr>
                <w:iCs/>
                <w:sz w:val="20"/>
              </w:rPr>
              <w:t>Very rare – Anaphylactic reactions*</w:t>
            </w:r>
          </w:p>
        </w:tc>
      </w:tr>
    </w:tbl>
    <w:p w:rsidR="00874850" w:rsidRPr="00853ED7" w:rsidRDefault="00874850">
      <w:pPr>
        <w:tabs>
          <w:tab w:val="left" w:pos="567"/>
        </w:tabs>
        <w:rPr>
          <w:rStyle w:val="Emphasis"/>
          <w:sz w:val="18"/>
          <w:szCs w:val="18"/>
        </w:rPr>
      </w:pPr>
      <w:r w:rsidRPr="00853ED7">
        <w:rPr>
          <w:rStyle w:val="Emphasis"/>
          <w:sz w:val="18"/>
          <w:szCs w:val="18"/>
        </w:rPr>
        <w:t>* see section c</w:t>
      </w:r>
    </w:p>
    <w:p w:rsidR="007C0647" w:rsidRPr="00853ED7" w:rsidRDefault="007C0647">
      <w:pPr>
        <w:tabs>
          <w:tab w:val="left" w:pos="567"/>
        </w:tabs>
        <w:rPr>
          <w:sz w:val="22"/>
          <w:szCs w:val="22"/>
        </w:rPr>
      </w:pPr>
    </w:p>
    <w:p w:rsidR="00874850" w:rsidRPr="00853ED7" w:rsidRDefault="00874850" w:rsidP="00DC7D1E">
      <w:pPr>
        <w:pStyle w:val="Heading3"/>
        <w:rPr>
          <w:sz w:val="22"/>
          <w:szCs w:val="22"/>
          <w:lang w:eastAsia="en-AU"/>
        </w:rPr>
      </w:pPr>
      <w:r w:rsidRPr="00853ED7">
        <w:rPr>
          <w:sz w:val="22"/>
          <w:szCs w:val="22"/>
          <w:lang w:eastAsia="en-AU"/>
        </w:rPr>
        <w:t xml:space="preserve">c. Description of selected adverse reactions </w:t>
      </w:r>
    </w:p>
    <w:p w:rsidR="00874850" w:rsidRPr="00853ED7" w:rsidRDefault="00874850" w:rsidP="00DC7D1E">
      <w:pPr>
        <w:pStyle w:val="Heading4"/>
        <w:rPr>
          <w:sz w:val="22"/>
          <w:szCs w:val="22"/>
          <w:u w:val="single"/>
          <w:lang w:eastAsia="en-AU"/>
        </w:rPr>
      </w:pPr>
      <w:r w:rsidRPr="00853ED7">
        <w:rPr>
          <w:sz w:val="22"/>
          <w:szCs w:val="22"/>
          <w:u w:val="single"/>
          <w:lang w:eastAsia="en-AU"/>
        </w:rPr>
        <w:t xml:space="preserve">Allergic reactions, potentially allergic reactions, </w:t>
      </w:r>
      <w:proofErr w:type="spellStart"/>
      <w:r w:rsidRPr="00853ED7">
        <w:rPr>
          <w:sz w:val="22"/>
          <w:szCs w:val="22"/>
          <w:u w:val="single"/>
          <w:lang w:eastAsia="en-AU"/>
        </w:rPr>
        <w:t>urticaria</w:t>
      </w:r>
      <w:proofErr w:type="spellEnd"/>
      <w:r w:rsidRPr="00853ED7">
        <w:rPr>
          <w:sz w:val="22"/>
          <w:szCs w:val="22"/>
          <w:u w:val="single"/>
          <w:lang w:eastAsia="en-AU"/>
        </w:rPr>
        <w:t>, rash and eruptions</w:t>
      </w:r>
    </w:p>
    <w:p w:rsidR="00874850" w:rsidRPr="00853ED7" w:rsidRDefault="00874850" w:rsidP="001E4495">
      <w:pPr>
        <w:rPr>
          <w:sz w:val="22"/>
          <w:szCs w:val="22"/>
          <w:lang w:eastAsia="en-AU"/>
        </w:rPr>
      </w:pPr>
      <w:r w:rsidRPr="00853ED7">
        <w:rPr>
          <w:sz w:val="22"/>
          <w:szCs w:val="22"/>
          <w:lang w:eastAsia="en-AU"/>
        </w:rPr>
        <w:t xml:space="preserve">Allergic reactions, potentially allergic reactions, </w:t>
      </w:r>
      <w:proofErr w:type="spellStart"/>
      <w:r w:rsidRPr="00853ED7">
        <w:rPr>
          <w:sz w:val="22"/>
          <w:szCs w:val="22"/>
          <w:lang w:eastAsia="en-AU"/>
        </w:rPr>
        <w:t>urticaria</w:t>
      </w:r>
      <w:proofErr w:type="spellEnd"/>
      <w:r w:rsidRPr="00853ED7">
        <w:rPr>
          <w:sz w:val="22"/>
          <w:szCs w:val="22"/>
          <w:lang w:eastAsia="en-AU"/>
        </w:rPr>
        <w:t xml:space="preserve">, rash and eruptions are uncommon when </w:t>
      </w:r>
      <w:proofErr w:type="spellStart"/>
      <w:r w:rsidRPr="00853ED7">
        <w:rPr>
          <w:sz w:val="22"/>
          <w:szCs w:val="22"/>
          <w:lang w:eastAsia="en-AU"/>
        </w:rPr>
        <w:t>Levemir</w:t>
      </w:r>
      <w:proofErr w:type="spellEnd"/>
      <w:r w:rsidRPr="00853ED7">
        <w:rPr>
          <w:sz w:val="22"/>
          <w:szCs w:val="22"/>
          <w:lang w:eastAsia="en-AU"/>
        </w:rPr>
        <w:t xml:space="preserve"> is used in basal-bolus regimen. In three clinical studies with subjects treated in combination with </w:t>
      </w:r>
      <w:r w:rsidR="00274D2C" w:rsidRPr="00853ED7">
        <w:rPr>
          <w:sz w:val="22"/>
          <w:szCs w:val="22"/>
          <w:lang w:eastAsia="en-AU"/>
        </w:rPr>
        <w:t xml:space="preserve">OADs </w:t>
      </w:r>
      <w:r w:rsidRPr="00853ED7">
        <w:rPr>
          <w:sz w:val="22"/>
          <w:szCs w:val="22"/>
          <w:lang w:eastAsia="en-AU"/>
        </w:rPr>
        <w:t>a higher frequency (2.2%) of allergic reactions and potentially allergic reactions has been observed compared with the frequency observed across all studies (0.1-1.0%; see below).</w:t>
      </w:r>
    </w:p>
    <w:p w:rsidR="00874850" w:rsidRPr="00853ED7" w:rsidRDefault="00874850" w:rsidP="001E4495">
      <w:pPr>
        <w:rPr>
          <w:sz w:val="22"/>
          <w:szCs w:val="22"/>
          <w:lang w:eastAsia="en-AU"/>
        </w:rPr>
      </w:pPr>
    </w:p>
    <w:p w:rsidR="00874850" w:rsidRPr="00853ED7" w:rsidRDefault="00874850" w:rsidP="00DC7D1E">
      <w:pPr>
        <w:pStyle w:val="Heading4"/>
        <w:rPr>
          <w:sz w:val="22"/>
          <w:szCs w:val="22"/>
          <w:u w:val="single"/>
          <w:lang w:eastAsia="en-AU"/>
        </w:rPr>
      </w:pPr>
      <w:r w:rsidRPr="00853ED7">
        <w:rPr>
          <w:sz w:val="22"/>
          <w:szCs w:val="22"/>
          <w:u w:val="single"/>
          <w:lang w:eastAsia="en-AU"/>
        </w:rPr>
        <w:t xml:space="preserve">Anaphylactic reactions </w:t>
      </w:r>
    </w:p>
    <w:p w:rsidR="00874850" w:rsidRPr="00853ED7" w:rsidRDefault="00874850" w:rsidP="001E4495">
      <w:pPr>
        <w:rPr>
          <w:sz w:val="22"/>
          <w:szCs w:val="22"/>
          <w:lang w:eastAsia="en-AU"/>
        </w:rPr>
      </w:pPr>
      <w:r w:rsidRPr="00853ED7">
        <w:rPr>
          <w:sz w:val="22"/>
          <w:szCs w:val="22"/>
          <w:lang w:eastAsia="en-AU"/>
        </w:rPr>
        <w:t>The occurrence of generalised hypersensitivity reactions (including generalised skin rash</w:t>
      </w:r>
      <w:r w:rsidR="006116B0" w:rsidRPr="00853ED7">
        <w:rPr>
          <w:sz w:val="22"/>
          <w:szCs w:val="22"/>
          <w:lang w:eastAsia="en-AU"/>
        </w:rPr>
        <w:t>,</w:t>
      </w:r>
      <w:r w:rsidR="00963A6B" w:rsidRPr="00853ED7">
        <w:rPr>
          <w:sz w:val="22"/>
          <w:szCs w:val="22"/>
          <w:lang w:eastAsia="en-AU"/>
        </w:rPr>
        <w:t xml:space="preserve"> </w:t>
      </w:r>
      <w:r w:rsidRPr="00853ED7">
        <w:rPr>
          <w:sz w:val="22"/>
          <w:szCs w:val="22"/>
          <w:lang w:eastAsia="en-AU"/>
        </w:rPr>
        <w:t xml:space="preserve">itching, sweating, gastrointestinal upset, </w:t>
      </w:r>
      <w:proofErr w:type="spellStart"/>
      <w:r w:rsidRPr="00853ED7">
        <w:rPr>
          <w:sz w:val="22"/>
          <w:szCs w:val="22"/>
          <w:lang w:eastAsia="en-AU"/>
        </w:rPr>
        <w:t>angioneurotic</w:t>
      </w:r>
      <w:proofErr w:type="spellEnd"/>
      <w:r w:rsidRPr="00853ED7">
        <w:rPr>
          <w:sz w:val="22"/>
          <w:szCs w:val="22"/>
          <w:lang w:eastAsia="en-AU"/>
        </w:rPr>
        <w:t xml:space="preserve"> oedema, difficulties in breathing, palpitation and reduction in blood pressure) is very rare but can potentially be life threatening.</w:t>
      </w:r>
    </w:p>
    <w:p w:rsidR="00874850" w:rsidRPr="00853ED7" w:rsidRDefault="00874850" w:rsidP="001E4495">
      <w:pPr>
        <w:rPr>
          <w:sz w:val="22"/>
          <w:szCs w:val="22"/>
          <w:lang w:eastAsia="en-AU"/>
        </w:rPr>
      </w:pPr>
    </w:p>
    <w:p w:rsidR="00C9775B" w:rsidRPr="00853ED7" w:rsidRDefault="00C9775B" w:rsidP="00DC7D1E">
      <w:pPr>
        <w:pStyle w:val="Heading4"/>
        <w:rPr>
          <w:sz w:val="22"/>
          <w:szCs w:val="22"/>
          <w:u w:val="single"/>
          <w:lang w:eastAsia="en-AU"/>
        </w:rPr>
      </w:pPr>
      <w:r w:rsidRPr="00853ED7">
        <w:rPr>
          <w:sz w:val="22"/>
          <w:szCs w:val="22"/>
          <w:u w:val="single"/>
          <w:lang w:eastAsia="en-AU"/>
        </w:rPr>
        <w:t>Hypoglycaemia</w:t>
      </w:r>
    </w:p>
    <w:p w:rsidR="00874850" w:rsidRPr="00853ED7" w:rsidRDefault="009B7E6B" w:rsidP="001E4495">
      <w:pPr>
        <w:rPr>
          <w:sz w:val="22"/>
          <w:szCs w:val="22"/>
          <w:lang w:eastAsia="en-AU"/>
        </w:rPr>
      </w:pPr>
      <w:r w:rsidRPr="00853ED7">
        <w:rPr>
          <w:sz w:val="22"/>
          <w:szCs w:val="22"/>
          <w:lang w:eastAsia="en-AU"/>
        </w:rPr>
        <w:t>The most frequently reported adverse reaction is hypoglycaemia. It may occur if the insulin dose is too high in relation to the insulin requirement. Severe hypoglycaemia may lead to unconsciousness and/or convulsions and may result in temporary or permanent impairment of brain function or even death. The s</w:t>
      </w:r>
      <w:r w:rsidR="00C9775B" w:rsidRPr="00853ED7">
        <w:rPr>
          <w:sz w:val="22"/>
          <w:szCs w:val="22"/>
          <w:lang w:eastAsia="en-AU"/>
        </w:rPr>
        <w:t xml:space="preserve">ymptoms of hypoglycaemia usually occur suddenly. They may include cold sweats, cool pale skin, fatigue, nervousness or tremor, anxiousness, unusual tiredness or weakness, confusion, difficulty in concentration, drowsiness, excessive hunger, vision changes, headache, nausea and palpitation. </w:t>
      </w:r>
    </w:p>
    <w:p w:rsidR="00874850" w:rsidRPr="00853ED7" w:rsidRDefault="00874850" w:rsidP="001E4495">
      <w:pPr>
        <w:rPr>
          <w:sz w:val="22"/>
          <w:szCs w:val="22"/>
          <w:u w:val="single"/>
          <w:lang w:eastAsia="en-AU"/>
        </w:rPr>
      </w:pPr>
    </w:p>
    <w:p w:rsidR="009B7E6B" w:rsidRPr="00853ED7" w:rsidRDefault="009B7E6B" w:rsidP="00DC7D1E">
      <w:pPr>
        <w:pStyle w:val="Heading4"/>
        <w:rPr>
          <w:sz w:val="22"/>
          <w:szCs w:val="22"/>
          <w:lang w:eastAsia="en-AU"/>
        </w:rPr>
      </w:pPr>
      <w:proofErr w:type="spellStart"/>
      <w:r w:rsidRPr="00853ED7">
        <w:rPr>
          <w:sz w:val="22"/>
          <w:szCs w:val="22"/>
          <w:u w:val="single"/>
          <w:lang w:eastAsia="en-AU"/>
        </w:rPr>
        <w:t>Lipodystrophy</w:t>
      </w:r>
      <w:proofErr w:type="spellEnd"/>
    </w:p>
    <w:p w:rsidR="009B7E6B" w:rsidRPr="00853ED7" w:rsidRDefault="009B7E6B" w:rsidP="001E4495">
      <w:pPr>
        <w:rPr>
          <w:sz w:val="22"/>
          <w:szCs w:val="22"/>
          <w:lang w:eastAsia="en-AU"/>
        </w:rPr>
      </w:pPr>
      <w:proofErr w:type="spellStart"/>
      <w:r w:rsidRPr="00853ED7">
        <w:rPr>
          <w:sz w:val="22"/>
          <w:szCs w:val="22"/>
          <w:lang w:eastAsia="en-AU"/>
        </w:rPr>
        <w:t>Lipodystrophy</w:t>
      </w:r>
      <w:proofErr w:type="spellEnd"/>
      <w:r w:rsidRPr="00853ED7">
        <w:rPr>
          <w:sz w:val="22"/>
          <w:szCs w:val="22"/>
          <w:lang w:eastAsia="en-AU"/>
        </w:rPr>
        <w:t xml:space="preserve"> (including </w:t>
      </w:r>
      <w:proofErr w:type="spellStart"/>
      <w:r w:rsidRPr="00853ED7">
        <w:rPr>
          <w:sz w:val="22"/>
          <w:szCs w:val="22"/>
          <w:lang w:eastAsia="en-AU"/>
        </w:rPr>
        <w:t>lipohypertrophy</w:t>
      </w:r>
      <w:proofErr w:type="spellEnd"/>
      <w:r w:rsidRPr="00853ED7">
        <w:rPr>
          <w:sz w:val="22"/>
          <w:szCs w:val="22"/>
          <w:lang w:eastAsia="en-AU"/>
        </w:rPr>
        <w:t xml:space="preserve">, </w:t>
      </w:r>
      <w:proofErr w:type="spellStart"/>
      <w:r w:rsidRPr="00853ED7">
        <w:rPr>
          <w:sz w:val="22"/>
          <w:szCs w:val="22"/>
          <w:lang w:eastAsia="en-AU"/>
        </w:rPr>
        <w:t>lipoatrophy</w:t>
      </w:r>
      <w:proofErr w:type="spellEnd"/>
      <w:r w:rsidRPr="00853ED7">
        <w:rPr>
          <w:sz w:val="22"/>
          <w:szCs w:val="22"/>
          <w:lang w:eastAsia="en-AU"/>
        </w:rPr>
        <w:t>) may occur at the injection site. Continuous rotation of the injection site within the particular injection area may help to reduce the risk of developing these reactions.</w:t>
      </w:r>
    </w:p>
    <w:p w:rsidR="009B7E6B" w:rsidRPr="00853ED7" w:rsidRDefault="009B7E6B" w:rsidP="001E4495">
      <w:pPr>
        <w:rPr>
          <w:sz w:val="22"/>
          <w:szCs w:val="22"/>
          <w:lang w:eastAsia="en-AU"/>
        </w:rPr>
      </w:pPr>
    </w:p>
    <w:p w:rsidR="009B7E6B" w:rsidRPr="00853ED7" w:rsidRDefault="009B6B8A" w:rsidP="00DC7D1E">
      <w:pPr>
        <w:pStyle w:val="Heading4"/>
        <w:rPr>
          <w:sz w:val="22"/>
          <w:szCs w:val="22"/>
          <w:u w:val="single"/>
          <w:lang w:eastAsia="en-AU"/>
        </w:rPr>
      </w:pPr>
      <w:r w:rsidRPr="00853ED7">
        <w:rPr>
          <w:sz w:val="22"/>
          <w:szCs w:val="22"/>
          <w:u w:val="single"/>
          <w:lang w:eastAsia="en-AU"/>
        </w:rPr>
        <w:lastRenderedPageBreak/>
        <w:t>Antibody development</w:t>
      </w:r>
    </w:p>
    <w:p w:rsidR="00D77859" w:rsidRPr="00853ED7" w:rsidRDefault="00D77859" w:rsidP="001E4495">
      <w:pPr>
        <w:rPr>
          <w:sz w:val="22"/>
          <w:szCs w:val="22"/>
          <w:lang w:val="en-GB"/>
        </w:rPr>
      </w:pPr>
      <w:r w:rsidRPr="00853ED7">
        <w:rPr>
          <w:sz w:val="22"/>
          <w:szCs w:val="22"/>
          <w:lang w:eastAsia="en-AU"/>
        </w:rPr>
        <w:t xml:space="preserve">Antibody development has been observed with the use of </w:t>
      </w:r>
      <w:proofErr w:type="spellStart"/>
      <w:r w:rsidRPr="00853ED7">
        <w:rPr>
          <w:sz w:val="22"/>
          <w:szCs w:val="22"/>
          <w:lang w:eastAsia="en-AU"/>
        </w:rPr>
        <w:t>Levemir</w:t>
      </w:r>
      <w:proofErr w:type="spellEnd"/>
      <w:r w:rsidR="00397238" w:rsidRPr="00853ED7">
        <w:rPr>
          <w:sz w:val="22"/>
          <w:szCs w:val="22"/>
          <w:lang w:eastAsia="en-AU"/>
        </w:rPr>
        <w:t xml:space="preserve"> in adults and children</w:t>
      </w:r>
      <w:r w:rsidR="00831423" w:rsidRPr="00853ED7">
        <w:rPr>
          <w:sz w:val="22"/>
          <w:szCs w:val="22"/>
          <w:lang w:eastAsia="en-AU"/>
        </w:rPr>
        <w:t>, however no discernable impact on glycaemic control</w:t>
      </w:r>
      <w:r w:rsidR="009B6B8A" w:rsidRPr="00853ED7">
        <w:rPr>
          <w:sz w:val="22"/>
          <w:szCs w:val="22"/>
          <w:lang w:eastAsia="en-AU"/>
        </w:rPr>
        <w:t xml:space="preserve"> or dose</w:t>
      </w:r>
      <w:r w:rsidR="00831423" w:rsidRPr="00853ED7">
        <w:rPr>
          <w:sz w:val="22"/>
          <w:szCs w:val="22"/>
          <w:lang w:eastAsia="en-AU"/>
        </w:rPr>
        <w:t xml:space="preserve"> has been noted</w:t>
      </w:r>
      <w:r w:rsidR="00273EDB" w:rsidRPr="00853ED7">
        <w:rPr>
          <w:sz w:val="22"/>
          <w:szCs w:val="22"/>
          <w:lang w:eastAsia="en-AU"/>
        </w:rPr>
        <w:t>.</w:t>
      </w:r>
      <w:r w:rsidRPr="00853ED7">
        <w:rPr>
          <w:sz w:val="22"/>
          <w:szCs w:val="22"/>
          <w:lang w:eastAsia="en-AU"/>
        </w:rPr>
        <w:t xml:space="preserve"> </w:t>
      </w:r>
      <w:r w:rsidR="00DF3360" w:rsidRPr="00853ED7">
        <w:rPr>
          <w:sz w:val="22"/>
          <w:szCs w:val="22"/>
          <w:lang w:eastAsia="en-AU"/>
        </w:rPr>
        <w:t xml:space="preserve">In a </w:t>
      </w:r>
      <w:r w:rsidR="009B6B8A" w:rsidRPr="00853ED7">
        <w:rPr>
          <w:sz w:val="22"/>
          <w:szCs w:val="22"/>
          <w:lang w:eastAsia="en-AU"/>
        </w:rPr>
        <w:t xml:space="preserve">12 month </w:t>
      </w:r>
      <w:r w:rsidR="00DF3360" w:rsidRPr="00853ED7">
        <w:rPr>
          <w:sz w:val="22"/>
          <w:szCs w:val="22"/>
          <w:lang w:eastAsia="en-AU"/>
        </w:rPr>
        <w:t>clinical trial in children and</w:t>
      </w:r>
      <w:r w:rsidR="000F5FFF" w:rsidRPr="00853ED7">
        <w:rPr>
          <w:sz w:val="22"/>
          <w:szCs w:val="22"/>
          <w:lang w:eastAsia="en-AU"/>
        </w:rPr>
        <w:t xml:space="preserve"> </w:t>
      </w:r>
      <w:r w:rsidR="00DF3360" w:rsidRPr="00853ED7">
        <w:rPr>
          <w:sz w:val="22"/>
          <w:szCs w:val="22"/>
          <w:lang w:eastAsia="en-AU"/>
        </w:rPr>
        <w:t>adolescents aged 6-17 years with type 1 diabetes</w:t>
      </w:r>
      <w:r w:rsidR="009B6B8A" w:rsidRPr="00853ED7">
        <w:rPr>
          <w:sz w:val="22"/>
          <w:szCs w:val="22"/>
          <w:lang w:eastAsia="en-AU"/>
        </w:rPr>
        <w:t xml:space="preserve"> (1689 study)</w:t>
      </w:r>
      <w:r w:rsidR="00DF3360" w:rsidRPr="00853ED7">
        <w:rPr>
          <w:sz w:val="22"/>
          <w:szCs w:val="22"/>
          <w:lang w:eastAsia="en-AU"/>
        </w:rPr>
        <w:t>, rise</w:t>
      </w:r>
      <w:r w:rsidR="00397238" w:rsidRPr="00853ED7">
        <w:rPr>
          <w:sz w:val="22"/>
          <w:szCs w:val="22"/>
          <w:lang w:eastAsia="en-AU"/>
        </w:rPr>
        <w:t>s</w:t>
      </w:r>
      <w:r w:rsidR="00DF3360" w:rsidRPr="00853ED7">
        <w:rPr>
          <w:sz w:val="22"/>
          <w:szCs w:val="22"/>
          <w:lang w:eastAsia="en-AU"/>
        </w:rPr>
        <w:t xml:space="preserve"> in insulin </w:t>
      </w:r>
      <w:proofErr w:type="spellStart"/>
      <w:r w:rsidR="00DF3360" w:rsidRPr="00853ED7">
        <w:rPr>
          <w:sz w:val="22"/>
          <w:szCs w:val="22"/>
          <w:lang w:eastAsia="en-AU"/>
        </w:rPr>
        <w:t>detemir</w:t>
      </w:r>
      <w:proofErr w:type="spellEnd"/>
      <w:r w:rsidR="00DF3360" w:rsidRPr="00853ED7">
        <w:rPr>
          <w:sz w:val="22"/>
          <w:szCs w:val="22"/>
          <w:lang w:eastAsia="en-AU"/>
        </w:rPr>
        <w:t xml:space="preserve"> specific and cross-reacting antibodies were observed in the </w:t>
      </w:r>
      <w:proofErr w:type="spellStart"/>
      <w:r w:rsidR="00DF3360" w:rsidRPr="00853ED7">
        <w:rPr>
          <w:sz w:val="22"/>
          <w:szCs w:val="22"/>
          <w:lang w:eastAsia="en-AU"/>
        </w:rPr>
        <w:t>Levemir</w:t>
      </w:r>
      <w:proofErr w:type="spellEnd"/>
      <w:r w:rsidR="00DF3360" w:rsidRPr="00853ED7">
        <w:rPr>
          <w:sz w:val="22"/>
          <w:szCs w:val="22"/>
          <w:lang w:eastAsia="en-AU"/>
        </w:rPr>
        <w:t xml:space="preserve"> but not the NPH comparator group</w:t>
      </w:r>
      <w:r w:rsidR="00F10243" w:rsidRPr="00853ED7">
        <w:rPr>
          <w:sz w:val="22"/>
          <w:szCs w:val="22"/>
          <w:lang w:eastAsia="en-AU"/>
        </w:rPr>
        <w:t>s</w:t>
      </w:r>
      <w:r w:rsidR="00DF3360" w:rsidRPr="00853ED7">
        <w:rPr>
          <w:sz w:val="22"/>
          <w:szCs w:val="22"/>
          <w:lang w:eastAsia="en-AU"/>
        </w:rPr>
        <w:t>.</w:t>
      </w:r>
      <w:r w:rsidR="00DF3360" w:rsidRPr="00853ED7">
        <w:rPr>
          <w:rFonts w:ascii="TimesNewRoman" w:hAnsi="TimesNewRoman" w:cs="TimesNewRoman"/>
          <w:sz w:val="22"/>
          <w:szCs w:val="22"/>
          <w:lang w:eastAsia="en-AU"/>
        </w:rPr>
        <w:t xml:space="preserve"> </w:t>
      </w:r>
      <w:r w:rsidR="009B6B8A" w:rsidRPr="00853ED7">
        <w:rPr>
          <w:sz w:val="22"/>
          <w:szCs w:val="22"/>
          <w:lang w:eastAsia="en-AU"/>
        </w:rPr>
        <w:t>In the 1690 extension study to 24 months, insulin antibody levels decreased during the second year to those slightly higher than pre-trial levels (see ‘Clinical Trials’).</w:t>
      </w:r>
    </w:p>
    <w:p w:rsidR="00D77859" w:rsidRPr="00853ED7" w:rsidRDefault="00D77859" w:rsidP="001E4495">
      <w:pPr>
        <w:rPr>
          <w:sz w:val="22"/>
          <w:szCs w:val="22"/>
          <w:lang w:eastAsia="da-DK"/>
        </w:rPr>
      </w:pPr>
    </w:p>
    <w:p w:rsidR="00D77859" w:rsidRPr="00853ED7" w:rsidRDefault="00D77859" w:rsidP="00653079">
      <w:pPr>
        <w:pStyle w:val="Heading2"/>
        <w:rPr>
          <w:noProof/>
          <w:sz w:val="24"/>
          <w:szCs w:val="24"/>
        </w:rPr>
      </w:pPr>
      <w:r w:rsidRPr="00853ED7">
        <w:rPr>
          <w:noProof/>
          <w:sz w:val="24"/>
          <w:szCs w:val="24"/>
        </w:rPr>
        <w:t>DOSAGE AND ADMINISTRATION</w:t>
      </w:r>
    </w:p>
    <w:p w:rsidR="00D77859" w:rsidRPr="00853ED7" w:rsidRDefault="00D77859" w:rsidP="001E4495">
      <w:pPr>
        <w:rPr>
          <w:sz w:val="22"/>
          <w:szCs w:val="22"/>
        </w:rPr>
      </w:pPr>
    </w:p>
    <w:p w:rsidR="00D77859" w:rsidRPr="00853ED7" w:rsidRDefault="00D77859" w:rsidP="001E4495">
      <w:pPr>
        <w:rPr>
          <w:i/>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is a long-acting insulin analogue used </w:t>
      </w:r>
      <w:r w:rsidR="006E7061" w:rsidRPr="00853ED7">
        <w:rPr>
          <w:sz w:val="22"/>
          <w:szCs w:val="22"/>
          <w:lang w:eastAsia="da-DK"/>
        </w:rPr>
        <w:t xml:space="preserve">alone </w:t>
      </w:r>
      <w:r w:rsidRPr="00853ED7">
        <w:rPr>
          <w:sz w:val="22"/>
          <w:szCs w:val="22"/>
          <w:lang w:eastAsia="da-DK"/>
        </w:rPr>
        <w:t>as a basal insulin</w:t>
      </w:r>
      <w:r w:rsidR="006E7061" w:rsidRPr="00853ED7">
        <w:rPr>
          <w:sz w:val="22"/>
          <w:szCs w:val="22"/>
          <w:lang w:eastAsia="da-DK"/>
        </w:rPr>
        <w:t xml:space="preserve"> </w:t>
      </w:r>
      <w:r w:rsidR="006E7061" w:rsidRPr="00853ED7">
        <w:rPr>
          <w:sz w:val="22"/>
          <w:szCs w:val="22"/>
        </w:rPr>
        <w:t>or in combination with bolus insulin</w:t>
      </w:r>
      <w:r w:rsidR="006E7061" w:rsidRPr="00853ED7">
        <w:rPr>
          <w:sz w:val="22"/>
          <w:szCs w:val="22"/>
          <w:lang w:val="en-GB"/>
        </w:rPr>
        <w:t xml:space="preserve">. </w:t>
      </w:r>
      <w:r w:rsidR="006E7061" w:rsidRPr="00853ED7">
        <w:rPr>
          <w:sz w:val="22"/>
          <w:szCs w:val="22"/>
        </w:rPr>
        <w:t xml:space="preserve">It can also be used in combination with OADs or as add-on therapy to </w:t>
      </w:r>
      <w:proofErr w:type="spellStart"/>
      <w:r w:rsidR="00A02605" w:rsidRPr="00853ED7">
        <w:rPr>
          <w:sz w:val="22"/>
          <w:szCs w:val="22"/>
        </w:rPr>
        <w:t>liraglutide</w:t>
      </w:r>
      <w:proofErr w:type="spellEnd"/>
      <w:r w:rsidRPr="00853ED7">
        <w:rPr>
          <w:sz w:val="22"/>
          <w:szCs w:val="22"/>
          <w:lang w:val="en-GB"/>
        </w:rPr>
        <w:t>.</w:t>
      </w:r>
    </w:p>
    <w:p w:rsidR="00A20F4E" w:rsidRPr="00853ED7" w:rsidRDefault="00A20F4E" w:rsidP="00A02605">
      <w:pPr>
        <w:rPr>
          <w:sz w:val="22"/>
          <w:szCs w:val="22"/>
          <w:lang w:eastAsia="da-DK"/>
        </w:rPr>
      </w:pPr>
    </w:p>
    <w:p w:rsidR="00A02605" w:rsidRPr="00853ED7" w:rsidRDefault="00A02605" w:rsidP="00A02605">
      <w:pPr>
        <w:rPr>
          <w:sz w:val="22"/>
          <w:szCs w:val="22"/>
          <w:lang w:eastAsia="da-DK"/>
        </w:rPr>
      </w:pPr>
      <w:r w:rsidRPr="00853ED7">
        <w:rPr>
          <w:sz w:val="22"/>
          <w:szCs w:val="22"/>
          <w:lang w:eastAsia="da-DK"/>
        </w:rPr>
        <w:t xml:space="preserve">For patients with type 1 diabetes mellitus, </w:t>
      </w:r>
      <w:proofErr w:type="spellStart"/>
      <w:r w:rsidRPr="00853ED7">
        <w:rPr>
          <w:sz w:val="22"/>
          <w:szCs w:val="22"/>
          <w:lang w:eastAsia="da-DK"/>
        </w:rPr>
        <w:t>Levemir</w:t>
      </w:r>
      <w:proofErr w:type="spellEnd"/>
      <w:r w:rsidRPr="00853ED7">
        <w:rPr>
          <w:sz w:val="22"/>
          <w:szCs w:val="22"/>
          <w:lang w:eastAsia="da-DK"/>
        </w:rPr>
        <w:t xml:space="preserve"> must be used in combination with rapid- or short-acting insulin.</w:t>
      </w:r>
    </w:p>
    <w:p w:rsidR="00A02605" w:rsidRPr="00853ED7" w:rsidRDefault="00A02605" w:rsidP="001E4495">
      <w:pPr>
        <w:rPr>
          <w:sz w:val="22"/>
          <w:szCs w:val="22"/>
          <w:lang w:eastAsia="da-DK"/>
        </w:rPr>
      </w:pPr>
    </w:p>
    <w:p w:rsidR="00D77859" w:rsidRPr="00853ED7" w:rsidRDefault="00D77859" w:rsidP="001E4495">
      <w:pPr>
        <w:rPr>
          <w:sz w:val="22"/>
          <w:szCs w:val="22"/>
          <w:lang w:eastAsia="da-DK"/>
        </w:rPr>
      </w:pPr>
      <w:r w:rsidRPr="00853ED7">
        <w:rPr>
          <w:sz w:val="22"/>
          <w:szCs w:val="22"/>
          <w:lang w:eastAsia="da-DK"/>
        </w:rPr>
        <w:t xml:space="preserve">When </w:t>
      </w:r>
      <w:proofErr w:type="spellStart"/>
      <w:r w:rsidRPr="00853ED7">
        <w:rPr>
          <w:sz w:val="22"/>
          <w:szCs w:val="22"/>
          <w:lang w:eastAsia="da-DK"/>
        </w:rPr>
        <w:t>Levemir</w:t>
      </w:r>
      <w:proofErr w:type="spellEnd"/>
      <w:r w:rsidRPr="00853ED7">
        <w:rPr>
          <w:sz w:val="22"/>
          <w:szCs w:val="22"/>
          <w:lang w:eastAsia="da-DK"/>
        </w:rPr>
        <w:t xml:space="preserve"> is used as part of a basal-bolus insulin regimen </w:t>
      </w:r>
      <w:proofErr w:type="spellStart"/>
      <w:r w:rsidRPr="00853ED7">
        <w:rPr>
          <w:sz w:val="22"/>
          <w:szCs w:val="22"/>
          <w:lang w:eastAsia="da-DK"/>
        </w:rPr>
        <w:t>Levemir</w:t>
      </w:r>
      <w:proofErr w:type="spellEnd"/>
      <w:r w:rsidRPr="00853ED7">
        <w:rPr>
          <w:sz w:val="22"/>
          <w:szCs w:val="22"/>
          <w:lang w:eastAsia="da-DK"/>
        </w:rPr>
        <w:t xml:space="preserve"> should be administered once or twice daily depending on patients’ needs. Dosage of </w:t>
      </w:r>
      <w:proofErr w:type="spellStart"/>
      <w:r w:rsidRPr="00853ED7">
        <w:rPr>
          <w:sz w:val="22"/>
          <w:szCs w:val="22"/>
          <w:lang w:eastAsia="da-DK"/>
        </w:rPr>
        <w:t>Levemir</w:t>
      </w:r>
      <w:proofErr w:type="spellEnd"/>
      <w:r w:rsidRPr="00853ED7">
        <w:rPr>
          <w:sz w:val="22"/>
          <w:szCs w:val="22"/>
          <w:lang w:eastAsia="da-DK"/>
        </w:rPr>
        <w:t xml:space="preserve"> should be adjusted individually. For patients who require twice daily dosing to optimise blood glucose control, the evening dose can be administered either with the evening meal, at bedtime, or 12 hours after the morning dose.</w:t>
      </w:r>
    </w:p>
    <w:p w:rsidR="00D77859" w:rsidRPr="00853ED7" w:rsidRDefault="00D77859" w:rsidP="001E4495">
      <w:pPr>
        <w:rPr>
          <w:sz w:val="22"/>
          <w:szCs w:val="22"/>
          <w:lang w:eastAsia="da-DK"/>
        </w:rPr>
      </w:pPr>
    </w:p>
    <w:p w:rsidR="00D77859" w:rsidRPr="00853ED7" w:rsidRDefault="00D77859" w:rsidP="001E4495">
      <w:pPr>
        <w:rPr>
          <w:rFonts w:ascii="TimesNewRoman" w:hAnsi="TimesNewRoman" w:cs="TimesNewRoman"/>
          <w:sz w:val="22"/>
          <w:szCs w:val="22"/>
          <w:lang w:eastAsia="en-AU"/>
        </w:rPr>
      </w:pPr>
      <w:r w:rsidRPr="00853ED7">
        <w:rPr>
          <w:sz w:val="22"/>
          <w:szCs w:val="22"/>
          <w:lang w:eastAsia="da-DK"/>
        </w:rPr>
        <w:t xml:space="preserve">In combination with OADs </w:t>
      </w:r>
      <w:r w:rsidR="006E7061" w:rsidRPr="00853ED7">
        <w:rPr>
          <w:sz w:val="22"/>
          <w:szCs w:val="22"/>
          <w:lang w:eastAsia="da-DK"/>
        </w:rPr>
        <w:t xml:space="preserve">or as add on therapy to </w:t>
      </w:r>
      <w:proofErr w:type="spellStart"/>
      <w:r w:rsidR="00A02605" w:rsidRPr="00853ED7">
        <w:rPr>
          <w:sz w:val="22"/>
          <w:szCs w:val="22"/>
        </w:rPr>
        <w:t>liraglutide</w:t>
      </w:r>
      <w:proofErr w:type="spellEnd"/>
      <w:r w:rsidR="006E7061" w:rsidRPr="00853ED7">
        <w:rPr>
          <w:sz w:val="22"/>
          <w:szCs w:val="22"/>
          <w:lang w:eastAsia="da-DK"/>
        </w:rPr>
        <w:t xml:space="preserve"> </w:t>
      </w:r>
      <w:r w:rsidRPr="00853ED7">
        <w:rPr>
          <w:sz w:val="22"/>
          <w:szCs w:val="22"/>
          <w:lang w:eastAsia="da-DK"/>
        </w:rPr>
        <w:t xml:space="preserve">in type 2 diabetes it is recommended to initiate </w:t>
      </w:r>
      <w:proofErr w:type="spellStart"/>
      <w:r w:rsidRPr="00853ED7">
        <w:rPr>
          <w:sz w:val="22"/>
          <w:szCs w:val="22"/>
          <w:lang w:eastAsia="da-DK"/>
        </w:rPr>
        <w:t>Levemir</w:t>
      </w:r>
      <w:proofErr w:type="spellEnd"/>
      <w:r w:rsidRPr="00853ED7">
        <w:rPr>
          <w:sz w:val="22"/>
          <w:szCs w:val="22"/>
          <w:lang w:eastAsia="da-DK"/>
        </w:rPr>
        <w:t xml:space="preserve"> treatment with once daily administration at a dose of 10 U or 0.1-0.2 U/kg. The dose of </w:t>
      </w:r>
      <w:proofErr w:type="spellStart"/>
      <w:r w:rsidRPr="00853ED7">
        <w:rPr>
          <w:sz w:val="22"/>
          <w:szCs w:val="22"/>
          <w:lang w:eastAsia="da-DK"/>
        </w:rPr>
        <w:t>Levemir</w:t>
      </w:r>
      <w:proofErr w:type="spellEnd"/>
      <w:r w:rsidRPr="00853ED7">
        <w:rPr>
          <w:sz w:val="22"/>
          <w:szCs w:val="22"/>
          <w:lang w:eastAsia="da-DK"/>
        </w:rPr>
        <w:t xml:space="preserve"> should be titrated based on individual patients’ needs. Based on study results, the following titration guideline is recommended (Table </w:t>
      </w:r>
      <w:r w:rsidR="00552A75" w:rsidRPr="00853ED7">
        <w:rPr>
          <w:sz w:val="22"/>
          <w:szCs w:val="22"/>
          <w:lang w:eastAsia="da-DK"/>
        </w:rPr>
        <w:t>9</w:t>
      </w:r>
      <w:r w:rsidRPr="00853ED7">
        <w:rPr>
          <w:sz w:val="22"/>
          <w:szCs w:val="22"/>
          <w:lang w:eastAsia="da-DK"/>
        </w:rPr>
        <w:t>):</w:t>
      </w:r>
    </w:p>
    <w:p w:rsidR="00D77859" w:rsidRPr="00186DDC" w:rsidRDefault="00D77859" w:rsidP="001E4495">
      <w:pPr>
        <w:rPr>
          <w:sz w:val="22"/>
          <w:szCs w:val="22"/>
          <w:lang w:eastAsia="en-AU"/>
        </w:rPr>
      </w:pPr>
    </w:p>
    <w:p w:rsidR="00D77859" w:rsidRPr="00853ED7" w:rsidRDefault="00D77859" w:rsidP="00DC7D1E">
      <w:pPr>
        <w:pStyle w:val="Heading5"/>
        <w:rPr>
          <w:lang w:eastAsia="en-AU"/>
        </w:rPr>
      </w:pPr>
      <w:r w:rsidRPr="00853ED7">
        <w:rPr>
          <w:lang w:eastAsia="en-AU"/>
        </w:rPr>
        <w:t xml:space="preserve">Table </w:t>
      </w:r>
      <w:r w:rsidR="006E7061" w:rsidRPr="00853ED7">
        <w:rPr>
          <w:lang w:eastAsia="en-AU"/>
        </w:rPr>
        <w:t>9</w:t>
      </w:r>
      <w:r w:rsidRPr="00853ED7">
        <w:rPr>
          <w:lang w:eastAsia="en-AU"/>
        </w:rPr>
        <w:t>. Dosage titration algorithm – Levemir with OADs in type 2 diabetes</w:t>
      </w: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2869"/>
      </w:tblGrid>
      <w:tr w:rsidR="00D77859" w:rsidRPr="00853ED7" w:rsidTr="006F4353">
        <w:tc>
          <w:tcPr>
            <w:tcW w:w="5516" w:type="dxa"/>
            <w:shd w:val="clear" w:color="auto" w:fill="FFFF99"/>
          </w:tcPr>
          <w:p w:rsidR="00D77859" w:rsidRPr="00853ED7" w:rsidRDefault="00D77859" w:rsidP="00001057">
            <w:pPr>
              <w:overflowPunct/>
              <w:jc w:val="center"/>
              <w:textAlignment w:val="auto"/>
              <w:rPr>
                <w:b/>
                <w:sz w:val="20"/>
                <w:lang w:eastAsia="en-AU"/>
              </w:rPr>
            </w:pPr>
            <w:r w:rsidRPr="00853ED7">
              <w:rPr>
                <w:b/>
                <w:sz w:val="20"/>
                <w:lang w:eastAsia="en-AU"/>
              </w:rPr>
              <w:t>Average pre-breakfast self-monitored plasma glucose (SMPG)</w:t>
            </w:r>
          </w:p>
        </w:tc>
        <w:tc>
          <w:tcPr>
            <w:tcW w:w="2869" w:type="dxa"/>
            <w:shd w:val="clear" w:color="auto" w:fill="FFFF99"/>
          </w:tcPr>
          <w:p w:rsidR="00D77859" w:rsidRPr="00853ED7" w:rsidRDefault="00D77859" w:rsidP="00001057">
            <w:pPr>
              <w:overflowPunct/>
              <w:jc w:val="center"/>
              <w:textAlignment w:val="auto"/>
              <w:rPr>
                <w:b/>
                <w:sz w:val="20"/>
                <w:lang w:eastAsia="en-AU"/>
              </w:rPr>
            </w:pPr>
            <w:proofErr w:type="spellStart"/>
            <w:r w:rsidRPr="00853ED7">
              <w:rPr>
                <w:b/>
                <w:sz w:val="20"/>
                <w:lang w:eastAsia="en-AU"/>
              </w:rPr>
              <w:t>Levemir</w:t>
            </w:r>
            <w:proofErr w:type="spellEnd"/>
            <w:r w:rsidRPr="00853ED7">
              <w:rPr>
                <w:b/>
                <w:sz w:val="20"/>
                <w:lang w:eastAsia="en-AU"/>
              </w:rPr>
              <w:t xml:space="preserve"> dose adjustment (U)</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&gt; 10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+ 8</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9.1 – 10.0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+ 6</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8.1 – 9.0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+ 4</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7.1 – 8.0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+ 2</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6.1 – 7.0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+ 2</w:t>
            </w:r>
          </w:p>
        </w:tc>
      </w:tr>
      <w:tr w:rsidR="00D77859" w:rsidRPr="00853ED7" w:rsidTr="006F4353">
        <w:tc>
          <w:tcPr>
            <w:tcW w:w="5516" w:type="dxa"/>
          </w:tcPr>
          <w:p w:rsidR="00D77859" w:rsidRPr="00853ED7" w:rsidRDefault="00D77859" w:rsidP="00001057">
            <w:pPr>
              <w:overflowPunct/>
              <w:jc w:val="left"/>
              <w:textAlignment w:val="auto"/>
              <w:rPr>
                <w:sz w:val="20"/>
                <w:lang w:eastAsia="en-AU"/>
              </w:rPr>
            </w:pPr>
            <w:r w:rsidRPr="00853ED7">
              <w:rPr>
                <w:sz w:val="20"/>
                <w:lang w:eastAsia="en-AU"/>
              </w:rPr>
              <w:t>If one SMPG measurement</w:t>
            </w:r>
          </w:p>
        </w:tc>
        <w:tc>
          <w:tcPr>
            <w:tcW w:w="2869" w:type="dxa"/>
          </w:tcPr>
          <w:p w:rsidR="00D77859" w:rsidRPr="00853ED7" w:rsidRDefault="00D77859" w:rsidP="00001057">
            <w:pPr>
              <w:overflowPunct/>
              <w:jc w:val="center"/>
              <w:textAlignment w:val="auto"/>
              <w:rPr>
                <w:sz w:val="20"/>
                <w:lang w:eastAsia="en-AU"/>
              </w:rPr>
            </w:pP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3.1 – 4.0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- 2</w:t>
            </w:r>
          </w:p>
        </w:tc>
      </w:tr>
      <w:tr w:rsidR="00D77859" w:rsidRPr="00853ED7" w:rsidTr="006F4353">
        <w:tc>
          <w:tcPr>
            <w:tcW w:w="5516" w:type="dxa"/>
          </w:tcPr>
          <w:p w:rsidR="00D77859" w:rsidRPr="00853ED7" w:rsidRDefault="00D77859" w:rsidP="00001057">
            <w:pPr>
              <w:overflowPunct/>
              <w:ind w:left="600"/>
              <w:jc w:val="left"/>
              <w:textAlignment w:val="auto"/>
              <w:rPr>
                <w:sz w:val="20"/>
                <w:lang w:eastAsia="en-AU"/>
              </w:rPr>
            </w:pPr>
            <w:r w:rsidRPr="00853ED7">
              <w:rPr>
                <w:sz w:val="20"/>
                <w:lang w:eastAsia="en-AU"/>
              </w:rPr>
              <w:t xml:space="preserve">&lt; 3.1 </w:t>
            </w:r>
            <w:proofErr w:type="spellStart"/>
            <w:r w:rsidRPr="00853ED7">
              <w:rPr>
                <w:sz w:val="20"/>
                <w:lang w:eastAsia="en-AU"/>
              </w:rPr>
              <w:t>mmol</w:t>
            </w:r>
            <w:proofErr w:type="spellEnd"/>
            <w:r w:rsidRPr="00853ED7">
              <w:rPr>
                <w:sz w:val="20"/>
                <w:lang w:eastAsia="en-AU"/>
              </w:rPr>
              <w:t>/L</w:t>
            </w:r>
          </w:p>
        </w:tc>
        <w:tc>
          <w:tcPr>
            <w:tcW w:w="2869" w:type="dxa"/>
          </w:tcPr>
          <w:p w:rsidR="00D77859" w:rsidRPr="00853ED7" w:rsidRDefault="00D77859" w:rsidP="00001057">
            <w:pPr>
              <w:overflowPunct/>
              <w:jc w:val="center"/>
              <w:textAlignment w:val="auto"/>
              <w:rPr>
                <w:sz w:val="20"/>
                <w:lang w:eastAsia="en-AU"/>
              </w:rPr>
            </w:pPr>
            <w:r w:rsidRPr="00853ED7">
              <w:rPr>
                <w:sz w:val="20"/>
                <w:lang w:eastAsia="en-AU"/>
              </w:rPr>
              <w:t>- 4</w:t>
            </w:r>
          </w:p>
        </w:tc>
      </w:tr>
    </w:tbl>
    <w:p w:rsidR="00D77859" w:rsidRPr="00853ED7" w:rsidRDefault="00D77859" w:rsidP="001E4495">
      <w:pPr>
        <w:rPr>
          <w:sz w:val="22"/>
          <w:szCs w:val="22"/>
          <w:lang w:eastAsia="en-AU"/>
        </w:rPr>
      </w:pPr>
    </w:p>
    <w:p w:rsidR="00D77859" w:rsidRPr="00853ED7" w:rsidRDefault="00D77859" w:rsidP="001E4495">
      <w:pPr>
        <w:rPr>
          <w:sz w:val="22"/>
          <w:szCs w:val="22"/>
          <w:lang w:eastAsia="da-DK"/>
        </w:rPr>
      </w:pPr>
      <w:r w:rsidRPr="00853ED7">
        <w:rPr>
          <w:sz w:val="22"/>
          <w:szCs w:val="22"/>
          <w:lang w:eastAsia="da-DK"/>
        </w:rPr>
        <w:t>In combination with OADs in type 2 diabetes, where optimisation of blood glucose control is not achieved with once daily injection, consideration should be given to adding a mealtime bolus injection of short-/rapid-acting insulin, or to transferring the patient to a pre-mixed insulin.</w:t>
      </w:r>
    </w:p>
    <w:p w:rsidR="00D77859" w:rsidRPr="00853ED7" w:rsidRDefault="00D77859" w:rsidP="001E4495">
      <w:pPr>
        <w:rPr>
          <w:sz w:val="22"/>
          <w:szCs w:val="22"/>
          <w:lang w:eastAsia="da-DK"/>
        </w:rPr>
      </w:pPr>
    </w:p>
    <w:p w:rsidR="00D77859" w:rsidRPr="00853ED7" w:rsidRDefault="006E7061" w:rsidP="001E4495">
      <w:pPr>
        <w:rPr>
          <w:sz w:val="22"/>
          <w:szCs w:val="22"/>
          <w:lang w:eastAsia="da-DK"/>
        </w:rPr>
      </w:pPr>
      <w:r w:rsidRPr="00853ED7">
        <w:rPr>
          <w:sz w:val="22"/>
          <w:szCs w:val="22"/>
          <w:lang w:eastAsia="da-DK"/>
        </w:rPr>
        <w:t xml:space="preserve">As with all </w:t>
      </w:r>
      <w:proofErr w:type="spellStart"/>
      <w:r w:rsidRPr="00853ED7">
        <w:rPr>
          <w:sz w:val="22"/>
          <w:szCs w:val="22"/>
          <w:lang w:eastAsia="da-DK"/>
        </w:rPr>
        <w:t>insulins</w:t>
      </w:r>
      <w:proofErr w:type="spellEnd"/>
      <w:r w:rsidRPr="00853ED7">
        <w:rPr>
          <w:sz w:val="22"/>
          <w:szCs w:val="22"/>
          <w:lang w:eastAsia="da-DK"/>
        </w:rPr>
        <w:t xml:space="preserve">, </w:t>
      </w:r>
      <w:r w:rsidR="00963A6B" w:rsidRPr="00853ED7">
        <w:rPr>
          <w:sz w:val="22"/>
          <w:szCs w:val="22"/>
          <w:lang w:eastAsia="da-DK"/>
        </w:rPr>
        <w:t>a</w:t>
      </w:r>
      <w:r w:rsidR="00D77859" w:rsidRPr="00853ED7">
        <w:rPr>
          <w:sz w:val="22"/>
          <w:szCs w:val="22"/>
          <w:lang w:eastAsia="da-DK"/>
        </w:rPr>
        <w:t>djustment of dosage may also be necessary if patients undertake increased physical activity, change their usual diet or during concomitant illness.</w:t>
      </w:r>
    </w:p>
    <w:p w:rsidR="006E7061" w:rsidRPr="00853ED7" w:rsidRDefault="006E7061" w:rsidP="001E4495">
      <w:pPr>
        <w:rPr>
          <w:sz w:val="22"/>
          <w:szCs w:val="22"/>
          <w:lang w:eastAsia="da-DK"/>
        </w:rPr>
      </w:pPr>
    </w:p>
    <w:p w:rsidR="006E7061" w:rsidRPr="00853ED7" w:rsidRDefault="006E7061" w:rsidP="00DC7D1E">
      <w:pPr>
        <w:pStyle w:val="Heading3"/>
        <w:rPr>
          <w:sz w:val="22"/>
          <w:szCs w:val="22"/>
          <w:lang w:eastAsia="da-DK"/>
        </w:rPr>
      </w:pPr>
      <w:r w:rsidRPr="00853ED7">
        <w:rPr>
          <w:sz w:val="22"/>
          <w:szCs w:val="22"/>
          <w:lang w:eastAsia="da-DK"/>
        </w:rPr>
        <w:t>Special populations</w:t>
      </w:r>
    </w:p>
    <w:p w:rsidR="006E7061" w:rsidRPr="00853ED7" w:rsidRDefault="006E7061" w:rsidP="00DC7D1E">
      <w:pPr>
        <w:pStyle w:val="Heading4"/>
        <w:rPr>
          <w:sz w:val="22"/>
          <w:szCs w:val="22"/>
          <w:lang w:eastAsia="da-DK"/>
        </w:rPr>
      </w:pPr>
      <w:r w:rsidRPr="00853ED7">
        <w:rPr>
          <w:sz w:val="22"/>
          <w:szCs w:val="22"/>
          <w:lang w:eastAsia="da-DK"/>
        </w:rPr>
        <w:t>Elderly, renal and hepatic impairment</w:t>
      </w:r>
    </w:p>
    <w:p w:rsidR="006E7061" w:rsidRPr="00853ED7" w:rsidRDefault="006E7061" w:rsidP="001E4495">
      <w:pPr>
        <w:rPr>
          <w:sz w:val="22"/>
          <w:szCs w:val="22"/>
          <w:lang w:eastAsia="da-DK"/>
        </w:rPr>
      </w:pPr>
      <w:r w:rsidRPr="00853ED7">
        <w:rPr>
          <w:sz w:val="22"/>
          <w:szCs w:val="22"/>
          <w:lang w:eastAsia="da-DK"/>
        </w:rPr>
        <w:t xml:space="preserve">As with all </w:t>
      </w:r>
      <w:proofErr w:type="spellStart"/>
      <w:r w:rsidRPr="00853ED7">
        <w:rPr>
          <w:sz w:val="22"/>
          <w:szCs w:val="22"/>
          <w:lang w:eastAsia="da-DK"/>
        </w:rPr>
        <w:t>insulins</w:t>
      </w:r>
      <w:proofErr w:type="spellEnd"/>
      <w:r w:rsidRPr="00853ED7">
        <w:rPr>
          <w:sz w:val="22"/>
          <w:szCs w:val="22"/>
          <w:lang w:eastAsia="da-DK"/>
        </w:rPr>
        <w:t xml:space="preserve">, in elderly patients and patients with renal or hepatic impairment, glucose monitoring should be intensified and insulin </w:t>
      </w:r>
      <w:proofErr w:type="spellStart"/>
      <w:r w:rsidRPr="00853ED7">
        <w:rPr>
          <w:sz w:val="22"/>
          <w:szCs w:val="22"/>
          <w:lang w:eastAsia="da-DK"/>
        </w:rPr>
        <w:t>detemir</w:t>
      </w:r>
      <w:proofErr w:type="spellEnd"/>
      <w:r w:rsidRPr="00853ED7">
        <w:rPr>
          <w:sz w:val="22"/>
          <w:szCs w:val="22"/>
          <w:lang w:eastAsia="da-DK"/>
        </w:rPr>
        <w:t xml:space="preserve"> dosage adjusted on an individual basis.</w:t>
      </w:r>
    </w:p>
    <w:p w:rsidR="00DC7D1E" w:rsidRPr="00853ED7" w:rsidRDefault="00DC7D1E" w:rsidP="001E4495">
      <w:pPr>
        <w:rPr>
          <w:sz w:val="22"/>
          <w:szCs w:val="22"/>
          <w:lang w:eastAsia="da-DK"/>
        </w:rPr>
      </w:pPr>
    </w:p>
    <w:p w:rsidR="00D77859" w:rsidRPr="00853ED7" w:rsidRDefault="00D77859" w:rsidP="00DC7D1E">
      <w:pPr>
        <w:pStyle w:val="Heading4"/>
        <w:rPr>
          <w:sz w:val="22"/>
          <w:szCs w:val="22"/>
          <w:lang w:eastAsia="da-DK"/>
        </w:rPr>
      </w:pPr>
      <w:r w:rsidRPr="00853ED7">
        <w:rPr>
          <w:sz w:val="22"/>
          <w:szCs w:val="22"/>
        </w:rPr>
        <w:t>Paediatric</w:t>
      </w:r>
      <w:r w:rsidR="006E7061" w:rsidRPr="00853ED7">
        <w:rPr>
          <w:sz w:val="22"/>
          <w:szCs w:val="22"/>
        </w:rPr>
        <w:t>s</w:t>
      </w:r>
    </w:p>
    <w:p w:rsidR="00312DD2" w:rsidRPr="00853ED7" w:rsidRDefault="001E6883" w:rsidP="001E4495">
      <w:pPr>
        <w:rPr>
          <w:sz w:val="22"/>
          <w:szCs w:val="22"/>
          <w:lang w:eastAsia="da-DK"/>
        </w:rPr>
      </w:pPr>
      <w:r w:rsidRPr="00853ED7">
        <w:rPr>
          <w:sz w:val="22"/>
          <w:szCs w:val="22"/>
          <w:lang w:eastAsia="da-DK"/>
        </w:rPr>
        <w:t xml:space="preserve">Specific nonclinical studies in </w:t>
      </w:r>
      <w:r w:rsidR="00460FC2" w:rsidRPr="00853ED7">
        <w:rPr>
          <w:sz w:val="22"/>
          <w:szCs w:val="22"/>
          <w:lang w:eastAsia="da-DK"/>
        </w:rPr>
        <w:t xml:space="preserve">juvenile </w:t>
      </w:r>
      <w:r w:rsidRPr="00853ED7">
        <w:rPr>
          <w:sz w:val="22"/>
          <w:szCs w:val="22"/>
          <w:lang w:eastAsia="da-DK"/>
        </w:rPr>
        <w:t>animals have not been conducted.</w:t>
      </w:r>
      <w:r w:rsidR="00312DD2" w:rsidRPr="00853ED7">
        <w:rPr>
          <w:sz w:val="22"/>
          <w:szCs w:val="22"/>
          <w:lang w:eastAsia="da-DK"/>
        </w:rPr>
        <w:t xml:space="preserve"> </w:t>
      </w:r>
    </w:p>
    <w:p w:rsidR="00312DD2" w:rsidRPr="00853ED7" w:rsidRDefault="00312DD2" w:rsidP="001E4495">
      <w:pPr>
        <w:rPr>
          <w:sz w:val="22"/>
          <w:szCs w:val="22"/>
          <w:lang w:eastAsia="da-DK"/>
        </w:rPr>
      </w:pPr>
    </w:p>
    <w:p w:rsidR="00880A7E" w:rsidRPr="00853ED7" w:rsidRDefault="00D77859" w:rsidP="001E4495">
      <w:pPr>
        <w:rPr>
          <w:sz w:val="22"/>
          <w:szCs w:val="22"/>
          <w:lang w:eastAsia="da-DK"/>
        </w:rPr>
      </w:pPr>
      <w:r w:rsidRPr="00853ED7">
        <w:rPr>
          <w:sz w:val="22"/>
          <w:szCs w:val="22"/>
          <w:lang w:eastAsia="da-DK"/>
        </w:rPr>
        <w:t xml:space="preserve">The efficacy and safety of </w:t>
      </w:r>
      <w:proofErr w:type="spellStart"/>
      <w:r w:rsidRPr="00853ED7">
        <w:rPr>
          <w:sz w:val="22"/>
          <w:szCs w:val="22"/>
          <w:lang w:eastAsia="da-DK"/>
        </w:rPr>
        <w:t>Levemir</w:t>
      </w:r>
      <w:proofErr w:type="spellEnd"/>
      <w:r w:rsidRPr="00853ED7">
        <w:rPr>
          <w:sz w:val="22"/>
          <w:szCs w:val="22"/>
          <w:lang w:eastAsia="da-DK"/>
        </w:rPr>
        <w:t xml:space="preserve"> were</w:t>
      </w:r>
      <w:r w:rsidR="00312DD2" w:rsidRPr="00853ED7">
        <w:rPr>
          <w:sz w:val="22"/>
          <w:szCs w:val="22"/>
          <w:lang w:eastAsia="da-DK"/>
        </w:rPr>
        <w:t xml:space="preserve"> </w:t>
      </w:r>
      <w:r w:rsidR="00153945" w:rsidRPr="00853ED7">
        <w:rPr>
          <w:sz w:val="22"/>
          <w:szCs w:val="22"/>
          <w:lang w:eastAsia="da-DK"/>
        </w:rPr>
        <w:t>demonstrated</w:t>
      </w:r>
      <w:r w:rsidRPr="00853ED7">
        <w:rPr>
          <w:sz w:val="22"/>
          <w:szCs w:val="22"/>
          <w:lang w:eastAsia="da-DK"/>
        </w:rPr>
        <w:t xml:space="preserve"> in </w:t>
      </w:r>
      <w:r w:rsidR="006E7061" w:rsidRPr="00853ED7">
        <w:rPr>
          <w:sz w:val="22"/>
          <w:szCs w:val="22"/>
          <w:lang w:eastAsia="da-DK"/>
        </w:rPr>
        <w:t xml:space="preserve">adolescents and </w:t>
      </w:r>
      <w:r w:rsidR="000F1896" w:rsidRPr="00853ED7">
        <w:rPr>
          <w:sz w:val="22"/>
          <w:szCs w:val="22"/>
          <w:lang w:eastAsia="da-DK"/>
        </w:rPr>
        <w:t>children aged</w:t>
      </w:r>
      <w:r w:rsidRPr="00853ED7">
        <w:rPr>
          <w:sz w:val="22"/>
          <w:szCs w:val="22"/>
          <w:lang w:eastAsia="da-DK"/>
        </w:rPr>
        <w:t xml:space="preserve"> </w:t>
      </w:r>
      <w:r w:rsidR="00153945" w:rsidRPr="00853ED7">
        <w:rPr>
          <w:sz w:val="22"/>
          <w:szCs w:val="22"/>
          <w:lang w:eastAsia="da-DK"/>
        </w:rPr>
        <w:t xml:space="preserve">2 </w:t>
      </w:r>
      <w:r w:rsidR="006E7061" w:rsidRPr="00853ED7">
        <w:rPr>
          <w:sz w:val="22"/>
          <w:szCs w:val="22"/>
          <w:lang w:eastAsia="da-DK"/>
        </w:rPr>
        <w:t xml:space="preserve">years’ </w:t>
      </w:r>
      <w:r w:rsidR="00153945" w:rsidRPr="00853ED7">
        <w:rPr>
          <w:sz w:val="22"/>
          <w:szCs w:val="22"/>
          <w:lang w:eastAsia="da-DK"/>
        </w:rPr>
        <w:t>and above</w:t>
      </w:r>
      <w:r w:rsidRPr="00853ED7">
        <w:rPr>
          <w:sz w:val="22"/>
          <w:szCs w:val="22"/>
          <w:lang w:eastAsia="da-DK"/>
        </w:rPr>
        <w:t xml:space="preserve"> in</w:t>
      </w:r>
      <w:r w:rsidR="00B25467" w:rsidRPr="00853ED7">
        <w:rPr>
          <w:sz w:val="22"/>
          <w:szCs w:val="22"/>
          <w:lang w:eastAsia="da-DK"/>
        </w:rPr>
        <w:t xml:space="preserve"> stud</w:t>
      </w:r>
      <w:r w:rsidR="00153945" w:rsidRPr="00853ED7">
        <w:rPr>
          <w:sz w:val="22"/>
          <w:szCs w:val="22"/>
          <w:lang w:eastAsia="da-DK"/>
        </w:rPr>
        <w:t>ies</w:t>
      </w:r>
      <w:r w:rsidR="00B25467" w:rsidRPr="00853ED7">
        <w:rPr>
          <w:sz w:val="22"/>
          <w:szCs w:val="22"/>
          <w:lang w:eastAsia="da-DK"/>
        </w:rPr>
        <w:t xml:space="preserve"> </w:t>
      </w:r>
      <w:r w:rsidRPr="00853ED7">
        <w:rPr>
          <w:sz w:val="22"/>
          <w:szCs w:val="22"/>
          <w:lang w:eastAsia="da-DK"/>
        </w:rPr>
        <w:t xml:space="preserve">up </w:t>
      </w:r>
      <w:r w:rsidR="000F1896" w:rsidRPr="00853ED7">
        <w:rPr>
          <w:sz w:val="22"/>
          <w:szCs w:val="22"/>
          <w:lang w:eastAsia="da-DK"/>
        </w:rPr>
        <w:t>to 24</w:t>
      </w:r>
      <w:r w:rsidRPr="00853ED7">
        <w:rPr>
          <w:sz w:val="22"/>
          <w:szCs w:val="22"/>
          <w:lang w:eastAsia="da-DK"/>
        </w:rPr>
        <w:t xml:space="preserve"> months in duration (see ‘Clinical Trials’). </w:t>
      </w:r>
      <w:bookmarkStart w:id="42" w:name="OLE_LINK44"/>
      <w:bookmarkStart w:id="43" w:name="OLE_LINK45"/>
    </w:p>
    <w:bookmarkEnd w:id="42"/>
    <w:bookmarkEnd w:id="43"/>
    <w:p w:rsidR="00D77859" w:rsidRPr="00853ED7" w:rsidRDefault="00D77859" w:rsidP="001E4495">
      <w:pPr>
        <w:rPr>
          <w:sz w:val="22"/>
          <w:szCs w:val="22"/>
          <w:lang w:eastAsia="da-DK"/>
        </w:rPr>
      </w:pPr>
    </w:p>
    <w:p w:rsidR="00552A75" w:rsidRPr="00853ED7" w:rsidRDefault="00552A75" w:rsidP="00552A75">
      <w:pPr>
        <w:rPr>
          <w:sz w:val="22"/>
          <w:szCs w:val="22"/>
          <w:lang w:eastAsia="da-DK"/>
        </w:rPr>
      </w:pPr>
      <w:r w:rsidRPr="00853ED7">
        <w:rPr>
          <w:sz w:val="22"/>
          <w:szCs w:val="22"/>
          <w:lang w:eastAsia="da-DK"/>
        </w:rPr>
        <w:t xml:space="preserve">As with all </w:t>
      </w:r>
      <w:proofErr w:type="spellStart"/>
      <w:r w:rsidRPr="00853ED7">
        <w:rPr>
          <w:sz w:val="22"/>
          <w:szCs w:val="22"/>
          <w:lang w:eastAsia="da-DK"/>
        </w:rPr>
        <w:t>insulins</w:t>
      </w:r>
      <w:proofErr w:type="spellEnd"/>
      <w:r w:rsidRPr="00853ED7">
        <w:rPr>
          <w:sz w:val="22"/>
          <w:szCs w:val="22"/>
          <w:lang w:eastAsia="da-DK"/>
        </w:rPr>
        <w:t xml:space="preserve">, in children and adolescents, glucose monitoring should be intensified and the </w:t>
      </w:r>
      <w:proofErr w:type="spellStart"/>
      <w:r w:rsidRPr="00853ED7">
        <w:rPr>
          <w:sz w:val="22"/>
          <w:szCs w:val="22"/>
          <w:lang w:eastAsia="da-DK"/>
        </w:rPr>
        <w:t>Levemir</w:t>
      </w:r>
      <w:proofErr w:type="spellEnd"/>
      <w:r w:rsidRPr="00853ED7">
        <w:rPr>
          <w:sz w:val="22"/>
          <w:szCs w:val="22"/>
          <w:lang w:eastAsia="da-DK"/>
        </w:rPr>
        <w:t xml:space="preserve"> dose adjusted on an individual basis.</w:t>
      </w:r>
    </w:p>
    <w:p w:rsidR="00552A75" w:rsidRPr="00853ED7" w:rsidRDefault="00552A75" w:rsidP="001E4495">
      <w:pPr>
        <w:rPr>
          <w:sz w:val="22"/>
          <w:szCs w:val="22"/>
          <w:lang w:eastAsia="da-DK"/>
        </w:rPr>
      </w:pPr>
    </w:p>
    <w:p w:rsidR="00552A75" w:rsidRPr="00853ED7" w:rsidRDefault="00552A75" w:rsidP="00C261A3">
      <w:pPr>
        <w:pStyle w:val="Heading4"/>
        <w:rPr>
          <w:lang w:eastAsia="da-DK"/>
        </w:rPr>
      </w:pPr>
      <w:r w:rsidRPr="00186DDC">
        <w:rPr>
          <w:sz w:val="22"/>
          <w:szCs w:val="22"/>
        </w:rPr>
        <w:t>Pregnancy</w:t>
      </w:r>
    </w:p>
    <w:p w:rsidR="00552A75" w:rsidRPr="00853ED7" w:rsidRDefault="00552A75" w:rsidP="00552A75">
      <w:pPr>
        <w:rPr>
          <w:sz w:val="22"/>
          <w:szCs w:val="22"/>
          <w:lang w:eastAsia="da-DK"/>
        </w:rPr>
      </w:pPr>
      <w:r w:rsidRPr="00853ED7">
        <w:rPr>
          <w:sz w:val="22"/>
          <w:szCs w:val="22"/>
          <w:lang w:val="en-GB" w:eastAsia="da-DK"/>
        </w:rPr>
        <w:t>In general, intensified blood glucose control and monitoring of pregnant women with diabetes are recommended throughout pregnancy and when contemplating pregnancy. Insulin requirements usually fall</w:t>
      </w:r>
      <w:r w:rsidR="00F92A97" w:rsidRPr="00853ED7">
        <w:rPr>
          <w:sz w:val="22"/>
          <w:szCs w:val="22"/>
          <w:lang w:val="en-GB" w:eastAsia="da-DK"/>
        </w:rPr>
        <w:t xml:space="preserve"> </w:t>
      </w:r>
      <w:r w:rsidRPr="00853ED7">
        <w:rPr>
          <w:sz w:val="22"/>
          <w:szCs w:val="22"/>
          <w:lang w:val="en-GB" w:eastAsia="da-DK"/>
        </w:rPr>
        <w:t>in the first trimester and increase subsequently during the second and third trimester. After delivery, insulin requirements normally return rapidly to pre-pregnancy values.</w:t>
      </w:r>
    </w:p>
    <w:p w:rsidR="00ED7E0B" w:rsidRPr="00853ED7" w:rsidRDefault="00ED7E0B" w:rsidP="00552A75">
      <w:pPr>
        <w:rPr>
          <w:i/>
          <w:sz w:val="22"/>
          <w:szCs w:val="22"/>
          <w:lang w:eastAsia="da-DK"/>
        </w:rPr>
      </w:pPr>
    </w:p>
    <w:p w:rsidR="00552A75" w:rsidRPr="00853ED7" w:rsidRDefault="00552A75" w:rsidP="00C261A3">
      <w:pPr>
        <w:pStyle w:val="Heading4"/>
        <w:rPr>
          <w:lang w:eastAsia="da-DK"/>
        </w:rPr>
      </w:pPr>
      <w:proofErr w:type="spellStart"/>
      <w:r w:rsidRPr="00186DDC">
        <w:rPr>
          <w:sz w:val="22"/>
          <w:szCs w:val="22"/>
        </w:rPr>
        <w:t>Hypoalbumin</w:t>
      </w:r>
      <w:r w:rsidR="00E85FF9" w:rsidRPr="00186DDC">
        <w:rPr>
          <w:sz w:val="22"/>
          <w:szCs w:val="22"/>
        </w:rPr>
        <w:t>a</w:t>
      </w:r>
      <w:r w:rsidRPr="00186DDC">
        <w:rPr>
          <w:sz w:val="22"/>
          <w:szCs w:val="22"/>
        </w:rPr>
        <w:t>emia</w:t>
      </w:r>
      <w:proofErr w:type="spellEnd"/>
    </w:p>
    <w:p w:rsidR="00552A75" w:rsidRPr="00853ED7" w:rsidRDefault="00552A75" w:rsidP="00552A75">
      <w:pPr>
        <w:rPr>
          <w:sz w:val="22"/>
          <w:szCs w:val="22"/>
          <w:lang w:eastAsia="da-DK"/>
        </w:rPr>
      </w:pPr>
      <w:r w:rsidRPr="00853ED7">
        <w:rPr>
          <w:sz w:val="22"/>
          <w:szCs w:val="22"/>
          <w:lang w:eastAsia="da-DK"/>
        </w:rPr>
        <w:t xml:space="preserve">There are limited data in patients with severe </w:t>
      </w:r>
      <w:proofErr w:type="spellStart"/>
      <w:r w:rsidR="00E85FF9" w:rsidRPr="00853ED7">
        <w:rPr>
          <w:sz w:val="22"/>
          <w:szCs w:val="22"/>
          <w:lang w:eastAsia="da-DK"/>
        </w:rPr>
        <w:t>hypoalbuminaemia</w:t>
      </w:r>
      <w:proofErr w:type="spellEnd"/>
      <w:r w:rsidRPr="00853ED7">
        <w:rPr>
          <w:sz w:val="22"/>
          <w:szCs w:val="22"/>
          <w:lang w:eastAsia="da-DK"/>
        </w:rPr>
        <w:t>. Careful monitoring is recommended in these patients.</w:t>
      </w:r>
    </w:p>
    <w:p w:rsidR="00D77859" w:rsidRPr="00853ED7" w:rsidRDefault="000E2A45" w:rsidP="00DC7D1E">
      <w:pPr>
        <w:pStyle w:val="Heading3"/>
        <w:rPr>
          <w:sz w:val="22"/>
          <w:szCs w:val="22"/>
        </w:rPr>
      </w:pPr>
      <w:r w:rsidRPr="00853ED7">
        <w:rPr>
          <w:sz w:val="22"/>
          <w:szCs w:val="22"/>
        </w:rPr>
        <w:br/>
      </w:r>
      <w:r w:rsidR="00D77859" w:rsidRPr="00853ED7">
        <w:rPr>
          <w:sz w:val="22"/>
          <w:szCs w:val="22"/>
        </w:rPr>
        <w:t xml:space="preserve">Transfer from other </w:t>
      </w:r>
      <w:proofErr w:type="spellStart"/>
      <w:r w:rsidR="00D77859" w:rsidRPr="00853ED7">
        <w:rPr>
          <w:sz w:val="22"/>
          <w:szCs w:val="22"/>
        </w:rPr>
        <w:t>insulins</w:t>
      </w:r>
      <w:proofErr w:type="spellEnd"/>
    </w:p>
    <w:p w:rsidR="00D77859" w:rsidRPr="00853ED7" w:rsidRDefault="00D77859" w:rsidP="001E4495">
      <w:pPr>
        <w:rPr>
          <w:sz w:val="22"/>
          <w:szCs w:val="22"/>
          <w:lang w:eastAsia="da-DK"/>
        </w:rPr>
      </w:pPr>
      <w:r w:rsidRPr="00853ED7">
        <w:rPr>
          <w:sz w:val="22"/>
          <w:szCs w:val="22"/>
          <w:lang w:eastAsia="da-DK"/>
        </w:rPr>
        <w:t xml:space="preserve">Transfer to </w:t>
      </w:r>
      <w:proofErr w:type="spellStart"/>
      <w:r w:rsidRPr="00853ED7">
        <w:rPr>
          <w:sz w:val="22"/>
          <w:szCs w:val="22"/>
          <w:lang w:eastAsia="da-DK"/>
        </w:rPr>
        <w:t>Levemir</w:t>
      </w:r>
      <w:proofErr w:type="spellEnd"/>
      <w:r w:rsidRPr="00853ED7">
        <w:rPr>
          <w:sz w:val="22"/>
          <w:szCs w:val="22"/>
          <w:lang w:eastAsia="da-DK"/>
        </w:rPr>
        <w:t xml:space="preserve"> from intermediate or long-acting </w:t>
      </w:r>
      <w:proofErr w:type="spellStart"/>
      <w:r w:rsidRPr="00853ED7">
        <w:rPr>
          <w:sz w:val="22"/>
          <w:szCs w:val="22"/>
          <w:lang w:eastAsia="da-DK"/>
        </w:rPr>
        <w:t>insulins</w:t>
      </w:r>
      <w:proofErr w:type="spellEnd"/>
      <w:r w:rsidRPr="00853ED7">
        <w:rPr>
          <w:sz w:val="22"/>
          <w:szCs w:val="22"/>
          <w:lang w:eastAsia="da-DK"/>
        </w:rPr>
        <w:t xml:space="preserve"> may require adjustment of dose and timing of administration (see ‘Precautions’). As with all </w:t>
      </w:r>
      <w:proofErr w:type="spellStart"/>
      <w:r w:rsidRPr="00853ED7">
        <w:rPr>
          <w:sz w:val="22"/>
          <w:szCs w:val="22"/>
          <w:lang w:eastAsia="da-DK"/>
        </w:rPr>
        <w:t>insulins</w:t>
      </w:r>
      <w:proofErr w:type="spellEnd"/>
      <w:r w:rsidRPr="00853ED7">
        <w:rPr>
          <w:sz w:val="22"/>
          <w:szCs w:val="22"/>
          <w:lang w:eastAsia="da-DK"/>
        </w:rPr>
        <w:t xml:space="preserve">, close glucose monitoring is recommended during the transition and in the initial weeks thereafter. </w:t>
      </w:r>
    </w:p>
    <w:p w:rsidR="00D77859" w:rsidRPr="00853ED7" w:rsidRDefault="00D77859" w:rsidP="001E4495">
      <w:pPr>
        <w:rPr>
          <w:sz w:val="22"/>
          <w:szCs w:val="22"/>
          <w:lang w:eastAsia="da-DK"/>
        </w:rPr>
      </w:pPr>
    </w:p>
    <w:p w:rsidR="00D77859" w:rsidRPr="00853ED7" w:rsidRDefault="00D77859" w:rsidP="001E4495">
      <w:pPr>
        <w:rPr>
          <w:sz w:val="22"/>
          <w:szCs w:val="22"/>
        </w:rPr>
      </w:pPr>
      <w:r w:rsidRPr="00853ED7">
        <w:rPr>
          <w:sz w:val="22"/>
          <w:szCs w:val="22"/>
          <w:lang w:eastAsia="da-DK"/>
        </w:rPr>
        <w:t xml:space="preserve">Concomitant </w:t>
      </w:r>
      <w:proofErr w:type="spellStart"/>
      <w:r w:rsidRPr="00853ED7">
        <w:rPr>
          <w:sz w:val="22"/>
          <w:szCs w:val="22"/>
          <w:lang w:eastAsia="da-DK"/>
        </w:rPr>
        <w:t>antidiabetic</w:t>
      </w:r>
      <w:proofErr w:type="spellEnd"/>
      <w:r w:rsidRPr="00853ED7">
        <w:rPr>
          <w:sz w:val="22"/>
          <w:szCs w:val="22"/>
          <w:lang w:eastAsia="da-DK"/>
        </w:rPr>
        <w:t xml:space="preserve"> treatment may need to be adjusted (dose and/or timing of concurrent short/rapid-acting</w:t>
      </w:r>
      <w:r w:rsidRPr="00853ED7">
        <w:rPr>
          <w:sz w:val="22"/>
          <w:szCs w:val="22"/>
        </w:rPr>
        <w:t xml:space="preserve"> </w:t>
      </w:r>
      <w:proofErr w:type="spellStart"/>
      <w:r w:rsidRPr="00853ED7">
        <w:rPr>
          <w:sz w:val="22"/>
          <w:szCs w:val="22"/>
        </w:rPr>
        <w:t>insulins</w:t>
      </w:r>
      <w:proofErr w:type="spellEnd"/>
      <w:r w:rsidRPr="00853ED7">
        <w:rPr>
          <w:sz w:val="22"/>
          <w:szCs w:val="22"/>
        </w:rPr>
        <w:t xml:space="preserve"> or</w:t>
      </w:r>
      <w:r w:rsidR="006E7061" w:rsidRPr="00853ED7">
        <w:rPr>
          <w:sz w:val="22"/>
          <w:szCs w:val="22"/>
        </w:rPr>
        <w:t xml:space="preserve"> OADs</w:t>
      </w:r>
      <w:r w:rsidRPr="00853ED7">
        <w:rPr>
          <w:sz w:val="22"/>
          <w:szCs w:val="22"/>
        </w:rPr>
        <w:t xml:space="preserve">). </w:t>
      </w:r>
      <w:r w:rsidRPr="00853ED7">
        <w:rPr>
          <w:sz w:val="22"/>
          <w:szCs w:val="22"/>
          <w:lang w:eastAsia="da-DK"/>
        </w:rPr>
        <w:t xml:space="preserve">An increase in soluble insulin requirements has been demonstrated in some individuals who have been transferred from human insulin to </w:t>
      </w:r>
      <w:proofErr w:type="spellStart"/>
      <w:r w:rsidRPr="00853ED7">
        <w:rPr>
          <w:sz w:val="22"/>
          <w:szCs w:val="22"/>
          <w:lang w:eastAsia="da-DK"/>
        </w:rPr>
        <w:t>Levemir</w:t>
      </w:r>
      <w:proofErr w:type="spellEnd"/>
      <w:r w:rsidRPr="00853ED7">
        <w:rPr>
          <w:sz w:val="22"/>
          <w:szCs w:val="22"/>
          <w:lang w:eastAsia="da-DK"/>
        </w:rPr>
        <w:t>.</w:t>
      </w:r>
    </w:p>
    <w:p w:rsidR="00D77859" w:rsidRPr="00853ED7" w:rsidRDefault="00D77859" w:rsidP="001E4495">
      <w:pPr>
        <w:rPr>
          <w:sz w:val="22"/>
          <w:szCs w:val="22"/>
        </w:rPr>
      </w:pPr>
    </w:p>
    <w:p w:rsidR="006E7061" w:rsidRPr="00853ED7" w:rsidRDefault="006E7061" w:rsidP="00DC7D1E">
      <w:pPr>
        <w:pStyle w:val="Heading3"/>
        <w:rPr>
          <w:sz w:val="22"/>
          <w:szCs w:val="22"/>
        </w:rPr>
      </w:pPr>
      <w:r w:rsidRPr="00853ED7">
        <w:rPr>
          <w:sz w:val="22"/>
          <w:szCs w:val="22"/>
        </w:rPr>
        <w:t>Method of Administration</w:t>
      </w:r>
    </w:p>
    <w:p w:rsidR="006E7061" w:rsidRPr="00853ED7" w:rsidRDefault="006E7061"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is for subcutaneous administration only by injection in the thigh, abdominal wall, the upper arm, or the gluteal region. As with human insulin, the rate and extent of absorption of insulin </w:t>
      </w:r>
      <w:proofErr w:type="spellStart"/>
      <w:r w:rsidRPr="00853ED7">
        <w:rPr>
          <w:sz w:val="22"/>
          <w:szCs w:val="22"/>
          <w:lang w:eastAsia="da-DK"/>
        </w:rPr>
        <w:t>detemir</w:t>
      </w:r>
      <w:proofErr w:type="spellEnd"/>
      <w:r w:rsidRPr="00853ED7">
        <w:rPr>
          <w:sz w:val="22"/>
          <w:szCs w:val="22"/>
          <w:lang w:eastAsia="da-DK"/>
        </w:rPr>
        <w:t xml:space="preserve"> may be higher when administered subcutaneously in the abdomen or upper arm as opposed to the thigh. Injection sites should be rotated within the same region in order to reduce the risk of </w:t>
      </w:r>
      <w:proofErr w:type="spellStart"/>
      <w:r w:rsidRPr="00853ED7">
        <w:rPr>
          <w:sz w:val="22"/>
          <w:szCs w:val="22"/>
          <w:lang w:eastAsia="da-DK"/>
        </w:rPr>
        <w:t>lipodystrophy</w:t>
      </w:r>
      <w:proofErr w:type="spellEnd"/>
      <w:r w:rsidRPr="00853ED7">
        <w:rPr>
          <w:sz w:val="22"/>
          <w:szCs w:val="22"/>
          <w:lang w:eastAsia="da-DK"/>
        </w:rPr>
        <w:t>. Formal studies with administration in the gluteal region have not been conducted. As with all insulin products, the duration of action will vary according to the dose, injection site, blood flow, temperature and level of physical activity.</w:t>
      </w:r>
    </w:p>
    <w:p w:rsidR="00DC7D1E" w:rsidRPr="00853ED7" w:rsidRDefault="00DC7D1E" w:rsidP="001E4495">
      <w:pPr>
        <w:rPr>
          <w:sz w:val="22"/>
          <w:szCs w:val="22"/>
        </w:rPr>
      </w:pPr>
    </w:p>
    <w:p w:rsidR="00D77859" w:rsidRPr="00853ED7" w:rsidRDefault="00D77859" w:rsidP="00DC7D1E">
      <w:pPr>
        <w:pStyle w:val="Heading3"/>
        <w:rPr>
          <w:sz w:val="22"/>
          <w:szCs w:val="22"/>
        </w:rPr>
      </w:pPr>
      <w:r w:rsidRPr="00853ED7">
        <w:rPr>
          <w:sz w:val="22"/>
          <w:szCs w:val="22"/>
        </w:rPr>
        <w:t>Instructions for use and handling</w:t>
      </w:r>
    </w:p>
    <w:p w:rsidR="00D77859" w:rsidRPr="00853ED7" w:rsidRDefault="006E7061"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00853ED7">
        <w:rPr>
          <w:sz w:val="22"/>
          <w:szCs w:val="22"/>
          <w:lang w:eastAsia="da-DK"/>
        </w:rPr>
        <w:t xml:space="preserve"> </w:t>
      </w:r>
      <w:r w:rsidR="00BD13B0" w:rsidRPr="00853ED7">
        <w:rPr>
          <w:sz w:val="22"/>
          <w:szCs w:val="22"/>
          <w:lang w:eastAsia="da-DK"/>
        </w:rPr>
        <w:t>and</w:t>
      </w:r>
      <w:r w:rsidRPr="00853ED7">
        <w:rPr>
          <w:sz w:val="22"/>
          <w:szCs w:val="22"/>
          <w:lang w:eastAsia="da-DK"/>
        </w:rPr>
        <w:t xml:space="preserve"> </w:t>
      </w:r>
      <w:proofErr w:type="spellStart"/>
      <w:r w:rsidR="00D77859" w:rsidRPr="00853ED7">
        <w:rPr>
          <w:sz w:val="22"/>
          <w:szCs w:val="22"/>
          <w:lang w:eastAsia="da-DK"/>
        </w:rPr>
        <w:t>Levemir</w:t>
      </w:r>
      <w:proofErr w:type="spellEnd"/>
      <w:r w:rsidR="00D77859" w:rsidRPr="00853ED7">
        <w:rPr>
          <w:sz w:val="22"/>
          <w:szCs w:val="22"/>
          <w:lang w:eastAsia="da-DK"/>
        </w:rPr>
        <w:t xml:space="preserve"> </w:t>
      </w:r>
      <w:proofErr w:type="spellStart"/>
      <w:r w:rsidR="00D77859" w:rsidRPr="00853ED7">
        <w:rPr>
          <w:sz w:val="22"/>
          <w:szCs w:val="22"/>
          <w:lang w:eastAsia="da-DK"/>
        </w:rPr>
        <w:t>Penfill</w:t>
      </w:r>
      <w:proofErr w:type="spellEnd"/>
      <w:r w:rsidR="00D77859" w:rsidRPr="00853ED7">
        <w:rPr>
          <w:sz w:val="22"/>
          <w:szCs w:val="22"/>
          <w:lang w:eastAsia="da-DK"/>
        </w:rPr>
        <w:t xml:space="preserve"> are for use by one person only. </w:t>
      </w:r>
      <w:proofErr w:type="spellStart"/>
      <w:r w:rsidR="00D77859" w:rsidRPr="00853ED7">
        <w:rPr>
          <w:sz w:val="22"/>
          <w:szCs w:val="22"/>
          <w:lang w:eastAsia="da-DK"/>
        </w:rPr>
        <w:t>Levemir</w:t>
      </w:r>
      <w:proofErr w:type="spellEnd"/>
      <w:r w:rsidR="00D77859" w:rsidRPr="00853ED7">
        <w:rPr>
          <w:sz w:val="22"/>
          <w:szCs w:val="22"/>
          <w:lang w:eastAsia="da-DK"/>
        </w:rPr>
        <w:t xml:space="preserve"> must not be used </w:t>
      </w:r>
      <w:r w:rsidR="000F1896" w:rsidRPr="00853ED7">
        <w:rPr>
          <w:sz w:val="22"/>
          <w:szCs w:val="22"/>
          <w:lang w:eastAsia="da-DK"/>
        </w:rPr>
        <w:t>if it</w:t>
      </w:r>
      <w:r w:rsidRPr="00853ED7">
        <w:rPr>
          <w:sz w:val="22"/>
          <w:szCs w:val="22"/>
          <w:lang w:eastAsia="da-DK"/>
        </w:rPr>
        <w:t xml:space="preserve"> has</w:t>
      </w:r>
      <w:r w:rsidR="00D77859" w:rsidRPr="00853ED7">
        <w:rPr>
          <w:sz w:val="22"/>
          <w:szCs w:val="22"/>
          <w:lang w:eastAsia="da-DK"/>
        </w:rPr>
        <w:t xml:space="preserve"> been frozen</w:t>
      </w:r>
      <w:r w:rsidRPr="00853ED7">
        <w:rPr>
          <w:sz w:val="22"/>
          <w:szCs w:val="22"/>
          <w:lang w:eastAsia="da-DK"/>
        </w:rPr>
        <w:t xml:space="preserve">. </w:t>
      </w:r>
      <w:proofErr w:type="spellStart"/>
      <w:r w:rsidRPr="00853ED7">
        <w:rPr>
          <w:sz w:val="22"/>
          <w:szCs w:val="22"/>
          <w:lang w:eastAsia="da-DK"/>
        </w:rPr>
        <w:t>Levemir</w:t>
      </w:r>
      <w:proofErr w:type="spellEnd"/>
      <w:r w:rsidR="00D77859" w:rsidRPr="00853ED7">
        <w:rPr>
          <w:sz w:val="22"/>
          <w:szCs w:val="22"/>
          <w:lang w:eastAsia="da-DK"/>
        </w:rPr>
        <w:t xml:space="preserve"> must not be used</w:t>
      </w:r>
      <w:r w:rsidRPr="00853ED7">
        <w:rPr>
          <w:sz w:val="22"/>
          <w:szCs w:val="22"/>
          <w:lang w:eastAsia="da-DK"/>
        </w:rPr>
        <w:t xml:space="preserve"> if the solution does not </w:t>
      </w:r>
      <w:r w:rsidR="00D77859" w:rsidRPr="00853ED7">
        <w:rPr>
          <w:sz w:val="22"/>
          <w:szCs w:val="22"/>
          <w:lang w:eastAsia="da-DK"/>
        </w:rPr>
        <w:t xml:space="preserve">appear clear and colourless. </w:t>
      </w:r>
    </w:p>
    <w:p w:rsidR="00D77859" w:rsidRPr="00853ED7" w:rsidRDefault="00D77859" w:rsidP="001E4495">
      <w:pPr>
        <w:rPr>
          <w:sz w:val="22"/>
          <w:szCs w:val="22"/>
          <w:lang w:eastAsia="da-DK"/>
        </w:rPr>
      </w:pPr>
    </w:p>
    <w:p w:rsidR="006E7061" w:rsidRPr="00853ED7" w:rsidRDefault="006E7061" w:rsidP="0084649C">
      <w:pPr>
        <w:pStyle w:val="Heading4"/>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p>
    <w:p w:rsidR="006E7061" w:rsidRPr="00853ED7" w:rsidRDefault="006E7061" w:rsidP="001E4495">
      <w:pPr>
        <w:rPr>
          <w:sz w:val="22"/>
          <w:szCs w:val="22"/>
          <w:lang w:eastAsia="da-DK"/>
        </w:rPr>
      </w:pPr>
      <w:r w:rsidRPr="00853ED7">
        <w:rPr>
          <w:sz w:val="22"/>
          <w:szCs w:val="22"/>
          <w:lang w:eastAsia="da-DK"/>
        </w:rPr>
        <w:t xml:space="preserve">The carton contains a Consumer Medicine Information package leaflet with instructions for use and handling. </w:t>
      </w:r>
      <w:r w:rsidRPr="00853ED7">
        <w:rPr>
          <w:sz w:val="22"/>
          <w:szCs w:val="22"/>
        </w:rPr>
        <w:t>Please note that insulin is not delivered if the patient reverse dials the insulin pen by returning the dose selector to zero after inserting the needle. Patients should be instructed that insulin injection only occurs when the pushbutton is depressed.</w:t>
      </w:r>
    </w:p>
    <w:p w:rsidR="006E7061" w:rsidRPr="00853ED7" w:rsidRDefault="006E7061" w:rsidP="001E4495">
      <w:pPr>
        <w:rPr>
          <w:sz w:val="22"/>
          <w:szCs w:val="22"/>
        </w:rPr>
      </w:pPr>
    </w:p>
    <w:p w:rsidR="006E7061" w:rsidRPr="00853ED7" w:rsidRDefault="006E7061" w:rsidP="001E4495">
      <w:pPr>
        <w:rPr>
          <w:sz w:val="22"/>
          <w:szCs w:val="22"/>
          <w:lang w:eastAsia="da-DK"/>
        </w:rPr>
      </w:pPr>
      <w:r w:rsidRPr="00853ED7">
        <w:rPr>
          <w:sz w:val="22"/>
          <w:szCs w:val="22"/>
          <w:lang w:eastAsia="da-DK"/>
        </w:rPr>
        <w:t xml:space="preserve">The cartridge inside </w:t>
      </w: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Pr="00853ED7">
        <w:rPr>
          <w:sz w:val="22"/>
          <w:szCs w:val="22"/>
          <w:lang w:eastAsia="da-DK"/>
        </w:rPr>
        <w:t xml:space="preserve"> must not be refilled. </w:t>
      </w:r>
      <w:proofErr w:type="spellStart"/>
      <w:r w:rsidRPr="00853ED7">
        <w:rPr>
          <w:sz w:val="22"/>
          <w:szCs w:val="22"/>
          <w:lang w:eastAsia="da-DK"/>
        </w:rPr>
        <w:t>NovoFine</w:t>
      </w:r>
      <w:proofErr w:type="spellEnd"/>
      <w:r w:rsidRPr="00853ED7">
        <w:rPr>
          <w:sz w:val="22"/>
          <w:szCs w:val="22"/>
          <w:vertAlign w:val="superscript"/>
          <w:lang w:eastAsia="da-DK"/>
        </w:rPr>
        <w:t>®</w:t>
      </w:r>
      <w:r w:rsidRPr="00853ED7">
        <w:rPr>
          <w:sz w:val="22"/>
          <w:szCs w:val="22"/>
          <w:lang w:eastAsia="da-DK"/>
        </w:rPr>
        <w:t xml:space="preserve"> or </w:t>
      </w:r>
      <w:proofErr w:type="spellStart"/>
      <w:r w:rsidRPr="00853ED7">
        <w:rPr>
          <w:sz w:val="22"/>
          <w:szCs w:val="22"/>
          <w:lang w:eastAsia="da-DK"/>
        </w:rPr>
        <w:t>NovoTwist</w:t>
      </w:r>
      <w:proofErr w:type="spellEnd"/>
      <w:r w:rsidRPr="00853ED7">
        <w:rPr>
          <w:sz w:val="22"/>
          <w:szCs w:val="22"/>
          <w:vertAlign w:val="superscript"/>
          <w:lang w:eastAsia="da-DK"/>
        </w:rPr>
        <w:t>®</w:t>
      </w:r>
      <w:r w:rsidRPr="00853ED7">
        <w:rPr>
          <w:sz w:val="22"/>
          <w:szCs w:val="22"/>
          <w:lang w:eastAsia="da-DK"/>
        </w:rPr>
        <w:t xml:space="preserve"> needles up to a length of 8 mm are designed to be used with </w:t>
      </w: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Pr="00853ED7">
        <w:rPr>
          <w:sz w:val="22"/>
          <w:szCs w:val="22"/>
          <w:lang w:eastAsia="da-DK"/>
        </w:rPr>
        <w:t>. The patient should be advised to discard the needle after each injection.</w:t>
      </w:r>
    </w:p>
    <w:p w:rsidR="006E7061" w:rsidRPr="00853ED7" w:rsidRDefault="006E7061" w:rsidP="001E4495">
      <w:pPr>
        <w:rPr>
          <w:sz w:val="22"/>
          <w:szCs w:val="22"/>
          <w:lang w:eastAsia="da-DK"/>
        </w:rPr>
      </w:pPr>
    </w:p>
    <w:p w:rsidR="00D77859" w:rsidRPr="00853ED7" w:rsidRDefault="00D77859" w:rsidP="0084649C">
      <w:pPr>
        <w:pStyle w:val="Heading4"/>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p>
    <w:p w:rsidR="00D77859" w:rsidRPr="00853ED7" w:rsidRDefault="00D77859" w:rsidP="001E4495">
      <w:pPr>
        <w:rPr>
          <w:sz w:val="22"/>
          <w:szCs w:val="22"/>
          <w:lang w:eastAsia="da-DK"/>
        </w:rPr>
      </w:pPr>
      <w:r w:rsidRPr="00853ED7">
        <w:rPr>
          <w:sz w:val="22"/>
          <w:szCs w:val="22"/>
          <w:lang w:eastAsia="da-DK"/>
        </w:rPr>
        <w:t>The carton contains a Consumer Medicine Information package leaflet with instructions for use and handling.  The leaflet refers to the instructions for using the accompanying Novo Nordisk insulin delivery system (durable device for repeated use).</w:t>
      </w:r>
    </w:p>
    <w:p w:rsidR="00D77859" w:rsidRPr="00853ED7" w:rsidRDefault="00D77859" w:rsidP="001E4495">
      <w:pPr>
        <w:rPr>
          <w:sz w:val="22"/>
          <w:szCs w:val="22"/>
        </w:rPr>
      </w:pPr>
    </w:p>
    <w:p w:rsidR="00D77859" w:rsidRPr="00853ED7" w:rsidRDefault="00D77859"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r w:rsidRPr="00853ED7">
        <w:rPr>
          <w:sz w:val="22"/>
          <w:szCs w:val="22"/>
          <w:lang w:eastAsia="da-DK"/>
        </w:rPr>
        <w:t xml:space="preserve"> cartridges must not be refilled. </w:t>
      </w: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r w:rsidRPr="00853ED7">
        <w:rPr>
          <w:sz w:val="22"/>
          <w:szCs w:val="22"/>
          <w:lang w:eastAsia="da-DK"/>
        </w:rPr>
        <w:t xml:space="preserve"> cartridges are designed to be used with Novo Nordisk insulin delivery systems and </w:t>
      </w:r>
      <w:proofErr w:type="spellStart"/>
      <w:r w:rsidRPr="00853ED7">
        <w:rPr>
          <w:sz w:val="22"/>
          <w:szCs w:val="22"/>
          <w:lang w:eastAsia="da-DK"/>
        </w:rPr>
        <w:t>NovoFine</w:t>
      </w:r>
      <w:proofErr w:type="spellEnd"/>
      <w:r w:rsidRPr="00853ED7">
        <w:rPr>
          <w:sz w:val="22"/>
          <w:szCs w:val="22"/>
          <w:lang w:eastAsia="da-DK"/>
        </w:rPr>
        <w:t xml:space="preserve"> </w:t>
      </w:r>
      <w:r w:rsidR="00B43A86" w:rsidRPr="00853ED7">
        <w:rPr>
          <w:sz w:val="22"/>
          <w:szCs w:val="22"/>
          <w:lang w:eastAsia="da-DK"/>
        </w:rPr>
        <w:t xml:space="preserve">or </w:t>
      </w:r>
      <w:proofErr w:type="spellStart"/>
      <w:r w:rsidR="00B43A86" w:rsidRPr="00853ED7">
        <w:rPr>
          <w:sz w:val="22"/>
          <w:szCs w:val="22"/>
          <w:lang w:eastAsia="da-DK"/>
        </w:rPr>
        <w:t>NovoTwist</w:t>
      </w:r>
      <w:proofErr w:type="spellEnd"/>
      <w:r w:rsidR="00B43A86" w:rsidRPr="00853ED7">
        <w:rPr>
          <w:sz w:val="22"/>
          <w:szCs w:val="22"/>
          <w:lang w:eastAsia="da-DK"/>
        </w:rPr>
        <w:t xml:space="preserve"> </w:t>
      </w:r>
      <w:r w:rsidR="006E7061" w:rsidRPr="00853ED7">
        <w:rPr>
          <w:sz w:val="22"/>
          <w:szCs w:val="22"/>
          <w:lang w:eastAsia="da-DK"/>
        </w:rPr>
        <w:t xml:space="preserve">disposable </w:t>
      </w:r>
      <w:r w:rsidRPr="00853ED7">
        <w:rPr>
          <w:sz w:val="22"/>
          <w:szCs w:val="22"/>
          <w:lang w:eastAsia="da-DK"/>
        </w:rPr>
        <w:t>needles. The patient should be advised to discard the needle after each injection.</w:t>
      </w:r>
    </w:p>
    <w:p w:rsidR="00D77859" w:rsidRPr="00853ED7" w:rsidRDefault="00D77859" w:rsidP="001E4495">
      <w:pPr>
        <w:rPr>
          <w:sz w:val="22"/>
          <w:szCs w:val="22"/>
        </w:rPr>
      </w:pPr>
    </w:p>
    <w:p w:rsidR="00D77859" w:rsidRPr="00853ED7" w:rsidRDefault="00D77859" w:rsidP="00653079">
      <w:pPr>
        <w:pStyle w:val="Heading2"/>
        <w:rPr>
          <w:noProof/>
          <w:sz w:val="24"/>
          <w:szCs w:val="24"/>
        </w:rPr>
      </w:pPr>
      <w:r w:rsidRPr="00853ED7">
        <w:rPr>
          <w:noProof/>
          <w:sz w:val="24"/>
          <w:szCs w:val="24"/>
        </w:rPr>
        <w:lastRenderedPageBreak/>
        <w:t>OVERDOSAGE</w:t>
      </w:r>
    </w:p>
    <w:p w:rsidR="00D77859" w:rsidRPr="00853ED7" w:rsidRDefault="00D77859" w:rsidP="001E4495">
      <w:pPr>
        <w:rPr>
          <w:sz w:val="22"/>
          <w:szCs w:val="22"/>
        </w:rPr>
      </w:pPr>
    </w:p>
    <w:p w:rsidR="00D77859" w:rsidRPr="00853ED7" w:rsidRDefault="00D77859" w:rsidP="001E4495">
      <w:pPr>
        <w:rPr>
          <w:sz w:val="22"/>
          <w:szCs w:val="22"/>
          <w:lang w:eastAsia="da-DK"/>
        </w:rPr>
      </w:pPr>
      <w:bookmarkStart w:id="44" w:name="OLE_LINK23"/>
      <w:r w:rsidRPr="00853ED7">
        <w:rPr>
          <w:sz w:val="22"/>
          <w:szCs w:val="22"/>
        </w:rPr>
        <w:t>A specific overdose for insulin cannot be defined, however hypoglycaemia may develop over sequential stages if doses are administered which are too high relative to the patient’s requirements</w:t>
      </w:r>
      <w:r w:rsidRPr="00853ED7">
        <w:rPr>
          <w:sz w:val="22"/>
          <w:szCs w:val="22"/>
          <w:lang w:eastAsia="da-DK"/>
        </w:rPr>
        <w:t>:</w:t>
      </w:r>
    </w:p>
    <w:p w:rsidR="00D77859" w:rsidRPr="00853ED7" w:rsidRDefault="00D77859" w:rsidP="001E4495">
      <w:pPr>
        <w:rPr>
          <w:sz w:val="22"/>
          <w:szCs w:val="22"/>
          <w:lang w:eastAsia="da-DK"/>
        </w:rPr>
      </w:pPr>
    </w:p>
    <w:p w:rsidR="00D77859" w:rsidRPr="00853ED7" w:rsidRDefault="00D77859" w:rsidP="001E4495">
      <w:pPr>
        <w:pStyle w:val="ListBullet"/>
        <w:rPr>
          <w:sz w:val="22"/>
          <w:szCs w:val="22"/>
          <w:lang w:eastAsia="da-DK"/>
        </w:rPr>
      </w:pPr>
      <w:r w:rsidRPr="00853ED7">
        <w:rPr>
          <w:sz w:val="22"/>
          <w:szCs w:val="22"/>
        </w:rPr>
        <w:t xml:space="preserve">Mild hypoglycaemic episodes can be treated by oral administration of glucose or sugary products. It is </w:t>
      </w:r>
      <w:r w:rsidRPr="00853ED7">
        <w:rPr>
          <w:sz w:val="22"/>
          <w:szCs w:val="22"/>
          <w:lang w:eastAsia="da-DK"/>
        </w:rPr>
        <w:t xml:space="preserve">therefore recommended that </w:t>
      </w:r>
      <w:r w:rsidRPr="00853ED7">
        <w:rPr>
          <w:sz w:val="22"/>
          <w:szCs w:val="22"/>
        </w:rPr>
        <w:t>the person with diabetes always carry products containing sugar with them.</w:t>
      </w:r>
      <w:r w:rsidR="00880A7E" w:rsidRPr="00853ED7">
        <w:rPr>
          <w:sz w:val="22"/>
          <w:szCs w:val="22"/>
        </w:rPr>
        <w:t xml:space="preserve"> </w:t>
      </w:r>
      <w:r w:rsidR="006E7061" w:rsidRPr="00853ED7">
        <w:rPr>
          <w:sz w:val="22"/>
          <w:szCs w:val="22"/>
        </w:rPr>
        <w:t>Adjustments in drug dosage or meal patterns</w:t>
      </w:r>
      <w:r w:rsidR="00341CA0" w:rsidRPr="00853ED7">
        <w:rPr>
          <w:sz w:val="22"/>
          <w:szCs w:val="22"/>
        </w:rPr>
        <w:t xml:space="preserve"> may be needed.</w:t>
      </w:r>
    </w:p>
    <w:p w:rsidR="00D77859" w:rsidRPr="00853ED7" w:rsidRDefault="00D77859" w:rsidP="001E4495">
      <w:pPr>
        <w:pStyle w:val="ListBullet"/>
        <w:rPr>
          <w:lang w:eastAsia="da-DK"/>
        </w:rPr>
      </w:pPr>
      <w:r w:rsidRPr="00853ED7">
        <w:rPr>
          <w:sz w:val="22"/>
          <w:szCs w:val="22"/>
          <w:lang w:eastAsia="da-DK"/>
        </w:rPr>
        <w:t xml:space="preserve">Severe hypoglycaemic episodes, where the </w:t>
      </w:r>
      <w:r w:rsidR="000F1896" w:rsidRPr="00853ED7">
        <w:rPr>
          <w:sz w:val="22"/>
          <w:szCs w:val="22"/>
          <w:lang w:eastAsia="da-DK"/>
        </w:rPr>
        <w:t>patient is</w:t>
      </w:r>
      <w:r w:rsidR="00341CA0" w:rsidRPr="00853ED7">
        <w:rPr>
          <w:sz w:val="22"/>
          <w:szCs w:val="22"/>
          <w:lang w:eastAsia="da-DK"/>
        </w:rPr>
        <w:t xml:space="preserve"> not able to treat themselves</w:t>
      </w:r>
      <w:r w:rsidRPr="00853ED7">
        <w:rPr>
          <w:sz w:val="22"/>
          <w:szCs w:val="22"/>
          <w:lang w:eastAsia="da-DK"/>
        </w:rPr>
        <w:t xml:space="preserve">, can be </w:t>
      </w:r>
      <w:r w:rsidR="000F1896" w:rsidRPr="00853ED7">
        <w:rPr>
          <w:sz w:val="22"/>
          <w:szCs w:val="22"/>
          <w:lang w:eastAsia="da-DK"/>
        </w:rPr>
        <w:t>treated with</w:t>
      </w:r>
      <w:r w:rsidR="00341CA0" w:rsidRPr="00853ED7">
        <w:rPr>
          <w:sz w:val="22"/>
          <w:szCs w:val="22"/>
          <w:lang w:eastAsia="da-DK"/>
        </w:rPr>
        <w:t xml:space="preserve"> </w:t>
      </w:r>
      <w:r w:rsidRPr="00853ED7">
        <w:rPr>
          <w:sz w:val="22"/>
          <w:szCs w:val="22"/>
          <w:lang w:eastAsia="da-DK"/>
        </w:rPr>
        <w:t xml:space="preserve">glucagon (0.5 to 1 mg) given intramuscularly or subcutaneously by a trained person, </w:t>
      </w:r>
      <w:r w:rsidR="000F1896" w:rsidRPr="00853ED7">
        <w:rPr>
          <w:sz w:val="22"/>
          <w:szCs w:val="22"/>
          <w:lang w:eastAsia="da-DK"/>
        </w:rPr>
        <w:t>or with</w:t>
      </w:r>
      <w:r w:rsidRPr="00853ED7">
        <w:rPr>
          <w:sz w:val="22"/>
          <w:szCs w:val="22"/>
          <w:lang w:eastAsia="da-DK"/>
        </w:rPr>
        <w:t xml:space="preserve"> glucose given intravenously by a medical professional. Glucose </w:t>
      </w:r>
      <w:r w:rsidR="000F1896" w:rsidRPr="00853ED7">
        <w:rPr>
          <w:sz w:val="22"/>
          <w:szCs w:val="22"/>
          <w:lang w:eastAsia="da-DK"/>
        </w:rPr>
        <w:t>must be</w:t>
      </w:r>
      <w:r w:rsidRPr="00853ED7">
        <w:rPr>
          <w:sz w:val="22"/>
          <w:szCs w:val="22"/>
          <w:lang w:eastAsia="da-DK"/>
        </w:rPr>
        <w:t xml:space="preserve"> given intravenously if the patient does not respond to glucagon within 10 to 15 minutes.</w:t>
      </w:r>
      <w:r w:rsidR="00341CA0" w:rsidRPr="00853ED7">
        <w:rPr>
          <w:sz w:val="22"/>
          <w:szCs w:val="22"/>
          <w:lang w:eastAsia="da-DK"/>
        </w:rPr>
        <w:t xml:space="preserve"> After apparent clinical recovery from hypoglycaemia, continued observation and additional carbohydrate intake may be necessary to avoid recurrence of hypoglycaemia.</w:t>
      </w:r>
    </w:p>
    <w:bookmarkEnd w:id="44"/>
    <w:p w:rsidR="00D77859" w:rsidRPr="00853ED7" w:rsidRDefault="00D77859" w:rsidP="003418A2">
      <w:pPr>
        <w:pStyle w:val="Heading2"/>
        <w:rPr>
          <w:noProof/>
        </w:rPr>
      </w:pPr>
      <w:r w:rsidRPr="003418A2">
        <w:rPr>
          <w:noProof/>
          <w:sz w:val="24"/>
          <w:szCs w:val="24"/>
        </w:rPr>
        <w:t>PRESENTATION AND STORAGE CONDITIONS</w:t>
      </w:r>
    </w:p>
    <w:p w:rsidR="00D77859" w:rsidRPr="00853ED7" w:rsidRDefault="00D77859">
      <w:pPr>
        <w:rPr>
          <w:sz w:val="22"/>
          <w:szCs w:val="22"/>
        </w:rPr>
      </w:pPr>
    </w:p>
    <w:p w:rsidR="00341CA0" w:rsidRPr="00853ED7" w:rsidRDefault="00341CA0" w:rsidP="0084649C">
      <w:pPr>
        <w:pStyle w:val="Heading3"/>
        <w:rPr>
          <w:sz w:val="22"/>
          <w:szCs w:val="22"/>
          <w:lang w:eastAsia="da-DK"/>
        </w:rPr>
      </w:pPr>
      <w:r w:rsidRPr="00853ED7">
        <w:rPr>
          <w:sz w:val="22"/>
          <w:szCs w:val="22"/>
          <w:lang w:eastAsia="da-DK"/>
        </w:rPr>
        <w:t>Presentations</w:t>
      </w:r>
    </w:p>
    <w:p w:rsidR="00D77859" w:rsidRPr="00853ED7" w:rsidRDefault="0084649C"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contains</w:t>
      </w:r>
      <w:r w:rsidR="00961263" w:rsidRPr="00853ED7">
        <w:rPr>
          <w:sz w:val="22"/>
          <w:szCs w:val="22"/>
          <w:lang w:eastAsia="da-DK"/>
        </w:rPr>
        <w:t xml:space="preserve"> insulin </w:t>
      </w:r>
      <w:proofErr w:type="spellStart"/>
      <w:r w:rsidR="00961263" w:rsidRPr="00853ED7">
        <w:rPr>
          <w:sz w:val="22"/>
          <w:szCs w:val="22"/>
          <w:lang w:eastAsia="da-DK"/>
        </w:rPr>
        <w:t>detemir</w:t>
      </w:r>
      <w:proofErr w:type="spellEnd"/>
      <w:r w:rsidR="00961263" w:rsidRPr="00853ED7">
        <w:rPr>
          <w:sz w:val="22"/>
          <w:szCs w:val="22"/>
          <w:lang w:eastAsia="da-DK"/>
        </w:rPr>
        <w:t xml:space="preserve"> 100 U/</w:t>
      </w:r>
      <w:proofErr w:type="spellStart"/>
      <w:r w:rsidR="00961263" w:rsidRPr="00853ED7">
        <w:rPr>
          <w:sz w:val="22"/>
          <w:szCs w:val="22"/>
          <w:lang w:eastAsia="da-DK"/>
        </w:rPr>
        <w:t>mL.</w:t>
      </w:r>
      <w:proofErr w:type="spellEnd"/>
      <w:r w:rsidR="00961263" w:rsidRPr="00853ED7">
        <w:rPr>
          <w:sz w:val="22"/>
          <w:szCs w:val="22"/>
          <w:lang w:eastAsia="da-DK"/>
        </w:rPr>
        <w:t xml:space="preserve"> </w:t>
      </w:r>
      <w:r w:rsidR="00D77859" w:rsidRPr="00853ED7">
        <w:rPr>
          <w:sz w:val="22"/>
          <w:szCs w:val="22"/>
          <w:lang w:eastAsia="da-DK"/>
        </w:rPr>
        <w:t xml:space="preserve">The following presentations are </w:t>
      </w:r>
      <w:r w:rsidR="00BD13B0" w:rsidRPr="00853ED7">
        <w:rPr>
          <w:sz w:val="22"/>
          <w:szCs w:val="22"/>
          <w:lang w:eastAsia="da-DK"/>
        </w:rPr>
        <w:t>available</w:t>
      </w:r>
      <w:r w:rsidR="0006464A">
        <w:rPr>
          <w:sz w:val="22"/>
          <w:szCs w:val="22"/>
          <w:lang w:eastAsia="da-DK"/>
        </w:rPr>
        <w:t>:</w:t>
      </w:r>
    </w:p>
    <w:p w:rsidR="00D77859" w:rsidRPr="00853ED7" w:rsidRDefault="00D77859" w:rsidP="001E4495">
      <w:pPr>
        <w:rPr>
          <w:sz w:val="22"/>
          <w:szCs w:val="22"/>
        </w:rPr>
      </w:pPr>
    </w:p>
    <w:p w:rsidR="00341CA0" w:rsidRPr="00853ED7" w:rsidRDefault="00341CA0" w:rsidP="0084649C">
      <w:pPr>
        <w:pStyle w:val="Heading4"/>
        <w:rPr>
          <w:noProof/>
          <w:sz w:val="22"/>
          <w:szCs w:val="22"/>
        </w:rPr>
      </w:pPr>
      <w:proofErr w:type="spellStart"/>
      <w:r w:rsidRPr="00853ED7">
        <w:rPr>
          <w:sz w:val="22"/>
          <w:szCs w:val="22"/>
        </w:rPr>
        <w:t>Levemir</w:t>
      </w:r>
      <w:proofErr w:type="spellEnd"/>
      <w:r w:rsidRPr="00853ED7">
        <w:rPr>
          <w:noProof/>
          <w:sz w:val="22"/>
          <w:szCs w:val="22"/>
        </w:rPr>
        <w:t xml:space="preserve"> FlexPen</w:t>
      </w:r>
    </w:p>
    <w:p w:rsidR="00341CA0" w:rsidRPr="00853ED7" w:rsidRDefault="00341CA0"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Pr="00853ED7">
        <w:rPr>
          <w:sz w:val="22"/>
          <w:szCs w:val="22"/>
          <w:lang w:eastAsia="da-DK"/>
        </w:rPr>
        <w:t xml:space="preserve"> is a pre-filled, </w:t>
      </w:r>
      <w:proofErr w:type="spellStart"/>
      <w:r w:rsidRPr="00853ED7">
        <w:rPr>
          <w:sz w:val="22"/>
          <w:szCs w:val="22"/>
          <w:lang w:eastAsia="da-DK"/>
        </w:rPr>
        <w:t>multidose</w:t>
      </w:r>
      <w:proofErr w:type="spellEnd"/>
      <w:r w:rsidRPr="00853ED7">
        <w:rPr>
          <w:sz w:val="22"/>
          <w:szCs w:val="22"/>
          <w:lang w:eastAsia="da-DK"/>
        </w:rPr>
        <w:t xml:space="preserve">, disposable syringe consisting of a pen injector and a 3mL cartridge.  The cartridge is made of glass, contains a </w:t>
      </w:r>
      <w:proofErr w:type="spellStart"/>
      <w:r w:rsidRPr="00853ED7">
        <w:rPr>
          <w:sz w:val="22"/>
          <w:szCs w:val="22"/>
          <w:lang w:eastAsia="da-DK"/>
        </w:rPr>
        <w:t>bromobutyl</w:t>
      </w:r>
      <w:proofErr w:type="spellEnd"/>
      <w:r w:rsidRPr="00853ED7">
        <w:rPr>
          <w:sz w:val="22"/>
          <w:szCs w:val="22"/>
          <w:lang w:eastAsia="da-DK"/>
        </w:rPr>
        <w:t xml:space="preserve"> rubber piston and is closed with a latex-free </w:t>
      </w:r>
      <w:proofErr w:type="spellStart"/>
      <w:r w:rsidRPr="00853ED7">
        <w:rPr>
          <w:sz w:val="22"/>
          <w:szCs w:val="22"/>
          <w:lang w:eastAsia="da-DK"/>
        </w:rPr>
        <w:t>bromobutyl</w:t>
      </w:r>
      <w:proofErr w:type="spellEnd"/>
      <w:r w:rsidRPr="00853ED7">
        <w:rPr>
          <w:sz w:val="22"/>
          <w:szCs w:val="22"/>
          <w:lang w:eastAsia="da-DK"/>
        </w:rPr>
        <w:t xml:space="preserve">/polyisoprene rubber disc. The pen injector is made of plastic (polypropylene, POM). Five </w:t>
      </w: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Pr="00853ED7">
        <w:rPr>
          <w:sz w:val="22"/>
          <w:szCs w:val="22"/>
          <w:lang w:eastAsia="da-DK"/>
        </w:rPr>
        <w:t xml:space="preserve"> are packed in a carton.</w:t>
      </w:r>
    </w:p>
    <w:p w:rsidR="00341CA0" w:rsidRPr="00853ED7" w:rsidRDefault="00341CA0" w:rsidP="001E4495">
      <w:pPr>
        <w:rPr>
          <w:sz w:val="22"/>
          <w:szCs w:val="22"/>
        </w:rPr>
      </w:pPr>
    </w:p>
    <w:p w:rsidR="00D77859" w:rsidRPr="00853ED7" w:rsidRDefault="00D77859" w:rsidP="0084649C">
      <w:pPr>
        <w:pStyle w:val="Heading4"/>
        <w:rPr>
          <w:noProof/>
          <w:sz w:val="22"/>
          <w:szCs w:val="22"/>
        </w:rPr>
      </w:pPr>
      <w:proofErr w:type="spellStart"/>
      <w:r w:rsidRPr="00853ED7">
        <w:rPr>
          <w:sz w:val="22"/>
          <w:szCs w:val="22"/>
        </w:rPr>
        <w:t>Levemir</w:t>
      </w:r>
      <w:proofErr w:type="spellEnd"/>
      <w:r w:rsidRPr="00853ED7">
        <w:rPr>
          <w:sz w:val="22"/>
          <w:szCs w:val="22"/>
        </w:rPr>
        <w:t xml:space="preserve"> </w:t>
      </w:r>
      <w:r w:rsidRPr="00853ED7">
        <w:rPr>
          <w:noProof/>
          <w:sz w:val="22"/>
          <w:szCs w:val="22"/>
        </w:rPr>
        <w:t>Penfill</w:t>
      </w:r>
    </w:p>
    <w:p w:rsidR="00D77859" w:rsidRPr="00853ED7" w:rsidRDefault="00D77859"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r w:rsidRPr="00853ED7">
        <w:rPr>
          <w:sz w:val="22"/>
          <w:szCs w:val="22"/>
          <w:lang w:eastAsia="da-DK"/>
        </w:rPr>
        <w:t xml:space="preserve"> is a 3mL cartridge made of glass, containing a </w:t>
      </w:r>
      <w:proofErr w:type="spellStart"/>
      <w:r w:rsidRPr="00853ED7">
        <w:rPr>
          <w:sz w:val="22"/>
          <w:szCs w:val="22"/>
          <w:lang w:eastAsia="da-DK"/>
        </w:rPr>
        <w:t>bromobutyl</w:t>
      </w:r>
      <w:proofErr w:type="spellEnd"/>
      <w:r w:rsidRPr="00853ED7">
        <w:rPr>
          <w:sz w:val="22"/>
          <w:szCs w:val="22"/>
          <w:lang w:eastAsia="da-DK"/>
        </w:rPr>
        <w:t xml:space="preserve"> rubber piston and closed with a latex-free </w:t>
      </w:r>
      <w:proofErr w:type="spellStart"/>
      <w:r w:rsidRPr="00853ED7">
        <w:rPr>
          <w:sz w:val="22"/>
          <w:szCs w:val="22"/>
          <w:lang w:eastAsia="da-DK"/>
        </w:rPr>
        <w:t>bromobutyl</w:t>
      </w:r>
      <w:proofErr w:type="spellEnd"/>
      <w:r w:rsidRPr="00853ED7">
        <w:rPr>
          <w:sz w:val="22"/>
          <w:szCs w:val="22"/>
          <w:lang w:eastAsia="da-DK"/>
        </w:rPr>
        <w:t xml:space="preserve">/polyisoprene rubber disc.  Five </w:t>
      </w: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r w:rsidRPr="00853ED7">
        <w:rPr>
          <w:sz w:val="22"/>
          <w:szCs w:val="22"/>
          <w:lang w:eastAsia="da-DK"/>
        </w:rPr>
        <w:t xml:space="preserve"> cartridges are packed in a carton.</w:t>
      </w:r>
    </w:p>
    <w:p w:rsidR="00D77859" w:rsidRPr="00853ED7" w:rsidRDefault="00D77859" w:rsidP="001E4495">
      <w:pPr>
        <w:rPr>
          <w:sz w:val="22"/>
          <w:szCs w:val="22"/>
        </w:rPr>
      </w:pPr>
    </w:p>
    <w:p w:rsidR="00341CA0" w:rsidRPr="00853ED7" w:rsidRDefault="00341CA0" w:rsidP="0084649C">
      <w:pPr>
        <w:pStyle w:val="Heading3"/>
        <w:rPr>
          <w:sz w:val="22"/>
          <w:szCs w:val="22"/>
          <w:lang w:eastAsia="da-DK"/>
        </w:rPr>
      </w:pPr>
      <w:r w:rsidRPr="00853ED7">
        <w:rPr>
          <w:sz w:val="22"/>
          <w:szCs w:val="22"/>
          <w:lang w:eastAsia="da-DK"/>
        </w:rPr>
        <w:t>Storage conditions</w:t>
      </w:r>
    </w:p>
    <w:p w:rsidR="00341CA0" w:rsidRPr="00853ED7" w:rsidRDefault="00341CA0" w:rsidP="0084649C">
      <w:pPr>
        <w:pStyle w:val="Heading4"/>
        <w:rPr>
          <w:sz w:val="22"/>
          <w:szCs w:val="22"/>
          <w:u w:val="single"/>
          <w:lang w:eastAsia="da-DK"/>
        </w:rPr>
      </w:pPr>
      <w:r w:rsidRPr="00853ED7">
        <w:rPr>
          <w:sz w:val="22"/>
          <w:szCs w:val="22"/>
          <w:u w:val="single"/>
          <w:lang w:eastAsia="da-DK"/>
        </w:rPr>
        <w:t>Before use:</w:t>
      </w:r>
    </w:p>
    <w:p w:rsidR="00D77859" w:rsidRPr="00853ED7" w:rsidRDefault="00D77859"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r w:rsidR="00341CA0" w:rsidRPr="00853ED7">
        <w:rPr>
          <w:sz w:val="22"/>
          <w:szCs w:val="22"/>
          <w:lang w:eastAsia="da-DK"/>
        </w:rPr>
        <w:t>products</w:t>
      </w:r>
      <w:r w:rsidRPr="00853ED7">
        <w:rPr>
          <w:sz w:val="22"/>
          <w:szCs w:val="22"/>
          <w:lang w:eastAsia="da-DK"/>
        </w:rPr>
        <w:t xml:space="preserve"> should be stored </w:t>
      </w:r>
      <w:r w:rsidR="00847A04" w:rsidRPr="00853ED7">
        <w:rPr>
          <w:sz w:val="22"/>
          <w:szCs w:val="22"/>
          <w:lang w:eastAsia="da-DK"/>
        </w:rPr>
        <w:t xml:space="preserve">in a refrigerator </w:t>
      </w:r>
      <w:r w:rsidRPr="00853ED7">
        <w:rPr>
          <w:sz w:val="22"/>
          <w:szCs w:val="22"/>
          <w:lang w:eastAsia="da-DK"/>
        </w:rPr>
        <w:t xml:space="preserve">between 2°C and 8°C.  </w:t>
      </w:r>
      <w:r w:rsidR="00341CA0" w:rsidRPr="00853ED7">
        <w:rPr>
          <w:sz w:val="22"/>
          <w:szCs w:val="22"/>
          <w:lang w:eastAsia="da-DK"/>
        </w:rPr>
        <w:t xml:space="preserve">Keep away from the cooling element. </w:t>
      </w:r>
      <w:r w:rsidRPr="00853ED7">
        <w:rPr>
          <w:sz w:val="22"/>
          <w:szCs w:val="22"/>
          <w:lang w:eastAsia="da-DK"/>
        </w:rPr>
        <w:t>Do not freeze.</w:t>
      </w:r>
    </w:p>
    <w:p w:rsidR="00BE6435" w:rsidRPr="00853ED7" w:rsidRDefault="00BE6435" w:rsidP="001E4495">
      <w:pPr>
        <w:rPr>
          <w:sz w:val="22"/>
          <w:szCs w:val="22"/>
          <w:lang w:eastAsia="da-DK"/>
        </w:rPr>
      </w:pPr>
    </w:p>
    <w:p w:rsidR="00341CA0" w:rsidRPr="00853ED7" w:rsidRDefault="00341CA0" w:rsidP="00BE6435">
      <w:pPr>
        <w:pStyle w:val="Heading4"/>
        <w:rPr>
          <w:sz w:val="22"/>
          <w:szCs w:val="22"/>
          <w:u w:val="single"/>
          <w:lang w:eastAsia="da-DK"/>
        </w:rPr>
      </w:pPr>
      <w:r w:rsidRPr="00853ED7">
        <w:rPr>
          <w:sz w:val="22"/>
          <w:szCs w:val="22"/>
          <w:u w:val="single"/>
          <w:lang w:eastAsia="da-DK"/>
        </w:rPr>
        <w:t>In use or carried as a spare:</w:t>
      </w:r>
    </w:p>
    <w:p w:rsidR="00D77859" w:rsidRPr="00853ED7" w:rsidRDefault="00D77859" w:rsidP="001E4495">
      <w:pPr>
        <w:rPr>
          <w:sz w:val="22"/>
          <w:szCs w:val="22"/>
        </w:rPr>
      </w:pPr>
      <w:proofErr w:type="spellStart"/>
      <w:r w:rsidRPr="00853ED7">
        <w:rPr>
          <w:sz w:val="22"/>
          <w:szCs w:val="22"/>
          <w:lang w:eastAsia="da-DK"/>
        </w:rPr>
        <w:t>Levemir</w:t>
      </w:r>
      <w:proofErr w:type="spellEnd"/>
      <w:r w:rsidRPr="00853ED7">
        <w:rPr>
          <w:sz w:val="22"/>
          <w:szCs w:val="22"/>
          <w:lang w:eastAsia="da-DK"/>
        </w:rPr>
        <w:t xml:space="preserve"> products in use or carried as spares should be kept at ambient temperature (at or below 30°C) for up</w:t>
      </w:r>
      <w:r w:rsidRPr="00853ED7">
        <w:rPr>
          <w:sz w:val="22"/>
          <w:szCs w:val="22"/>
        </w:rPr>
        <w:t xml:space="preserve"> to 4 weeks, but any remainder must then be discarded. They should not be </w:t>
      </w:r>
      <w:r w:rsidRPr="00853ED7">
        <w:rPr>
          <w:sz w:val="22"/>
          <w:szCs w:val="22"/>
          <w:lang w:eastAsia="da-DK"/>
        </w:rPr>
        <w:t>exposed</w:t>
      </w:r>
      <w:r w:rsidRPr="00853ED7">
        <w:rPr>
          <w:sz w:val="22"/>
          <w:szCs w:val="22"/>
        </w:rPr>
        <w:t xml:space="preserve"> to excessive heat or light.</w:t>
      </w:r>
    </w:p>
    <w:p w:rsidR="00341CA0" w:rsidRPr="00853ED7" w:rsidRDefault="00341CA0" w:rsidP="001E4495">
      <w:pPr>
        <w:rPr>
          <w:sz w:val="22"/>
          <w:szCs w:val="22"/>
        </w:rPr>
      </w:pPr>
    </w:p>
    <w:p w:rsidR="00341CA0" w:rsidRPr="00853ED7" w:rsidRDefault="00341CA0"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FlexPen</w:t>
      </w:r>
      <w:proofErr w:type="spellEnd"/>
      <w:r w:rsidRPr="00853ED7">
        <w:rPr>
          <w:sz w:val="22"/>
          <w:szCs w:val="22"/>
          <w:lang w:eastAsia="da-DK"/>
        </w:rPr>
        <w:t>: Keep the pen cap on when not in use in order to protect from light.</w:t>
      </w:r>
    </w:p>
    <w:p w:rsidR="00341CA0" w:rsidRPr="00853ED7" w:rsidRDefault="00341CA0" w:rsidP="001E4495">
      <w:pPr>
        <w:rPr>
          <w:sz w:val="22"/>
          <w:szCs w:val="22"/>
          <w:lang w:eastAsia="da-DK"/>
        </w:rPr>
      </w:pPr>
      <w:proofErr w:type="spellStart"/>
      <w:r w:rsidRPr="00853ED7">
        <w:rPr>
          <w:sz w:val="22"/>
          <w:szCs w:val="22"/>
          <w:lang w:eastAsia="da-DK"/>
        </w:rPr>
        <w:t>Levemir</w:t>
      </w:r>
      <w:proofErr w:type="spellEnd"/>
      <w:r w:rsidRPr="00853ED7">
        <w:rPr>
          <w:sz w:val="22"/>
          <w:szCs w:val="22"/>
          <w:lang w:eastAsia="da-DK"/>
        </w:rPr>
        <w:t xml:space="preserve"> </w:t>
      </w:r>
      <w:proofErr w:type="spellStart"/>
      <w:r w:rsidRPr="00853ED7">
        <w:rPr>
          <w:sz w:val="22"/>
          <w:szCs w:val="22"/>
          <w:lang w:eastAsia="da-DK"/>
        </w:rPr>
        <w:t>Penfill</w:t>
      </w:r>
      <w:proofErr w:type="spellEnd"/>
      <w:r w:rsidRPr="00853ED7">
        <w:rPr>
          <w:sz w:val="22"/>
          <w:szCs w:val="22"/>
          <w:lang w:eastAsia="da-DK"/>
        </w:rPr>
        <w:t>: Keep the cartridges in the outer carton in order to protect from light.</w:t>
      </w:r>
    </w:p>
    <w:p w:rsidR="00D77859" w:rsidRPr="00853ED7" w:rsidRDefault="00D77859" w:rsidP="001E4495">
      <w:pPr>
        <w:rPr>
          <w:sz w:val="22"/>
          <w:szCs w:val="22"/>
        </w:rPr>
      </w:pPr>
    </w:p>
    <w:p w:rsidR="00D77859" w:rsidRPr="00853ED7" w:rsidRDefault="00D77859" w:rsidP="00653079">
      <w:pPr>
        <w:pStyle w:val="Heading2"/>
        <w:rPr>
          <w:noProof/>
          <w:sz w:val="24"/>
          <w:szCs w:val="24"/>
        </w:rPr>
      </w:pPr>
      <w:r w:rsidRPr="00853ED7">
        <w:rPr>
          <w:noProof/>
          <w:sz w:val="24"/>
          <w:szCs w:val="24"/>
        </w:rPr>
        <w:t xml:space="preserve">NAME AND ADDRESS OF </w:t>
      </w:r>
      <w:r w:rsidR="00341CA0" w:rsidRPr="00853ED7">
        <w:rPr>
          <w:noProof/>
          <w:sz w:val="24"/>
          <w:szCs w:val="24"/>
        </w:rPr>
        <w:t xml:space="preserve">THE </w:t>
      </w:r>
      <w:r w:rsidRPr="00853ED7">
        <w:rPr>
          <w:noProof/>
          <w:sz w:val="24"/>
          <w:szCs w:val="24"/>
        </w:rPr>
        <w:t>SPONSOR</w:t>
      </w:r>
    </w:p>
    <w:p w:rsidR="00D77859" w:rsidRPr="00186DDC" w:rsidRDefault="00D77859" w:rsidP="0084649C">
      <w:pPr>
        <w:rPr>
          <w:sz w:val="22"/>
        </w:rPr>
      </w:pPr>
    </w:p>
    <w:p w:rsidR="00D77859" w:rsidRPr="00853ED7" w:rsidRDefault="00D77859" w:rsidP="0084649C">
      <w:pPr>
        <w:rPr>
          <w:b/>
          <w:bCs/>
          <w:i/>
          <w:sz w:val="22"/>
          <w:szCs w:val="22"/>
        </w:rPr>
      </w:pPr>
      <w:r w:rsidRPr="00853ED7">
        <w:rPr>
          <w:b/>
          <w:bCs/>
          <w:i/>
          <w:sz w:val="22"/>
          <w:szCs w:val="22"/>
        </w:rPr>
        <w:t>Novo Nordisk Pharmaceuticals Pty Limited</w:t>
      </w:r>
    </w:p>
    <w:p w:rsidR="00D77859" w:rsidRPr="00853ED7" w:rsidRDefault="00D77859" w:rsidP="0084649C">
      <w:pPr>
        <w:rPr>
          <w:sz w:val="22"/>
          <w:szCs w:val="22"/>
        </w:rPr>
      </w:pPr>
      <w:r w:rsidRPr="00853ED7">
        <w:rPr>
          <w:sz w:val="22"/>
          <w:szCs w:val="22"/>
        </w:rPr>
        <w:t>Level 3, 21 Solent Circuit,</w:t>
      </w:r>
    </w:p>
    <w:p w:rsidR="00D77859" w:rsidRPr="00853ED7" w:rsidRDefault="00D77859" w:rsidP="0084649C">
      <w:pPr>
        <w:rPr>
          <w:sz w:val="22"/>
          <w:szCs w:val="22"/>
        </w:rPr>
      </w:pPr>
      <w:r w:rsidRPr="00853ED7">
        <w:rPr>
          <w:sz w:val="22"/>
          <w:szCs w:val="22"/>
        </w:rPr>
        <w:t>Baulkham Hills,</w:t>
      </w:r>
    </w:p>
    <w:p w:rsidR="00D77859" w:rsidRPr="00853ED7" w:rsidRDefault="00D77859" w:rsidP="0084649C">
      <w:pPr>
        <w:rPr>
          <w:sz w:val="22"/>
          <w:szCs w:val="22"/>
        </w:rPr>
      </w:pPr>
      <w:r w:rsidRPr="00853ED7">
        <w:rPr>
          <w:sz w:val="22"/>
          <w:szCs w:val="22"/>
        </w:rPr>
        <w:t>NSW 2153,</w:t>
      </w:r>
    </w:p>
    <w:p w:rsidR="00D77859" w:rsidRPr="00853ED7" w:rsidRDefault="00D77859" w:rsidP="0084649C">
      <w:pPr>
        <w:rPr>
          <w:sz w:val="22"/>
          <w:szCs w:val="22"/>
        </w:rPr>
      </w:pPr>
      <w:r w:rsidRPr="00853ED7">
        <w:rPr>
          <w:sz w:val="22"/>
          <w:szCs w:val="22"/>
        </w:rPr>
        <w:t>Australia.</w:t>
      </w:r>
    </w:p>
    <w:p w:rsidR="00D77859" w:rsidRPr="00853ED7" w:rsidRDefault="00D77859">
      <w:pPr>
        <w:rPr>
          <w:sz w:val="22"/>
          <w:szCs w:val="22"/>
        </w:rPr>
      </w:pPr>
    </w:p>
    <w:p w:rsidR="00D77859" w:rsidRPr="00853ED7" w:rsidRDefault="00D77859" w:rsidP="00653079">
      <w:pPr>
        <w:pStyle w:val="Heading2"/>
        <w:rPr>
          <w:noProof/>
          <w:sz w:val="24"/>
          <w:szCs w:val="24"/>
        </w:rPr>
      </w:pPr>
      <w:r w:rsidRPr="00853ED7">
        <w:rPr>
          <w:noProof/>
          <w:sz w:val="24"/>
          <w:szCs w:val="24"/>
        </w:rPr>
        <w:t>POISON SCHEDULE OF THE MEDICINE</w:t>
      </w:r>
    </w:p>
    <w:p w:rsidR="00D77859" w:rsidRPr="00853ED7" w:rsidRDefault="00D77859" w:rsidP="001E4495">
      <w:pPr>
        <w:rPr>
          <w:noProof/>
          <w:sz w:val="22"/>
          <w:szCs w:val="22"/>
        </w:rPr>
      </w:pPr>
    </w:p>
    <w:p w:rsidR="00D77859" w:rsidRPr="00853ED7" w:rsidRDefault="00D77859" w:rsidP="001E4495">
      <w:pPr>
        <w:rPr>
          <w:noProof/>
          <w:sz w:val="22"/>
          <w:szCs w:val="22"/>
        </w:rPr>
      </w:pPr>
      <w:r w:rsidRPr="00853ED7">
        <w:rPr>
          <w:noProof/>
          <w:sz w:val="22"/>
          <w:szCs w:val="22"/>
        </w:rPr>
        <w:t>S4</w:t>
      </w:r>
    </w:p>
    <w:p w:rsidR="00D77859" w:rsidRPr="00853ED7" w:rsidRDefault="00D77859" w:rsidP="001E4495">
      <w:pPr>
        <w:rPr>
          <w:noProof/>
          <w:sz w:val="22"/>
          <w:szCs w:val="22"/>
        </w:rPr>
      </w:pPr>
    </w:p>
    <w:p w:rsidR="00D77859" w:rsidRPr="00853ED7" w:rsidRDefault="00D77859" w:rsidP="00653079">
      <w:pPr>
        <w:pStyle w:val="Heading2"/>
        <w:rPr>
          <w:noProof/>
          <w:sz w:val="24"/>
          <w:szCs w:val="24"/>
        </w:rPr>
      </w:pPr>
      <w:r w:rsidRPr="00853ED7">
        <w:rPr>
          <w:noProof/>
          <w:sz w:val="24"/>
          <w:szCs w:val="24"/>
        </w:rPr>
        <w:lastRenderedPageBreak/>
        <w:t xml:space="preserve">DATE OF </w:t>
      </w:r>
      <w:r w:rsidR="00341CA0" w:rsidRPr="00853ED7">
        <w:rPr>
          <w:noProof/>
          <w:sz w:val="24"/>
          <w:szCs w:val="24"/>
        </w:rPr>
        <w:t>FIRST INCLUSION IN THE AUSTRALIAN REGISTER OF THERAPEUTIC GOODS (the ARTG)</w:t>
      </w:r>
    </w:p>
    <w:p w:rsidR="00D77859" w:rsidRPr="00853ED7" w:rsidRDefault="00D77859" w:rsidP="001E4495">
      <w:pPr>
        <w:rPr>
          <w:noProof/>
          <w:sz w:val="22"/>
          <w:szCs w:val="22"/>
        </w:rPr>
      </w:pPr>
    </w:p>
    <w:p w:rsidR="00D77859" w:rsidRPr="00853ED7" w:rsidRDefault="00166598" w:rsidP="001E4495">
      <w:pPr>
        <w:rPr>
          <w:bCs/>
          <w:sz w:val="22"/>
          <w:szCs w:val="22"/>
        </w:rPr>
      </w:pPr>
      <w:r w:rsidRPr="00166598">
        <w:rPr>
          <w:bCs/>
          <w:sz w:val="22"/>
          <w:szCs w:val="22"/>
        </w:rPr>
        <w:t>9 September 2011</w:t>
      </w:r>
    </w:p>
    <w:p w:rsidR="00341CA0" w:rsidRPr="00853ED7" w:rsidRDefault="00341CA0" w:rsidP="001E4495">
      <w:pPr>
        <w:rPr>
          <w:bCs/>
          <w:sz w:val="22"/>
          <w:szCs w:val="22"/>
        </w:rPr>
      </w:pPr>
    </w:p>
    <w:p w:rsidR="00341CA0" w:rsidRPr="00853ED7" w:rsidRDefault="00341CA0" w:rsidP="00653079">
      <w:pPr>
        <w:pStyle w:val="Heading2"/>
        <w:rPr>
          <w:sz w:val="24"/>
          <w:szCs w:val="24"/>
        </w:rPr>
      </w:pPr>
      <w:r w:rsidRPr="00853ED7">
        <w:rPr>
          <w:sz w:val="24"/>
          <w:szCs w:val="24"/>
        </w:rPr>
        <w:t>DATE OF MOST RECENT AMENDMENT</w:t>
      </w:r>
    </w:p>
    <w:p w:rsidR="00341CA0" w:rsidRPr="00853ED7" w:rsidRDefault="00341CA0" w:rsidP="001E4495">
      <w:pPr>
        <w:rPr>
          <w:sz w:val="22"/>
          <w:szCs w:val="22"/>
        </w:rPr>
      </w:pPr>
    </w:p>
    <w:p w:rsidR="00341CA0" w:rsidRPr="001E4495" w:rsidRDefault="0001118A" w:rsidP="001E4495">
      <w:pPr>
        <w:rPr>
          <w:sz w:val="22"/>
          <w:szCs w:val="22"/>
        </w:rPr>
      </w:pPr>
      <w:r>
        <w:rPr>
          <w:sz w:val="22"/>
          <w:szCs w:val="22"/>
        </w:rPr>
        <w:t>16 October 2013</w:t>
      </w:r>
    </w:p>
    <w:sectPr w:rsidR="00341CA0" w:rsidRPr="001E4495" w:rsidSect="00AA2DF1">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426"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D7" w:rsidRDefault="00CA41D7">
      <w:r>
        <w:separator/>
      </w:r>
    </w:p>
  </w:endnote>
  <w:endnote w:type="continuationSeparator" w:id="0">
    <w:p w:rsidR="00CA41D7" w:rsidRDefault="00CA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5D" w:rsidRDefault="00A95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5D" w:rsidRDefault="00A95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5D" w:rsidRDefault="00A95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D7" w:rsidRDefault="00CA41D7">
      <w:r>
        <w:separator/>
      </w:r>
    </w:p>
  </w:footnote>
  <w:footnote w:type="continuationSeparator" w:id="0">
    <w:p w:rsidR="00CA41D7" w:rsidRDefault="00CA4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5D" w:rsidRDefault="00A95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5D" w:rsidRPr="00D361CA" w:rsidRDefault="00A95C5D" w:rsidP="00A95C5D">
    <w:pPr>
      <w:pBdr>
        <w:top w:val="single" w:sz="4" w:space="1" w:color="auto"/>
        <w:left w:val="single" w:sz="4" w:space="4" w:color="auto"/>
        <w:bottom w:val="single" w:sz="4" w:space="1" w:color="auto"/>
        <w:right w:val="single" w:sz="4" w:space="4" w:color="auto"/>
      </w:pBdr>
      <w:shd w:val="clear" w:color="auto" w:fill="E4F2E0"/>
      <w:spacing w:before="40" w:after="40"/>
      <w:jc w:val="left"/>
      <w:rPr>
        <w:b/>
        <w:sz w:val="20"/>
      </w:rPr>
    </w:pPr>
    <w:r w:rsidRPr="00D361CA">
      <w:rPr>
        <w:b/>
        <w:sz w:val="20"/>
      </w:rPr>
      <w:t xml:space="preserve">Attachment 1: Product information for </w:t>
    </w:r>
    <w:proofErr w:type="spellStart"/>
    <w:r w:rsidRPr="00A95C5D">
      <w:rPr>
        <w:b/>
        <w:sz w:val="20"/>
      </w:rPr>
      <w:t>AusPAR</w:t>
    </w:r>
    <w:proofErr w:type="spellEnd"/>
    <w:r w:rsidRPr="00A95C5D">
      <w:rPr>
        <w:b/>
        <w:sz w:val="20"/>
      </w:rPr>
      <w:t xml:space="preserve"> </w:t>
    </w:r>
    <w:proofErr w:type="spellStart"/>
    <w:r w:rsidRPr="00A95C5D">
      <w:rPr>
        <w:b/>
        <w:sz w:val="20"/>
      </w:rPr>
      <w:t>Levemir</w:t>
    </w:r>
    <w:proofErr w:type="spellEnd"/>
    <w:r w:rsidRPr="00A95C5D">
      <w:rPr>
        <w:b/>
        <w:sz w:val="20"/>
      </w:rPr>
      <w:t xml:space="preserve"> Insulin </w:t>
    </w:r>
    <w:proofErr w:type="spellStart"/>
    <w:r w:rsidRPr="00A95C5D">
      <w:rPr>
        <w:b/>
        <w:sz w:val="20"/>
      </w:rPr>
      <w:t>detemir</w:t>
    </w:r>
    <w:proofErr w:type="spellEnd"/>
    <w:r w:rsidRPr="00A95C5D">
      <w:rPr>
        <w:b/>
        <w:sz w:val="20"/>
      </w:rPr>
      <w:t xml:space="preserve"> (</w:t>
    </w:r>
    <w:proofErr w:type="spellStart"/>
    <w:r w:rsidRPr="00A95C5D">
      <w:rPr>
        <w:b/>
        <w:sz w:val="20"/>
      </w:rPr>
      <w:t>rys</w:t>
    </w:r>
    <w:proofErr w:type="spellEnd"/>
    <w:r w:rsidRPr="00A95C5D">
      <w:rPr>
        <w:b/>
        <w:sz w:val="20"/>
      </w:rPr>
      <w:t>) Novo Nordisk Pharmaceuticals</w:t>
    </w:r>
    <w:r>
      <w:rPr>
        <w:b/>
        <w:sz w:val="20"/>
      </w:rPr>
      <w:t xml:space="preserve"> </w:t>
    </w:r>
    <w:r w:rsidRPr="00A95C5D">
      <w:rPr>
        <w:b/>
        <w:sz w:val="20"/>
      </w:rPr>
      <w:t>PM-2012-02256-3-5 Final 28 March 2014</w:t>
    </w:r>
    <w:r w:rsidRPr="00D361CA">
      <w:rPr>
        <w:b/>
        <w:sz w:val="20"/>
      </w:rPr>
      <w:t>. This Product Informatio</w:t>
    </w:r>
    <w:bookmarkStart w:id="45" w:name="_GoBack"/>
    <w:bookmarkEnd w:id="45"/>
    <w:r w:rsidRPr="00D361CA">
      <w:rPr>
        <w:b/>
        <w:sz w:val="20"/>
      </w:rPr>
      <w:t xml:space="preserve">n was approved at the time this </w:t>
    </w:r>
    <w:proofErr w:type="spellStart"/>
    <w:r w:rsidRPr="00D361CA">
      <w:rPr>
        <w:b/>
        <w:sz w:val="20"/>
      </w:rPr>
      <w:t>AusPAR</w:t>
    </w:r>
    <w:proofErr w:type="spellEnd"/>
    <w:r w:rsidRPr="00D361CA">
      <w:rPr>
        <w:b/>
        <w:sz w:val="20"/>
      </w:rPr>
      <w:t xml:space="preserve"> was published.</w:t>
    </w:r>
  </w:p>
  <w:p w:rsidR="00FF5F2F" w:rsidRDefault="00FF5F2F" w:rsidP="00FF5F2F">
    <w:pPr>
      <w:widowControl w:val="0"/>
      <w:tabs>
        <w:tab w:val="right" w:pos="9639"/>
      </w:tabs>
      <w:rPr>
        <w:sz w:val="20"/>
      </w:rPr>
    </w:pPr>
    <w:r>
      <w:rPr>
        <w:sz w:val="20"/>
      </w:rPr>
      <w:t>Product Information</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905A56">
      <w:rPr>
        <w:rStyle w:val="PageNumber"/>
        <w:noProof/>
        <w:sz w:val="20"/>
      </w:rPr>
      <w:t>1</w:t>
    </w:r>
    <w:r>
      <w:rPr>
        <w:rStyle w:val="PageNumber"/>
        <w:sz w:val="20"/>
      </w:rPr>
      <w:fldChar w:fldCharType="end"/>
    </w:r>
  </w:p>
  <w:p w:rsidR="00FF5F2F" w:rsidRDefault="00FF5F2F" w:rsidP="00FF5F2F">
    <w:pPr>
      <w:widowControl w:val="0"/>
      <w:pBdr>
        <w:bottom w:val="single" w:sz="6" w:space="1" w:color="auto"/>
      </w:pBdr>
    </w:pPr>
    <w:r>
      <w:rPr>
        <w:sz w:val="20"/>
      </w:rPr>
      <w:fldChar w:fldCharType="begin"/>
    </w:r>
    <w:r>
      <w:rPr>
        <w:sz w:val="20"/>
      </w:rPr>
      <w:instrText xml:space="preserve"> FILENAME  \* MERGEFORMAT </w:instrText>
    </w:r>
    <w:r>
      <w:rPr>
        <w:sz w:val="20"/>
      </w:rPr>
      <w:fldChar w:fldCharType="separate"/>
    </w:r>
    <w:r w:rsidR="00922947">
      <w:rPr>
        <w:noProof/>
        <w:sz w:val="20"/>
      </w:rPr>
      <w:t>Levpi6a.doc</w:t>
    </w:r>
    <w:r>
      <w:rPr>
        <w:sz w:val="20"/>
      </w:rPr>
      <w:fldChar w:fldCharType="end"/>
    </w:r>
  </w:p>
  <w:p w:rsidR="00FF5F2F" w:rsidRDefault="00FF5F2F" w:rsidP="00FF5F2F">
    <w:pPr>
      <w:widowControl w:val="0"/>
      <w:spacing w:line="18" w:lineRule="exact"/>
      <w:rPr>
        <w:rFonts w:ascii="CG Times" w:hAnsi="CG Times"/>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F1" w:rsidRDefault="00AA2DF1" w:rsidP="00AA2DF1">
    <w:pPr>
      <w:widowControl w:val="0"/>
      <w:tabs>
        <w:tab w:val="right" w:pos="9639"/>
      </w:tabs>
      <w:rPr>
        <w:sz w:val="20"/>
      </w:rPr>
    </w:pPr>
    <w:r>
      <w:rPr>
        <w:sz w:val="20"/>
      </w:rPr>
      <w:t>Product Information</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AA2DF1" w:rsidRDefault="00AA2DF1" w:rsidP="00AA2DF1">
    <w:pPr>
      <w:widowControl w:val="0"/>
      <w:pBdr>
        <w:bottom w:val="single" w:sz="6" w:space="1" w:color="auto"/>
      </w:pBdr>
    </w:pPr>
    <w:r>
      <w:rPr>
        <w:sz w:val="20"/>
      </w:rPr>
      <w:fldChar w:fldCharType="begin"/>
    </w:r>
    <w:r>
      <w:rPr>
        <w:sz w:val="20"/>
      </w:rPr>
      <w:instrText xml:space="preserve"> FILENAME  \* MERGEFORMAT </w:instrText>
    </w:r>
    <w:r>
      <w:rPr>
        <w:sz w:val="20"/>
      </w:rPr>
      <w:fldChar w:fldCharType="separate"/>
    </w:r>
    <w:r>
      <w:rPr>
        <w:noProof/>
        <w:sz w:val="20"/>
      </w:rPr>
      <w:t>Levpi6a.doc</w:t>
    </w:r>
    <w:r>
      <w:rPr>
        <w:sz w:val="20"/>
      </w:rPr>
      <w:fldChar w:fldCharType="end"/>
    </w:r>
  </w:p>
  <w:p w:rsidR="00AA2DF1" w:rsidRDefault="00AA2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CA5D54"/>
    <w:lvl w:ilvl="0">
      <w:start w:val="1"/>
      <w:numFmt w:val="bullet"/>
      <w:pStyle w:val="ListBullet"/>
      <w:lvlText w:val=""/>
      <w:lvlJc w:val="left"/>
      <w:pPr>
        <w:tabs>
          <w:tab w:val="num" w:pos="360"/>
        </w:tabs>
        <w:ind w:left="360" w:hanging="360"/>
      </w:pPr>
      <w:rPr>
        <w:rFonts w:ascii="Symbol" w:hAnsi="Symbol" w:hint="default"/>
        <w:sz w:val="22"/>
        <w:szCs w:val="22"/>
      </w:rPr>
    </w:lvl>
  </w:abstractNum>
  <w:abstractNum w:abstractNumId="1">
    <w:nsid w:val="FFFFFFFE"/>
    <w:multiLevelType w:val="singleLevel"/>
    <w:tmpl w:val="CF187140"/>
    <w:lvl w:ilvl="0">
      <w:numFmt w:val="decimal"/>
      <w:lvlText w:val="*"/>
      <w:lvlJc w:val="left"/>
    </w:lvl>
  </w:abstractNum>
  <w:abstractNum w:abstractNumId="2">
    <w:nsid w:val="25072465"/>
    <w:multiLevelType w:val="multilevel"/>
    <w:tmpl w:val="BFA0020A"/>
    <w:lvl w:ilvl="0">
      <w:start w:val="1"/>
      <w:numFmt w:val="bullet"/>
      <w:lvlText w:val=""/>
      <w:legacy w:legacy="1" w:legacySpace="0" w:legacyIndent="283"/>
      <w:lvlJc w:val="left"/>
      <w:pPr>
        <w:ind w:left="283"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58E7174"/>
    <w:multiLevelType w:val="hybridMultilevel"/>
    <w:tmpl w:val="80165CCE"/>
    <w:lvl w:ilvl="0" w:tplc="E93A0236">
      <w:start w:val="1"/>
      <w:numFmt w:val="bullet"/>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336BD9"/>
    <w:multiLevelType w:val="hybridMultilevel"/>
    <w:tmpl w:val="83746B9C"/>
    <w:lvl w:ilvl="0" w:tplc="E93A0236">
      <w:start w:val="1"/>
      <w:numFmt w:val="bullet"/>
      <w:lvlText w:val=""/>
      <w:lvlJc w:val="left"/>
      <w:pPr>
        <w:tabs>
          <w:tab w:val="num" w:pos="0"/>
        </w:tabs>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4D0C40"/>
    <w:multiLevelType w:val="hybridMultilevel"/>
    <w:tmpl w:val="04940DE8"/>
    <w:lvl w:ilvl="0" w:tplc="E93A0236">
      <w:start w:val="1"/>
      <w:numFmt w:val="bullet"/>
      <w:lvlText w:val=""/>
      <w:lvlJc w:val="left"/>
      <w:pPr>
        <w:tabs>
          <w:tab w:val="num" w:pos="0"/>
        </w:tabs>
        <w:ind w:left="283"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nsid w:val="7CE64EF2"/>
    <w:multiLevelType w:val="hybridMultilevel"/>
    <w:tmpl w:val="BFA0020A"/>
    <w:lvl w:ilvl="0" w:tplc="CE680AD0">
      <w:start w:val="1"/>
      <w:numFmt w:val="bullet"/>
      <w:lvlText w:val=""/>
      <w:legacy w:legacy="1" w:legacySpace="0" w:legacyIndent="283"/>
      <w:lvlJc w:val="left"/>
      <w:pPr>
        <w:ind w:left="283"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A9D"/>
    <w:rsid w:val="00000786"/>
    <w:rsid w:val="00001057"/>
    <w:rsid w:val="00003B61"/>
    <w:rsid w:val="000050AB"/>
    <w:rsid w:val="0001118A"/>
    <w:rsid w:val="00013B5C"/>
    <w:rsid w:val="0002148E"/>
    <w:rsid w:val="00023960"/>
    <w:rsid w:val="00023F14"/>
    <w:rsid w:val="00030951"/>
    <w:rsid w:val="00032D44"/>
    <w:rsid w:val="000344DC"/>
    <w:rsid w:val="00036F9B"/>
    <w:rsid w:val="0004400D"/>
    <w:rsid w:val="00057B5F"/>
    <w:rsid w:val="00057BDA"/>
    <w:rsid w:val="00060857"/>
    <w:rsid w:val="0006464A"/>
    <w:rsid w:val="00064D39"/>
    <w:rsid w:val="0006759A"/>
    <w:rsid w:val="0007564F"/>
    <w:rsid w:val="00076F2B"/>
    <w:rsid w:val="00080EA6"/>
    <w:rsid w:val="000830A6"/>
    <w:rsid w:val="00092247"/>
    <w:rsid w:val="000927A2"/>
    <w:rsid w:val="00094A3D"/>
    <w:rsid w:val="00097919"/>
    <w:rsid w:val="000A03F6"/>
    <w:rsid w:val="000A3CED"/>
    <w:rsid w:val="000B11B0"/>
    <w:rsid w:val="000B1411"/>
    <w:rsid w:val="000C0548"/>
    <w:rsid w:val="000C370C"/>
    <w:rsid w:val="000D5C46"/>
    <w:rsid w:val="000E2A45"/>
    <w:rsid w:val="000E5D3E"/>
    <w:rsid w:val="000E685B"/>
    <w:rsid w:val="000F094B"/>
    <w:rsid w:val="000F1896"/>
    <w:rsid w:val="000F1A25"/>
    <w:rsid w:val="000F4794"/>
    <w:rsid w:val="000F50C7"/>
    <w:rsid w:val="000F5FFF"/>
    <w:rsid w:val="000F7B89"/>
    <w:rsid w:val="00102C59"/>
    <w:rsid w:val="00102F62"/>
    <w:rsid w:val="001033F1"/>
    <w:rsid w:val="00104BA4"/>
    <w:rsid w:val="001055C6"/>
    <w:rsid w:val="001127FD"/>
    <w:rsid w:val="00115DE9"/>
    <w:rsid w:val="00115FFE"/>
    <w:rsid w:val="001220D1"/>
    <w:rsid w:val="00123D21"/>
    <w:rsid w:val="00130F0E"/>
    <w:rsid w:val="00131B4B"/>
    <w:rsid w:val="00132AF2"/>
    <w:rsid w:val="0013360B"/>
    <w:rsid w:val="001346CB"/>
    <w:rsid w:val="001376DD"/>
    <w:rsid w:val="00137947"/>
    <w:rsid w:val="0014034B"/>
    <w:rsid w:val="00151634"/>
    <w:rsid w:val="00152137"/>
    <w:rsid w:val="00153945"/>
    <w:rsid w:val="001601C1"/>
    <w:rsid w:val="001634DD"/>
    <w:rsid w:val="001641C1"/>
    <w:rsid w:val="00164F92"/>
    <w:rsid w:val="00166598"/>
    <w:rsid w:val="00167964"/>
    <w:rsid w:val="00170CD5"/>
    <w:rsid w:val="00173BF7"/>
    <w:rsid w:val="00175179"/>
    <w:rsid w:val="00175F69"/>
    <w:rsid w:val="00176435"/>
    <w:rsid w:val="0017707C"/>
    <w:rsid w:val="001823EC"/>
    <w:rsid w:val="00182919"/>
    <w:rsid w:val="00186DDC"/>
    <w:rsid w:val="001879C7"/>
    <w:rsid w:val="00192B1C"/>
    <w:rsid w:val="00195965"/>
    <w:rsid w:val="00195A6F"/>
    <w:rsid w:val="001A27B4"/>
    <w:rsid w:val="001A302F"/>
    <w:rsid w:val="001A3678"/>
    <w:rsid w:val="001A36E1"/>
    <w:rsid w:val="001A6D6F"/>
    <w:rsid w:val="001B1F2B"/>
    <w:rsid w:val="001B5307"/>
    <w:rsid w:val="001B5F5E"/>
    <w:rsid w:val="001B6EC8"/>
    <w:rsid w:val="001C1F67"/>
    <w:rsid w:val="001C32EF"/>
    <w:rsid w:val="001C35E5"/>
    <w:rsid w:val="001C6BB8"/>
    <w:rsid w:val="001C6FC6"/>
    <w:rsid w:val="001C798D"/>
    <w:rsid w:val="001C7A8E"/>
    <w:rsid w:val="001D49EE"/>
    <w:rsid w:val="001D517A"/>
    <w:rsid w:val="001D5870"/>
    <w:rsid w:val="001D6035"/>
    <w:rsid w:val="001E051A"/>
    <w:rsid w:val="001E4495"/>
    <w:rsid w:val="001E6883"/>
    <w:rsid w:val="001E6A9E"/>
    <w:rsid w:val="001F2C94"/>
    <w:rsid w:val="001F7CE5"/>
    <w:rsid w:val="002028E9"/>
    <w:rsid w:val="002058F0"/>
    <w:rsid w:val="00222318"/>
    <w:rsid w:val="00225814"/>
    <w:rsid w:val="00230B02"/>
    <w:rsid w:val="002326C6"/>
    <w:rsid w:val="00235316"/>
    <w:rsid w:val="00246B4A"/>
    <w:rsid w:val="002510DB"/>
    <w:rsid w:val="0025330A"/>
    <w:rsid w:val="0025404F"/>
    <w:rsid w:val="00257160"/>
    <w:rsid w:val="00263F40"/>
    <w:rsid w:val="0026531A"/>
    <w:rsid w:val="002658DA"/>
    <w:rsid w:val="002702D5"/>
    <w:rsid w:val="002702DF"/>
    <w:rsid w:val="002738A9"/>
    <w:rsid w:val="00273EDB"/>
    <w:rsid w:val="00274D2C"/>
    <w:rsid w:val="002750C0"/>
    <w:rsid w:val="0027699A"/>
    <w:rsid w:val="00277668"/>
    <w:rsid w:val="002827EB"/>
    <w:rsid w:val="0028621D"/>
    <w:rsid w:val="00287F7A"/>
    <w:rsid w:val="00291142"/>
    <w:rsid w:val="00297F10"/>
    <w:rsid w:val="002A3E1B"/>
    <w:rsid w:val="002A3FAC"/>
    <w:rsid w:val="002B5C7F"/>
    <w:rsid w:val="002C023F"/>
    <w:rsid w:val="002C1C4B"/>
    <w:rsid w:val="002C2960"/>
    <w:rsid w:val="002C49E3"/>
    <w:rsid w:val="002D0D7B"/>
    <w:rsid w:val="002D0F29"/>
    <w:rsid w:val="002D4E2E"/>
    <w:rsid w:val="002D4E96"/>
    <w:rsid w:val="002D726B"/>
    <w:rsid w:val="002D79C0"/>
    <w:rsid w:val="002E7E32"/>
    <w:rsid w:val="002F4192"/>
    <w:rsid w:val="00300724"/>
    <w:rsid w:val="00300C28"/>
    <w:rsid w:val="00303FD0"/>
    <w:rsid w:val="00310972"/>
    <w:rsid w:val="00312373"/>
    <w:rsid w:val="00312447"/>
    <w:rsid w:val="00312DD2"/>
    <w:rsid w:val="003220F4"/>
    <w:rsid w:val="00324431"/>
    <w:rsid w:val="00324445"/>
    <w:rsid w:val="0032617E"/>
    <w:rsid w:val="00327051"/>
    <w:rsid w:val="00332610"/>
    <w:rsid w:val="003418A2"/>
    <w:rsid w:val="00341CA0"/>
    <w:rsid w:val="0035064D"/>
    <w:rsid w:val="00354045"/>
    <w:rsid w:val="00362A41"/>
    <w:rsid w:val="00364330"/>
    <w:rsid w:val="00365D4E"/>
    <w:rsid w:val="003713F4"/>
    <w:rsid w:val="00374A7C"/>
    <w:rsid w:val="00377603"/>
    <w:rsid w:val="00386029"/>
    <w:rsid w:val="003924F5"/>
    <w:rsid w:val="00395EF1"/>
    <w:rsid w:val="00397238"/>
    <w:rsid w:val="003A0F90"/>
    <w:rsid w:val="003A1153"/>
    <w:rsid w:val="003A24A4"/>
    <w:rsid w:val="003A582D"/>
    <w:rsid w:val="003B2BFA"/>
    <w:rsid w:val="003B4F79"/>
    <w:rsid w:val="003B6709"/>
    <w:rsid w:val="003C0FDC"/>
    <w:rsid w:val="003D0D6E"/>
    <w:rsid w:val="003D2915"/>
    <w:rsid w:val="003D5B53"/>
    <w:rsid w:val="003E07BE"/>
    <w:rsid w:val="003E5BAA"/>
    <w:rsid w:val="003F0349"/>
    <w:rsid w:val="003F0F05"/>
    <w:rsid w:val="003F3107"/>
    <w:rsid w:val="003F4BDF"/>
    <w:rsid w:val="004032FD"/>
    <w:rsid w:val="00403A4A"/>
    <w:rsid w:val="00404B5E"/>
    <w:rsid w:val="00407F94"/>
    <w:rsid w:val="0041146B"/>
    <w:rsid w:val="004218DA"/>
    <w:rsid w:val="00431F24"/>
    <w:rsid w:val="004321DE"/>
    <w:rsid w:val="00433BD8"/>
    <w:rsid w:val="00435629"/>
    <w:rsid w:val="00442F5F"/>
    <w:rsid w:val="0044612C"/>
    <w:rsid w:val="0044779D"/>
    <w:rsid w:val="00452A28"/>
    <w:rsid w:val="004546CC"/>
    <w:rsid w:val="00460FC2"/>
    <w:rsid w:val="00465EB2"/>
    <w:rsid w:val="00465F37"/>
    <w:rsid w:val="00466A42"/>
    <w:rsid w:val="00467BB4"/>
    <w:rsid w:val="00467C2B"/>
    <w:rsid w:val="004700CB"/>
    <w:rsid w:val="004757A1"/>
    <w:rsid w:val="004757B3"/>
    <w:rsid w:val="00480A59"/>
    <w:rsid w:val="00482A73"/>
    <w:rsid w:val="004850AA"/>
    <w:rsid w:val="00485F16"/>
    <w:rsid w:val="00486752"/>
    <w:rsid w:val="0048731D"/>
    <w:rsid w:val="00487C38"/>
    <w:rsid w:val="00492B06"/>
    <w:rsid w:val="00496252"/>
    <w:rsid w:val="004A1BD2"/>
    <w:rsid w:val="004A258E"/>
    <w:rsid w:val="004A6367"/>
    <w:rsid w:val="004B145E"/>
    <w:rsid w:val="004B278F"/>
    <w:rsid w:val="004D1967"/>
    <w:rsid w:val="004E042A"/>
    <w:rsid w:val="004E1C4B"/>
    <w:rsid w:val="004E3008"/>
    <w:rsid w:val="004E657F"/>
    <w:rsid w:val="004F021E"/>
    <w:rsid w:val="004F2E36"/>
    <w:rsid w:val="004F392F"/>
    <w:rsid w:val="004F4BD0"/>
    <w:rsid w:val="004F4C1A"/>
    <w:rsid w:val="004F55D4"/>
    <w:rsid w:val="004F57F5"/>
    <w:rsid w:val="004F5CDC"/>
    <w:rsid w:val="004F71D7"/>
    <w:rsid w:val="005005B0"/>
    <w:rsid w:val="00500F92"/>
    <w:rsid w:val="0051619E"/>
    <w:rsid w:val="00516B5C"/>
    <w:rsid w:val="00517974"/>
    <w:rsid w:val="00525577"/>
    <w:rsid w:val="005272DC"/>
    <w:rsid w:val="00535172"/>
    <w:rsid w:val="0053564D"/>
    <w:rsid w:val="00537DA2"/>
    <w:rsid w:val="00540CE1"/>
    <w:rsid w:val="00544B7F"/>
    <w:rsid w:val="00545856"/>
    <w:rsid w:val="00551067"/>
    <w:rsid w:val="0055178A"/>
    <w:rsid w:val="00552A75"/>
    <w:rsid w:val="00553F63"/>
    <w:rsid w:val="005574D4"/>
    <w:rsid w:val="00562992"/>
    <w:rsid w:val="005642AF"/>
    <w:rsid w:val="0056513E"/>
    <w:rsid w:val="005661BF"/>
    <w:rsid w:val="005714C8"/>
    <w:rsid w:val="00573B01"/>
    <w:rsid w:val="0057488F"/>
    <w:rsid w:val="00574894"/>
    <w:rsid w:val="00575F70"/>
    <w:rsid w:val="00584633"/>
    <w:rsid w:val="005A2FBB"/>
    <w:rsid w:val="005A3C05"/>
    <w:rsid w:val="005A7128"/>
    <w:rsid w:val="005B0248"/>
    <w:rsid w:val="005B2B17"/>
    <w:rsid w:val="005B4C8F"/>
    <w:rsid w:val="005B5613"/>
    <w:rsid w:val="005B5CA4"/>
    <w:rsid w:val="005B7E9B"/>
    <w:rsid w:val="005C0760"/>
    <w:rsid w:val="005C1B77"/>
    <w:rsid w:val="005C2643"/>
    <w:rsid w:val="005C4B27"/>
    <w:rsid w:val="005D1952"/>
    <w:rsid w:val="005D7C36"/>
    <w:rsid w:val="005E35EC"/>
    <w:rsid w:val="005F049D"/>
    <w:rsid w:val="005F3373"/>
    <w:rsid w:val="005F79C7"/>
    <w:rsid w:val="00600273"/>
    <w:rsid w:val="00600772"/>
    <w:rsid w:val="00601481"/>
    <w:rsid w:val="00602BCC"/>
    <w:rsid w:val="006060BC"/>
    <w:rsid w:val="00606957"/>
    <w:rsid w:val="00607416"/>
    <w:rsid w:val="00610095"/>
    <w:rsid w:val="006105A1"/>
    <w:rsid w:val="00610B70"/>
    <w:rsid w:val="006116B0"/>
    <w:rsid w:val="006125E6"/>
    <w:rsid w:val="006129F7"/>
    <w:rsid w:val="00616DE9"/>
    <w:rsid w:val="00620FA1"/>
    <w:rsid w:val="00624869"/>
    <w:rsid w:val="00625CA2"/>
    <w:rsid w:val="0062720B"/>
    <w:rsid w:val="006307BD"/>
    <w:rsid w:val="00630945"/>
    <w:rsid w:val="0063104B"/>
    <w:rsid w:val="00631BF6"/>
    <w:rsid w:val="00632116"/>
    <w:rsid w:val="00637583"/>
    <w:rsid w:val="006415C8"/>
    <w:rsid w:val="00651B68"/>
    <w:rsid w:val="00653079"/>
    <w:rsid w:val="006574E9"/>
    <w:rsid w:val="00661E1F"/>
    <w:rsid w:val="006650A8"/>
    <w:rsid w:val="00671411"/>
    <w:rsid w:val="00674C15"/>
    <w:rsid w:val="00675B89"/>
    <w:rsid w:val="00675EBA"/>
    <w:rsid w:val="00680C0A"/>
    <w:rsid w:val="00681043"/>
    <w:rsid w:val="00686874"/>
    <w:rsid w:val="00687C7C"/>
    <w:rsid w:val="006903A4"/>
    <w:rsid w:val="00690971"/>
    <w:rsid w:val="00692897"/>
    <w:rsid w:val="006932EA"/>
    <w:rsid w:val="00693677"/>
    <w:rsid w:val="00696118"/>
    <w:rsid w:val="006A00CF"/>
    <w:rsid w:val="006A6362"/>
    <w:rsid w:val="006A6D97"/>
    <w:rsid w:val="006A74DD"/>
    <w:rsid w:val="006C525C"/>
    <w:rsid w:val="006E1B90"/>
    <w:rsid w:val="006E290D"/>
    <w:rsid w:val="006E34BC"/>
    <w:rsid w:val="006E7061"/>
    <w:rsid w:val="006E7307"/>
    <w:rsid w:val="006F12AE"/>
    <w:rsid w:val="006F38B7"/>
    <w:rsid w:val="006F4353"/>
    <w:rsid w:val="00702E65"/>
    <w:rsid w:val="007040C9"/>
    <w:rsid w:val="0070561E"/>
    <w:rsid w:val="00705CB0"/>
    <w:rsid w:val="00710ED0"/>
    <w:rsid w:val="00720324"/>
    <w:rsid w:val="00720934"/>
    <w:rsid w:val="00724C38"/>
    <w:rsid w:val="00731DE6"/>
    <w:rsid w:val="007368AF"/>
    <w:rsid w:val="00737C3E"/>
    <w:rsid w:val="0074322B"/>
    <w:rsid w:val="00750591"/>
    <w:rsid w:val="00753BAC"/>
    <w:rsid w:val="00755350"/>
    <w:rsid w:val="007571B8"/>
    <w:rsid w:val="007614C1"/>
    <w:rsid w:val="00762048"/>
    <w:rsid w:val="00763FAD"/>
    <w:rsid w:val="00764725"/>
    <w:rsid w:val="00766714"/>
    <w:rsid w:val="00770597"/>
    <w:rsid w:val="0077273F"/>
    <w:rsid w:val="007728EF"/>
    <w:rsid w:val="00775D76"/>
    <w:rsid w:val="00777874"/>
    <w:rsid w:val="0078402C"/>
    <w:rsid w:val="0078622C"/>
    <w:rsid w:val="007917D8"/>
    <w:rsid w:val="00795AD4"/>
    <w:rsid w:val="007A183D"/>
    <w:rsid w:val="007A7538"/>
    <w:rsid w:val="007B1B2D"/>
    <w:rsid w:val="007B4470"/>
    <w:rsid w:val="007C0647"/>
    <w:rsid w:val="007C501C"/>
    <w:rsid w:val="007C66BE"/>
    <w:rsid w:val="007D0531"/>
    <w:rsid w:val="007D1CF2"/>
    <w:rsid w:val="007E5927"/>
    <w:rsid w:val="007E7748"/>
    <w:rsid w:val="007F45EB"/>
    <w:rsid w:val="007F4CF7"/>
    <w:rsid w:val="00806A6B"/>
    <w:rsid w:val="00807A9A"/>
    <w:rsid w:val="00814B7D"/>
    <w:rsid w:val="00822101"/>
    <w:rsid w:val="00826591"/>
    <w:rsid w:val="00831423"/>
    <w:rsid w:val="00831A78"/>
    <w:rsid w:val="00833AD4"/>
    <w:rsid w:val="008354FF"/>
    <w:rsid w:val="008366D4"/>
    <w:rsid w:val="00840826"/>
    <w:rsid w:val="008415E0"/>
    <w:rsid w:val="00841F8D"/>
    <w:rsid w:val="0084649C"/>
    <w:rsid w:val="00847A04"/>
    <w:rsid w:val="00847CC9"/>
    <w:rsid w:val="00850A87"/>
    <w:rsid w:val="008534E1"/>
    <w:rsid w:val="00853ED7"/>
    <w:rsid w:val="00855867"/>
    <w:rsid w:val="00861503"/>
    <w:rsid w:val="008615AD"/>
    <w:rsid w:val="00862726"/>
    <w:rsid w:val="008655AC"/>
    <w:rsid w:val="00865979"/>
    <w:rsid w:val="00867582"/>
    <w:rsid w:val="00874850"/>
    <w:rsid w:val="0087529D"/>
    <w:rsid w:val="008759C9"/>
    <w:rsid w:val="008774FF"/>
    <w:rsid w:val="00880A7E"/>
    <w:rsid w:val="00882824"/>
    <w:rsid w:val="00882EED"/>
    <w:rsid w:val="00883897"/>
    <w:rsid w:val="00886762"/>
    <w:rsid w:val="00887A80"/>
    <w:rsid w:val="00892A72"/>
    <w:rsid w:val="0089481A"/>
    <w:rsid w:val="00896655"/>
    <w:rsid w:val="008A1E87"/>
    <w:rsid w:val="008A4396"/>
    <w:rsid w:val="008A52BA"/>
    <w:rsid w:val="008B03B3"/>
    <w:rsid w:val="008B1E65"/>
    <w:rsid w:val="008D0464"/>
    <w:rsid w:val="008D1ABD"/>
    <w:rsid w:val="008D3B78"/>
    <w:rsid w:val="008D6DA9"/>
    <w:rsid w:val="008E21E7"/>
    <w:rsid w:val="008E71EE"/>
    <w:rsid w:val="008F033E"/>
    <w:rsid w:val="00902EF3"/>
    <w:rsid w:val="00902F43"/>
    <w:rsid w:val="00904D40"/>
    <w:rsid w:val="00905A56"/>
    <w:rsid w:val="00905F6E"/>
    <w:rsid w:val="009062B1"/>
    <w:rsid w:val="009100E4"/>
    <w:rsid w:val="00915EBF"/>
    <w:rsid w:val="009177D9"/>
    <w:rsid w:val="00922947"/>
    <w:rsid w:val="00926EE2"/>
    <w:rsid w:val="00934B01"/>
    <w:rsid w:val="0094104F"/>
    <w:rsid w:val="00942CC7"/>
    <w:rsid w:val="00944B50"/>
    <w:rsid w:val="00945637"/>
    <w:rsid w:val="00946637"/>
    <w:rsid w:val="00946D97"/>
    <w:rsid w:val="00951BFA"/>
    <w:rsid w:val="00953199"/>
    <w:rsid w:val="009570EE"/>
    <w:rsid w:val="00961263"/>
    <w:rsid w:val="00962094"/>
    <w:rsid w:val="00962204"/>
    <w:rsid w:val="00963A6B"/>
    <w:rsid w:val="00970C82"/>
    <w:rsid w:val="009778AC"/>
    <w:rsid w:val="009850E5"/>
    <w:rsid w:val="00987963"/>
    <w:rsid w:val="009A1CB3"/>
    <w:rsid w:val="009B6B8A"/>
    <w:rsid w:val="009B6E86"/>
    <w:rsid w:val="009B7E6B"/>
    <w:rsid w:val="009B7EBA"/>
    <w:rsid w:val="009D5BE8"/>
    <w:rsid w:val="009E1426"/>
    <w:rsid w:val="009E1662"/>
    <w:rsid w:val="009E7B4D"/>
    <w:rsid w:val="009F1307"/>
    <w:rsid w:val="009F41D2"/>
    <w:rsid w:val="009F5209"/>
    <w:rsid w:val="009F742C"/>
    <w:rsid w:val="00A005F3"/>
    <w:rsid w:val="00A00A9D"/>
    <w:rsid w:val="00A02605"/>
    <w:rsid w:val="00A02C8C"/>
    <w:rsid w:val="00A03C89"/>
    <w:rsid w:val="00A04DCB"/>
    <w:rsid w:val="00A067BD"/>
    <w:rsid w:val="00A06816"/>
    <w:rsid w:val="00A0746C"/>
    <w:rsid w:val="00A124AF"/>
    <w:rsid w:val="00A14C6F"/>
    <w:rsid w:val="00A20F4E"/>
    <w:rsid w:val="00A27115"/>
    <w:rsid w:val="00A35741"/>
    <w:rsid w:val="00A36126"/>
    <w:rsid w:val="00A42DF6"/>
    <w:rsid w:val="00A43282"/>
    <w:rsid w:val="00A43ACE"/>
    <w:rsid w:val="00A51272"/>
    <w:rsid w:val="00A52735"/>
    <w:rsid w:val="00A61450"/>
    <w:rsid w:val="00A6684A"/>
    <w:rsid w:val="00A67112"/>
    <w:rsid w:val="00A6730D"/>
    <w:rsid w:val="00A67BDF"/>
    <w:rsid w:val="00A70F95"/>
    <w:rsid w:val="00A75145"/>
    <w:rsid w:val="00A77460"/>
    <w:rsid w:val="00A7770D"/>
    <w:rsid w:val="00A77D8D"/>
    <w:rsid w:val="00A83DD0"/>
    <w:rsid w:val="00A83EF4"/>
    <w:rsid w:val="00A86B8B"/>
    <w:rsid w:val="00A87BD6"/>
    <w:rsid w:val="00A93867"/>
    <w:rsid w:val="00A95C5D"/>
    <w:rsid w:val="00AA1D44"/>
    <w:rsid w:val="00AA20AA"/>
    <w:rsid w:val="00AA2DF1"/>
    <w:rsid w:val="00AA6358"/>
    <w:rsid w:val="00AA6DAE"/>
    <w:rsid w:val="00AA7900"/>
    <w:rsid w:val="00AB0F46"/>
    <w:rsid w:val="00AB286D"/>
    <w:rsid w:val="00AB52A1"/>
    <w:rsid w:val="00AC1595"/>
    <w:rsid w:val="00AC2866"/>
    <w:rsid w:val="00AD1642"/>
    <w:rsid w:val="00AE071B"/>
    <w:rsid w:val="00AE5B0B"/>
    <w:rsid w:val="00AF1578"/>
    <w:rsid w:val="00AF3951"/>
    <w:rsid w:val="00B02C52"/>
    <w:rsid w:val="00B03603"/>
    <w:rsid w:val="00B103B4"/>
    <w:rsid w:val="00B10766"/>
    <w:rsid w:val="00B17978"/>
    <w:rsid w:val="00B248C3"/>
    <w:rsid w:val="00B24E70"/>
    <w:rsid w:val="00B25467"/>
    <w:rsid w:val="00B37A64"/>
    <w:rsid w:val="00B4089C"/>
    <w:rsid w:val="00B40C7C"/>
    <w:rsid w:val="00B43200"/>
    <w:rsid w:val="00B43A86"/>
    <w:rsid w:val="00B44422"/>
    <w:rsid w:val="00B44AB4"/>
    <w:rsid w:val="00B47E0D"/>
    <w:rsid w:val="00B50542"/>
    <w:rsid w:val="00B5109F"/>
    <w:rsid w:val="00B56F7E"/>
    <w:rsid w:val="00B67D12"/>
    <w:rsid w:val="00B76C8A"/>
    <w:rsid w:val="00B7737C"/>
    <w:rsid w:val="00B8475C"/>
    <w:rsid w:val="00B8620E"/>
    <w:rsid w:val="00B92A80"/>
    <w:rsid w:val="00B92E34"/>
    <w:rsid w:val="00B94C1F"/>
    <w:rsid w:val="00B95068"/>
    <w:rsid w:val="00B95BCF"/>
    <w:rsid w:val="00B95F5F"/>
    <w:rsid w:val="00B97B19"/>
    <w:rsid w:val="00BA1512"/>
    <w:rsid w:val="00BA72A0"/>
    <w:rsid w:val="00BB1B45"/>
    <w:rsid w:val="00BB4A66"/>
    <w:rsid w:val="00BC1CA0"/>
    <w:rsid w:val="00BC2BD7"/>
    <w:rsid w:val="00BC2E0D"/>
    <w:rsid w:val="00BC3C2F"/>
    <w:rsid w:val="00BD13B0"/>
    <w:rsid w:val="00BE2660"/>
    <w:rsid w:val="00BE6435"/>
    <w:rsid w:val="00BE7B04"/>
    <w:rsid w:val="00BE7BA3"/>
    <w:rsid w:val="00BF106D"/>
    <w:rsid w:val="00BF3317"/>
    <w:rsid w:val="00BF3593"/>
    <w:rsid w:val="00BF44BF"/>
    <w:rsid w:val="00C07BC0"/>
    <w:rsid w:val="00C13F3B"/>
    <w:rsid w:val="00C16EDA"/>
    <w:rsid w:val="00C2111A"/>
    <w:rsid w:val="00C24A18"/>
    <w:rsid w:val="00C25D4C"/>
    <w:rsid w:val="00C261A3"/>
    <w:rsid w:val="00C3105C"/>
    <w:rsid w:val="00C3455A"/>
    <w:rsid w:val="00C34BCF"/>
    <w:rsid w:val="00C357C3"/>
    <w:rsid w:val="00C40077"/>
    <w:rsid w:val="00C4184C"/>
    <w:rsid w:val="00C56CC6"/>
    <w:rsid w:val="00C5792C"/>
    <w:rsid w:val="00C57AB3"/>
    <w:rsid w:val="00C60967"/>
    <w:rsid w:val="00C61D8C"/>
    <w:rsid w:val="00C62768"/>
    <w:rsid w:val="00C650D2"/>
    <w:rsid w:val="00C66D3D"/>
    <w:rsid w:val="00C71F83"/>
    <w:rsid w:val="00C729A5"/>
    <w:rsid w:val="00C7303F"/>
    <w:rsid w:val="00C73426"/>
    <w:rsid w:val="00C81BDE"/>
    <w:rsid w:val="00C82D53"/>
    <w:rsid w:val="00C877DE"/>
    <w:rsid w:val="00C906A4"/>
    <w:rsid w:val="00C9570A"/>
    <w:rsid w:val="00C96BCB"/>
    <w:rsid w:val="00C9775B"/>
    <w:rsid w:val="00CA05C2"/>
    <w:rsid w:val="00CA41D7"/>
    <w:rsid w:val="00CA4C6F"/>
    <w:rsid w:val="00CA75F4"/>
    <w:rsid w:val="00CB4449"/>
    <w:rsid w:val="00CB5F63"/>
    <w:rsid w:val="00CC13BD"/>
    <w:rsid w:val="00CC2253"/>
    <w:rsid w:val="00CC406B"/>
    <w:rsid w:val="00CE060F"/>
    <w:rsid w:val="00CE2315"/>
    <w:rsid w:val="00CE39C3"/>
    <w:rsid w:val="00CE5D0E"/>
    <w:rsid w:val="00CE5E7F"/>
    <w:rsid w:val="00CF7CB7"/>
    <w:rsid w:val="00D03194"/>
    <w:rsid w:val="00D07583"/>
    <w:rsid w:val="00D07C90"/>
    <w:rsid w:val="00D11180"/>
    <w:rsid w:val="00D13354"/>
    <w:rsid w:val="00D2034A"/>
    <w:rsid w:val="00D34CFF"/>
    <w:rsid w:val="00D3624F"/>
    <w:rsid w:val="00D42369"/>
    <w:rsid w:val="00D53684"/>
    <w:rsid w:val="00D63E71"/>
    <w:rsid w:val="00D63FF2"/>
    <w:rsid w:val="00D66528"/>
    <w:rsid w:val="00D7083E"/>
    <w:rsid w:val="00D70DB0"/>
    <w:rsid w:val="00D7389E"/>
    <w:rsid w:val="00D77859"/>
    <w:rsid w:val="00D8015D"/>
    <w:rsid w:val="00D94A85"/>
    <w:rsid w:val="00D95602"/>
    <w:rsid w:val="00DA03A7"/>
    <w:rsid w:val="00DA3F9C"/>
    <w:rsid w:val="00DA70DD"/>
    <w:rsid w:val="00DB3DFF"/>
    <w:rsid w:val="00DB615C"/>
    <w:rsid w:val="00DC4E04"/>
    <w:rsid w:val="00DC7D1E"/>
    <w:rsid w:val="00DD0E91"/>
    <w:rsid w:val="00DD1425"/>
    <w:rsid w:val="00DD3728"/>
    <w:rsid w:val="00DD4866"/>
    <w:rsid w:val="00DD58C5"/>
    <w:rsid w:val="00DD6279"/>
    <w:rsid w:val="00DD7675"/>
    <w:rsid w:val="00DE2DE3"/>
    <w:rsid w:val="00DE3C91"/>
    <w:rsid w:val="00DE5D0A"/>
    <w:rsid w:val="00DE5F7D"/>
    <w:rsid w:val="00DE6988"/>
    <w:rsid w:val="00DE7EE2"/>
    <w:rsid w:val="00DF2801"/>
    <w:rsid w:val="00DF3360"/>
    <w:rsid w:val="00DF5C3B"/>
    <w:rsid w:val="00DF7130"/>
    <w:rsid w:val="00E00D8F"/>
    <w:rsid w:val="00E01580"/>
    <w:rsid w:val="00E01FD8"/>
    <w:rsid w:val="00E03B08"/>
    <w:rsid w:val="00E04534"/>
    <w:rsid w:val="00E04BFD"/>
    <w:rsid w:val="00E10257"/>
    <w:rsid w:val="00E12B7C"/>
    <w:rsid w:val="00E23710"/>
    <w:rsid w:val="00E24F78"/>
    <w:rsid w:val="00E3135E"/>
    <w:rsid w:val="00E3753C"/>
    <w:rsid w:val="00E41CE5"/>
    <w:rsid w:val="00E4215C"/>
    <w:rsid w:val="00E428F5"/>
    <w:rsid w:val="00E468D4"/>
    <w:rsid w:val="00E50247"/>
    <w:rsid w:val="00E54296"/>
    <w:rsid w:val="00E56655"/>
    <w:rsid w:val="00E56C18"/>
    <w:rsid w:val="00E62C50"/>
    <w:rsid w:val="00E646F0"/>
    <w:rsid w:val="00E6771C"/>
    <w:rsid w:val="00E70848"/>
    <w:rsid w:val="00E720A0"/>
    <w:rsid w:val="00E72F2C"/>
    <w:rsid w:val="00E76097"/>
    <w:rsid w:val="00E819EE"/>
    <w:rsid w:val="00E83E57"/>
    <w:rsid w:val="00E84C06"/>
    <w:rsid w:val="00E8563D"/>
    <w:rsid w:val="00E85A7B"/>
    <w:rsid w:val="00E85C71"/>
    <w:rsid w:val="00E85FF9"/>
    <w:rsid w:val="00E9181B"/>
    <w:rsid w:val="00E94292"/>
    <w:rsid w:val="00E970A2"/>
    <w:rsid w:val="00EA1A18"/>
    <w:rsid w:val="00EA50B1"/>
    <w:rsid w:val="00EB1784"/>
    <w:rsid w:val="00EB69BD"/>
    <w:rsid w:val="00EC3C56"/>
    <w:rsid w:val="00EC7BBD"/>
    <w:rsid w:val="00ED4BCE"/>
    <w:rsid w:val="00ED6EFC"/>
    <w:rsid w:val="00ED7E0B"/>
    <w:rsid w:val="00EE0020"/>
    <w:rsid w:val="00EE19E3"/>
    <w:rsid w:val="00EE3ECB"/>
    <w:rsid w:val="00EE6610"/>
    <w:rsid w:val="00EF0C26"/>
    <w:rsid w:val="00EF3FE5"/>
    <w:rsid w:val="00EF7162"/>
    <w:rsid w:val="00EF71A6"/>
    <w:rsid w:val="00EF7919"/>
    <w:rsid w:val="00F10243"/>
    <w:rsid w:val="00F11696"/>
    <w:rsid w:val="00F1379B"/>
    <w:rsid w:val="00F229BA"/>
    <w:rsid w:val="00F24F06"/>
    <w:rsid w:val="00F3671D"/>
    <w:rsid w:val="00F36F91"/>
    <w:rsid w:val="00F5236C"/>
    <w:rsid w:val="00F53F48"/>
    <w:rsid w:val="00F54C33"/>
    <w:rsid w:val="00F5684C"/>
    <w:rsid w:val="00F61B10"/>
    <w:rsid w:val="00F72493"/>
    <w:rsid w:val="00F76F02"/>
    <w:rsid w:val="00F81D7F"/>
    <w:rsid w:val="00F83003"/>
    <w:rsid w:val="00F838BB"/>
    <w:rsid w:val="00F872F0"/>
    <w:rsid w:val="00F92A97"/>
    <w:rsid w:val="00F9469A"/>
    <w:rsid w:val="00F94B1D"/>
    <w:rsid w:val="00F96370"/>
    <w:rsid w:val="00FA5254"/>
    <w:rsid w:val="00FB4CF7"/>
    <w:rsid w:val="00FD1194"/>
    <w:rsid w:val="00FE0D13"/>
    <w:rsid w:val="00FE0E02"/>
    <w:rsid w:val="00FE2D41"/>
    <w:rsid w:val="00FF3A9B"/>
    <w:rsid w:val="00FF5BA7"/>
    <w:rsid w:val="00FF5F2F"/>
    <w:rsid w:val="00FF7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5"/>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outlineLvl w:val="0"/>
    </w:pPr>
    <w:rPr>
      <w:b/>
      <w:sz w:val="22"/>
      <w:lang w:val="en-GB"/>
    </w:rPr>
  </w:style>
  <w:style w:type="paragraph" w:styleId="Heading2">
    <w:name w:val="heading 2"/>
    <w:basedOn w:val="Normal"/>
    <w:next w:val="Normal"/>
    <w:qFormat/>
    <w:pPr>
      <w:keepNext/>
      <w:outlineLvl w:val="1"/>
    </w:pPr>
    <w:rPr>
      <w:b/>
      <w:color w:val="000000"/>
      <w:sz w:val="20"/>
      <w:lang w:val="en-G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rsid w:val="002D4E2E"/>
    <w:pPr>
      <w:keepNext/>
      <w:ind w:right="-449"/>
      <w:outlineLvl w:val="4"/>
    </w:pPr>
    <w:rPr>
      <w:b/>
      <w:noProof/>
      <w:sz w:val="22"/>
      <w:szCs w:val="22"/>
    </w:rPr>
  </w:style>
  <w:style w:type="paragraph" w:styleId="Heading6">
    <w:name w:val="heading 6"/>
    <w:basedOn w:val="Normal"/>
    <w:next w:val="Normal"/>
    <w:qFormat/>
    <w:pPr>
      <w:keepNext/>
      <w:jc w:val="center"/>
      <w:outlineLvl w:val="5"/>
    </w:pPr>
    <w:rPr>
      <w:b/>
      <w:noProof/>
    </w:rPr>
  </w:style>
  <w:style w:type="paragraph" w:styleId="Heading7">
    <w:name w:val="heading 7"/>
    <w:basedOn w:val="Normal"/>
    <w:next w:val="Normal"/>
    <w:qFormat/>
    <w:pPr>
      <w:keepNext/>
      <w:ind w:right="-449"/>
      <w:outlineLvl w:val="6"/>
    </w:pPr>
    <w:rPr>
      <w:i/>
      <w:iCs/>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1134"/>
      </w:tabs>
      <w:ind w:left="1134" w:hanging="1134"/>
    </w:pPr>
    <w:rPr>
      <w:b/>
      <w:color w:val="000000"/>
      <w:sz w:val="20"/>
      <w:lang w:val="en-GB"/>
    </w:rPr>
  </w:style>
  <w:style w:type="paragraph" w:styleId="CommentText">
    <w:name w:val="annotation text"/>
    <w:basedOn w:val="Normal"/>
    <w:link w:val="CommentTextChar"/>
    <w:semiHidden/>
    <w:rPr>
      <w:color w:val="000000"/>
      <w:sz w:val="20"/>
      <w:lang w:val="en-GB"/>
    </w:rPr>
  </w:style>
  <w:style w:type="paragraph" w:styleId="BodyText">
    <w:name w:val="Body Text"/>
    <w:basedOn w:val="Normal"/>
    <w:rPr>
      <w:color w:val="000000"/>
      <w:sz w:val="22"/>
      <w:lang w:val="en-GB"/>
    </w:rPr>
  </w:style>
  <w:style w:type="paragraph" w:styleId="Footer">
    <w:name w:val="footer"/>
    <w:basedOn w:val="Normal"/>
    <w:pPr>
      <w:tabs>
        <w:tab w:val="center" w:pos="4153"/>
        <w:tab w:val="right" w:pos="8306"/>
      </w:tabs>
    </w:pPr>
    <w:rPr>
      <w:color w:val="000000"/>
      <w:lang w:val="en-GB"/>
    </w:rPr>
  </w:style>
  <w:style w:type="paragraph" w:styleId="Header">
    <w:name w:val="header"/>
    <w:basedOn w:val="Normal"/>
    <w:pPr>
      <w:tabs>
        <w:tab w:val="center" w:pos="4153"/>
        <w:tab w:val="right" w:pos="8306"/>
      </w:tabs>
    </w:pPr>
    <w:rPr>
      <w:color w:val="000000"/>
      <w:lang w:val="en-GB"/>
    </w:rPr>
  </w:style>
  <w:style w:type="character" w:styleId="PageNumber">
    <w:name w:val="page number"/>
    <w:basedOn w:val="DefaultParagraphFont"/>
    <w:uiPriority w:val="5"/>
  </w:style>
  <w:style w:type="paragraph" w:styleId="BodyText3">
    <w:name w:val="Body Text 3"/>
    <w:basedOn w:val="Normal"/>
  </w:style>
  <w:style w:type="character" w:styleId="CommentReference">
    <w:name w:val="annotation reference"/>
    <w:semiHidden/>
    <w:rPr>
      <w:sz w:val="16"/>
    </w:rPr>
  </w:style>
  <w:style w:type="paragraph" w:customStyle="1" w:styleId="Abbreviations">
    <w:name w:val="Abbreviations"/>
    <w:basedOn w:val="Normal"/>
    <w:pPr>
      <w:tabs>
        <w:tab w:val="left" w:pos="1418"/>
      </w:tabs>
      <w:suppressAutoHyphens/>
      <w:jc w:val="left"/>
    </w:pPr>
    <w:rPr>
      <w:sz w:val="22"/>
      <w:lang w:val="en-GB"/>
    </w:rPr>
  </w:style>
  <w:style w:type="paragraph" w:customStyle="1" w:styleId="Bulletlist">
    <w:name w:val="Bullet list"/>
    <w:basedOn w:val="BodyText"/>
    <w:pPr>
      <w:suppressAutoHyphens/>
      <w:overflowPunct/>
      <w:autoSpaceDE/>
      <w:autoSpaceDN/>
      <w:adjustRightInd/>
      <w:spacing w:line="264" w:lineRule="auto"/>
      <w:ind w:left="284" w:hanging="284"/>
      <w:jc w:val="left"/>
      <w:textAlignment w:val="auto"/>
    </w:pPr>
    <w:rPr>
      <w:color w:val="auto"/>
      <w:sz w:val="24"/>
    </w:rPr>
  </w:style>
  <w:style w:type="paragraph" w:customStyle="1" w:styleId="Synopstext">
    <w:name w:val="Synops_text"/>
    <w:basedOn w:val="Normal"/>
    <w:pPr>
      <w:suppressAutoHyphens/>
      <w:jc w:val="left"/>
    </w:pPr>
    <w:rPr>
      <w:sz w:val="20"/>
      <w:lang w:val="en-GB"/>
    </w:rPr>
  </w:style>
  <w:style w:type="paragraph" w:styleId="CommentSubject">
    <w:name w:val="annotation subject"/>
    <w:basedOn w:val="CommentText"/>
    <w:next w:val="CommentText"/>
    <w:semiHidden/>
    <w:rPr>
      <w:b/>
      <w:bCs/>
      <w:color w:val="auto"/>
      <w:lang w:val="en-AU"/>
    </w:rPr>
  </w:style>
  <w:style w:type="paragraph" w:styleId="BalloonText">
    <w:name w:val="Balloon Text"/>
    <w:basedOn w:val="Normal"/>
    <w:semiHidden/>
    <w:rPr>
      <w:rFonts w:ascii="Tahoma" w:hAnsi="Tahoma" w:cs="Tahoma"/>
      <w:sz w:val="16"/>
      <w:szCs w:val="16"/>
    </w:rPr>
  </w:style>
  <w:style w:type="table" w:styleId="TableGrid3">
    <w:name w:val="Table Grid 3"/>
    <w:basedOn w:val="TableNormal"/>
    <w:pPr>
      <w:overflowPunct w:val="0"/>
      <w:autoSpaceDE w:val="0"/>
      <w:autoSpaceDN w:val="0"/>
      <w:adjustRightInd w:val="0"/>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TimesNewRoman" w:hAnsi="TimesNewRoman" w:cs="TimesNewRoman"/>
      <w:lang w:val="en-US" w:eastAsia="en-US"/>
    </w:rPr>
  </w:style>
  <w:style w:type="table" w:styleId="TableGrid">
    <w:name w:val="Table Grid"/>
    <w:basedOn w:val="TableNormal"/>
    <w:uiPriority w:val="59"/>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k2linie1">
    <w:name w:val="rk2linie1"/>
    <w:basedOn w:val="Normal"/>
    <w:next w:val="Normal"/>
    <w:pPr>
      <w:spacing w:before="280"/>
      <w:jc w:val="center"/>
    </w:pPr>
    <w:rPr>
      <w:rFonts w:ascii="Arial" w:hAnsi="Arial"/>
      <w:b/>
      <w:sz w:val="28"/>
      <w:lang w:val="en-GB"/>
    </w:rPr>
  </w:style>
  <w:style w:type="character" w:styleId="Strong">
    <w:name w:val="Strong"/>
    <w:qFormat/>
    <w:rPr>
      <w:b/>
      <w:bCs/>
    </w:rPr>
  </w:style>
  <w:style w:type="paragraph" w:styleId="NormalWeb">
    <w:name w:val="Normal (Web)"/>
    <w:basedOn w:val="Normal"/>
    <w:rsid w:val="00485F16"/>
    <w:pPr>
      <w:overflowPunct/>
      <w:autoSpaceDE/>
      <w:autoSpaceDN/>
      <w:adjustRightInd/>
      <w:spacing w:before="100" w:beforeAutospacing="1" w:after="100" w:afterAutospacing="1"/>
      <w:jc w:val="left"/>
      <w:textAlignment w:val="auto"/>
    </w:pPr>
    <w:rPr>
      <w:szCs w:val="24"/>
      <w:lang w:eastAsia="en-AU"/>
    </w:rPr>
  </w:style>
  <w:style w:type="character" w:customStyle="1" w:styleId="CommentTextChar">
    <w:name w:val="Comment Text Char"/>
    <w:link w:val="CommentText"/>
    <w:semiHidden/>
    <w:rsid w:val="00BC1CA0"/>
    <w:rPr>
      <w:color w:val="000000"/>
      <w:lang w:val="en-GB" w:eastAsia="en-US"/>
    </w:rPr>
  </w:style>
  <w:style w:type="paragraph" w:styleId="ListBullet">
    <w:name w:val="List Bullet"/>
    <w:basedOn w:val="Normal"/>
    <w:rsid w:val="001E4495"/>
    <w:pPr>
      <w:numPr>
        <w:numId w:val="8"/>
      </w:numPr>
      <w:contextualSpacing/>
    </w:pPr>
  </w:style>
  <w:style w:type="character" w:styleId="Emphasis">
    <w:name w:val="Emphasis"/>
    <w:qFormat/>
    <w:rsid w:val="002F4192"/>
    <w:rPr>
      <w:i/>
      <w:iCs/>
    </w:rPr>
  </w:style>
  <w:style w:type="paragraph" w:styleId="Revision">
    <w:name w:val="Revision"/>
    <w:hidden/>
    <w:uiPriority w:val="99"/>
    <w:semiHidden/>
    <w:rsid w:val="003220F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4733">
      <w:bodyDiv w:val="1"/>
      <w:marLeft w:val="0"/>
      <w:marRight w:val="0"/>
      <w:marTop w:val="0"/>
      <w:marBottom w:val="0"/>
      <w:divBdr>
        <w:top w:val="none" w:sz="0" w:space="0" w:color="auto"/>
        <w:left w:val="none" w:sz="0" w:space="0" w:color="auto"/>
        <w:bottom w:val="none" w:sz="0" w:space="0" w:color="auto"/>
        <w:right w:val="none" w:sz="0" w:space="0" w:color="auto"/>
      </w:divBdr>
      <w:divsChild>
        <w:div w:id="87196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Microsoft_PowerPoint_97-2003_Presentation1.ppt"/><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D8BCC2B82B343BCDE74C94F883296" ma:contentTypeVersion="0" ma:contentTypeDescription="Create a new document." ma:contentTypeScope="" ma:versionID="147355910bb1c3d55f0cec7ef7ce9c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A068-90EA-4B84-84EA-C5030B8E50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1F3C1-1CF9-450D-9BF5-6E39F88AC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86A790-6493-49C5-AAF5-6340FFD9985F}">
  <ds:schemaRefs>
    <ds:schemaRef ds:uri="http://schemas.microsoft.com/sharepoint/v3/contenttype/forms"/>
  </ds:schemaRefs>
</ds:datastoreItem>
</file>

<file path=customXml/itemProps4.xml><?xml version="1.0" encoding="utf-8"?>
<ds:datastoreItem xmlns:ds="http://schemas.openxmlformats.org/officeDocument/2006/customXml" ds:itemID="{A518E941-FB53-4994-9FFC-6366D148555E}">
  <ds:schemaRefs>
    <ds:schemaRef ds:uri="http://schemas.microsoft.com/office/2006/customDocumentInformationPanel"/>
  </ds:schemaRefs>
</ds:datastoreItem>
</file>

<file path=customXml/itemProps5.xml><?xml version="1.0" encoding="utf-8"?>
<ds:datastoreItem xmlns:ds="http://schemas.openxmlformats.org/officeDocument/2006/customXml" ds:itemID="{BBAD68D2-1FD2-4B3E-ABB6-CE1D3AA5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7836</Words>
  <Characters>43885</Characters>
  <Application>Microsoft Office Word</Application>
  <DocSecurity>0</DocSecurity>
  <Lines>1070</Lines>
  <Paragraphs>497</Paragraphs>
  <ScaleCrop>false</ScaleCrop>
  <HeadingPairs>
    <vt:vector size="2" baseType="variant">
      <vt:variant>
        <vt:lpstr>Title</vt:lpstr>
      </vt:variant>
      <vt:variant>
        <vt:i4>1</vt:i4>
      </vt:variant>
    </vt:vector>
  </HeadingPairs>
  <TitlesOfParts>
    <vt:vector size="1" baseType="lpstr">
      <vt:lpstr>Levpi6a.doc </vt:lpstr>
    </vt:vector>
  </TitlesOfParts>
  <Company>Novo Nordisk Pharmaceuticals Pty. Ltd.</Company>
  <LinksUpToDate>false</LinksUpToDate>
  <CharactersWithSpaces>51224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Levemir FlexPen, Levemir Penfill (insulin detemir)</dc:title>
  <dc:subject>Levemir PI</dc:subject>
  <dc:creator>Novo Nordisk Pharmaceuticals</dc:creator>
  <dc:description>Marketing PI Levpi6a supersedes Levpi5a.
Equivalent to pi 'Lev (use with lira;2yr paed data;use in pregn) dpi5a_Marketing clean.doc' submitted with 11 Sep 2012 Cat 1 application (PM-2012-02256-3-5), approved 16-Oct-2013.</dc:description>
  <cp:lastModifiedBy>Bird, Gail</cp:lastModifiedBy>
  <cp:revision>5</cp:revision>
  <cp:lastPrinted>2013-10-30T04:10:00Z</cp:lastPrinted>
  <dcterms:created xsi:type="dcterms:W3CDTF">2014-05-31T01:51:00Z</dcterms:created>
  <dcterms:modified xsi:type="dcterms:W3CDTF">2014-05-31T01:54:00Z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