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E7846" w:rsidP="008B75A4">
            <w:pPr>
              <w:rPr>
                <w:rFonts w:ascii="Arial" w:hAnsi="Arial" w:cs="Arial"/>
                <w:b/>
                <w:color w:val="002C47"/>
                <w:sz w:val="36"/>
                <w:szCs w:val="36"/>
              </w:rPr>
            </w:pPr>
            <w:r>
              <w:rPr>
                <w:rFonts w:ascii="Arial" w:hAnsi="Arial" w:cs="Arial"/>
                <w:b/>
                <w:color w:val="002C47"/>
                <w:sz w:val="36"/>
                <w:szCs w:val="36"/>
              </w:rPr>
              <w:t>M</w:t>
            </w:r>
            <w:r w:rsidR="008B75A4">
              <w:rPr>
                <w:rFonts w:ascii="Arial" w:hAnsi="Arial" w:cs="Arial"/>
                <w:b/>
                <w:color w:val="002C47"/>
                <w:sz w:val="36"/>
                <w:szCs w:val="36"/>
              </w:rPr>
              <w:t>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3E74FF">
            <w:pPr>
              <w:pStyle w:val="Title"/>
              <w:rPr>
                <w:color w:val="FFFFFF" w:themeColor="background1"/>
              </w:rPr>
            </w:pPr>
            <w:r w:rsidRPr="00A964D1">
              <w:rPr>
                <w:color w:val="FFFFFF" w:themeColor="background1"/>
              </w:rPr>
              <w:t xml:space="preserve">Australian Public Assessment Report for </w:t>
            </w:r>
            <w:r w:rsidR="003E74FF">
              <w:rPr>
                <w:color w:val="FFFFFF" w:themeColor="background1"/>
              </w:rPr>
              <w:t>insulin detemir (rys)</w:t>
            </w:r>
          </w:p>
        </w:tc>
      </w:tr>
      <w:tr w:rsidR="0032583B" w:rsidRPr="00B64760" w:rsidTr="0032583B">
        <w:tc>
          <w:tcPr>
            <w:tcW w:w="9079" w:type="dxa"/>
          </w:tcPr>
          <w:p w:rsidR="0032583B" w:rsidRPr="008E7846" w:rsidRDefault="0032583B" w:rsidP="003E74FF">
            <w:pPr>
              <w:pStyle w:val="Subtitle"/>
              <w:rPr>
                <w:color w:val="FFFFFF" w:themeColor="background1"/>
              </w:rPr>
            </w:pPr>
            <w:r w:rsidRPr="008E7846">
              <w:rPr>
                <w:color w:val="FFFFFF" w:themeColor="background1"/>
              </w:rPr>
              <w:t xml:space="preserve">Proprietary Product Name: </w:t>
            </w:r>
            <w:r w:rsidR="003E74FF">
              <w:rPr>
                <w:color w:val="FFFFFF" w:themeColor="background1"/>
              </w:rPr>
              <w:t>Levemir</w:t>
            </w:r>
          </w:p>
        </w:tc>
      </w:tr>
      <w:tr w:rsidR="0032583B" w:rsidRPr="00B64760" w:rsidTr="0032583B">
        <w:trPr>
          <w:trHeight w:val="486"/>
        </w:trPr>
        <w:tc>
          <w:tcPr>
            <w:tcW w:w="9079" w:type="dxa"/>
          </w:tcPr>
          <w:p w:rsidR="0032583B" w:rsidRPr="008E7846" w:rsidRDefault="0032583B" w:rsidP="008B75A4">
            <w:pPr>
              <w:pStyle w:val="Subtitle"/>
              <w:rPr>
                <w:color w:val="FFFFFF" w:themeColor="background1"/>
              </w:rPr>
            </w:pPr>
            <w:r w:rsidRPr="008E7846">
              <w:rPr>
                <w:color w:val="FFFFFF" w:themeColor="background1"/>
              </w:rPr>
              <w:t xml:space="preserve">Sponsor: </w:t>
            </w:r>
            <w:r w:rsidR="008B75A4">
              <w:rPr>
                <w:color w:val="FFFFFF" w:themeColor="background1"/>
              </w:rPr>
              <w:t>Novo Nordisk Pharmaceuticals</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7276E" w:rsidRDefault="00B5074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771032" w:history="1">
            <w:r w:rsidR="0087276E" w:rsidRPr="00A750CC">
              <w:rPr>
                <w:rStyle w:val="Hyperlink"/>
                <w:noProof/>
              </w:rPr>
              <w:t>List of abbreviations</w:t>
            </w:r>
            <w:r w:rsidR="0087276E">
              <w:rPr>
                <w:noProof/>
                <w:webHidden/>
              </w:rPr>
              <w:tab/>
            </w:r>
            <w:r w:rsidR="0087276E">
              <w:rPr>
                <w:noProof/>
                <w:webHidden/>
              </w:rPr>
              <w:fldChar w:fldCharType="begin"/>
            </w:r>
            <w:r w:rsidR="0087276E">
              <w:rPr>
                <w:noProof/>
                <w:webHidden/>
              </w:rPr>
              <w:instrText xml:space="preserve"> PAGEREF _Toc383771032 \h </w:instrText>
            </w:r>
            <w:r w:rsidR="0087276E">
              <w:rPr>
                <w:noProof/>
                <w:webHidden/>
              </w:rPr>
            </w:r>
            <w:r w:rsidR="0087276E">
              <w:rPr>
                <w:noProof/>
                <w:webHidden/>
              </w:rPr>
              <w:fldChar w:fldCharType="separate"/>
            </w:r>
            <w:r w:rsidR="0087276E">
              <w:rPr>
                <w:noProof/>
                <w:webHidden/>
              </w:rPr>
              <w:t>4</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33" w:history="1">
            <w:r w:rsidR="0087276E" w:rsidRPr="00A750CC">
              <w:rPr>
                <w:rStyle w:val="Hyperlink"/>
                <w:noProof/>
              </w:rPr>
              <w:t>I. Introduction to product submission</w:t>
            </w:r>
            <w:r w:rsidR="0087276E">
              <w:rPr>
                <w:noProof/>
                <w:webHidden/>
              </w:rPr>
              <w:tab/>
            </w:r>
            <w:r w:rsidR="0087276E">
              <w:rPr>
                <w:noProof/>
                <w:webHidden/>
              </w:rPr>
              <w:fldChar w:fldCharType="begin"/>
            </w:r>
            <w:r w:rsidR="0087276E">
              <w:rPr>
                <w:noProof/>
                <w:webHidden/>
              </w:rPr>
              <w:instrText xml:space="preserve"> PAGEREF _Toc383771033 \h </w:instrText>
            </w:r>
            <w:r w:rsidR="0087276E">
              <w:rPr>
                <w:noProof/>
                <w:webHidden/>
              </w:rPr>
            </w:r>
            <w:r w:rsidR="0087276E">
              <w:rPr>
                <w:noProof/>
                <w:webHidden/>
              </w:rPr>
              <w:fldChar w:fldCharType="separate"/>
            </w:r>
            <w:r w:rsidR="0087276E">
              <w:rPr>
                <w:noProof/>
                <w:webHidden/>
              </w:rPr>
              <w:t>8</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34" w:history="1">
            <w:r w:rsidR="0087276E" w:rsidRPr="00A750CC">
              <w:rPr>
                <w:rStyle w:val="Hyperlink"/>
                <w:noProof/>
                <w:lang w:eastAsia="en-AU"/>
              </w:rPr>
              <w:t>Submission details</w:t>
            </w:r>
            <w:r w:rsidR="0087276E">
              <w:rPr>
                <w:noProof/>
                <w:webHidden/>
              </w:rPr>
              <w:tab/>
            </w:r>
            <w:r w:rsidR="0087276E">
              <w:rPr>
                <w:noProof/>
                <w:webHidden/>
              </w:rPr>
              <w:fldChar w:fldCharType="begin"/>
            </w:r>
            <w:r w:rsidR="0087276E">
              <w:rPr>
                <w:noProof/>
                <w:webHidden/>
              </w:rPr>
              <w:instrText xml:space="preserve"> PAGEREF _Toc383771034 \h </w:instrText>
            </w:r>
            <w:r w:rsidR="0087276E">
              <w:rPr>
                <w:noProof/>
                <w:webHidden/>
              </w:rPr>
            </w:r>
            <w:r w:rsidR="0087276E">
              <w:rPr>
                <w:noProof/>
                <w:webHidden/>
              </w:rPr>
              <w:fldChar w:fldCharType="separate"/>
            </w:r>
            <w:r w:rsidR="0087276E">
              <w:rPr>
                <w:noProof/>
                <w:webHidden/>
              </w:rPr>
              <w:t>8</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35" w:history="1">
            <w:r w:rsidR="0087276E" w:rsidRPr="00A750CC">
              <w:rPr>
                <w:rStyle w:val="Hyperlink"/>
                <w:noProof/>
              </w:rPr>
              <w:t>Product background</w:t>
            </w:r>
            <w:r w:rsidR="0087276E">
              <w:rPr>
                <w:noProof/>
                <w:webHidden/>
              </w:rPr>
              <w:tab/>
            </w:r>
            <w:r w:rsidR="0087276E">
              <w:rPr>
                <w:noProof/>
                <w:webHidden/>
              </w:rPr>
              <w:fldChar w:fldCharType="begin"/>
            </w:r>
            <w:r w:rsidR="0087276E">
              <w:rPr>
                <w:noProof/>
                <w:webHidden/>
              </w:rPr>
              <w:instrText xml:space="preserve"> PAGEREF _Toc383771035 \h </w:instrText>
            </w:r>
            <w:r w:rsidR="0087276E">
              <w:rPr>
                <w:noProof/>
                <w:webHidden/>
              </w:rPr>
            </w:r>
            <w:r w:rsidR="0087276E">
              <w:rPr>
                <w:noProof/>
                <w:webHidden/>
              </w:rPr>
              <w:fldChar w:fldCharType="separate"/>
            </w:r>
            <w:r w:rsidR="0087276E">
              <w:rPr>
                <w:noProof/>
                <w:webHidden/>
              </w:rPr>
              <w:t>8</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36" w:history="1">
            <w:r w:rsidR="0087276E" w:rsidRPr="00A750CC">
              <w:rPr>
                <w:rStyle w:val="Hyperlink"/>
                <w:noProof/>
              </w:rPr>
              <w:t>Regulatory status</w:t>
            </w:r>
            <w:r w:rsidR="0087276E">
              <w:rPr>
                <w:noProof/>
                <w:webHidden/>
              </w:rPr>
              <w:tab/>
            </w:r>
            <w:r w:rsidR="0087276E">
              <w:rPr>
                <w:noProof/>
                <w:webHidden/>
              </w:rPr>
              <w:fldChar w:fldCharType="begin"/>
            </w:r>
            <w:r w:rsidR="0087276E">
              <w:rPr>
                <w:noProof/>
                <w:webHidden/>
              </w:rPr>
              <w:instrText xml:space="preserve"> PAGEREF _Toc383771036 \h </w:instrText>
            </w:r>
            <w:r w:rsidR="0087276E">
              <w:rPr>
                <w:noProof/>
                <w:webHidden/>
              </w:rPr>
            </w:r>
            <w:r w:rsidR="0087276E">
              <w:rPr>
                <w:noProof/>
                <w:webHidden/>
              </w:rPr>
              <w:fldChar w:fldCharType="separate"/>
            </w:r>
            <w:r w:rsidR="0087276E">
              <w:rPr>
                <w:noProof/>
                <w:webHidden/>
              </w:rPr>
              <w:t>9</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37" w:history="1">
            <w:r w:rsidR="0087276E" w:rsidRPr="00A750CC">
              <w:rPr>
                <w:rStyle w:val="Hyperlink"/>
                <w:noProof/>
              </w:rPr>
              <w:t>Product Information</w:t>
            </w:r>
            <w:r w:rsidR="0087276E">
              <w:rPr>
                <w:noProof/>
                <w:webHidden/>
              </w:rPr>
              <w:tab/>
            </w:r>
            <w:r w:rsidR="0087276E">
              <w:rPr>
                <w:noProof/>
                <w:webHidden/>
              </w:rPr>
              <w:fldChar w:fldCharType="begin"/>
            </w:r>
            <w:r w:rsidR="0087276E">
              <w:rPr>
                <w:noProof/>
                <w:webHidden/>
              </w:rPr>
              <w:instrText xml:space="preserve"> PAGEREF _Toc383771037 \h </w:instrText>
            </w:r>
            <w:r w:rsidR="0087276E">
              <w:rPr>
                <w:noProof/>
                <w:webHidden/>
              </w:rPr>
            </w:r>
            <w:r w:rsidR="0087276E">
              <w:rPr>
                <w:noProof/>
                <w:webHidden/>
              </w:rPr>
              <w:fldChar w:fldCharType="separate"/>
            </w:r>
            <w:r w:rsidR="0087276E">
              <w:rPr>
                <w:noProof/>
                <w:webHidden/>
              </w:rPr>
              <w:t>10</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38" w:history="1">
            <w:r w:rsidR="0087276E" w:rsidRPr="00A750CC">
              <w:rPr>
                <w:rStyle w:val="Hyperlink"/>
                <w:noProof/>
              </w:rPr>
              <w:t>II. Quality findings</w:t>
            </w:r>
            <w:r w:rsidR="0087276E">
              <w:rPr>
                <w:noProof/>
                <w:webHidden/>
              </w:rPr>
              <w:tab/>
            </w:r>
            <w:r w:rsidR="0087276E">
              <w:rPr>
                <w:noProof/>
                <w:webHidden/>
              </w:rPr>
              <w:fldChar w:fldCharType="begin"/>
            </w:r>
            <w:r w:rsidR="0087276E">
              <w:rPr>
                <w:noProof/>
                <w:webHidden/>
              </w:rPr>
              <w:instrText xml:space="preserve"> PAGEREF _Toc383771038 \h </w:instrText>
            </w:r>
            <w:r w:rsidR="0087276E">
              <w:rPr>
                <w:noProof/>
                <w:webHidden/>
              </w:rPr>
            </w:r>
            <w:r w:rsidR="0087276E">
              <w:rPr>
                <w:noProof/>
                <w:webHidden/>
              </w:rPr>
              <w:fldChar w:fldCharType="separate"/>
            </w:r>
            <w:r w:rsidR="0087276E">
              <w:rPr>
                <w:noProof/>
                <w:webHidden/>
              </w:rPr>
              <w:t>10</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39" w:history="1">
            <w:r w:rsidR="0087276E" w:rsidRPr="00A750CC">
              <w:rPr>
                <w:rStyle w:val="Hyperlink"/>
                <w:noProof/>
              </w:rPr>
              <w:t>III. Nonclinical findings</w:t>
            </w:r>
            <w:r w:rsidR="0087276E">
              <w:rPr>
                <w:noProof/>
                <w:webHidden/>
              </w:rPr>
              <w:tab/>
            </w:r>
            <w:r w:rsidR="0087276E">
              <w:rPr>
                <w:noProof/>
                <w:webHidden/>
              </w:rPr>
              <w:fldChar w:fldCharType="begin"/>
            </w:r>
            <w:r w:rsidR="0087276E">
              <w:rPr>
                <w:noProof/>
                <w:webHidden/>
              </w:rPr>
              <w:instrText xml:space="preserve"> PAGEREF _Toc383771039 \h </w:instrText>
            </w:r>
            <w:r w:rsidR="0087276E">
              <w:rPr>
                <w:noProof/>
                <w:webHidden/>
              </w:rPr>
            </w:r>
            <w:r w:rsidR="0087276E">
              <w:rPr>
                <w:noProof/>
                <w:webHidden/>
              </w:rPr>
              <w:fldChar w:fldCharType="separate"/>
            </w:r>
            <w:r w:rsidR="0087276E">
              <w:rPr>
                <w:noProof/>
                <w:webHidden/>
              </w:rPr>
              <w:t>11</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0" w:history="1">
            <w:r w:rsidR="0087276E" w:rsidRPr="00A750CC">
              <w:rPr>
                <w:rStyle w:val="Hyperlink"/>
                <w:noProof/>
              </w:rPr>
              <w:t>Nonclinical summary and conclusions</w:t>
            </w:r>
            <w:r w:rsidR="0087276E">
              <w:rPr>
                <w:noProof/>
                <w:webHidden/>
              </w:rPr>
              <w:tab/>
            </w:r>
            <w:r w:rsidR="0087276E">
              <w:rPr>
                <w:noProof/>
                <w:webHidden/>
              </w:rPr>
              <w:fldChar w:fldCharType="begin"/>
            </w:r>
            <w:r w:rsidR="0087276E">
              <w:rPr>
                <w:noProof/>
                <w:webHidden/>
              </w:rPr>
              <w:instrText xml:space="preserve"> PAGEREF _Toc383771040 \h </w:instrText>
            </w:r>
            <w:r w:rsidR="0087276E">
              <w:rPr>
                <w:noProof/>
                <w:webHidden/>
              </w:rPr>
            </w:r>
            <w:r w:rsidR="0087276E">
              <w:rPr>
                <w:noProof/>
                <w:webHidden/>
              </w:rPr>
              <w:fldChar w:fldCharType="separate"/>
            </w:r>
            <w:r w:rsidR="0087276E">
              <w:rPr>
                <w:noProof/>
                <w:webHidden/>
              </w:rPr>
              <w:t>11</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41" w:history="1">
            <w:r w:rsidR="0087276E" w:rsidRPr="00A750CC">
              <w:rPr>
                <w:rStyle w:val="Hyperlink"/>
                <w:noProof/>
              </w:rPr>
              <w:t>IV. Clinical findings</w:t>
            </w:r>
            <w:r w:rsidR="0087276E">
              <w:rPr>
                <w:noProof/>
                <w:webHidden/>
              </w:rPr>
              <w:tab/>
            </w:r>
            <w:r w:rsidR="0087276E">
              <w:rPr>
                <w:noProof/>
                <w:webHidden/>
              </w:rPr>
              <w:fldChar w:fldCharType="begin"/>
            </w:r>
            <w:r w:rsidR="0087276E">
              <w:rPr>
                <w:noProof/>
                <w:webHidden/>
              </w:rPr>
              <w:instrText xml:space="preserve"> PAGEREF _Toc383771041 \h </w:instrText>
            </w:r>
            <w:r w:rsidR="0087276E">
              <w:rPr>
                <w:noProof/>
                <w:webHidden/>
              </w:rPr>
            </w:r>
            <w:r w:rsidR="0087276E">
              <w:rPr>
                <w:noProof/>
                <w:webHidden/>
              </w:rPr>
              <w:fldChar w:fldCharType="separate"/>
            </w:r>
            <w:r w:rsidR="0087276E">
              <w:rPr>
                <w:noProof/>
                <w:webHidden/>
              </w:rPr>
              <w:t>11</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2" w:history="1">
            <w:r w:rsidR="0087276E" w:rsidRPr="00A750CC">
              <w:rPr>
                <w:rStyle w:val="Hyperlink"/>
                <w:noProof/>
              </w:rPr>
              <w:t>Pharmacokinetics</w:t>
            </w:r>
            <w:r w:rsidR="0087276E">
              <w:rPr>
                <w:noProof/>
                <w:webHidden/>
              </w:rPr>
              <w:tab/>
            </w:r>
            <w:r w:rsidR="0087276E">
              <w:rPr>
                <w:noProof/>
                <w:webHidden/>
              </w:rPr>
              <w:fldChar w:fldCharType="begin"/>
            </w:r>
            <w:r w:rsidR="0087276E">
              <w:rPr>
                <w:noProof/>
                <w:webHidden/>
              </w:rPr>
              <w:instrText xml:space="preserve"> PAGEREF _Toc383771042 \h </w:instrText>
            </w:r>
            <w:r w:rsidR="0087276E">
              <w:rPr>
                <w:noProof/>
                <w:webHidden/>
              </w:rPr>
            </w:r>
            <w:r w:rsidR="0087276E">
              <w:rPr>
                <w:noProof/>
                <w:webHidden/>
              </w:rPr>
              <w:fldChar w:fldCharType="separate"/>
            </w:r>
            <w:r w:rsidR="0087276E">
              <w:rPr>
                <w:noProof/>
                <w:webHidden/>
              </w:rPr>
              <w:t>12</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3" w:history="1">
            <w:r w:rsidR="0087276E" w:rsidRPr="00A750CC">
              <w:rPr>
                <w:rStyle w:val="Hyperlink"/>
                <w:noProof/>
              </w:rPr>
              <w:t>Pharmacodynamics</w:t>
            </w:r>
            <w:r w:rsidR="0087276E">
              <w:rPr>
                <w:noProof/>
                <w:webHidden/>
              </w:rPr>
              <w:tab/>
            </w:r>
            <w:r w:rsidR="0087276E">
              <w:rPr>
                <w:noProof/>
                <w:webHidden/>
              </w:rPr>
              <w:fldChar w:fldCharType="begin"/>
            </w:r>
            <w:r w:rsidR="0087276E">
              <w:rPr>
                <w:noProof/>
                <w:webHidden/>
              </w:rPr>
              <w:instrText xml:space="preserve"> PAGEREF _Toc383771043 \h </w:instrText>
            </w:r>
            <w:r w:rsidR="0087276E">
              <w:rPr>
                <w:noProof/>
                <w:webHidden/>
              </w:rPr>
            </w:r>
            <w:r w:rsidR="0087276E">
              <w:rPr>
                <w:noProof/>
                <w:webHidden/>
              </w:rPr>
              <w:fldChar w:fldCharType="separate"/>
            </w:r>
            <w:r w:rsidR="0087276E">
              <w:rPr>
                <w:noProof/>
                <w:webHidden/>
              </w:rPr>
              <w:t>13</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4" w:history="1">
            <w:r w:rsidR="0087276E" w:rsidRPr="00A750CC">
              <w:rPr>
                <w:rStyle w:val="Hyperlink"/>
                <w:noProof/>
              </w:rPr>
              <w:t>Dosage selection for the pivotal studies</w:t>
            </w:r>
            <w:r w:rsidR="0087276E">
              <w:rPr>
                <w:noProof/>
                <w:webHidden/>
              </w:rPr>
              <w:tab/>
            </w:r>
            <w:r w:rsidR="0087276E">
              <w:rPr>
                <w:noProof/>
                <w:webHidden/>
              </w:rPr>
              <w:fldChar w:fldCharType="begin"/>
            </w:r>
            <w:r w:rsidR="0087276E">
              <w:rPr>
                <w:noProof/>
                <w:webHidden/>
              </w:rPr>
              <w:instrText xml:space="preserve"> PAGEREF _Toc383771044 \h </w:instrText>
            </w:r>
            <w:r w:rsidR="0087276E">
              <w:rPr>
                <w:noProof/>
                <w:webHidden/>
              </w:rPr>
            </w:r>
            <w:r w:rsidR="0087276E">
              <w:rPr>
                <w:noProof/>
                <w:webHidden/>
              </w:rPr>
              <w:fldChar w:fldCharType="separate"/>
            </w:r>
            <w:r w:rsidR="0087276E">
              <w:rPr>
                <w:noProof/>
                <w:webHidden/>
              </w:rPr>
              <w:t>13</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5" w:history="1">
            <w:r w:rsidR="0087276E" w:rsidRPr="00A750CC">
              <w:rPr>
                <w:rStyle w:val="Hyperlink"/>
                <w:noProof/>
              </w:rPr>
              <w:t>Efficacy</w:t>
            </w:r>
            <w:r w:rsidR="0087276E">
              <w:rPr>
                <w:noProof/>
                <w:webHidden/>
              </w:rPr>
              <w:tab/>
            </w:r>
            <w:r w:rsidR="0087276E">
              <w:rPr>
                <w:noProof/>
                <w:webHidden/>
              </w:rPr>
              <w:fldChar w:fldCharType="begin"/>
            </w:r>
            <w:r w:rsidR="0087276E">
              <w:rPr>
                <w:noProof/>
                <w:webHidden/>
              </w:rPr>
              <w:instrText xml:space="preserve"> PAGEREF _Toc383771045 \h </w:instrText>
            </w:r>
            <w:r w:rsidR="0087276E">
              <w:rPr>
                <w:noProof/>
                <w:webHidden/>
              </w:rPr>
            </w:r>
            <w:r w:rsidR="0087276E">
              <w:rPr>
                <w:noProof/>
                <w:webHidden/>
              </w:rPr>
              <w:fldChar w:fldCharType="separate"/>
            </w:r>
            <w:r w:rsidR="0087276E">
              <w:rPr>
                <w:noProof/>
                <w:webHidden/>
              </w:rPr>
              <w:t>14</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6" w:history="1">
            <w:r w:rsidR="0087276E" w:rsidRPr="00A750CC">
              <w:rPr>
                <w:rStyle w:val="Hyperlink"/>
                <w:noProof/>
              </w:rPr>
              <w:t>Safety</w:t>
            </w:r>
            <w:r w:rsidR="0087276E">
              <w:rPr>
                <w:noProof/>
                <w:webHidden/>
              </w:rPr>
              <w:tab/>
            </w:r>
            <w:r w:rsidR="0087276E">
              <w:rPr>
                <w:noProof/>
                <w:webHidden/>
              </w:rPr>
              <w:fldChar w:fldCharType="begin"/>
            </w:r>
            <w:r w:rsidR="0087276E">
              <w:rPr>
                <w:noProof/>
                <w:webHidden/>
              </w:rPr>
              <w:instrText xml:space="preserve"> PAGEREF _Toc383771046 \h </w:instrText>
            </w:r>
            <w:r w:rsidR="0087276E">
              <w:rPr>
                <w:noProof/>
                <w:webHidden/>
              </w:rPr>
            </w:r>
            <w:r w:rsidR="0087276E">
              <w:rPr>
                <w:noProof/>
                <w:webHidden/>
              </w:rPr>
              <w:fldChar w:fldCharType="separate"/>
            </w:r>
            <w:r w:rsidR="0087276E">
              <w:rPr>
                <w:noProof/>
                <w:webHidden/>
              </w:rPr>
              <w:t>15</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7" w:history="1">
            <w:r w:rsidR="0087276E" w:rsidRPr="00A750CC">
              <w:rPr>
                <w:rStyle w:val="Hyperlink"/>
                <w:noProof/>
              </w:rPr>
              <w:t>First round benefit-risk assessment</w:t>
            </w:r>
            <w:r w:rsidR="0087276E">
              <w:rPr>
                <w:noProof/>
                <w:webHidden/>
              </w:rPr>
              <w:tab/>
            </w:r>
            <w:r w:rsidR="0087276E">
              <w:rPr>
                <w:noProof/>
                <w:webHidden/>
              </w:rPr>
              <w:fldChar w:fldCharType="begin"/>
            </w:r>
            <w:r w:rsidR="0087276E">
              <w:rPr>
                <w:noProof/>
                <w:webHidden/>
              </w:rPr>
              <w:instrText xml:space="preserve"> PAGEREF _Toc383771047 \h </w:instrText>
            </w:r>
            <w:r w:rsidR="0087276E">
              <w:rPr>
                <w:noProof/>
                <w:webHidden/>
              </w:rPr>
            </w:r>
            <w:r w:rsidR="0087276E">
              <w:rPr>
                <w:noProof/>
                <w:webHidden/>
              </w:rPr>
              <w:fldChar w:fldCharType="separate"/>
            </w:r>
            <w:r w:rsidR="0087276E">
              <w:rPr>
                <w:noProof/>
                <w:webHidden/>
              </w:rPr>
              <w:t>17</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48" w:history="1">
            <w:r w:rsidR="0087276E" w:rsidRPr="00A750CC">
              <w:rPr>
                <w:rStyle w:val="Hyperlink"/>
                <w:noProof/>
              </w:rPr>
              <w:t>List of questions</w:t>
            </w:r>
            <w:r w:rsidR="0087276E">
              <w:rPr>
                <w:noProof/>
                <w:webHidden/>
              </w:rPr>
              <w:tab/>
            </w:r>
            <w:r w:rsidR="0087276E">
              <w:rPr>
                <w:noProof/>
                <w:webHidden/>
              </w:rPr>
              <w:fldChar w:fldCharType="begin"/>
            </w:r>
            <w:r w:rsidR="0087276E">
              <w:rPr>
                <w:noProof/>
                <w:webHidden/>
              </w:rPr>
              <w:instrText xml:space="preserve"> PAGEREF _Toc383771048 \h </w:instrText>
            </w:r>
            <w:r w:rsidR="0087276E">
              <w:rPr>
                <w:noProof/>
                <w:webHidden/>
              </w:rPr>
            </w:r>
            <w:r w:rsidR="0087276E">
              <w:rPr>
                <w:noProof/>
                <w:webHidden/>
              </w:rPr>
              <w:fldChar w:fldCharType="separate"/>
            </w:r>
            <w:r w:rsidR="0087276E">
              <w:rPr>
                <w:noProof/>
                <w:webHidden/>
              </w:rPr>
              <w:t>18</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49" w:history="1">
            <w:r w:rsidR="0087276E" w:rsidRPr="00A750CC">
              <w:rPr>
                <w:rStyle w:val="Hyperlink"/>
                <w:noProof/>
              </w:rPr>
              <w:t>V. Pharmacovigilance findings</w:t>
            </w:r>
            <w:r w:rsidR="0087276E">
              <w:rPr>
                <w:noProof/>
                <w:webHidden/>
              </w:rPr>
              <w:tab/>
            </w:r>
            <w:r w:rsidR="0087276E">
              <w:rPr>
                <w:noProof/>
                <w:webHidden/>
              </w:rPr>
              <w:fldChar w:fldCharType="begin"/>
            </w:r>
            <w:r w:rsidR="0087276E">
              <w:rPr>
                <w:noProof/>
                <w:webHidden/>
              </w:rPr>
              <w:instrText xml:space="preserve"> PAGEREF _Toc383771049 \h </w:instrText>
            </w:r>
            <w:r w:rsidR="0087276E">
              <w:rPr>
                <w:noProof/>
                <w:webHidden/>
              </w:rPr>
            </w:r>
            <w:r w:rsidR="0087276E">
              <w:rPr>
                <w:noProof/>
                <w:webHidden/>
              </w:rPr>
              <w:fldChar w:fldCharType="separate"/>
            </w:r>
            <w:r w:rsidR="0087276E">
              <w:rPr>
                <w:noProof/>
                <w:webHidden/>
              </w:rPr>
              <w:t>19</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0" w:history="1">
            <w:r w:rsidR="0087276E" w:rsidRPr="00A750CC">
              <w:rPr>
                <w:rStyle w:val="Hyperlink"/>
                <w:noProof/>
                <w:lang w:eastAsia="en-AU"/>
              </w:rPr>
              <w:t>Risk management plan</w:t>
            </w:r>
            <w:r w:rsidR="0087276E">
              <w:rPr>
                <w:noProof/>
                <w:webHidden/>
              </w:rPr>
              <w:tab/>
            </w:r>
            <w:r w:rsidR="0087276E">
              <w:rPr>
                <w:noProof/>
                <w:webHidden/>
              </w:rPr>
              <w:fldChar w:fldCharType="begin"/>
            </w:r>
            <w:r w:rsidR="0087276E">
              <w:rPr>
                <w:noProof/>
                <w:webHidden/>
              </w:rPr>
              <w:instrText xml:space="preserve"> PAGEREF _Toc383771050 \h </w:instrText>
            </w:r>
            <w:r w:rsidR="0087276E">
              <w:rPr>
                <w:noProof/>
                <w:webHidden/>
              </w:rPr>
            </w:r>
            <w:r w:rsidR="0087276E">
              <w:rPr>
                <w:noProof/>
                <w:webHidden/>
              </w:rPr>
              <w:fldChar w:fldCharType="separate"/>
            </w:r>
            <w:r w:rsidR="0087276E">
              <w:rPr>
                <w:noProof/>
                <w:webHidden/>
              </w:rPr>
              <w:t>19</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51" w:history="1">
            <w:r w:rsidR="0087276E" w:rsidRPr="00A750CC">
              <w:rPr>
                <w:rStyle w:val="Hyperlink"/>
                <w:noProof/>
              </w:rPr>
              <w:t>VI. Overall conclusion and risk/benefit assessment</w:t>
            </w:r>
            <w:r w:rsidR="0087276E">
              <w:rPr>
                <w:noProof/>
                <w:webHidden/>
              </w:rPr>
              <w:tab/>
            </w:r>
            <w:r w:rsidR="0087276E">
              <w:rPr>
                <w:noProof/>
                <w:webHidden/>
              </w:rPr>
              <w:fldChar w:fldCharType="begin"/>
            </w:r>
            <w:r w:rsidR="0087276E">
              <w:rPr>
                <w:noProof/>
                <w:webHidden/>
              </w:rPr>
              <w:instrText xml:space="preserve"> PAGEREF _Toc383771051 \h </w:instrText>
            </w:r>
            <w:r w:rsidR="0087276E">
              <w:rPr>
                <w:noProof/>
                <w:webHidden/>
              </w:rPr>
            </w:r>
            <w:r w:rsidR="0087276E">
              <w:rPr>
                <w:noProof/>
                <w:webHidden/>
              </w:rPr>
              <w:fldChar w:fldCharType="separate"/>
            </w:r>
            <w:r w:rsidR="0087276E">
              <w:rPr>
                <w:noProof/>
                <w:webHidden/>
              </w:rPr>
              <w:t>25</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2" w:history="1">
            <w:r w:rsidR="0087276E" w:rsidRPr="00A750CC">
              <w:rPr>
                <w:rStyle w:val="Hyperlink"/>
                <w:noProof/>
              </w:rPr>
              <w:t>Quality</w:t>
            </w:r>
            <w:r w:rsidR="0087276E">
              <w:rPr>
                <w:noProof/>
                <w:webHidden/>
              </w:rPr>
              <w:tab/>
            </w:r>
            <w:r w:rsidR="0087276E">
              <w:rPr>
                <w:noProof/>
                <w:webHidden/>
              </w:rPr>
              <w:fldChar w:fldCharType="begin"/>
            </w:r>
            <w:r w:rsidR="0087276E">
              <w:rPr>
                <w:noProof/>
                <w:webHidden/>
              </w:rPr>
              <w:instrText xml:space="preserve"> PAGEREF _Toc383771052 \h </w:instrText>
            </w:r>
            <w:r w:rsidR="0087276E">
              <w:rPr>
                <w:noProof/>
                <w:webHidden/>
              </w:rPr>
            </w:r>
            <w:r w:rsidR="0087276E">
              <w:rPr>
                <w:noProof/>
                <w:webHidden/>
              </w:rPr>
              <w:fldChar w:fldCharType="separate"/>
            </w:r>
            <w:r w:rsidR="0087276E">
              <w:rPr>
                <w:noProof/>
                <w:webHidden/>
              </w:rPr>
              <w:t>25</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3" w:history="1">
            <w:r w:rsidR="0087276E" w:rsidRPr="00A750CC">
              <w:rPr>
                <w:rStyle w:val="Hyperlink"/>
                <w:noProof/>
              </w:rPr>
              <w:t>Nonclinical</w:t>
            </w:r>
            <w:r w:rsidR="0087276E">
              <w:rPr>
                <w:noProof/>
                <w:webHidden/>
              </w:rPr>
              <w:tab/>
            </w:r>
            <w:r w:rsidR="0087276E">
              <w:rPr>
                <w:noProof/>
                <w:webHidden/>
              </w:rPr>
              <w:fldChar w:fldCharType="begin"/>
            </w:r>
            <w:r w:rsidR="0087276E">
              <w:rPr>
                <w:noProof/>
                <w:webHidden/>
              </w:rPr>
              <w:instrText xml:space="preserve"> PAGEREF _Toc383771053 \h </w:instrText>
            </w:r>
            <w:r w:rsidR="0087276E">
              <w:rPr>
                <w:noProof/>
                <w:webHidden/>
              </w:rPr>
            </w:r>
            <w:r w:rsidR="0087276E">
              <w:rPr>
                <w:noProof/>
                <w:webHidden/>
              </w:rPr>
              <w:fldChar w:fldCharType="separate"/>
            </w:r>
            <w:r w:rsidR="0087276E">
              <w:rPr>
                <w:noProof/>
                <w:webHidden/>
              </w:rPr>
              <w:t>25</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4" w:history="1">
            <w:r w:rsidR="0087276E" w:rsidRPr="00A750CC">
              <w:rPr>
                <w:rStyle w:val="Hyperlink"/>
                <w:noProof/>
              </w:rPr>
              <w:t>Clinical</w:t>
            </w:r>
            <w:r w:rsidR="0087276E">
              <w:rPr>
                <w:noProof/>
                <w:webHidden/>
              </w:rPr>
              <w:tab/>
            </w:r>
            <w:r w:rsidR="0087276E">
              <w:rPr>
                <w:noProof/>
                <w:webHidden/>
              </w:rPr>
              <w:fldChar w:fldCharType="begin"/>
            </w:r>
            <w:r w:rsidR="0087276E">
              <w:rPr>
                <w:noProof/>
                <w:webHidden/>
              </w:rPr>
              <w:instrText xml:space="preserve"> PAGEREF _Toc383771054 \h </w:instrText>
            </w:r>
            <w:r w:rsidR="0087276E">
              <w:rPr>
                <w:noProof/>
                <w:webHidden/>
              </w:rPr>
            </w:r>
            <w:r w:rsidR="0087276E">
              <w:rPr>
                <w:noProof/>
                <w:webHidden/>
              </w:rPr>
              <w:fldChar w:fldCharType="separate"/>
            </w:r>
            <w:r w:rsidR="0087276E">
              <w:rPr>
                <w:noProof/>
                <w:webHidden/>
              </w:rPr>
              <w:t>25</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5" w:history="1">
            <w:r w:rsidR="0087276E" w:rsidRPr="00A750CC">
              <w:rPr>
                <w:rStyle w:val="Hyperlink"/>
                <w:noProof/>
              </w:rPr>
              <w:t>Risk management plan</w:t>
            </w:r>
            <w:r w:rsidR="0087276E">
              <w:rPr>
                <w:noProof/>
                <w:webHidden/>
              </w:rPr>
              <w:tab/>
            </w:r>
            <w:r w:rsidR="0087276E">
              <w:rPr>
                <w:noProof/>
                <w:webHidden/>
              </w:rPr>
              <w:fldChar w:fldCharType="begin"/>
            </w:r>
            <w:r w:rsidR="0087276E">
              <w:rPr>
                <w:noProof/>
                <w:webHidden/>
              </w:rPr>
              <w:instrText xml:space="preserve"> PAGEREF _Toc383771055 \h </w:instrText>
            </w:r>
            <w:r w:rsidR="0087276E">
              <w:rPr>
                <w:noProof/>
                <w:webHidden/>
              </w:rPr>
            </w:r>
            <w:r w:rsidR="0087276E">
              <w:rPr>
                <w:noProof/>
                <w:webHidden/>
              </w:rPr>
              <w:fldChar w:fldCharType="separate"/>
            </w:r>
            <w:r w:rsidR="0087276E">
              <w:rPr>
                <w:noProof/>
                <w:webHidden/>
              </w:rPr>
              <w:t>30</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6" w:history="1">
            <w:r w:rsidR="0087276E" w:rsidRPr="00A750CC">
              <w:rPr>
                <w:rStyle w:val="Hyperlink"/>
                <w:noProof/>
              </w:rPr>
              <w:t>Delegate considerations</w:t>
            </w:r>
            <w:r w:rsidR="0087276E">
              <w:rPr>
                <w:noProof/>
                <w:webHidden/>
              </w:rPr>
              <w:tab/>
            </w:r>
            <w:r w:rsidR="0087276E">
              <w:rPr>
                <w:noProof/>
                <w:webHidden/>
              </w:rPr>
              <w:fldChar w:fldCharType="begin"/>
            </w:r>
            <w:r w:rsidR="0087276E">
              <w:rPr>
                <w:noProof/>
                <w:webHidden/>
              </w:rPr>
              <w:instrText xml:space="preserve"> PAGEREF _Toc383771056 \h </w:instrText>
            </w:r>
            <w:r w:rsidR="0087276E">
              <w:rPr>
                <w:noProof/>
                <w:webHidden/>
              </w:rPr>
            </w:r>
            <w:r w:rsidR="0087276E">
              <w:rPr>
                <w:noProof/>
                <w:webHidden/>
              </w:rPr>
              <w:fldChar w:fldCharType="separate"/>
            </w:r>
            <w:r w:rsidR="0087276E">
              <w:rPr>
                <w:noProof/>
                <w:webHidden/>
              </w:rPr>
              <w:t>30</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7" w:history="1">
            <w:r w:rsidR="0087276E" w:rsidRPr="00A750CC">
              <w:rPr>
                <w:rStyle w:val="Hyperlink"/>
                <w:noProof/>
              </w:rPr>
              <w:t>Proposed action</w:t>
            </w:r>
            <w:r w:rsidR="0087276E">
              <w:rPr>
                <w:noProof/>
                <w:webHidden/>
              </w:rPr>
              <w:tab/>
            </w:r>
            <w:r w:rsidR="0087276E">
              <w:rPr>
                <w:noProof/>
                <w:webHidden/>
              </w:rPr>
              <w:fldChar w:fldCharType="begin"/>
            </w:r>
            <w:r w:rsidR="0087276E">
              <w:rPr>
                <w:noProof/>
                <w:webHidden/>
              </w:rPr>
              <w:instrText xml:space="preserve"> PAGEREF _Toc383771057 \h </w:instrText>
            </w:r>
            <w:r w:rsidR="0087276E">
              <w:rPr>
                <w:noProof/>
                <w:webHidden/>
              </w:rPr>
            </w:r>
            <w:r w:rsidR="0087276E">
              <w:rPr>
                <w:noProof/>
                <w:webHidden/>
              </w:rPr>
              <w:fldChar w:fldCharType="separate"/>
            </w:r>
            <w:r w:rsidR="0087276E">
              <w:rPr>
                <w:noProof/>
                <w:webHidden/>
              </w:rPr>
              <w:t>31</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8" w:history="1">
            <w:r w:rsidR="0087276E" w:rsidRPr="00A750CC">
              <w:rPr>
                <w:rStyle w:val="Hyperlink"/>
                <w:noProof/>
              </w:rPr>
              <w:t>Request for advice</w:t>
            </w:r>
            <w:r w:rsidR="0087276E">
              <w:rPr>
                <w:noProof/>
                <w:webHidden/>
              </w:rPr>
              <w:tab/>
            </w:r>
            <w:r w:rsidR="0087276E">
              <w:rPr>
                <w:noProof/>
                <w:webHidden/>
              </w:rPr>
              <w:fldChar w:fldCharType="begin"/>
            </w:r>
            <w:r w:rsidR="0087276E">
              <w:rPr>
                <w:noProof/>
                <w:webHidden/>
              </w:rPr>
              <w:instrText xml:space="preserve"> PAGEREF _Toc383771058 \h </w:instrText>
            </w:r>
            <w:r w:rsidR="0087276E">
              <w:rPr>
                <w:noProof/>
                <w:webHidden/>
              </w:rPr>
            </w:r>
            <w:r w:rsidR="0087276E">
              <w:rPr>
                <w:noProof/>
                <w:webHidden/>
              </w:rPr>
              <w:fldChar w:fldCharType="separate"/>
            </w:r>
            <w:r w:rsidR="0087276E">
              <w:rPr>
                <w:noProof/>
                <w:webHidden/>
              </w:rPr>
              <w:t>31</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59" w:history="1">
            <w:r w:rsidR="0087276E" w:rsidRPr="00A750CC">
              <w:rPr>
                <w:rStyle w:val="Hyperlink"/>
                <w:noProof/>
              </w:rPr>
              <w:t>Response from Sponsor</w:t>
            </w:r>
            <w:r w:rsidR="0087276E">
              <w:rPr>
                <w:noProof/>
                <w:webHidden/>
              </w:rPr>
              <w:tab/>
            </w:r>
            <w:r w:rsidR="0087276E">
              <w:rPr>
                <w:noProof/>
                <w:webHidden/>
              </w:rPr>
              <w:fldChar w:fldCharType="begin"/>
            </w:r>
            <w:r w:rsidR="0087276E">
              <w:rPr>
                <w:noProof/>
                <w:webHidden/>
              </w:rPr>
              <w:instrText xml:space="preserve"> PAGEREF _Toc383771059 \h </w:instrText>
            </w:r>
            <w:r w:rsidR="0087276E">
              <w:rPr>
                <w:noProof/>
                <w:webHidden/>
              </w:rPr>
            </w:r>
            <w:r w:rsidR="0087276E">
              <w:rPr>
                <w:noProof/>
                <w:webHidden/>
              </w:rPr>
              <w:fldChar w:fldCharType="separate"/>
            </w:r>
            <w:r w:rsidR="0087276E">
              <w:rPr>
                <w:noProof/>
                <w:webHidden/>
              </w:rPr>
              <w:t>31</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60" w:history="1">
            <w:r w:rsidR="0087276E" w:rsidRPr="00A750CC">
              <w:rPr>
                <w:rStyle w:val="Hyperlink"/>
                <w:noProof/>
              </w:rPr>
              <w:t>Advisory Committee Considerations</w:t>
            </w:r>
            <w:r w:rsidR="0087276E">
              <w:rPr>
                <w:noProof/>
                <w:webHidden/>
              </w:rPr>
              <w:tab/>
            </w:r>
            <w:r w:rsidR="0087276E">
              <w:rPr>
                <w:noProof/>
                <w:webHidden/>
              </w:rPr>
              <w:fldChar w:fldCharType="begin"/>
            </w:r>
            <w:r w:rsidR="0087276E">
              <w:rPr>
                <w:noProof/>
                <w:webHidden/>
              </w:rPr>
              <w:instrText xml:space="preserve"> PAGEREF _Toc383771060 \h </w:instrText>
            </w:r>
            <w:r w:rsidR="0087276E">
              <w:rPr>
                <w:noProof/>
                <w:webHidden/>
              </w:rPr>
            </w:r>
            <w:r w:rsidR="0087276E">
              <w:rPr>
                <w:noProof/>
                <w:webHidden/>
              </w:rPr>
              <w:fldChar w:fldCharType="separate"/>
            </w:r>
            <w:r w:rsidR="0087276E">
              <w:rPr>
                <w:noProof/>
                <w:webHidden/>
              </w:rPr>
              <w:t>38</w:t>
            </w:r>
            <w:r w:rsidR="0087276E">
              <w:rPr>
                <w:noProof/>
                <w:webHidden/>
              </w:rPr>
              <w:fldChar w:fldCharType="end"/>
            </w:r>
          </w:hyperlink>
        </w:p>
        <w:p w:rsidR="0087276E" w:rsidRDefault="00CE17F6">
          <w:pPr>
            <w:pStyle w:val="TOC3"/>
            <w:rPr>
              <w:rFonts w:asciiTheme="minorHAnsi" w:eastAsiaTheme="minorEastAsia" w:hAnsiTheme="minorHAnsi" w:cstheme="minorBidi"/>
              <w:noProof/>
              <w:lang w:eastAsia="en-AU"/>
            </w:rPr>
          </w:pPr>
          <w:hyperlink w:anchor="_Toc383771061" w:history="1">
            <w:r w:rsidR="0087276E" w:rsidRPr="00A750CC">
              <w:rPr>
                <w:rStyle w:val="Hyperlink"/>
                <w:noProof/>
              </w:rPr>
              <w:t>Outcome</w:t>
            </w:r>
            <w:r w:rsidR="0087276E">
              <w:rPr>
                <w:noProof/>
                <w:webHidden/>
              </w:rPr>
              <w:tab/>
            </w:r>
            <w:r w:rsidR="0087276E">
              <w:rPr>
                <w:noProof/>
                <w:webHidden/>
              </w:rPr>
              <w:fldChar w:fldCharType="begin"/>
            </w:r>
            <w:r w:rsidR="0087276E">
              <w:rPr>
                <w:noProof/>
                <w:webHidden/>
              </w:rPr>
              <w:instrText xml:space="preserve"> PAGEREF _Toc383771061 \h </w:instrText>
            </w:r>
            <w:r w:rsidR="0087276E">
              <w:rPr>
                <w:noProof/>
                <w:webHidden/>
              </w:rPr>
            </w:r>
            <w:r w:rsidR="0087276E">
              <w:rPr>
                <w:noProof/>
                <w:webHidden/>
              </w:rPr>
              <w:fldChar w:fldCharType="separate"/>
            </w:r>
            <w:r w:rsidR="0087276E">
              <w:rPr>
                <w:noProof/>
                <w:webHidden/>
              </w:rPr>
              <w:t>39</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62" w:history="1">
            <w:r w:rsidR="0087276E" w:rsidRPr="00A750CC">
              <w:rPr>
                <w:rStyle w:val="Hyperlink"/>
                <w:noProof/>
              </w:rPr>
              <w:t>Attachment 1: Product Information</w:t>
            </w:r>
            <w:r w:rsidR="0087276E">
              <w:rPr>
                <w:noProof/>
                <w:webHidden/>
              </w:rPr>
              <w:tab/>
            </w:r>
            <w:r w:rsidR="0087276E">
              <w:rPr>
                <w:noProof/>
                <w:webHidden/>
              </w:rPr>
              <w:fldChar w:fldCharType="begin"/>
            </w:r>
            <w:r w:rsidR="0087276E">
              <w:rPr>
                <w:noProof/>
                <w:webHidden/>
              </w:rPr>
              <w:instrText xml:space="preserve"> PAGEREF _Toc383771062 \h </w:instrText>
            </w:r>
            <w:r w:rsidR="0087276E">
              <w:rPr>
                <w:noProof/>
                <w:webHidden/>
              </w:rPr>
            </w:r>
            <w:r w:rsidR="0087276E">
              <w:rPr>
                <w:noProof/>
                <w:webHidden/>
              </w:rPr>
              <w:fldChar w:fldCharType="separate"/>
            </w:r>
            <w:r w:rsidR="0087276E">
              <w:rPr>
                <w:noProof/>
                <w:webHidden/>
              </w:rPr>
              <w:t>40</w:t>
            </w:r>
            <w:r w:rsidR="0087276E">
              <w:rPr>
                <w:noProof/>
                <w:webHidden/>
              </w:rPr>
              <w:fldChar w:fldCharType="end"/>
            </w:r>
          </w:hyperlink>
        </w:p>
        <w:p w:rsidR="0087276E" w:rsidRDefault="00CE17F6">
          <w:pPr>
            <w:pStyle w:val="TOC2"/>
            <w:rPr>
              <w:rFonts w:asciiTheme="minorHAnsi" w:eastAsiaTheme="minorEastAsia" w:hAnsiTheme="minorHAnsi" w:cstheme="minorBidi"/>
              <w:b w:val="0"/>
              <w:noProof/>
              <w:sz w:val="22"/>
              <w:lang w:eastAsia="en-AU"/>
            </w:rPr>
          </w:pPr>
          <w:hyperlink w:anchor="_Toc383771063" w:history="1">
            <w:r w:rsidR="0087276E" w:rsidRPr="00A750CC">
              <w:rPr>
                <w:rStyle w:val="Hyperlink"/>
                <w:noProof/>
                <w:lang w:eastAsia="en-AU"/>
              </w:rPr>
              <w:t>Attachment 2: Extract from the Clinical Evaluation Report</w:t>
            </w:r>
            <w:r w:rsidR="0087276E">
              <w:rPr>
                <w:noProof/>
                <w:webHidden/>
              </w:rPr>
              <w:tab/>
            </w:r>
            <w:r w:rsidR="0087276E">
              <w:rPr>
                <w:noProof/>
                <w:webHidden/>
              </w:rPr>
              <w:fldChar w:fldCharType="begin"/>
            </w:r>
            <w:r w:rsidR="0087276E">
              <w:rPr>
                <w:noProof/>
                <w:webHidden/>
              </w:rPr>
              <w:instrText xml:space="preserve"> PAGEREF _Toc383771063 \h </w:instrText>
            </w:r>
            <w:r w:rsidR="0087276E">
              <w:rPr>
                <w:noProof/>
                <w:webHidden/>
              </w:rPr>
            </w:r>
            <w:r w:rsidR="0087276E">
              <w:rPr>
                <w:noProof/>
                <w:webHidden/>
              </w:rPr>
              <w:fldChar w:fldCharType="separate"/>
            </w:r>
            <w:r w:rsidR="0087276E">
              <w:rPr>
                <w:noProof/>
                <w:webHidden/>
              </w:rPr>
              <w:t>40</w:t>
            </w:r>
            <w:r w:rsidR="0087276E">
              <w:rPr>
                <w:noProof/>
                <w:webHidden/>
              </w:rPr>
              <w:fldChar w:fldCharType="end"/>
            </w:r>
          </w:hyperlink>
        </w:p>
        <w:p w:rsidR="003A7F6C" w:rsidRPr="00B811C6" w:rsidRDefault="00B5074E" w:rsidP="00B811C6">
          <w:pPr>
            <w:pStyle w:val="TOC2"/>
          </w:pPr>
          <w:r>
            <w:fldChar w:fldCharType="end"/>
          </w:r>
        </w:p>
      </w:sdtContent>
    </w:sdt>
    <w:bookmarkStart w:id="2" w:name="_Toc314842482" w:displacedByCustomXml="prev"/>
    <w:p w:rsidR="00744764" w:rsidRDefault="00744764" w:rsidP="00744764">
      <w:pPr>
        <w:pStyle w:val="Heading2"/>
      </w:pPr>
      <w:bookmarkStart w:id="3" w:name="_Toc351716269"/>
      <w:bookmarkStart w:id="4" w:name="_Toc351718881"/>
      <w:bookmarkStart w:id="5" w:name="_Toc355338616"/>
      <w:bookmarkStart w:id="6" w:name="_Toc381805739"/>
      <w:bookmarkStart w:id="7" w:name="_Toc383771032"/>
      <w:r>
        <w:lastRenderedPageBreak/>
        <w:t>List of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744764" w:rsidTr="00744764">
        <w:trPr>
          <w:cnfStyle w:val="100000000000" w:firstRow="1" w:lastRow="0" w:firstColumn="0" w:lastColumn="0" w:oddVBand="0" w:evenVBand="0" w:oddHBand="0" w:evenHBand="0" w:firstRowFirstColumn="0" w:firstRowLastColumn="0" w:lastRowFirstColumn="0" w:lastRowLastColumn="0"/>
        </w:trPr>
        <w:tc>
          <w:tcPr>
            <w:tcW w:w="1809" w:type="dxa"/>
          </w:tcPr>
          <w:p w:rsidR="00744764" w:rsidRDefault="00744764" w:rsidP="00744764">
            <w:r>
              <w:t>Abbreviation</w:t>
            </w:r>
          </w:p>
        </w:tc>
        <w:tc>
          <w:tcPr>
            <w:tcW w:w="6911" w:type="dxa"/>
          </w:tcPr>
          <w:p w:rsidR="00744764" w:rsidRDefault="00744764" w:rsidP="00744764">
            <w:r>
              <w:t>Meaning</w:t>
            </w:r>
          </w:p>
        </w:tc>
      </w:tr>
      <w:tr w:rsidR="00744764" w:rsidTr="00744764">
        <w:tc>
          <w:tcPr>
            <w:tcW w:w="1809" w:type="dxa"/>
          </w:tcPr>
          <w:p w:rsidR="00744764" w:rsidRPr="00072313" w:rsidRDefault="00744764" w:rsidP="00744764">
            <w:r w:rsidRPr="00072313">
              <w:t>ADA</w:t>
            </w:r>
          </w:p>
        </w:tc>
        <w:tc>
          <w:tcPr>
            <w:tcW w:w="6911" w:type="dxa"/>
          </w:tcPr>
          <w:p w:rsidR="00744764" w:rsidRPr="00072313" w:rsidRDefault="00744764" w:rsidP="00744764">
            <w:r w:rsidRPr="00072313">
              <w:t>American Diabetes Association</w:t>
            </w:r>
          </w:p>
        </w:tc>
      </w:tr>
      <w:tr w:rsidR="00744764" w:rsidTr="00744764">
        <w:tc>
          <w:tcPr>
            <w:tcW w:w="1809" w:type="dxa"/>
          </w:tcPr>
          <w:p w:rsidR="00744764" w:rsidRPr="00072313" w:rsidRDefault="00744764" w:rsidP="00744764">
            <w:r w:rsidRPr="00072313">
              <w:t>AE</w:t>
            </w:r>
          </w:p>
        </w:tc>
        <w:tc>
          <w:tcPr>
            <w:tcW w:w="6911" w:type="dxa"/>
          </w:tcPr>
          <w:p w:rsidR="00744764" w:rsidRPr="00072313" w:rsidRDefault="00744764" w:rsidP="00744764">
            <w:r w:rsidRPr="00072313">
              <w:t>Adverse event</w:t>
            </w:r>
          </w:p>
        </w:tc>
      </w:tr>
      <w:tr w:rsidR="00744764" w:rsidTr="00744764">
        <w:tc>
          <w:tcPr>
            <w:tcW w:w="1809" w:type="dxa"/>
          </w:tcPr>
          <w:p w:rsidR="00744764" w:rsidRPr="00072313" w:rsidRDefault="00744764" w:rsidP="00744764">
            <w:r w:rsidRPr="00072313">
              <w:t>ALP</w:t>
            </w:r>
          </w:p>
        </w:tc>
        <w:tc>
          <w:tcPr>
            <w:tcW w:w="6911" w:type="dxa"/>
          </w:tcPr>
          <w:p w:rsidR="00744764" w:rsidRPr="00072313" w:rsidRDefault="00744764" w:rsidP="00744764">
            <w:r w:rsidRPr="00072313">
              <w:t>Alkaline phosphatase</w:t>
            </w:r>
          </w:p>
        </w:tc>
      </w:tr>
      <w:tr w:rsidR="00744764" w:rsidTr="00744764">
        <w:tc>
          <w:tcPr>
            <w:tcW w:w="1809" w:type="dxa"/>
          </w:tcPr>
          <w:p w:rsidR="00744764" w:rsidRPr="00072313" w:rsidRDefault="00744764" w:rsidP="00744764">
            <w:r w:rsidRPr="00072313">
              <w:t>ALT</w:t>
            </w:r>
          </w:p>
        </w:tc>
        <w:tc>
          <w:tcPr>
            <w:tcW w:w="6911" w:type="dxa"/>
          </w:tcPr>
          <w:p w:rsidR="00744764" w:rsidRPr="00072313" w:rsidRDefault="00744764" w:rsidP="00744764">
            <w:r w:rsidRPr="00072313">
              <w:t>Alanine aminotransferase</w:t>
            </w:r>
          </w:p>
        </w:tc>
      </w:tr>
      <w:tr w:rsidR="00744764" w:rsidTr="00744764">
        <w:tc>
          <w:tcPr>
            <w:tcW w:w="1809" w:type="dxa"/>
          </w:tcPr>
          <w:p w:rsidR="00744764" w:rsidRPr="00072313" w:rsidRDefault="00744764" w:rsidP="00744764">
            <w:r w:rsidRPr="00072313">
              <w:t>ANCOVA</w:t>
            </w:r>
          </w:p>
        </w:tc>
        <w:tc>
          <w:tcPr>
            <w:tcW w:w="6911" w:type="dxa"/>
          </w:tcPr>
          <w:p w:rsidR="00744764" w:rsidRPr="00072313" w:rsidRDefault="00744764" w:rsidP="00744764">
            <w:r w:rsidRPr="00072313">
              <w:t>Analysis of covariance</w:t>
            </w:r>
          </w:p>
        </w:tc>
      </w:tr>
      <w:tr w:rsidR="00744764" w:rsidTr="00744764">
        <w:tc>
          <w:tcPr>
            <w:tcW w:w="1809" w:type="dxa"/>
          </w:tcPr>
          <w:p w:rsidR="00744764" w:rsidRPr="00072313" w:rsidRDefault="00744764" w:rsidP="00744764">
            <w:r w:rsidRPr="00072313">
              <w:t>AUC</w:t>
            </w:r>
            <w:r w:rsidRPr="00072313">
              <w:rPr>
                <w:vertAlign w:val="subscript"/>
              </w:rPr>
              <w:t>0–24</w:t>
            </w:r>
          </w:p>
        </w:tc>
        <w:tc>
          <w:tcPr>
            <w:tcW w:w="6911" w:type="dxa"/>
          </w:tcPr>
          <w:p w:rsidR="00744764" w:rsidRPr="00072313" w:rsidRDefault="00744764" w:rsidP="00744764">
            <w:r w:rsidRPr="00072313">
              <w:t>Area under the serum concentration–time curve from time 0 to 24 hours</w:t>
            </w:r>
          </w:p>
        </w:tc>
      </w:tr>
      <w:tr w:rsidR="00744764" w:rsidTr="00744764">
        <w:tc>
          <w:tcPr>
            <w:tcW w:w="1809" w:type="dxa"/>
          </w:tcPr>
          <w:p w:rsidR="00744764" w:rsidRPr="00072313" w:rsidRDefault="00744764" w:rsidP="00744764">
            <w:r w:rsidRPr="00072313">
              <w:t>AUC</w:t>
            </w:r>
            <w:r w:rsidRPr="00072313">
              <w:rPr>
                <w:vertAlign w:val="subscript"/>
              </w:rPr>
              <w:t>GIR,0–24</w:t>
            </w:r>
          </w:p>
        </w:tc>
        <w:tc>
          <w:tcPr>
            <w:tcW w:w="6911" w:type="dxa"/>
          </w:tcPr>
          <w:p w:rsidR="00744764" w:rsidRPr="00072313" w:rsidRDefault="00744764" w:rsidP="00744764">
            <w:r w:rsidRPr="00072313">
              <w:t>Area under the glucose infusion rate curve from time 0 to 24 hours</w:t>
            </w:r>
          </w:p>
        </w:tc>
      </w:tr>
      <w:tr w:rsidR="00744764" w:rsidTr="00744764">
        <w:tc>
          <w:tcPr>
            <w:tcW w:w="1809" w:type="dxa"/>
          </w:tcPr>
          <w:p w:rsidR="00744764" w:rsidRPr="00072313" w:rsidRDefault="00744764" w:rsidP="00744764">
            <w:r w:rsidRPr="00072313">
              <w:t>B/T%</w:t>
            </w:r>
          </w:p>
        </w:tc>
        <w:tc>
          <w:tcPr>
            <w:tcW w:w="6911" w:type="dxa"/>
          </w:tcPr>
          <w:p w:rsidR="00744764" w:rsidRPr="00072313" w:rsidRDefault="00744764" w:rsidP="00744764">
            <w:r w:rsidRPr="00072313">
              <w:t>Percentage of bound antibodies versus total antibody level</w:t>
            </w:r>
          </w:p>
        </w:tc>
      </w:tr>
      <w:tr w:rsidR="00744764" w:rsidTr="00744764">
        <w:tc>
          <w:tcPr>
            <w:tcW w:w="1809" w:type="dxa"/>
          </w:tcPr>
          <w:p w:rsidR="00744764" w:rsidRPr="00072313" w:rsidRDefault="00744764" w:rsidP="00744764">
            <w:r w:rsidRPr="00072313">
              <w:t>CCDS</w:t>
            </w:r>
          </w:p>
        </w:tc>
        <w:tc>
          <w:tcPr>
            <w:tcW w:w="6911" w:type="dxa"/>
          </w:tcPr>
          <w:p w:rsidR="00744764" w:rsidRPr="00072313" w:rsidRDefault="00744764" w:rsidP="00744764">
            <w:r w:rsidRPr="00072313">
              <w:t>Core Company Data Sheet</w:t>
            </w:r>
          </w:p>
        </w:tc>
      </w:tr>
      <w:tr w:rsidR="00744764" w:rsidTr="00744764">
        <w:tc>
          <w:tcPr>
            <w:tcW w:w="1809" w:type="dxa"/>
          </w:tcPr>
          <w:p w:rsidR="00744764" w:rsidRPr="00072313" w:rsidRDefault="00744764" w:rsidP="00744764">
            <w:r w:rsidRPr="00072313">
              <w:t>CI</w:t>
            </w:r>
          </w:p>
        </w:tc>
        <w:tc>
          <w:tcPr>
            <w:tcW w:w="6911" w:type="dxa"/>
          </w:tcPr>
          <w:p w:rsidR="00744764" w:rsidRPr="00072313" w:rsidRDefault="00744764" w:rsidP="00744764">
            <w:r w:rsidRPr="00072313">
              <w:t>Confidence interval</w:t>
            </w:r>
          </w:p>
        </w:tc>
      </w:tr>
      <w:tr w:rsidR="00744764" w:rsidTr="00744764">
        <w:tc>
          <w:tcPr>
            <w:tcW w:w="1809" w:type="dxa"/>
          </w:tcPr>
          <w:p w:rsidR="00744764" w:rsidRPr="00072313" w:rsidRDefault="00744764" w:rsidP="00744764">
            <w:r w:rsidRPr="00072313">
              <w:t>C</w:t>
            </w:r>
            <w:r w:rsidRPr="00072313">
              <w:rPr>
                <w:vertAlign w:val="subscript"/>
              </w:rPr>
              <w:t>max</w:t>
            </w:r>
          </w:p>
        </w:tc>
        <w:tc>
          <w:tcPr>
            <w:tcW w:w="6911" w:type="dxa"/>
          </w:tcPr>
          <w:p w:rsidR="00744764" w:rsidRPr="00072313" w:rsidRDefault="00744764" w:rsidP="00744764">
            <w:r w:rsidRPr="00072313">
              <w:t>Maximum concentration</w:t>
            </w:r>
          </w:p>
        </w:tc>
      </w:tr>
      <w:tr w:rsidR="00744764" w:rsidTr="00744764">
        <w:tc>
          <w:tcPr>
            <w:tcW w:w="1809" w:type="dxa"/>
          </w:tcPr>
          <w:p w:rsidR="00744764" w:rsidRPr="00072313" w:rsidRDefault="00744764" w:rsidP="00744764">
            <w:r w:rsidRPr="00072313">
              <w:t>CTR</w:t>
            </w:r>
          </w:p>
        </w:tc>
        <w:tc>
          <w:tcPr>
            <w:tcW w:w="6911" w:type="dxa"/>
          </w:tcPr>
          <w:p w:rsidR="00744764" w:rsidRPr="00072313" w:rsidRDefault="00744764" w:rsidP="00744764">
            <w:r w:rsidRPr="00072313">
              <w:t>Clinical trial report</w:t>
            </w:r>
          </w:p>
        </w:tc>
      </w:tr>
      <w:tr w:rsidR="00744764" w:rsidTr="00744764">
        <w:tc>
          <w:tcPr>
            <w:tcW w:w="1809" w:type="dxa"/>
          </w:tcPr>
          <w:p w:rsidR="00744764" w:rsidRPr="00072313" w:rsidRDefault="00744764" w:rsidP="00744764">
            <w:r w:rsidRPr="00072313">
              <w:t>DAE</w:t>
            </w:r>
          </w:p>
        </w:tc>
        <w:tc>
          <w:tcPr>
            <w:tcW w:w="6911" w:type="dxa"/>
          </w:tcPr>
          <w:p w:rsidR="00744764" w:rsidRPr="00072313" w:rsidRDefault="00744764" w:rsidP="00744764">
            <w:r w:rsidRPr="00072313">
              <w:t>Adverse event leading to discontinuation</w:t>
            </w:r>
          </w:p>
        </w:tc>
      </w:tr>
      <w:tr w:rsidR="00744764" w:rsidTr="00744764">
        <w:tc>
          <w:tcPr>
            <w:tcW w:w="1809" w:type="dxa"/>
          </w:tcPr>
          <w:p w:rsidR="00744764" w:rsidRPr="00072313" w:rsidRDefault="00744764" w:rsidP="00744764">
            <w:r w:rsidRPr="00072313">
              <w:t>DBP</w:t>
            </w:r>
          </w:p>
        </w:tc>
        <w:tc>
          <w:tcPr>
            <w:tcW w:w="6911" w:type="dxa"/>
          </w:tcPr>
          <w:p w:rsidR="00744764" w:rsidRPr="00072313" w:rsidRDefault="00744764" w:rsidP="00744764">
            <w:r w:rsidRPr="00072313">
              <w:t>Diastolic blood pressure</w:t>
            </w:r>
          </w:p>
        </w:tc>
      </w:tr>
      <w:tr w:rsidR="00744764" w:rsidTr="00744764">
        <w:tc>
          <w:tcPr>
            <w:tcW w:w="1809" w:type="dxa"/>
          </w:tcPr>
          <w:p w:rsidR="00744764" w:rsidRPr="00072313" w:rsidRDefault="00744764" w:rsidP="00744764">
            <w:r w:rsidRPr="00072313">
              <w:t>EMA</w:t>
            </w:r>
          </w:p>
        </w:tc>
        <w:tc>
          <w:tcPr>
            <w:tcW w:w="6911" w:type="dxa"/>
          </w:tcPr>
          <w:p w:rsidR="00744764" w:rsidRPr="00072313" w:rsidRDefault="00744764" w:rsidP="00744764">
            <w:r w:rsidRPr="00072313">
              <w:t>European Medicines Agency</w:t>
            </w:r>
          </w:p>
        </w:tc>
      </w:tr>
      <w:tr w:rsidR="00744764" w:rsidTr="00744764">
        <w:tc>
          <w:tcPr>
            <w:tcW w:w="1809" w:type="dxa"/>
          </w:tcPr>
          <w:p w:rsidR="00744764" w:rsidRPr="00072313" w:rsidRDefault="00744764" w:rsidP="00744764">
            <w:r w:rsidRPr="00072313">
              <w:t>FAS</w:t>
            </w:r>
          </w:p>
        </w:tc>
        <w:tc>
          <w:tcPr>
            <w:tcW w:w="6911" w:type="dxa"/>
          </w:tcPr>
          <w:p w:rsidR="00744764" w:rsidRPr="00072313" w:rsidRDefault="00744764" w:rsidP="00744764">
            <w:r w:rsidRPr="00072313">
              <w:t>Full analysis set</w:t>
            </w:r>
          </w:p>
        </w:tc>
      </w:tr>
      <w:tr w:rsidR="00744764" w:rsidTr="00744764">
        <w:tc>
          <w:tcPr>
            <w:tcW w:w="1809" w:type="dxa"/>
          </w:tcPr>
          <w:p w:rsidR="00744764" w:rsidRPr="00072313" w:rsidRDefault="00744764" w:rsidP="00744764">
            <w:r w:rsidRPr="00072313">
              <w:t>FAS</w:t>
            </w:r>
            <w:r w:rsidRPr="00072313">
              <w:rPr>
                <w:vertAlign w:val="subscript"/>
              </w:rPr>
              <w:t>Pregnant</w:t>
            </w:r>
          </w:p>
        </w:tc>
        <w:tc>
          <w:tcPr>
            <w:tcW w:w="6911" w:type="dxa"/>
          </w:tcPr>
          <w:p w:rsidR="00744764" w:rsidRPr="00072313" w:rsidRDefault="00744764" w:rsidP="00744764">
            <w:r w:rsidRPr="00072313">
              <w:t>FAS for pregnant subjects</w:t>
            </w:r>
          </w:p>
        </w:tc>
      </w:tr>
      <w:tr w:rsidR="00744764" w:rsidTr="00744764">
        <w:tc>
          <w:tcPr>
            <w:tcW w:w="1809" w:type="dxa"/>
          </w:tcPr>
          <w:p w:rsidR="00744764" w:rsidRPr="00072313" w:rsidRDefault="00744764" w:rsidP="00744764">
            <w:r w:rsidRPr="00072313">
              <w:t>FFA</w:t>
            </w:r>
          </w:p>
        </w:tc>
        <w:tc>
          <w:tcPr>
            <w:tcW w:w="6911" w:type="dxa"/>
          </w:tcPr>
          <w:p w:rsidR="00744764" w:rsidRPr="00072313" w:rsidRDefault="00744764" w:rsidP="00744764">
            <w:r w:rsidRPr="00072313">
              <w:t>Free fatty acid</w:t>
            </w:r>
          </w:p>
        </w:tc>
      </w:tr>
      <w:tr w:rsidR="00744764" w:rsidTr="00744764">
        <w:tc>
          <w:tcPr>
            <w:tcW w:w="1809" w:type="dxa"/>
          </w:tcPr>
          <w:p w:rsidR="00744764" w:rsidRPr="00072313" w:rsidRDefault="00744764" w:rsidP="00744764">
            <w:r w:rsidRPr="00072313">
              <w:t>FPG</w:t>
            </w:r>
          </w:p>
        </w:tc>
        <w:tc>
          <w:tcPr>
            <w:tcW w:w="6911" w:type="dxa"/>
          </w:tcPr>
          <w:p w:rsidR="00744764" w:rsidRPr="00072313" w:rsidRDefault="00744764" w:rsidP="00744764">
            <w:r w:rsidRPr="00072313">
              <w:t>Fasting plasma glucose</w:t>
            </w:r>
          </w:p>
        </w:tc>
      </w:tr>
      <w:tr w:rsidR="00744764" w:rsidTr="00744764">
        <w:tc>
          <w:tcPr>
            <w:tcW w:w="1809" w:type="dxa"/>
          </w:tcPr>
          <w:p w:rsidR="00744764" w:rsidRPr="00072313" w:rsidRDefault="00744764" w:rsidP="00744764">
            <w:r w:rsidRPr="00072313">
              <w:t>GIR</w:t>
            </w:r>
          </w:p>
        </w:tc>
        <w:tc>
          <w:tcPr>
            <w:tcW w:w="6911" w:type="dxa"/>
          </w:tcPr>
          <w:p w:rsidR="00744764" w:rsidRPr="00072313" w:rsidRDefault="00744764" w:rsidP="00744764">
            <w:r w:rsidRPr="00072313">
              <w:t>Glucose infusion rate</w:t>
            </w:r>
          </w:p>
        </w:tc>
      </w:tr>
      <w:tr w:rsidR="00744764" w:rsidTr="00744764">
        <w:tc>
          <w:tcPr>
            <w:tcW w:w="1809" w:type="dxa"/>
          </w:tcPr>
          <w:p w:rsidR="00744764" w:rsidRPr="00072313" w:rsidRDefault="00744764" w:rsidP="00744764">
            <w:r w:rsidRPr="00072313">
              <w:t>GIR</w:t>
            </w:r>
            <w:r w:rsidRPr="00072313">
              <w:rPr>
                <w:vertAlign w:val="subscript"/>
              </w:rPr>
              <w:t>max</w:t>
            </w:r>
          </w:p>
        </w:tc>
        <w:tc>
          <w:tcPr>
            <w:tcW w:w="6911" w:type="dxa"/>
          </w:tcPr>
          <w:p w:rsidR="00744764" w:rsidRPr="00072313" w:rsidRDefault="00744764" w:rsidP="00744764">
            <w:r w:rsidRPr="00072313">
              <w:t>Maximum glucose infusion rate</w:t>
            </w:r>
          </w:p>
        </w:tc>
      </w:tr>
      <w:tr w:rsidR="00227EBE" w:rsidTr="00744764">
        <w:tc>
          <w:tcPr>
            <w:tcW w:w="1809" w:type="dxa"/>
          </w:tcPr>
          <w:p w:rsidR="00227EBE" w:rsidRPr="00072313" w:rsidRDefault="00227EBE" w:rsidP="00227EBE">
            <w:r>
              <w:t>GPRD</w:t>
            </w:r>
          </w:p>
        </w:tc>
        <w:tc>
          <w:tcPr>
            <w:tcW w:w="6911" w:type="dxa"/>
          </w:tcPr>
          <w:p w:rsidR="00227EBE" w:rsidRPr="00072313" w:rsidRDefault="00227EBE" w:rsidP="00744764">
            <w:r w:rsidRPr="00227EBE">
              <w:t>General Practice Research Database</w:t>
            </w:r>
          </w:p>
        </w:tc>
      </w:tr>
      <w:tr w:rsidR="00744764" w:rsidTr="00744764">
        <w:tc>
          <w:tcPr>
            <w:tcW w:w="1809" w:type="dxa"/>
          </w:tcPr>
          <w:p w:rsidR="00744764" w:rsidRPr="00072313" w:rsidRDefault="00744764" w:rsidP="00744764">
            <w:r w:rsidRPr="00072313">
              <w:t>GW</w:t>
            </w:r>
          </w:p>
        </w:tc>
        <w:tc>
          <w:tcPr>
            <w:tcW w:w="6911" w:type="dxa"/>
          </w:tcPr>
          <w:p w:rsidR="00744764" w:rsidRPr="00072313" w:rsidRDefault="00744764" w:rsidP="00744764">
            <w:r w:rsidRPr="00072313">
              <w:t>Gestation week</w:t>
            </w:r>
          </w:p>
        </w:tc>
      </w:tr>
      <w:tr w:rsidR="00744764" w:rsidTr="00744764">
        <w:tc>
          <w:tcPr>
            <w:tcW w:w="1809" w:type="dxa"/>
          </w:tcPr>
          <w:p w:rsidR="00744764" w:rsidRPr="00072313" w:rsidRDefault="00744764" w:rsidP="00744764">
            <w:r w:rsidRPr="00072313">
              <w:t>h</w:t>
            </w:r>
          </w:p>
        </w:tc>
        <w:tc>
          <w:tcPr>
            <w:tcW w:w="6911" w:type="dxa"/>
          </w:tcPr>
          <w:p w:rsidR="00744764" w:rsidRPr="00072313" w:rsidRDefault="00744764" w:rsidP="00744764">
            <w:r w:rsidRPr="00072313">
              <w:t>Hour</w:t>
            </w:r>
          </w:p>
        </w:tc>
      </w:tr>
      <w:tr w:rsidR="00744764" w:rsidTr="00744764">
        <w:tc>
          <w:tcPr>
            <w:tcW w:w="1809" w:type="dxa"/>
          </w:tcPr>
          <w:p w:rsidR="00744764" w:rsidRPr="00072313" w:rsidRDefault="00744764" w:rsidP="00744764">
            <w:r w:rsidRPr="00072313">
              <w:lastRenderedPageBreak/>
              <w:t>HbA1c</w:t>
            </w:r>
          </w:p>
        </w:tc>
        <w:tc>
          <w:tcPr>
            <w:tcW w:w="6911" w:type="dxa"/>
          </w:tcPr>
          <w:p w:rsidR="00744764" w:rsidRPr="00072313" w:rsidRDefault="00744764" w:rsidP="00744764">
            <w:r w:rsidRPr="00072313">
              <w:t>Glycosylated haemoglobin</w:t>
            </w:r>
          </w:p>
        </w:tc>
      </w:tr>
      <w:tr w:rsidR="00744764" w:rsidTr="00744764">
        <w:tc>
          <w:tcPr>
            <w:tcW w:w="1809" w:type="dxa"/>
          </w:tcPr>
          <w:p w:rsidR="00744764" w:rsidRPr="00072313" w:rsidRDefault="00744764" w:rsidP="00744764">
            <w:r w:rsidRPr="00072313">
              <w:t>HDL-C</w:t>
            </w:r>
          </w:p>
        </w:tc>
        <w:tc>
          <w:tcPr>
            <w:tcW w:w="6911" w:type="dxa"/>
          </w:tcPr>
          <w:p w:rsidR="00744764" w:rsidRPr="00072313" w:rsidRDefault="00744764" w:rsidP="00744764">
            <w:r w:rsidRPr="00072313">
              <w:t>High density lipoprotein cholesterol</w:t>
            </w:r>
          </w:p>
        </w:tc>
      </w:tr>
      <w:tr w:rsidR="00455A70" w:rsidTr="00744764">
        <w:tc>
          <w:tcPr>
            <w:tcW w:w="1809" w:type="dxa"/>
          </w:tcPr>
          <w:p w:rsidR="00455A70" w:rsidRPr="00072313" w:rsidRDefault="00455A70" w:rsidP="00744764">
            <w:r>
              <w:t>HI</w:t>
            </w:r>
          </w:p>
        </w:tc>
        <w:tc>
          <w:tcPr>
            <w:tcW w:w="6911" w:type="dxa"/>
          </w:tcPr>
          <w:p w:rsidR="00455A70" w:rsidRPr="00072313" w:rsidRDefault="00425637" w:rsidP="00425637">
            <w:r>
              <w:t>H</w:t>
            </w:r>
            <w:r w:rsidR="00455A70">
              <w:t>uman insulin</w:t>
            </w:r>
          </w:p>
        </w:tc>
      </w:tr>
      <w:tr w:rsidR="00744764" w:rsidTr="00744764">
        <w:tc>
          <w:tcPr>
            <w:tcW w:w="1809" w:type="dxa"/>
          </w:tcPr>
          <w:p w:rsidR="00744764" w:rsidRPr="00072313" w:rsidRDefault="00744764" w:rsidP="00744764">
            <w:r w:rsidRPr="00072313">
              <w:t>HOMA</w:t>
            </w:r>
          </w:p>
        </w:tc>
        <w:tc>
          <w:tcPr>
            <w:tcW w:w="6911" w:type="dxa"/>
          </w:tcPr>
          <w:p w:rsidR="00744764" w:rsidRPr="00072313" w:rsidRDefault="00744764" w:rsidP="00744764">
            <w:r w:rsidRPr="00072313">
              <w:t>Homeostasis model assessment</w:t>
            </w:r>
          </w:p>
        </w:tc>
      </w:tr>
      <w:tr w:rsidR="00744764" w:rsidTr="00744764">
        <w:tc>
          <w:tcPr>
            <w:tcW w:w="1809" w:type="dxa"/>
          </w:tcPr>
          <w:p w:rsidR="00744764" w:rsidRPr="00072313" w:rsidRDefault="00744764" w:rsidP="00744764">
            <w:r w:rsidRPr="00072313">
              <w:t>HOMA-B</w:t>
            </w:r>
          </w:p>
        </w:tc>
        <w:tc>
          <w:tcPr>
            <w:tcW w:w="6911" w:type="dxa"/>
          </w:tcPr>
          <w:p w:rsidR="00744764" w:rsidRPr="00072313" w:rsidRDefault="00744764" w:rsidP="00744764">
            <w:r w:rsidRPr="00072313">
              <w:t>HOMA index of beta-cell function</w:t>
            </w:r>
          </w:p>
        </w:tc>
      </w:tr>
      <w:tr w:rsidR="00744764" w:rsidTr="00744764">
        <w:tc>
          <w:tcPr>
            <w:tcW w:w="1809" w:type="dxa"/>
          </w:tcPr>
          <w:p w:rsidR="00744764" w:rsidRPr="00072313" w:rsidRDefault="00744764" w:rsidP="00744764">
            <w:r w:rsidRPr="00072313">
              <w:t>HOMA-IR</w:t>
            </w:r>
          </w:p>
        </w:tc>
        <w:tc>
          <w:tcPr>
            <w:tcW w:w="6911" w:type="dxa"/>
          </w:tcPr>
          <w:p w:rsidR="00744764" w:rsidRPr="00072313" w:rsidRDefault="00744764" w:rsidP="00744764">
            <w:r w:rsidRPr="00072313">
              <w:t>HOMA index of insulin resistance</w:t>
            </w:r>
          </w:p>
        </w:tc>
      </w:tr>
      <w:tr w:rsidR="00744764" w:rsidTr="00744764">
        <w:tc>
          <w:tcPr>
            <w:tcW w:w="1809" w:type="dxa"/>
          </w:tcPr>
          <w:p w:rsidR="00744764" w:rsidRPr="00072313" w:rsidRDefault="00744764" w:rsidP="00744764">
            <w:r w:rsidRPr="00072313">
              <w:t>IDF</w:t>
            </w:r>
          </w:p>
        </w:tc>
        <w:tc>
          <w:tcPr>
            <w:tcW w:w="6911" w:type="dxa"/>
          </w:tcPr>
          <w:p w:rsidR="00744764" w:rsidRPr="00072313" w:rsidRDefault="00744764" w:rsidP="00744764">
            <w:r w:rsidRPr="00072313">
              <w:t>International Diabetes Federation</w:t>
            </w:r>
          </w:p>
        </w:tc>
      </w:tr>
      <w:tr w:rsidR="00744764" w:rsidTr="00744764">
        <w:tc>
          <w:tcPr>
            <w:tcW w:w="1809" w:type="dxa"/>
          </w:tcPr>
          <w:p w:rsidR="00744764" w:rsidRPr="00072313" w:rsidRDefault="00744764" w:rsidP="00744764">
            <w:r w:rsidRPr="00072313">
              <w:t>IV/WRS</w:t>
            </w:r>
          </w:p>
        </w:tc>
        <w:tc>
          <w:tcPr>
            <w:tcW w:w="6911" w:type="dxa"/>
          </w:tcPr>
          <w:p w:rsidR="00744764" w:rsidRPr="00072313" w:rsidRDefault="00744764" w:rsidP="00744764">
            <w:r w:rsidRPr="00072313">
              <w:t>Interactive Voice/Web Response System</w:t>
            </w:r>
          </w:p>
        </w:tc>
      </w:tr>
      <w:tr w:rsidR="00744764" w:rsidTr="00744764">
        <w:tc>
          <w:tcPr>
            <w:tcW w:w="1809" w:type="dxa"/>
          </w:tcPr>
          <w:p w:rsidR="00744764" w:rsidRPr="00072313" w:rsidRDefault="00744764" w:rsidP="00744764">
            <w:r w:rsidRPr="00072313">
              <w:t>LDL-C</w:t>
            </w:r>
          </w:p>
        </w:tc>
        <w:tc>
          <w:tcPr>
            <w:tcW w:w="6911" w:type="dxa"/>
          </w:tcPr>
          <w:p w:rsidR="00744764" w:rsidRPr="00072313" w:rsidRDefault="00744764" w:rsidP="00744764">
            <w:r w:rsidRPr="00072313">
              <w:t>Low density lipoprotein cholesterol</w:t>
            </w:r>
          </w:p>
        </w:tc>
      </w:tr>
      <w:tr w:rsidR="00744764" w:rsidRPr="00E3564D" w:rsidTr="00744764">
        <w:tc>
          <w:tcPr>
            <w:tcW w:w="1809" w:type="dxa"/>
          </w:tcPr>
          <w:p w:rsidR="00744764" w:rsidRPr="00072313" w:rsidRDefault="00744764" w:rsidP="00744764">
            <w:r w:rsidRPr="00072313">
              <w:t>LOCF</w:t>
            </w:r>
          </w:p>
        </w:tc>
        <w:tc>
          <w:tcPr>
            <w:tcW w:w="6911" w:type="dxa"/>
          </w:tcPr>
          <w:p w:rsidR="00744764" w:rsidRPr="00072313" w:rsidRDefault="00744764" w:rsidP="00744764">
            <w:r w:rsidRPr="00072313">
              <w:t>Last observation carried forwards</w:t>
            </w:r>
          </w:p>
        </w:tc>
      </w:tr>
      <w:tr w:rsidR="00744764" w:rsidRPr="00E3564D" w:rsidTr="00744764">
        <w:tc>
          <w:tcPr>
            <w:tcW w:w="1809" w:type="dxa"/>
          </w:tcPr>
          <w:p w:rsidR="00744764" w:rsidRPr="00E3564D" w:rsidRDefault="00744764" w:rsidP="00744764">
            <w:r w:rsidRPr="00E3564D">
              <w:t>LS Mean</w:t>
            </w:r>
          </w:p>
        </w:tc>
        <w:tc>
          <w:tcPr>
            <w:tcW w:w="6911" w:type="dxa"/>
          </w:tcPr>
          <w:p w:rsidR="00744764" w:rsidRPr="00E3564D" w:rsidRDefault="00744764" w:rsidP="00744764">
            <w:r w:rsidRPr="00E3564D">
              <w:t>Least-square mean</w:t>
            </w:r>
          </w:p>
        </w:tc>
      </w:tr>
      <w:tr w:rsidR="00744764" w:rsidRPr="00E3564D" w:rsidTr="00744764">
        <w:tc>
          <w:tcPr>
            <w:tcW w:w="1809" w:type="dxa"/>
          </w:tcPr>
          <w:p w:rsidR="00744764" w:rsidRPr="00E3564D" w:rsidRDefault="00744764" w:rsidP="00744764">
            <w:r w:rsidRPr="00E3564D">
              <w:t>MAA</w:t>
            </w:r>
          </w:p>
        </w:tc>
        <w:tc>
          <w:tcPr>
            <w:tcW w:w="6911" w:type="dxa"/>
          </w:tcPr>
          <w:p w:rsidR="00744764" w:rsidRPr="00E3564D" w:rsidRDefault="00744764" w:rsidP="00744764">
            <w:r w:rsidRPr="00E3564D">
              <w:t>Marketing Authorisation Application</w:t>
            </w:r>
          </w:p>
        </w:tc>
      </w:tr>
      <w:tr w:rsidR="00744764" w:rsidRPr="00E3564D" w:rsidTr="00744764">
        <w:tc>
          <w:tcPr>
            <w:tcW w:w="1809" w:type="dxa"/>
          </w:tcPr>
          <w:p w:rsidR="00744764" w:rsidRPr="00E3564D" w:rsidRDefault="00744764" w:rsidP="00744764">
            <w:r w:rsidRPr="00E3564D">
              <w:t>MESI</w:t>
            </w:r>
          </w:p>
        </w:tc>
        <w:tc>
          <w:tcPr>
            <w:tcW w:w="6911" w:type="dxa"/>
          </w:tcPr>
          <w:p w:rsidR="00744764" w:rsidRPr="00E3564D" w:rsidRDefault="00744764" w:rsidP="00744764">
            <w:r w:rsidRPr="00E3564D">
              <w:t>Medical event of special interest</w:t>
            </w:r>
          </w:p>
        </w:tc>
      </w:tr>
      <w:tr w:rsidR="002801FB" w:rsidRPr="00E3564D" w:rsidTr="00744764">
        <w:tc>
          <w:tcPr>
            <w:tcW w:w="1809" w:type="dxa"/>
          </w:tcPr>
          <w:p w:rsidR="002801FB" w:rsidRPr="00E3564D" w:rsidRDefault="002801FB" w:rsidP="002801FB">
            <w:r>
              <w:t>NN</w:t>
            </w:r>
          </w:p>
        </w:tc>
        <w:tc>
          <w:tcPr>
            <w:tcW w:w="6911" w:type="dxa"/>
          </w:tcPr>
          <w:p w:rsidR="002801FB" w:rsidRPr="00E3564D" w:rsidRDefault="002801FB" w:rsidP="002801FB">
            <w:r>
              <w:t>Novo Nordisk Pharmaceuticals</w:t>
            </w:r>
          </w:p>
        </w:tc>
      </w:tr>
      <w:tr w:rsidR="00744764" w:rsidRPr="00E3564D" w:rsidTr="00744764">
        <w:tc>
          <w:tcPr>
            <w:tcW w:w="1809" w:type="dxa"/>
          </w:tcPr>
          <w:p w:rsidR="00744764" w:rsidRPr="00E3564D" w:rsidRDefault="00744764" w:rsidP="00744764">
            <w:r w:rsidRPr="00E3564D">
              <w:t>NPH</w:t>
            </w:r>
          </w:p>
        </w:tc>
        <w:tc>
          <w:tcPr>
            <w:tcW w:w="6911" w:type="dxa"/>
          </w:tcPr>
          <w:p w:rsidR="00744764" w:rsidRPr="00E3564D" w:rsidRDefault="00744764" w:rsidP="00744764">
            <w:r w:rsidRPr="00E3564D">
              <w:t>Neutral Protamine Hagedorn</w:t>
            </w:r>
          </w:p>
        </w:tc>
      </w:tr>
      <w:tr w:rsidR="00744764" w:rsidRPr="00E3564D" w:rsidTr="00744764">
        <w:tc>
          <w:tcPr>
            <w:tcW w:w="1809" w:type="dxa"/>
          </w:tcPr>
          <w:p w:rsidR="00744764" w:rsidRPr="00E3564D" w:rsidRDefault="00744764" w:rsidP="00744764">
            <w:r w:rsidRPr="00E3564D">
              <w:t>OAD</w:t>
            </w:r>
          </w:p>
        </w:tc>
        <w:tc>
          <w:tcPr>
            <w:tcW w:w="6911" w:type="dxa"/>
          </w:tcPr>
          <w:p w:rsidR="00744764" w:rsidRPr="00E3564D" w:rsidRDefault="00744764" w:rsidP="00744764">
            <w:r w:rsidRPr="00E3564D">
              <w:t>Oral antidiabetic drug</w:t>
            </w:r>
          </w:p>
        </w:tc>
      </w:tr>
      <w:tr w:rsidR="00744764" w:rsidRPr="00E3564D" w:rsidTr="00744764">
        <w:tc>
          <w:tcPr>
            <w:tcW w:w="1809" w:type="dxa"/>
          </w:tcPr>
          <w:p w:rsidR="00744764" w:rsidRPr="00E3564D" w:rsidRDefault="00744764" w:rsidP="00744764">
            <w:r w:rsidRPr="00E3564D">
              <w:t>PD</w:t>
            </w:r>
          </w:p>
        </w:tc>
        <w:tc>
          <w:tcPr>
            <w:tcW w:w="6911" w:type="dxa"/>
          </w:tcPr>
          <w:p w:rsidR="00744764" w:rsidRPr="00E3564D" w:rsidRDefault="00744764" w:rsidP="00744764">
            <w:r w:rsidRPr="00E3564D">
              <w:t>Pharmacodynamic(s)</w:t>
            </w:r>
          </w:p>
        </w:tc>
      </w:tr>
      <w:tr w:rsidR="00744764" w:rsidRPr="00E3564D" w:rsidTr="00744764">
        <w:tc>
          <w:tcPr>
            <w:tcW w:w="1809" w:type="dxa"/>
          </w:tcPr>
          <w:p w:rsidR="00744764" w:rsidRPr="00E3564D" w:rsidRDefault="00744764" w:rsidP="00744764">
            <w:r w:rsidRPr="00E3564D">
              <w:t>PG</w:t>
            </w:r>
          </w:p>
        </w:tc>
        <w:tc>
          <w:tcPr>
            <w:tcW w:w="6911" w:type="dxa"/>
          </w:tcPr>
          <w:p w:rsidR="00744764" w:rsidRPr="00E3564D" w:rsidRDefault="00744764" w:rsidP="00744764">
            <w:r w:rsidRPr="00E3564D">
              <w:t>Plasma glucose</w:t>
            </w:r>
          </w:p>
        </w:tc>
      </w:tr>
      <w:tr w:rsidR="00744764" w:rsidRPr="00E3564D" w:rsidTr="00744764">
        <w:tc>
          <w:tcPr>
            <w:tcW w:w="1809" w:type="dxa"/>
          </w:tcPr>
          <w:p w:rsidR="00744764" w:rsidRPr="00E3564D" w:rsidRDefault="00744764" w:rsidP="00744764">
            <w:r w:rsidRPr="00E3564D">
              <w:t>PK</w:t>
            </w:r>
          </w:p>
        </w:tc>
        <w:tc>
          <w:tcPr>
            <w:tcW w:w="6911" w:type="dxa"/>
          </w:tcPr>
          <w:p w:rsidR="00744764" w:rsidRPr="00E3564D" w:rsidRDefault="00744764" w:rsidP="00744764">
            <w:r w:rsidRPr="00E3564D">
              <w:t>Pharmacokinetic(s)</w:t>
            </w:r>
          </w:p>
        </w:tc>
      </w:tr>
      <w:tr w:rsidR="00744764" w:rsidRPr="00E3564D" w:rsidTr="00744764">
        <w:tc>
          <w:tcPr>
            <w:tcW w:w="1809" w:type="dxa"/>
          </w:tcPr>
          <w:p w:rsidR="00744764" w:rsidRPr="00E3564D" w:rsidRDefault="00744764" w:rsidP="00744764">
            <w:r w:rsidRPr="00E3564D">
              <w:t>PP</w:t>
            </w:r>
            <w:r w:rsidRPr="00072313">
              <w:rPr>
                <w:vertAlign w:val="subscript"/>
              </w:rPr>
              <w:t>Pregnant</w:t>
            </w:r>
          </w:p>
        </w:tc>
        <w:tc>
          <w:tcPr>
            <w:tcW w:w="6911" w:type="dxa"/>
          </w:tcPr>
          <w:p w:rsidR="00744764" w:rsidRPr="00E3564D" w:rsidRDefault="00744764" w:rsidP="00744764">
            <w:r w:rsidRPr="00E3564D">
              <w:t>Per-protocol data set for pregnant subjects</w:t>
            </w:r>
          </w:p>
        </w:tc>
      </w:tr>
      <w:tr w:rsidR="00455A70" w:rsidRPr="00E3564D" w:rsidTr="00744764">
        <w:tc>
          <w:tcPr>
            <w:tcW w:w="1809" w:type="dxa"/>
          </w:tcPr>
          <w:p w:rsidR="00455A70" w:rsidRPr="00E3564D" w:rsidRDefault="00455A70" w:rsidP="00744764">
            <w:r>
              <w:t>RCT</w:t>
            </w:r>
          </w:p>
        </w:tc>
        <w:tc>
          <w:tcPr>
            <w:tcW w:w="6911" w:type="dxa"/>
          </w:tcPr>
          <w:p w:rsidR="00455A70" w:rsidRPr="00E3564D" w:rsidRDefault="00455A70" w:rsidP="00455A70">
            <w:r>
              <w:t>R</w:t>
            </w:r>
            <w:r w:rsidRPr="00227614">
              <w:t>andomised controlled clinical trial</w:t>
            </w:r>
          </w:p>
        </w:tc>
      </w:tr>
      <w:tr w:rsidR="00744764" w:rsidRPr="00E3564D" w:rsidTr="00744764">
        <w:tc>
          <w:tcPr>
            <w:tcW w:w="1809" w:type="dxa"/>
          </w:tcPr>
          <w:p w:rsidR="00744764" w:rsidRPr="00E3564D" w:rsidRDefault="00744764" w:rsidP="00744764">
            <w:r w:rsidRPr="00E3564D">
              <w:t>RPM</w:t>
            </w:r>
          </w:p>
        </w:tc>
        <w:tc>
          <w:tcPr>
            <w:tcW w:w="6911" w:type="dxa"/>
          </w:tcPr>
          <w:p w:rsidR="00744764" w:rsidRPr="00E3564D" w:rsidRDefault="00744764" w:rsidP="00744764">
            <w:r w:rsidRPr="00E3564D">
              <w:t>Repeated-measurement</w:t>
            </w:r>
          </w:p>
        </w:tc>
      </w:tr>
      <w:tr w:rsidR="00744764" w:rsidRPr="00E3564D" w:rsidTr="00744764">
        <w:tc>
          <w:tcPr>
            <w:tcW w:w="1809" w:type="dxa"/>
          </w:tcPr>
          <w:p w:rsidR="00744764" w:rsidRPr="00E3564D" w:rsidRDefault="00744764" w:rsidP="00744764">
            <w:r w:rsidRPr="00E3564D">
              <w:t>SAE</w:t>
            </w:r>
          </w:p>
        </w:tc>
        <w:tc>
          <w:tcPr>
            <w:tcW w:w="6911" w:type="dxa"/>
          </w:tcPr>
          <w:p w:rsidR="00744764" w:rsidRPr="00E3564D" w:rsidRDefault="00744764" w:rsidP="00744764">
            <w:r w:rsidRPr="00E3564D">
              <w:t>Serious adverse event</w:t>
            </w:r>
          </w:p>
        </w:tc>
      </w:tr>
      <w:tr w:rsidR="00744764" w:rsidRPr="00E3564D" w:rsidTr="00744764">
        <w:tc>
          <w:tcPr>
            <w:tcW w:w="1809" w:type="dxa"/>
          </w:tcPr>
          <w:p w:rsidR="00744764" w:rsidRPr="00E3564D" w:rsidRDefault="00744764" w:rsidP="00744764">
            <w:r w:rsidRPr="00E3564D">
              <w:t>SAS</w:t>
            </w:r>
          </w:p>
        </w:tc>
        <w:tc>
          <w:tcPr>
            <w:tcW w:w="6911" w:type="dxa"/>
          </w:tcPr>
          <w:p w:rsidR="00744764" w:rsidRPr="00E3564D" w:rsidRDefault="00744764" w:rsidP="00744764">
            <w:r w:rsidRPr="00E3564D">
              <w:t>Safety analysis set</w:t>
            </w:r>
          </w:p>
        </w:tc>
      </w:tr>
      <w:tr w:rsidR="00744764" w:rsidRPr="00E3564D" w:rsidTr="00744764">
        <w:tc>
          <w:tcPr>
            <w:tcW w:w="1809" w:type="dxa"/>
          </w:tcPr>
          <w:p w:rsidR="00744764" w:rsidRPr="00E3564D" w:rsidRDefault="00744764" w:rsidP="00744764">
            <w:r w:rsidRPr="00E3564D">
              <w:t>SBP</w:t>
            </w:r>
          </w:p>
        </w:tc>
        <w:tc>
          <w:tcPr>
            <w:tcW w:w="6911" w:type="dxa"/>
          </w:tcPr>
          <w:p w:rsidR="00744764" w:rsidRPr="00E3564D" w:rsidRDefault="00744764" w:rsidP="00744764">
            <w:r w:rsidRPr="00E3564D">
              <w:t>Systolic blood pressure</w:t>
            </w:r>
          </w:p>
        </w:tc>
      </w:tr>
      <w:tr w:rsidR="00744764" w:rsidRPr="00E3564D" w:rsidTr="00744764">
        <w:tc>
          <w:tcPr>
            <w:tcW w:w="1809" w:type="dxa"/>
          </w:tcPr>
          <w:p w:rsidR="00744764" w:rsidRPr="00E3564D" w:rsidRDefault="00744764" w:rsidP="00744764">
            <w:r w:rsidRPr="00E3564D">
              <w:t>SMPG</w:t>
            </w:r>
          </w:p>
        </w:tc>
        <w:tc>
          <w:tcPr>
            <w:tcW w:w="6911" w:type="dxa"/>
          </w:tcPr>
          <w:p w:rsidR="00744764" w:rsidRPr="00E3564D" w:rsidRDefault="00744764" w:rsidP="00744764">
            <w:r w:rsidRPr="00E3564D">
              <w:t>Self-measured plasma glucose</w:t>
            </w:r>
          </w:p>
        </w:tc>
      </w:tr>
      <w:tr w:rsidR="00744764" w:rsidRPr="00E3564D" w:rsidTr="00744764">
        <w:tc>
          <w:tcPr>
            <w:tcW w:w="1809" w:type="dxa"/>
          </w:tcPr>
          <w:p w:rsidR="00744764" w:rsidRPr="00E3564D" w:rsidRDefault="00744764" w:rsidP="00744764">
            <w:r w:rsidRPr="00E3564D">
              <w:lastRenderedPageBreak/>
              <w:t>SOC</w:t>
            </w:r>
          </w:p>
        </w:tc>
        <w:tc>
          <w:tcPr>
            <w:tcW w:w="6911" w:type="dxa"/>
          </w:tcPr>
          <w:p w:rsidR="00744764" w:rsidRPr="00E3564D" w:rsidRDefault="00744764" w:rsidP="00744764">
            <w:r w:rsidRPr="00E3564D">
              <w:t>System organ class</w:t>
            </w:r>
          </w:p>
        </w:tc>
      </w:tr>
      <w:tr w:rsidR="00744764" w:rsidRPr="00E3564D" w:rsidTr="00744764">
        <w:tc>
          <w:tcPr>
            <w:tcW w:w="1809" w:type="dxa"/>
          </w:tcPr>
          <w:p w:rsidR="00744764" w:rsidRPr="00E3564D" w:rsidRDefault="00744764" w:rsidP="00744764">
            <w:r w:rsidRPr="00E3564D">
              <w:t>t½</w:t>
            </w:r>
          </w:p>
        </w:tc>
        <w:tc>
          <w:tcPr>
            <w:tcW w:w="6911" w:type="dxa"/>
          </w:tcPr>
          <w:p w:rsidR="00744764" w:rsidRPr="00E3564D" w:rsidRDefault="00744764" w:rsidP="00744764">
            <w:r w:rsidRPr="00E3564D">
              <w:t>Terminal elimination half-life</w:t>
            </w:r>
          </w:p>
        </w:tc>
      </w:tr>
      <w:tr w:rsidR="00744764" w:rsidRPr="00E3564D" w:rsidTr="00744764">
        <w:tc>
          <w:tcPr>
            <w:tcW w:w="1809" w:type="dxa"/>
          </w:tcPr>
          <w:p w:rsidR="00744764" w:rsidRPr="00E3564D" w:rsidRDefault="00744764" w:rsidP="00744764">
            <w:r w:rsidRPr="00E3564D">
              <w:t>TEAE</w:t>
            </w:r>
          </w:p>
        </w:tc>
        <w:tc>
          <w:tcPr>
            <w:tcW w:w="6911" w:type="dxa"/>
          </w:tcPr>
          <w:p w:rsidR="00744764" w:rsidRPr="00E3564D" w:rsidRDefault="00744764" w:rsidP="00744764">
            <w:r w:rsidRPr="00E3564D">
              <w:t>Treatment-emergent adverse event</w:t>
            </w:r>
          </w:p>
        </w:tc>
      </w:tr>
      <w:tr w:rsidR="00744764" w:rsidRPr="00E3564D" w:rsidTr="00744764">
        <w:tc>
          <w:tcPr>
            <w:tcW w:w="1809" w:type="dxa"/>
          </w:tcPr>
          <w:p w:rsidR="00744764" w:rsidRPr="00E3564D" w:rsidRDefault="00744764" w:rsidP="00744764">
            <w:r w:rsidRPr="00E3564D">
              <w:t>TG</w:t>
            </w:r>
          </w:p>
        </w:tc>
        <w:tc>
          <w:tcPr>
            <w:tcW w:w="6911" w:type="dxa"/>
          </w:tcPr>
          <w:p w:rsidR="00744764" w:rsidRPr="00E3564D" w:rsidRDefault="00744764" w:rsidP="00744764">
            <w:r w:rsidRPr="00E3564D">
              <w:t>Triglycerides</w:t>
            </w:r>
          </w:p>
        </w:tc>
      </w:tr>
      <w:tr w:rsidR="00744764" w:rsidRPr="00E3564D" w:rsidTr="00744764">
        <w:tc>
          <w:tcPr>
            <w:tcW w:w="1809" w:type="dxa"/>
          </w:tcPr>
          <w:p w:rsidR="00744764" w:rsidRPr="00E3564D" w:rsidRDefault="00744764" w:rsidP="00744764">
            <w:r w:rsidRPr="00E3564D">
              <w:t>T1DM</w:t>
            </w:r>
          </w:p>
        </w:tc>
        <w:tc>
          <w:tcPr>
            <w:tcW w:w="6911" w:type="dxa"/>
          </w:tcPr>
          <w:p w:rsidR="00744764" w:rsidRPr="00E3564D" w:rsidRDefault="00744764" w:rsidP="00744764">
            <w:r w:rsidRPr="00E3564D">
              <w:t>Type 1 diabetes mellitus</w:t>
            </w:r>
          </w:p>
        </w:tc>
      </w:tr>
      <w:tr w:rsidR="00744764" w:rsidRPr="00E3564D" w:rsidTr="00744764">
        <w:tc>
          <w:tcPr>
            <w:tcW w:w="1809" w:type="dxa"/>
          </w:tcPr>
          <w:p w:rsidR="00744764" w:rsidRPr="00E3564D" w:rsidRDefault="00744764" w:rsidP="00744764">
            <w:r w:rsidRPr="00E3564D">
              <w:t>T2DM</w:t>
            </w:r>
          </w:p>
        </w:tc>
        <w:tc>
          <w:tcPr>
            <w:tcW w:w="6911" w:type="dxa"/>
          </w:tcPr>
          <w:p w:rsidR="00744764" w:rsidRPr="00E3564D" w:rsidRDefault="00744764" w:rsidP="00744764">
            <w:r w:rsidRPr="00E3564D">
              <w:t>Type 2 diabetes mellitus</w:t>
            </w:r>
          </w:p>
        </w:tc>
      </w:tr>
      <w:tr w:rsidR="00744764" w:rsidRPr="00E3564D" w:rsidTr="00744764">
        <w:tc>
          <w:tcPr>
            <w:tcW w:w="1809" w:type="dxa"/>
          </w:tcPr>
          <w:p w:rsidR="00744764" w:rsidRPr="00E3564D" w:rsidRDefault="00744764" w:rsidP="00744764">
            <w:r w:rsidRPr="00E3564D">
              <w:t>t</w:t>
            </w:r>
            <w:r w:rsidRPr="00072313">
              <w:rPr>
                <w:vertAlign w:val="subscript"/>
              </w:rPr>
              <w:t>GIRmax</w:t>
            </w:r>
          </w:p>
        </w:tc>
        <w:tc>
          <w:tcPr>
            <w:tcW w:w="6911" w:type="dxa"/>
          </w:tcPr>
          <w:p w:rsidR="00744764" w:rsidRPr="00E3564D" w:rsidRDefault="00744764" w:rsidP="00744764">
            <w:r w:rsidRPr="00E3564D">
              <w:t>Time to maximal glucose infusion</w:t>
            </w:r>
          </w:p>
        </w:tc>
      </w:tr>
      <w:tr w:rsidR="00744764" w:rsidRPr="00E3564D" w:rsidTr="00744764">
        <w:tc>
          <w:tcPr>
            <w:tcW w:w="1809" w:type="dxa"/>
          </w:tcPr>
          <w:p w:rsidR="00744764" w:rsidRPr="00E3564D" w:rsidRDefault="00744764" w:rsidP="00744764">
            <w:r w:rsidRPr="00E3564D">
              <w:t>t</w:t>
            </w:r>
            <w:r w:rsidRPr="00072313">
              <w:rPr>
                <w:vertAlign w:val="subscript"/>
              </w:rPr>
              <w:t>max</w:t>
            </w:r>
          </w:p>
        </w:tc>
        <w:tc>
          <w:tcPr>
            <w:tcW w:w="6911" w:type="dxa"/>
          </w:tcPr>
          <w:p w:rsidR="00744764" w:rsidRPr="00E3564D" w:rsidRDefault="00744764" w:rsidP="00744764">
            <w:r w:rsidRPr="00E3564D">
              <w:t>Time to maximal serum concentration</w:t>
            </w:r>
          </w:p>
        </w:tc>
      </w:tr>
      <w:tr w:rsidR="00744764" w:rsidRPr="00E3564D" w:rsidTr="00744764">
        <w:tc>
          <w:tcPr>
            <w:tcW w:w="1809" w:type="dxa"/>
          </w:tcPr>
          <w:p w:rsidR="00744764" w:rsidRPr="00E3564D" w:rsidRDefault="00744764" w:rsidP="00744764">
            <w:r w:rsidRPr="00E3564D">
              <w:t>U</w:t>
            </w:r>
          </w:p>
        </w:tc>
        <w:tc>
          <w:tcPr>
            <w:tcW w:w="6911" w:type="dxa"/>
          </w:tcPr>
          <w:p w:rsidR="00744764" w:rsidRPr="00E3564D" w:rsidRDefault="00744764" w:rsidP="00744764">
            <w:r w:rsidRPr="00E3564D">
              <w:t>Unit(s)</w:t>
            </w:r>
          </w:p>
        </w:tc>
      </w:tr>
      <w:tr w:rsidR="00744764" w:rsidRPr="00E3564D" w:rsidTr="00744764">
        <w:tc>
          <w:tcPr>
            <w:tcW w:w="1809" w:type="dxa"/>
          </w:tcPr>
          <w:p w:rsidR="00744764" w:rsidRPr="00E3564D" w:rsidRDefault="00744764" w:rsidP="00744764">
            <w:r w:rsidRPr="00E3564D">
              <w:t>UNL</w:t>
            </w:r>
          </w:p>
        </w:tc>
        <w:tc>
          <w:tcPr>
            <w:tcW w:w="6911" w:type="dxa"/>
          </w:tcPr>
          <w:p w:rsidR="00744764" w:rsidRPr="00E3564D" w:rsidRDefault="00744764" w:rsidP="00744764">
            <w:r w:rsidRPr="00E3564D">
              <w:t>Upper normal limit</w:t>
            </w:r>
          </w:p>
        </w:tc>
      </w:tr>
      <w:tr w:rsidR="00744764" w:rsidRPr="00E3564D" w:rsidTr="00744764">
        <w:tc>
          <w:tcPr>
            <w:tcW w:w="1809" w:type="dxa"/>
          </w:tcPr>
          <w:p w:rsidR="00744764" w:rsidRPr="00E3564D" w:rsidRDefault="00744764" w:rsidP="00744764">
            <w:r w:rsidRPr="00E3564D">
              <w:t>VLDL-C</w:t>
            </w:r>
          </w:p>
        </w:tc>
        <w:tc>
          <w:tcPr>
            <w:tcW w:w="6911" w:type="dxa"/>
          </w:tcPr>
          <w:p w:rsidR="00744764" w:rsidRPr="00E3564D" w:rsidRDefault="00744764" w:rsidP="00744764">
            <w:r w:rsidRPr="00E3564D">
              <w:t>Very low density lipoprotein cholesterol</w:t>
            </w:r>
          </w:p>
        </w:tc>
      </w:tr>
    </w:tbl>
    <w:p w:rsidR="00744764" w:rsidRDefault="00744764">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8" w:name="_Toc383771033"/>
      <w:r>
        <w:lastRenderedPageBreak/>
        <w:t>I.</w:t>
      </w:r>
      <w:r w:rsidR="008E7846">
        <w:t xml:space="preserve"> Introduction to product submission</w:t>
      </w:r>
      <w:bookmarkEnd w:id="0"/>
      <w:bookmarkEnd w:id="2"/>
      <w:bookmarkEnd w:id="8"/>
    </w:p>
    <w:p w:rsidR="008E7846" w:rsidRDefault="008E7846" w:rsidP="008E7846">
      <w:pPr>
        <w:pStyle w:val="Heading3"/>
        <w:rPr>
          <w:lang w:eastAsia="en-AU"/>
        </w:rPr>
      </w:pPr>
      <w:bookmarkStart w:id="9" w:name="_Toc247691502"/>
      <w:bookmarkStart w:id="10" w:name="_Toc314842483"/>
      <w:bookmarkStart w:id="11" w:name="_Toc383771034"/>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F67185">
        <w:trPr>
          <w:trHeight w:hRule="exact" w:val="454"/>
        </w:trPr>
        <w:tc>
          <w:tcPr>
            <w:tcW w:w="2907" w:type="dxa"/>
          </w:tcPr>
          <w:p w:rsidR="008E7846" w:rsidRDefault="001B5C90" w:rsidP="001B5C90">
            <w:pPr>
              <w:rPr>
                <w:i/>
              </w:rPr>
            </w:pPr>
            <w:r>
              <w:rPr>
                <w:i/>
              </w:rPr>
              <w:t>Type of s</w:t>
            </w:r>
            <w:r w:rsidR="008E7846" w:rsidRPr="003D1E62">
              <w:rPr>
                <w:i/>
              </w:rPr>
              <w:t>ubmission</w:t>
            </w:r>
            <w:r>
              <w:rPr>
                <w:i/>
              </w:rPr>
              <w:t>:</w:t>
            </w:r>
          </w:p>
          <w:p w:rsidR="00744764" w:rsidRPr="003D1E62" w:rsidRDefault="00744764" w:rsidP="001B5C90">
            <w:pPr>
              <w:rPr>
                <w:i/>
              </w:rPr>
            </w:pPr>
          </w:p>
        </w:tc>
        <w:tc>
          <w:tcPr>
            <w:tcW w:w="6590" w:type="dxa"/>
            <w:gridSpan w:val="2"/>
          </w:tcPr>
          <w:p w:rsidR="00640423" w:rsidRDefault="00F67185" w:rsidP="00744764">
            <w:pPr>
              <w:spacing w:after="240"/>
            </w:pPr>
            <w:r>
              <w:t>M</w:t>
            </w:r>
            <w:r w:rsidR="008E7846" w:rsidRPr="003D1E62">
              <w:t xml:space="preserve">ajor </w:t>
            </w:r>
            <w:r w:rsidR="001B5C90">
              <w:t>v</w:t>
            </w:r>
            <w:r w:rsidR="008E7846" w:rsidRPr="003D1E62">
              <w:t xml:space="preserve">ariation </w:t>
            </w:r>
            <w:r w:rsidR="00744764" w:rsidRPr="004E37C1">
              <w:rPr>
                <w:rFonts w:cs="Arial"/>
              </w:rPr>
              <w:t>(change in patient group</w:t>
            </w:r>
            <w:r w:rsidR="00744764">
              <w:rPr>
                <w:rFonts w:cs="Arial"/>
              </w:rPr>
              <w:t>/</w:t>
            </w:r>
            <w:r w:rsidR="00744764" w:rsidRPr="004E37C1">
              <w:rPr>
                <w:rFonts w:cs="Arial"/>
              </w:rPr>
              <w:t>pregnancy</w:t>
            </w:r>
            <w:r w:rsidR="00744764">
              <w:rPr>
                <w:rFonts w:cs="Arial"/>
              </w:rPr>
              <w:t xml:space="preserve"> c</w:t>
            </w:r>
            <w:r w:rsidR="00744764" w:rsidRPr="004E37C1">
              <w:rPr>
                <w:rFonts w:cs="Arial"/>
              </w:rPr>
              <w:t>ategory).</w:t>
            </w:r>
            <w:r w:rsidR="00744764" w:rsidRPr="003D1E62">
              <w:t xml:space="preserve"> </w:t>
            </w:r>
          </w:p>
          <w:p w:rsidR="00640423" w:rsidRDefault="00640423" w:rsidP="00F67185"/>
          <w:p w:rsidR="00640423" w:rsidRDefault="00640423" w:rsidP="00F67185"/>
          <w:p w:rsidR="008E7846" w:rsidRPr="003D1E62" w:rsidRDefault="00F67185" w:rsidP="00F67185">
            <w:r>
              <w:t>PI update</w:t>
            </w:r>
            <w:r w:rsidR="008E7846" w:rsidRPr="003D1E62">
              <w:t>)</w:t>
            </w:r>
          </w:p>
        </w:tc>
      </w:tr>
      <w:tr w:rsidR="008E7846" w:rsidRPr="003D1E62" w:rsidTr="00744764">
        <w:trPr>
          <w:trHeight w:hRule="exact" w:val="47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F67185">
            <w:r w:rsidRPr="003D1E62">
              <w:t xml:space="preserve">Approved </w:t>
            </w:r>
          </w:p>
        </w:tc>
      </w:tr>
      <w:tr w:rsidR="008E7846" w:rsidRPr="003D1E62" w:rsidTr="00F67185">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F67185" w:rsidP="00F67185">
            <w:r>
              <w:t>16 October 2013</w:t>
            </w:r>
          </w:p>
        </w:tc>
      </w:tr>
      <w:tr w:rsidR="008E7846" w:rsidRPr="00487162" w:rsidTr="00F67185">
        <w:trPr>
          <w:gridAfter w:val="1"/>
          <w:wAfter w:w="283" w:type="dxa"/>
        </w:trPr>
        <w:tc>
          <w:tcPr>
            <w:tcW w:w="2907" w:type="dxa"/>
          </w:tcPr>
          <w:p w:rsidR="008E7846" w:rsidRPr="00487162" w:rsidRDefault="00F67185" w:rsidP="00F67185">
            <w:pPr>
              <w:rPr>
                <w:i/>
              </w:rPr>
            </w:pPr>
            <w:r>
              <w:rPr>
                <w:i/>
              </w:rPr>
              <w:t>Active ingredient</w:t>
            </w:r>
            <w:r w:rsidR="001B5C90">
              <w:rPr>
                <w:i/>
              </w:rPr>
              <w:t>:</w:t>
            </w:r>
          </w:p>
        </w:tc>
        <w:tc>
          <w:tcPr>
            <w:tcW w:w="6307" w:type="dxa"/>
          </w:tcPr>
          <w:p w:rsidR="008E7846" w:rsidRPr="00487162" w:rsidRDefault="00EF36C8" w:rsidP="00EF36C8">
            <w:r>
              <w:t xml:space="preserve">Insulin </w:t>
            </w:r>
            <w:r w:rsidR="005D2126">
              <w:t>detemir</w:t>
            </w:r>
            <w:r>
              <w:t xml:space="preserve"> (rys)</w:t>
            </w:r>
          </w:p>
        </w:tc>
      </w:tr>
      <w:tr w:rsidR="008E7846" w:rsidRPr="00487162" w:rsidTr="00F67185">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EF36C8" w:rsidP="00EF36C8">
            <w:r>
              <w:t>Levemir</w:t>
            </w:r>
            <w:r w:rsidR="001C211C">
              <w:t xml:space="preserve"> (Penfill / Flexpen / Innolet)</w:t>
            </w:r>
          </w:p>
        </w:tc>
      </w:tr>
      <w:tr w:rsidR="008E7846" w:rsidRPr="00487162" w:rsidTr="00F67185">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tbl>
            <w:tblPr>
              <w:tblW w:w="0" w:type="auto"/>
              <w:tblCellMar>
                <w:top w:w="57" w:type="dxa"/>
                <w:left w:w="0" w:type="dxa"/>
                <w:bottom w:w="57" w:type="dxa"/>
                <w:right w:w="0" w:type="dxa"/>
              </w:tblCellMar>
              <w:tblLook w:val="00A0" w:firstRow="1" w:lastRow="0" w:firstColumn="1" w:lastColumn="0" w:noHBand="0" w:noVBand="0"/>
            </w:tblPr>
            <w:tblGrid>
              <w:gridCol w:w="6091"/>
            </w:tblGrid>
            <w:tr w:rsidR="00EF36C8" w:rsidRPr="00EF36C8" w:rsidTr="00EF36C8">
              <w:tc>
                <w:tcPr>
                  <w:tcW w:w="6091" w:type="dxa"/>
                </w:tcPr>
                <w:p w:rsidR="00EF36C8" w:rsidRDefault="00EF36C8" w:rsidP="00EF36C8">
                  <w:r>
                    <w:t>Novo Nordisk Pharmaceuticals</w:t>
                  </w:r>
                </w:p>
                <w:p w:rsidR="00EF36C8" w:rsidRDefault="00EF36C8" w:rsidP="00EF36C8">
                  <w:r w:rsidRPr="00EF36C8">
                    <w:t>Level 3 / 21 Solent Circuit</w:t>
                  </w:r>
                  <w:r>
                    <w:t xml:space="preserve"> </w:t>
                  </w:r>
                </w:p>
                <w:p w:rsidR="00EF36C8" w:rsidRPr="00EF36C8" w:rsidRDefault="00EF36C8" w:rsidP="00EF36C8">
                  <w:r>
                    <w:t xml:space="preserve">Baulkham </w:t>
                  </w:r>
                  <w:r w:rsidRPr="00EF36C8">
                    <w:t>H</w:t>
                  </w:r>
                  <w:r>
                    <w:t>ills   NSW   2153</w:t>
                  </w:r>
                </w:p>
              </w:tc>
            </w:tr>
          </w:tbl>
          <w:p w:rsidR="00EF36C8" w:rsidRPr="00487162" w:rsidRDefault="00EF36C8" w:rsidP="00E45619"/>
        </w:tc>
      </w:tr>
      <w:tr w:rsidR="008E7846" w:rsidRPr="00487162" w:rsidTr="00F67185">
        <w:trPr>
          <w:gridAfter w:val="1"/>
          <w:wAfter w:w="283" w:type="dxa"/>
        </w:trPr>
        <w:tc>
          <w:tcPr>
            <w:tcW w:w="2907" w:type="dxa"/>
          </w:tcPr>
          <w:p w:rsidR="008E7846" w:rsidRPr="00487162" w:rsidRDefault="001B5C90" w:rsidP="009C1D21">
            <w:pPr>
              <w:rPr>
                <w:i/>
              </w:rPr>
            </w:pPr>
            <w:r>
              <w:rPr>
                <w:i/>
              </w:rPr>
              <w:t>Dose for</w:t>
            </w:r>
            <w:r w:rsidR="009C1D21">
              <w:rPr>
                <w:i/>
              </w:rPr>
              <w:t>m</w:t>
            </w:r>
            <w:r>
              <w:rPr>
                <w:i/>
              </w:rPr>
              <w:t>:</w:t>
            </w:r>
          </w:p>
        </w:tc>
        <w:tc>
          <w:tcPr>
            <w:tcW w:w="6307" w:type="dxa"/>
          </w:tcPr>
          <w:p w:rsidR="008E7846" w:rsidRPr="00487162" w:rsidRDefault="009C1D21" w:rsidP="009C1D21">
            <w:r>
              <w:t>Solution for injection</w:t>
            </w:r>
          </w:p>
        </w:tc>
      </w:tr>
      <w:tr w:rsidR="008E7846" w:rsidRPr="00487162" w:rsidTr="00F67185">
        <w:trPr>
          <w:gridAfter w:val="1"/>
          <w:wAfter w:w="283" w:type="dxa"/>
        </w:trPr>
        <w:tc>
          <w:tcPr>
            <w:tcW w:w="2907" w:type="dxa"/>
          </w:tcPr>
          <w:p w:rsidR="008E7846" w:rsidRPr="00487162" w:rsidRDefault="009C1D21" w:rsidP="009C1D21">
            <w:pPr>
              <w:rPr>
                <w:i/>
              </w:rPr>
            </w:pPr>
            <w:r>
              <w:rPr>
                <w:i/>
              </w:rPr>
              <w:t>Strength</w:t>
            </w:r>
            <w:r w:rsidR="008E7846" w:rsidRPr="00487162">
              <w:rPr>
                <w:i/>
              </w:rPr>
              <w:t xml:space="preserve">: </w:t>
            </w:r>
          </w:p>
        </w:tc>
        <w:tc>
          <w:tcPr>
            <w:tcW w:w="6307" w:type="dxa"/>
          </w:tcPr>
          <w:p w:rsidR="008E7846" w:rsidRPr="00487162" w:rsidRDefault="009C1D21" w:rsidP="009C1D21">
            <w:r>
              <w:t>100 units/mL</w:t>
            </w:r>
          </w:p>
        </w:tc>
      </w:tr>
      <w:tr w:rsidR="008E7846" w:rsidRPr="00487162" w:rsidTr="00F67185">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9C1D21" w:rsidP="009C1D21">
            <w:r>
              <w:t>cartridge</w:t>
            </w:r>
          </w:p>
        </w:tc>
      </w:tr>
      <w:tr w:rsidR="008E7846" w:rsidRPr="00487162" w:rsidTr="00F67185">
        <w:trPr>
          <w:gridAfter w:val="1"/>
          <w:wAfter w:w="283" w:type="dxa"/>
        </w:trPr>
        <w:tc>
          <w:tcPr>
            <w:tcW w:w="2907" w:type="dxa"/>
          </w:tcPr>
          <w:p w:rsidR="008E7846" w:rsidRPr="00487162" w:rsidRDefault="008E7846" w:rsidP="009C1D21">
            <w:pPr>
              <w:rPr>
                <w:i/>
              </w:rPr>
            </w:pPr>
            <w:r w:rsidRPr="00487162">
              <w:rPr>
                <w:i/>
              </w:rPr>
              <w:t>Pack size:</w:t>
            </w:r>
          </w:p>
        </w:tc>
        <w:tc>
          <w:tcPr>
            <w:tcW w:w="6307" w:type="dxa"/>
          </w:tcPr>
          <w:p w:rsidR="008E7846" w:rsidRPr="009C1D21" w:rsidRDefault="009C1D21" w:rsidP="009C1D21">
            <w:r w:rsidRPr="009C1D21">
              <w:t xml:space="preserve">5 </w:t>
            </w:r>
            <w:r>
              <w:t>times</w:t>
            </w:r>
            <w:r w:rsidRPr="009C1D21">
              <w:t xml:space="preserve"> 3</w:t>
            </w:r>
            <w:r>
              <w:t xml:space="preserve"> </w:t>
            </w:r>
            <w:r w:rsidRPr="009C1D21">
              <w:t>mL multidose cartridge</w:t>
            </w:r>
          </w:p>
        </w:tc>
      </w:tr>
      <w:tr w:rsidR="008E7846" w:rsidRPr="00487162" w:rsidTr="00F67185">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9C1D21" w:rsidRDefault="009C1D21" w:rsidP="00E45619">
            <w:pPr>
              <w:rPr>
                <w:rFonts w:eastAsia="MS Mincho"/>
                <w:i/>
                <w:lang w:eastAsia="ja-JP"/>
              </w:rPr>
            </w:pPr>
            <w:r w:rsidRPr="009C1D21">
              <w:rPr>
                <w:i/>
              </w:rPr>
              <w:t>Treatment of diabetes mellitus</w:t>
            </w:r>
          </w:p>
        </w:tc>
      </w:tr>
      <w:tr w:rsidR="008E7846" w:rsidRPr="00487162" w:rsidTr="00F67185">
        <w:trPr>
          <w:gridAfter w:val="1"/>
          <w:wAfter w:w="283" w:type="dxa"/>
        </w:trPr>
        <w:tc>
          <w:tcPr>
            <w:tcW w:w="2907" w:type="dxa"/>
          </w:tcPr>
          <w:p w:rsidR="008E7846" w:rsidRPr="00487162" w:rsidRDefault="008E7846" w:rsidP="009C1D21">
            <w:pPr>
              <w:rPr>
                <w:i/>
              </w:rPr>
            </w:pPr>
            <w:r w:rsidRPr="00487162">
              <w:rPr>
                <w:i/>
              </w:rPr>
              <w:t>Route of administration:</w:t>
            </w:r>
          </w:p>
        </w:tc>
        <w:tc>
          <w:tcPr>
            <w:tcW w:w="6307" w:type="dxa"/>
          </w:tcPr>
          <w:p w:rsidR="008E7846" w:rsidRPr="00487162" w:rsidRDefault="004A7AEC" w:rsidP="004A7AEC">
            <w:r w:rsidRPr="004A7AEC">
              <w:t>Subcutaneous injection</w:t>
            </w:r>
          </w:p>
        </w:tc>
      </w:tr>
      <w:tr w:rsidR="008E7846" w:rsidRPr="00487162" w:rsidTr="00F67185">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D26CBC" w:rsidRPr="002A6243" w:rsidRDefault="00D26CBC" w:rsidP="00D26CBC">
            <w:pPr>
              <w:spacing w:after="0"/>
            </w:pPr>
            <w:r w:rsidRPr="002A6243">
              <w:t>For patients with type I diabetes mellitus, Levemir must be</w:t>
            </w:r>
          </w:p>
          <w:p w:rsidR="00D26CBC" w:rsidRPr="002A6243" w:rsidRDefault="00D26CBC" w:rsidP="002A6243">
            <w:pPr>
              <w:spacing w:before="0" w:after="100" w:afterAutospacing="1"/>
            </w:pPr>
            <w:r w:rsidRPr="002A6243">
              <w:t>used in combination with rapid- or short-acting insulin.</w:t>
            </w:r>
          </w:p>
          <w:p w:rsidR="00D26CBC" w:rsidRPr="002A6243" w:rsidRDefault="00D26CBC" w:rsidP="002A6243">
            <w:pPr>
              <w:spacing w:after="0"/>
            </w:pPr>
            <w:r w:rsidRPr="002A6243">
              <w:t xml:space="preserve">When Levemir is used as part of a basal-bolus insulin </w:t>
            </w:r>
          </w:p>
          <w:p w:rsidR="00D26CBC" w:rsidRPr="002A6243" w:rsidRDefault="00D26CBC" w:rsidP="00D26CBC">
            <w:pPr>
              <w:spacing w:before="0" w:after="0"/>
            </w:pPr>
            <w:r w:rsidRPr="002A6243">
              <w:t xml:space="preserve">regimen Levemir should be administered once or twice </w:t>
            </w:r>
          </w:p>
          <w:p w:rsidR="00D26CBC" w:rsidRPr="002A6243" w:rsidRDefault="00D26CBC" w:rsidP="00D26CBC">
            <w:pPr>
              <w:spacing w:before="0" w:after="0"/>
            </w:pPr>
            <w:r w:rsidRPr="002A6243">
              <w:t xml:space="preserve">daily depending on patients' needs. Dosage of Levemir </w:t>
            </w:r>
          </w:p>
          <w:p w:rsidR="008E7846" w:rsidRPr="00487162" w:rsidRDefault="00D26CBC" w:rsidP="00D26CBC">
            <w:pPr>
              <w:spacing w:before="0"/>
            </w:pPr>
            <w:r w:rsidRPr="002A6243">
              <w:t>should be adjusted individually</w:t>
            </w:r>
            <w:r w:rsidRPr="00487162">
              <w:t xml:space="preserve"> </w:t>
            </w:r>
          </w:p>
        </w:tc>
      </w:tr>
      <w:tr w:rsidR="008E7846" w:rsidRPr="00487162" w:rsidTr="00D26CBC">
        <w:trPr>
          <w:gridAfter w:val="1"/>
          <w:wAfter w:w="283" w:type="dxa"/>
          <w:trHeight w:val="641"/>
        </w:trPr>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D26CBC" w:rsidRDefault="00D26CBC" w:rsidP="00D26CBC">
            <w:pPr>
              <w:spacing w:before="0"/>
            </w:pPr>
            <w:r>
              <w:t xml:space="preserve">172213 (Levemir Penfill), </w:t>
            </w:r>
          </w:p>
          <w:p w:rsidR="00D26CBC" w:rsidRDefault="00D26CBC" w:rsidP="00D26CBC">
            <w:pPr>
              <w:spacing w:before="0"/>
            </w:pPr>
            <w:r>
              <w:t xml:space="preserve">172234 (Levemir Flexpen), </w:t>
            </w:r>
          </w:p>
          <w:p w:rsidR="008E7846" w:rsidRPr="00487162" w:rsidRDefault="00D26CBC" w:rsidP="00D26CBC">
            <w:pPr>
              <w:spacing w:before="0"/>
            </w:pPr>
            <w:r>
              <w:t>172235 (Levemir Innolet)</w:t>
            </w:r>
          </w:p>
        </w:tc>
      </w:tr>
    </w:tbl>
    <w:p w:rsidR="008E7846" w:rsidRDefault="008E7846" w:rsidP="008E7846">
      <w:pPr>
        <w:pStyle w:val="Heading3"/>
      </w:pPr>
      <w:bookmarkStart w:id="12" w:name="_Toc247691503"/>
      <w:bookmarkStart w:id="13" w:name="_Toc314842484"/>
      <w:bookmarkStart w:id="14" w:name="_Toc383771035"/>
      <w:r>
        <w:t>Product background</w:t>
      </w:r>
      <w:bookmarkEnd w:id="12"/>
      <w:bookmarkEnd w:id="13"/>
      <w:bookmarkEnd w:id="14"/>
    </w:p>
    <w:p w:rsidR="00192C6D" w:rsidRPr="00192C6D" w:rsidRDefault="00192C6D" w:rsidP="00192C6D">
      <w:r w:rsidRPr="00192C6D">
        <w:t>Type I diabetes mellitus (T1DM) is a metabolic disorder characterised by pancreatic insufficiency of insulin production, resulting in hyperglycaemia and end-organ complications such as accelerated atherosclerosis, neuropathy, nephropathy, and retinopathy.</w:t>
      </w:r>
    </w:p>
    <w:p w:rsidR="00192C6D" w:rsidRPr="00192C6D" w:rsidRDefault="00192C6D" w:rsidP="00192C6D">
      <w:r w:rsidRPr="00192C6D">
        <w:t>Type 2 diabetes mellitus (T2DM) is a metabolic disorder characterised by insulin resistance and relative insulin deficiency leading to hyperglycaemia.</w:t>
      </w:r>
    </w:p>
    <w:p w:rsidR="00192C6D" w:rsidRPr="00192C6D" w:rsidRDefault="00192C6D" w:rsidP="00192C6D">
      <w:r w:rsidRPr="00192C6D">
        <w:lastRenderedPageBreak/>
        <w:t xml:space="preserve">T2DM is one of the most common chronic diseases in Australia. Its prevalence is rising. In Australia, the proportion </w:t>
      </w:r>
      <w:r w:rsidR="0051221B">
        <w:t xml:space="preserve">of </w:t>
      </w:r>
      <w:r w:rsidRPr="00192C6D">
        <w:t>people with T2DM has increased from 1.1% in 1995 to 3.3% in 2007-08 (National Health Survey data) (Australian Bureau of Statistics, 2011</w:t>
      </w:r>
      <w:r w:rsidR="0051221B" w:rsidRPr="0051221B">
        <w:rPr>
          <w:vertAlign w:val="superscript"/>
        </w:rPr>
        <w:footnoteReference w:id="1"/>
      </w:r>
      <w:r w:rsidR="001C211C">
        <w:t>)</w:t>
      </w:r>
      <w:r w:rsidRPr="00192C6D">
        <w:t>. In the same time period, 88% or 721,000 people had T2</w:t>
      </w:r>
      <w:r w:rsidR="001C211C">
        <w:t>DM</w:t>
      </w:r>
      <w:r w:rsidRPr="00192C6D">
        <w:t xml:space="preserve"> and 10% or 82,000 people had T1</w:t>
      </w:r>
      <w:r w:rsidR="001C211C">
        <w:t>DM</w:t>
      </w:r>
      <w:r w:rsidRPr="00192C6D">
        <w:t xml:space="preserve"> (2% were unclear on which type of diabetes they had) (Australian Bureau of Statistics, 2011).</w:t>
      </w:r>
    </w:p>
    <w:p w:rsidR="00640423" w:rsidRPr="00640423" w:rsidRDefault="00640423" w:rsidP="00640423">
      <w:r w:rsidRPr="00640423">
        <w:t>This is a submission to update the currently approved Australian Product Information (PI) document for the above medicine with respect to the following aspects:</w:t>
      </w:r>
    </w:p>
    <w:p w:rsidR="00640423" w:rsidRPr="00640423" w:rsidRDefault="00640423" w:rsidP="00640423">
      <w:pPr>
        <w:pStyle w:val="ListBullet"/>
      </w:pPr>
      <w:r w:rsidRPr="00640423">
        <w:rPr>
          <w:b/>
        </w:rPr>
        <w:t>Change 1</w:t>
      </w:r>
      <w:r w:rsidRPr="00640423">
        <w:t>: include clinical trials information on co-administration with liraglutide (V</w:t>
      </w:r>
      <w:r w:rsidR="001C211C">
        <w:t>ictoza</w:t>
      </w:r>
      <w:r w:rsidRPr="00640423">
        <w:t>).</w:t>
      </w:r>
    </w:p>
    <w:p w:rsidR="00640423" w:rsidRPr="00640423" w:rsidRDefault="00640423" w:rsidP="00640423">
      <w:pPr>
        <w:pStyle w:val="ListBullet"/>
      </w:pPr>
      <w:r w:rsidRPr="00640423">
        <w:rPr>
          <w:b/>
        </w:rPr>
        <w:t>Change 2</w:t>
      </w:r>
      <w:r w:rsidRPr="00640423">
        <w:t>: include longer term (24 months) safety data (antibody formation &amp; glycaemic control) for the use of L</w:t>
      </w:r>
      <w:r w:rsidR="001C211C">
        <w:t>evemir</w:t>
      </w:r>
      <w:r w:rsidRPr="00640423">
        <w:t xml:space="preserve"> in adolescents and children (2-16 years) with T1</w:t>
      </w:r>
      <w:r w:rsidR="001C211C">
        <w:t>DM</w:t>
      </w:r>
      <w:r w:rsidRPr="00640423">
        <w:t>.</w:t>
      </w:r>
    </w:p>
    <w:p w:rsidR="00640423" w:rsidRPr="00640423" w:rsidRDefault="00640423" w:rsidP="00640423">
      <w:pPr>
        <w:pStyle w:val="ListBullet"/>
      </w:pPr>
      <w:r w:rsidRPr="00640423">
        <w:rPr>
          <w:b/>
        </w:rPr>
        <w:t>Change 3</w:t>
      </w:r>
      <w:r w:rsidRPr="00640423">
        <w:t>: Allow use in pregnancy</w:t>
      </w:r>
      <w:r w:rsidR="00DC26B4">
        <w:t xml:space="preserve">, that is, </w:t>
      </w:r>
      <w:r w:rsidRPr="00640423">
        <w:t>change in Pregnancy category from current B3</w:t>
      </w:r>
      <w:r w:rsidR="009C6F5C">
        <w:rPr>
          <w:rStyle w:val="FootnoteReference"/>
        </w:rPr>
        <w:footnoteReference w:id="2"/>
      </w:r>
      <w:r w:rsidRPr="00640423">
        <w:t xml:space="preserve"> to Pregnancy category A</w:t>
      </w:r>
      <w:r w:rsidR="009C6F5C">
        <w:rPr>
          <w:rStyle w:val="FootnoteReference"/>
        </w:rPr>
        <w:footnoteReference w:id="3"/>
      </w:r>
      <w:r w:rsidRPr="00640423">
        <w:t>.</w:t>
      </w:r>
    </w:p>
    <w:p w:rsidR="00640423" w:rsidRPr="00640423" w:rsidRDefault="00640423" w:rsidP="00640423">
      <w:pPr>
        <w:pStyle w:val="ListBullet"/>
      </w:pPr>
      <w:r w:rsidRPr="00640423">
        <w:rPr>
          <w:b/>
        </w:rPr>
        <w:t>Change 4:</w:t>
      </w:r>
      <w:r w:rsidRPr="00640423">
        <w:t xml:space="preserve"> Align with the </w:t>
      </w:r>
      <w:r w:rsidR="00B34E99">
        <w:t>Core C</w:t>
      </w:r>
      <w:r w:rsidRPr="00640423">
        <w:t>ompany</w:t>
      </w:r>
      <w:r w:rsidR="00B34E99">
        <w:t xml:space="preserve"> D</w:t>
      </w:r>
      <w:r w:rsidRPr="00640423">
        <w:t>ata</w:t>
      </w:r>
      <w:r w:rsidR="00B34E99">
        <w:t xml:space="preserve"> S</w:t>
      </w:r>
      <w:r w:rsidRPr="00640423">
        <w:t>heet</w:t>
      </w:r>
      <w:r w:rsidR="00B34E99">
        <w:t>, version 12.0 (CCDS)</w:t>
      </w:r>
      <w:r w:rsidRPr="00640423">
        <w:t>, as well as various editorial changes.</w:t>
      </w:r>
    </w:p>
    <w:p w:rsidR="00640423" w:rsidRPr="00640423" w:rsidRDefault="00640423" w:rsidP="00640423">
      <w:r w:rsidRPr="00640423">
        <w:t>These data have been reviewed overseas and are currently reflected in the approved prescribing information documents in the EU (</w:t>
      </w:r>
      <w:r w:rsidR="00CA0356">
        <w:t>EMA</w:t>
      </w:r>
      <w:r w:rsidRPr="00640423">
        <w:t>) and the USA (</w:t>
      </w:r>
      <w:r w:rsidR="00CA0356">
        <w:t>FDA</w:t>
      </w:r>
      <w:r w:rsidRPr="00640423">
        <w:t>).</w:t>
      </w:r>
    </w:p>
    <w:p w:rsidR="00640423" w:rsidRPr="00640423" w:rsidRDefault="00640423" w:rsidP="00640423">
      <w:r w:rsidRPr="00640423">
        <w:t xml:space="preserve">The proposed changes 1, 2 and 4 above </w:t>
      </w:r>
      <w:r>
        <w:t xml:space="preserve">were </w:t>
      </w:r>
      <w:r w:rsidRPr="00640423">
        <w:t>negotiated with the sponsor</w:t>
      </w:r>
      <w:r>
        <w:t>.</w:t>
      </w:r>
    </w:p>
    <w:p w:rsidR="00640423" w:rsidRPr="00640423" w:rsidRDefault="00640423" w:rsidP="00640423">
      <w:r>
        <w:t xml:space="preserve">Proposed Change 3 which was to </w:t>
      </w:r>
      <w:r w:rsidRPr="00640423">
        <w:t>allow</w:t>
      </w:r>
      <w:r>
        <w:t xml:space="preserve"> </w:t>
      </w:r>
      <w:r w:rsidRPr="00640423">
        <w:t xml:space="preserve">use in pregnancy consequent with </w:t>
      </w:r>
      <w:r>
        <w:t xml:space="preserve">a </w:t>
      </w:r>
      <w:r w:rsidRPr="00640423">
        <w:t>change in Pregnancy category from current B3 to proposed category</w:t>
      </w:r>
      <w:r>
        <w:t>, was referred to the Advisory Committee for Prescription Medicines (ACPM )for their advice</w:t>
      </w:r>
      <w:r w:rsidRPr="00640423">
        <w:t>.</w:t>
      </w:r>
    </w:p>
    <w:p w:rsidR="00640423" w:rsidRDefault="00640423" w:rsidP="00640423">
      <w:r>
        <w:t>T</w:t>
      </w:r>
      <w:r w:rsidRPr="00640423">
        <w:t>he currently approved indication for L</w:t>
      </w:r>
      <w:r w:rsidR="001C211C">
        <w:t xml:space="preserve">evemir </w:t>
      </w:r>
      <w:r w:rsidRPr="00640423">
        <w:t>is</w:t>
      </w:r>
      <w:r>
        <w:t>:</w:t>
      </w:r>
    </w:p>
    <w:p w:rsidR="00640423" w:rsidRDefault="00640423" w:rsidP="00640423">
      <w:pPr>
        <w:ind w:firstLine="720"/>
      </w:pPr>
      <w:r w:rsidRPr="00640423">
        <w:rPr>
          <w:i/>
        </w:rPr>
        <w:t>Treatment of diabetes mellitus</w:t>
      </w:r>
      <w:r w:rsidRPr="00640423">
        <w:t xml:space="preserve"> </w:t>
      </w:r>
    </w:p>
    <w:p w:rsidR="00640423" w:rsidRPr="00640423" w:rsidRDefault="00640423" w:rsidP="00640423">
      <w:r w:rsidRPr="00640423">
        <w:t>This submission does not involve any change to the currently approved indication, population, drug formulation or dosage form.</w:t>
      </w:r>
    </w:p>
    <w:p w:rsidR="008E7846" w:rsidRPr="003F31A2" w:rsidRDefault="00386150" w:rsidP="008E7846">
      <w:pPr>
        <w:pStyle w:val="Heading3"/>
      </w:pPr>
      <w:bookmarkStart w:id="15" w:name="_Toc314842485"/>
      <w:bookmarkStart w:id="16" w:name="_Toc383771036"/>
      <w:bookmarkStart w:id="17" w:name="_Toc247691504"/>
      <w:r>
        <w:t>Regulatory s</w:t>
      </w:r>
      <w:r w:rsidR="008E7846">
        <w:t>tatus</w:t>
      </w:r>
      <w:bookmarkEnd w:id="15"/>
      <w:bookmarkEnd w:id="16"/>
      <w:r w:rsidR="008E7846">
        <w:t xml:space="preserve"> </w:t>
      </w:r>
      <w:bookmarkEnd w:id="17"/>
    </w:p>
    <w:p w:rsidR="001C211C" w:rsidRDefault="008E7846" w:rsidP="004A7AEC">
      <w:r>
        <w:t>The product received initial ARTG Registration on</w:t>
      </w:r>
      <w:r w:rsidR="001C211C">
        <w:t xml:space="preserve"> 9 September 2011.</w:t>
      </w:r>
    </w:p>
    <w:p w:rsidR="004A7AEC" w:rsidRPr="004A7AEC" w:rsidRDefault="004A7AEC" w:rsidP="004A7AEC">
      <w:r w:rsidRPr="004A7AEC">
        <w:t>Applications for have been submitted or approved in several jurisdictions The sponsor has provided four tables to indicate the overseas registration status in regard to the four changes proposed for the Australian market (listed in Table 1</w:t>
      </w:r>
      <w:r>
        <w:t>)</w:t>
      </w:r>
      <w:r w:rsidRPr="004A7AEC">
        <w:t>.</w:t>
      </w:r>
    </w:p>
    <w:p w:rsidR="002E4CB8" w:rsidRPr="002E4CB8" w:rsidRDefault="002F01E8" w:rsidP="002F01E8">
      <w:pPr>
        <w:pStyle w:val="TableTitle"/>
        <w:keepLines/>
      </w:pPr>
      <w:r>
        <w:lastRenderedPageBreak/>
        <w:t xml:space="preserve">Table 1: International regulatory status </w:t>
      </w:r>
    </w:p>
    <w:tbl>
      <w:tblPr>
        <w:tblStyle w:val="TableTGAblue"/>
        <w:tblW w:w="0" w:type="auto"/>
        <w:tblLook w:val="04A0" w:firstRow="1" w:lastRow="0" w:firstColumn="1" w:lastColumn="0" w:noHBand="0" w:noVBand="1"/>
      </w:tblPr>
      <w:tblGrid>
        <w:gridCol w:w="1692"/>
        <w:gridCol w:w="1758"/>
        <w:gridCol w:w="1754"/>
        <w:gridCol w:w="1758"/>
        <w:gridCol w:w="1758"/>
      </w:tblGrid>
      <w:tr w:rsidR="002E4CB8" w:rsidTr="006827B3">
        <w:trPr>
          <w:cnfStyle w:val="100000000000" w:firstRow="1" w:lastRow="0" w:firstColumn="0" w:lastColumn="0" w:oddVBand="0" w:evenVBand="0" w:oddHBand="0" w:evenHBand="0" w:firstRowFirstColumn="0" w:firstRowLastColumn="0" w:lastRowFirstColumn="0" w:lastRowLastColumn="0"/>
        </w:trPr>
        <w:tc>
          <w:tcPr>
            <w:tcW w:w="1692" w:type="dxa"/>
          </w:tcPr>
          <w:p w:rsidR="002E4CB8" w:rsidRPr="006827B3" w:rsidRDefault="002E4CB8" w:rsidP="002F01E8">
            <w:pPr>
              <w:keepLines/>
              <w:rPr>
                <w:sz w:val="18"/>
                <w:szCs w:val="18"/>
              </w:rPr>
            </w:pPr>
            <w:r w:rsidRPr="006827B3">
              <w:rPr>
                <w:sz w:val="18"/>
                <w:szCs w:val="18"/>
              </w:rPr>
              <w:t>Country</w:t>
            </w:r>
          </w:p>
        </w:tc>
        <w:tc>
          <w:tcPr>
            <w:tcW w:w="1758" w:type="dxa"/>
          </w:tcPr>
          <w:p w:rsidR="002E4CB8" w:rsidRPr="006827B3" w:rsidRDefault="002E4CB8" w:rsidP="002F01E8">
            <w:pPr>
              <w:keepLines/>
              <w:rPr>
                <w:sz w:val="18"/>
                <w:szCs w:val="18"/>
              </w:rPr>
            </w:pPr>
            <w:r w:rsidRPr="006827B3">
              <w:rPr>
                <w:sz w:val="18"/>
                <w:szCs w:val="18"/>
              </w:rPr>
              <w:t>Use of Levemir with liraglutide</w:t>
            </w:r>
          </w:p>
        </w:tc>
        <w:tc>
          <w:tcPr>
            <w:tcW w:w="1754" w:type="dxa"/>
          </w:tcPr>
          <w:p w:rsidR="002E4CB8" w:rsidRPr="006827B3" w:rsidRDefault="002E4CB8" w:rsidP="002F01E8">
            <w:pPr>
              <w:keepLines/>
              <w:rPr>
                <w:sz w:val="18"/>
                <w:szCs w:val="18"/>
              </w:rPr>
            </w:pPr>
            <w:r w:rsidRPr="006827B3">
              <w:rPr>
                <w:sz w:val="18"/>
                <w:szCs w:val="18"/>
              </w:rPr>
              <w:t>Paediatric  safety data for Type 1 diabetes</w:t>
            </w:r>
          </w:p>
        </w:tc>
        <w:tc>
          <w:tcPr>
            <w:tcW w:w="1758" w:type="dxa"/>
          </w:tcPr>
          <w:p w:rsidR="002E4CB8" w:rsidRPr="006827B3" w:rsidRDefault="002E4CB8" w:rsidP="002F01E8">
            <w:pPr>
              <w:keepLines/>
              <w:rPr>
                <w:sz w:val="18"/>
                <w:szCs w:val="18"/>
              </w:rPr>
            </w:pPr>
            <w:r w:rsidRPr="006827B3">
              <w:rPr>
                <w:sz w:val="18"/>
                <w:szCs w:val="18"/>
              </w:rPr>
              <w:t>Use of Levemir in pregnancy</w:t>
            </w:r>
          </w:p>
        </w:tc>
        <w:tc>
          <w:tcPr>
            <w:tcW w:w="1758" w:type="dxa"/>
          </w:tcPr>
          <w:p w:rsidR="002E4CB8" w:rsidRPr="006827B3" w:rsidRDefault="002E4CB8" w:rsidP="002F01E8">
            <w:pPr>
              <w:keepLines/>
              <w:rPr>
                <w:sz w:val="18"/>
                <w:szCs w:val="18"/>
              </w:rPr>
            </w:pPr>
            <w:r w:rsidRPr="006827B3">
              <w:rPr>
                <w:sz w:val="18"/>
                <w:szCs w:val="18"/>
              </w:rPr>
              <w:t>Alignment with the sponsor’s CCDS</w:t>
            </w:r>
          </w:p>
        </w:tc>
      </w:tr>
      <w:tr w:rsidR="002E4CB8" w:rsidTr="006827B3">
        <w:tc>
          <w:tcPr>
            <w:tcW w:w="1692" w:type="dxa"/>
          </w:tcPr>
          <w:p w:rsidR="002E4CB8" w:rsidRPr="006827B3" w:rsidRDefault="002E4CB8" w:rsidP="002F01E8">
            <w:pPr>
              <w:keepNext/>
              <w:keepLines/>
              <w:spacing w:before="0" w:after="0"/>
              <w:ind w:left="57" w:right="57"/>
              <w:rPr>
                <w:b/>
                <w:sz w:val="18"/>
                <w:szCs w:val="18"/>
              </w:rPr>
            </w:pPr>
            <w:r w:rsidRPr="006827B3">
              <w:rPr>
                <w:b/>
                <w:sz w:val="18"/>
                <w:szCs w:val="18"/>
              </w:rPr>
              <w:t>European Union (EU)</w:t>
            </w:r>
          </w:p>
        </w:tc>
        <w:tc>
          <w:tcPr>
            <w:tcW w:w="1758" w:type="dxa"/>
          </w:tcPr>
          <w:p w:rsidR="002E4CB8" w:rsidRPr="006827B3" w:rsidRDefault="002E4CB8" w:rsidP="002A0637">
            <w:pPr>
              <w:keepNext/>
              <w:keepLines/>
              <w:spacing w:before="0"/>
              <w:ind w:left="57" w:right="57"/>
              <w:rPr>
                <w:sz w:val="18"/>
                <w:szCs w:val="18"/>
              </w:rPr>
            </w:pPr>
            <w:r w:rsidRPr="006827B3">
              <w:rPr>
                <w:b/>
                <w:sz w:val="18"/>
                <w:szCs w:val="18"/>
              </w:rPr>
              <w:t>Approval:</w:t>
            </w:r>
            <w:r w:rsidRPr="006827B3">
              <w:rPr>
                <w:sz w:val="18"/>
                <w:szCs w:val="18"/>
              </w:rPr>
              <w:t xml:space="preserve"> 24-10-2011</w:t>
            </w:r>
          </w:p>
          <w:p w:rsidR="002E4CB8" w:rsidRPr="006827B3" w:rsidRDefault="002E4CB8" w:rsidP="002A0637">
            <w:pPr>
              <w:keepNext/>
              <w:keepLines/>
              <w:spacing w:before="0"/>
              <w:ind w:left="57" w:right="57"/>
              <w:rPr>
                <w:sz w:val="18"/>
                <w:szCs w:val="18"/>
              </w:rPr>
            </w:pPr>
            <w:r w:rsidRPr="006827B3">
              <w:rPr>
                <w:sz w:val="18"/>
                <w:szCs w:val="18"/>
              </w:rPr>
              <w:t>Levemir as an add-on to Victoza.</w:t>
            </w:r>
          </w:p>
          <w:p w:rsidR="002E4CB8" w:rsidRPr="006827B3" w:rsidRDefault="006827B3" w:rsidP="002A0637">
            <w:pPr>
              <w:keepNext/>
              <w:keepLines/>
              <w:spacing w:before="0"/>
              <w:ind w:left="57" w:right="57"/>
              <w:rPr>
                <w:sz w:val="18"/>
                <w:szCs w:val="18"/>
              </w:rPr>
            </w:pPr>
            <w:r w:rsidRPr="006827B3">
              <w:rPr>
                <w:b/>
                <w:sz w:val="18"/>
                <w:szCs w:val="18"/>
              </w:rPr>
              <w:t>I</w:t>
            </w:r>
            <w:r w:rsidR="002E4CB8" w:rsidRPr="006827B3">
              <w:rPr>
                <w:b/>
                <w:sz w:val="18"/>
                <w:szCs w:val="18"/>
              </w:rPr>
              <w:t>ndications:</w:t>
            </w:r>
            <w:r w:rsidR="002E4CB8" w:rsidRPr="006827B3">
              <w:rPr>
                <w:sz w:val="18"/>
                <w:szCs w:val="18"/>
              </w:rPr>
              <w:t xml:space="preserve"> Treatment of diabetes mellitus in adults, adolescents and children aged 2 years and above.</w:t>
            </w:r>
          </w:p>
        </w:tc>
        <w:tc>
          <w:tcPr>
            <w:tcW w:w="1754" w:type="dxa"/>
          </w:tcPr>
          <w:p w:rsidR="002E4CB8" w:rsidRPr="006827B3" w:rsidRDefault="002E4CB8"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sz w:val="18"/>
                <w:szCs w:val="18"/>
              </w:rPr>
              <w:t xml:space="preserve">  14-10-2011</w:t>
            </w:r>
          </w:p>
          <w:p w:rsidR="002E4CB8" w:rsidRPr="006827B3" w:rsidRDefault="006827B3" w:rsidP="002A0637">
            <w:pPr>
              <w:keepNext/>
              <w:keepLines/>
              <w:spacing w:before="0"/>
              <w:ind w:left="57" w:right="57"/>
              <w:rPr>
                <w:sz w:val="18"/>
                <w:szCs w:val="18"/>
              </w:rPr>
            </w:pPr>
            <w:r w:rsidRPr="006827B3">
              <w:rPr>
                <w:b/>
                <w:sz w:val="18"/>
                <w:szCs w:val="18"/>
              </w:rPr>
              <w:t>I</w:t>
            </w:r>
            <w:r w:rsidR="002E4CB8" w:rsidRPr="006827B3">
              <w:rPr>
                <w:b/>
                <w:sz w:val="18"/>
                <w:szCs w:val="18"/>
              </w:rPr>
              <w:t>ndications</w:t>
            </w:r>
            <w:r w:rsidR="002E4CB8" w:rsidRPr="006827B3">
              <w:rPr>
                <w:sz w:val="18"/>
                <w:szCs w:val="18"/>
              </w:rPr>
              <w:t>: Treatment of diabetes mellitus in adults, adolescents and children aged 2 years and above.</w:t>
            </w:r>
          </w:p>
        </w:tc>
        <w:tc>
          <w:tcPr>
            <w:tcW w:w="1758" w:type="dxa"/>
          </w:tcPr>
          <w:p w:rsidR="002E4CB8" w:rsidRPr="006827B3" w:rsidRDefault="002E4CB8"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b/>
                <w:sz w:val="18"/>
                <w:szCs w:val="18"/>
              </w:rPr>
              <w:t>:</w:t>
            </w:r>
            <w:r w:rsidRPr="006827B3">
              <w:rPr>
                <w:sz w:val="18"/>
                <w:szCs w:val="18"/>
              </w:rPr>
              <w:t xml:space="preserve">    19-12-2011</w:t>
            </w:r>
          </w:p>
          <w:p w:rsidR="002E4CB8" w:rsidRPr="006827B3" w:rsidRDefault="006827B3" w:rsidP="002A0637">
            <w:pPr>
              <w:keepNext/>
              <w:keepLines/>
              <w:spacing w:before="0"/>
              <w:ind w:left="57" w:right="57"/>
              <w:rPr>
                <w:sz w:val="18"/>
                <w:szCs w:val="18"/>
              </w:rPr>
            </w:pPr>
            <w:r w:rsidRPr="006827B3">
              <w:rPr>
                <w:b/>
                <w:sz w:val="18"/>
                <w:szCs w:val="18"/>
              </w:rPr>
              <w:t>I</w:t>
            </w:r>
            <w:r w:rsidR="002E4CB8" w:rsidRPr="006827B3">
              <w:rPr>
                <w:b/>
                <w:sz w:val="18"/>
                <w:szCs w:val="18"/>
              </w:rPr>
              <w:t>ndications:</w:t>
            </w:r>
            <w:r w:rsidR="002E4CB8" w:rsidRPr="006827B3">
              <w:rPr>
                <w:sz w:val="18"/>
                <w:szCs w:val="18"/>
              </w:rPr>
              <w:t xml:space="preserve"> Treatment of diabetes mellitus in adults, adolescents and children aged 2 years and above.</w:t>
            </w:r>
          </w:p>
        </w:tc>
        <w:tc>
          <w:tcPr>
            <w:tcW w:w="1758" w:type="dxa"/>
          </w:tcPr>
          <w:p w:rsidR="002E4CB8" w:rsidRPr="006827B3" w:rsidRDefault="002E4CB8"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b/>
                <w:sz w:val="18"/>
                <w:szCs w:val="18"/>
              </w:rPr>
              <w:t xml:space="preserve">:  </w:t>
            </w:r>
            <w:r w:rsidRPr="006827B3">
              <w:rPr>
                <w:sz w:val="18"/>
                <w:szCs w:val="18"/>
              </w:rPr>
              <w:t>19-12-2011</w:t>
            </w:r>
          </w:p>
          <w:p w:rsidR="002E4CB8" w:rsidRPr="006827B3" w:rsidRDefault="006827B3" w:rsidP="002A0637">
            <w:pPr>
              <w:keepNext/>
              <w:keepLines/>
              <w:spacing w:before="0"/>
              <w:ind w:left="57" w:right="57"/>
              <w:rPr>
                <w:sz w:val="18"/>
                <w:szCs w:val="18"/>
              </w:rPr>
            </w:pPr>
            <w:r w:rsidRPr="006827B3">
              <w:rPr>
                <w:b/>
                <w:sz w:val="18"/>
                <w:szCs w:val="18"/>
              </w:rPr>
              <w:t>I</w:t>
            </w:r>
            <w:r w:rsidR="002E4CB8" w:rsidRPr="006827B3">
              <w:rPr>
                <w:b/>
                <w:sz w:val="18"/>
                <w:szCs w:val="18"/>
              </w:rPr>
              <w:t>ndications:</w:t>
            </w:r>
            <w:r w:rsidR="002E4CB8" w:rsidRPr="006827B3">
              <w:rPr>
                <w:sz w:val="18"/>
                <w:szCs w:val="18"/>
              </w:rPr>
              <w:t xml:space="preserve"> Treatment of diabetes mellitus in adults, adolescents and children aged 2 years and above.</w:t>
            </w:r>
          </w:p>
        </w:tc>
      </w:tr>
      <w:tr w:rsidR="002E4CB8" w:rsidTr="006827B3">
        <w:tc>
          <w:tcPr>
            <w:tcW w:w="1692" w:type="dxa"/>
          </w:tcPr>
          <w:p w:rsidR="002E4CB8" w:rsidRPr="006827B3" w:rsidRDefault="002E4CB8" w:rsidP="002F01E8">
            <w:pPr>
              <w:keepNext/>
              <w:keepLines/>
              <w:spacing w:before="0" w:after="0"/>
              <w:ind w:left="57" w:right="57"/>
              <w:rPr>
                <w:b/>
                <w:sz w:val="18"/>
                <w:szCs w:val="18"/>
              </w:rPr>
            </w:pPr>
            <w:r w:rsidRPr="006827B3">
              <w:rPr>
                <w:b/>
                <w:sz w:val="18"/>
                <w:szCs w:val="18"/>
              </w:rPr>
              <w:t>United States of America</w:t>
            </w:r>
          </w:p>
        </w:tc>
        <w:tc>
          <w:tcPr>
            <w:tcW w:w="1758" w:type="dxa"/>
          </w:tcPr>
          <w:p w:rsidR="002E4CB8" w:rsidRPr="006827B3" w:rsidRDefault="002E4CB8"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sz w:val="18"/>
                <w:szCs w:val="18"/>
              </w:rPr>
              <w:t>:   27-14-2012</w:t>
            </w:r>
          </w:p>
          <w:p w:rsidR="002E4CB8" w:rsidRPr="006827B3" w:rsidRDefault="002E4CB8" w:rsidP="002A0637">
            <w:pPr>
              <w:keepNext/>
              <w:keepLines/>
              <w:spacing w:before="0"/>
              <w:ind w:left="57" w:right="57"/>
              <w:rPr>
                <w:sz w:val="18"/>
                <w:szCs w:val="18"/>
              </w:rPr>
            </w:pPr>
            <w:r w:rsidRPr="006827B3">
              <w:rPr>
                <w:sz w:val="18"/>
                <w:szCs w:val="18"/>
              </w:rPr>
              <w:t>Levemir in combination with GLP-1.</w:t>
            </w:r>
          </w:p>
          <w:p w:rsidR="002E4CB8" w:rsidRPr="006827B3" w:rsidRDefault="002E4CB8" w:rsidP="002A0637">
            <w:pPr>
              <w:keepNext/>
              <w:keepLines/>
              <w:spacing w:before="0"/>
              <w:ind w:left="57" w:right="57"/>
              <w:rPr>
                <w:sz w:val="18"/>
                <w:szCs w:val="18"/>
              </w:rPr>
            </w:pPr>
            <w:r w:rsidRPr="006827B3">
              <w:rPr>
                <w:b/>
                <w:sz w:val="18"/>
                <w:szCs w:val="18"/>
              </w:rPr>
              <w:t>Indications and usage:</w:t>
            </w:r>
            <w:r w:rsidRPr="006827B3">
              <w:rPr>
                <w:sz w:val="18"/>
                <w:szCs w:val="18"/>
              </w:rPr>
              <w:t xml:space="preserve"> Levemir is indicated to improved glycaemic </w:t>
            </w:r>
            <w:r w:rsidR="006827B3" w:rsidRPr="006827B3">
              <w:rPr>
                <w:sz w:val="18"/>
                <w:szCs w:val="18"/>
              </w:rPr>
              <w:t>control in adults and children with diabetes mellitus.</w:t>
            </w:r>
            <w:r w:rsidRPr="006827B3">
              <w:rPr>
                <w:sz w:val="18"/>
                <w:szCs w:val="18"/>
              </w:rPr>
              <w:t xml:space="preserve"> </w:t>
            </w:r>
          </w:p>
        </w:tc>
        <w:tc>
          <w:tcPr>
            <w:tcW w:w="1754" w:type="dxa"/>
          </w:tcPr>
          <w:p w:rsidR="002E4CB8" w:rsidRPr="006827B3" w:rsidRDefault="006827B3"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b/>
                <w:sz w:val="18"/>
                <w:szCs w:val="18"/>
              </w:rPr>
              <w:t>:</w:t>
            </w:r>
            <w:r w:rsidRPr="006827B3">
              <w:rPr>
                <w:sz w:val="18"/>
                <w:szCs w:val="18"/>
              </w:rPr>
              <w:t xml:space="preserve">   18-05-2012</w:t>
            </w:r>
          </w:p>
          <w:p w:rsidR="006827B3" w:rsidRPr="006827B3" w:rsidRDefault="006827B3" w:rsidP="002A0637">
            <w:pPr>
              <w:keepNext/>
              <w:keepLines/>
              <w:spacing w:before="0"/>
              <w:ind w:left="57" w:right="57"/>
              <w:rPr>
                <w:sz w:val="18"/>
                <w:szCs w:val="18"/>
              </w:rPr>
            </w:pPr>
            <w:r w:rsidRPr="006827B3">
              <w:rPr>
                <w:b/>
                <w:sz w:val="18"/>
                <w:szCs w:val="18"/>
              </w:rPr>
              <w:t>Indications and usage:</w:t>
            </w:r>
            <w:r w:rsidRPr="006827B3">
              <w:rPr>
                <w:sz w:val="18"/>
                <w:szCs w:val="18"/>
              </w:rPr>
              <w:t xml:space="preserve"> Levemir is indicated to improved glycaemic control in adults and children with diabetes mellitus.</w:t>
            </w:r>
          </w:p>
        </w:tc>
        <w:tc>
          <w:tcPr>
            <w:tcW w:w="1758" w:type="dxa"/>
          </w:tcPr>
          <w:p w:rsidR="002E4CB8" w:rsidRPr="006827B3" w:rsidRDefault="006827B3"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sz w:val="18"/>
                <w:szCs w:val="18"/>
              </w:rPr>
              <w:t>:   29-03-2012</w:t>
            </w:r>
          </w:p>
          <w:p w:rsidR="006827B3" w:rsidRPr="006827B3" w:rsidRDefault="006827B3" w:rsidP="002A0637">
            <w:pPr>
              <w:keepNext/>
              <w:keepLines/>
              <w:spacing w:before="0"/>
              <w:ind w:left="57" w:right="57"/>
              <w:rPr>
                <w:sz w:val="18"/>
                <w:szCs w:val="18"/>
              </w:rPr>
            </w:pPr>
            <w:r w:rsidRPr="006827B3">
              <w:rPr>
                <w:b/>
                <w:sz w:val="18"/>
                <w:szCs w:val="18"/>
              </w:rPr>
              <w:t>Indications and usage:</w:t>
            </w:r>
            <w:r w:rsidRPr="006827B3">
              <w:rPr>
                <w:sz w:val="18"/>
                <w:szCs w:val="18"/>
              </w:rPr>
              <w:t xml:space="preserve"> Levemir is indicated to improved glycaemic control in adults and children with diabetes mellitus.</w:t>
            </w:r>
          </w:p>
        </w:tc>
        <w:tc>
          <w:tcPr>
            <w:tcW w:w="1758" w:type="dxa"/>
          </w:tcPr>
          <w:p w:rsidR="002E4CB8" w:rsidRPr="006827B3" w:rsidRDefault="006827B3"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sz w:val="18"/>
                <w:szCs w:val="18"/>
              </w:rPr>
              <w:t>:  18-04-2012</w:t>
            </w:r>
          </w:p>
          <w:p w:rsidR="006827B3" w:rsidRPr="006827B3" w:rsidRDefault="006827B3" w:rsidP="002A0637">
            <w:pPr>
              <w:keepNext/>
              <w:keepLines/>
              <w:spacing w:before="0"/>
              <w:ind w:left="57" w:right="57"/>
              <w:rPr>
                <w:sz w:val="18"/>
                <w:szCs w:val="18"/>
              </w:rPr>
            </w:pPr>
            <w:r w:rsidRPr="006827B3">
              <w:rPr>
                <w:b/>
                <w:sz w:val="18"/>
                <w:szCs w:val="18"/>
              </w:rPr>
              <w:t>Indications and usage</w:t>
            </w:r>
            <w:r w:rsidRPr="006827B3">
              <w:rPr>
                <w:sz w:val="18"/>
                <w:szCs w:val="18"/>
              </w:rPr>
              <w:t>: Levemir is indicated to improved glycaemic control in adults and children with diabetes mellitus.</w:t>
            </w:r>
          </w:p>
        </w:tc>
      </w:tr>
      <w:tr w:rsidR="002E4CB8" w:rsidTr="006827B3">
        <w:tc>
          <w:tcPr>
            <w:tcW w:w="1692" w:type="dxa"/>
          </w:tcPr>
          <w:p w:rsidR="002E4CB8" w:rsidRPr="006827B3" w:rsidRDefault="006827B3" w:rsidP="002F01E8">
            <w:pPr>
              <w:keepNext/>
              <w:keepLines/>
              <w:spacing w:before="0" w:after="0"/>
              <w:ind w:left="57" w:right="57"/>
              <w:rPr>
                <w:b/>
                <w:sz w:val="18"/>
                <w:szCs w:val="18"/>
              </w:rPr>
            </w:pPr>
            <w:r w:rsidRPr="006827B3">
              <w:rPr>
                <w:b/>
                <w:sz w:val="18"/>
                <w:szCs w:val="18"/>
              </w:rPr>
              <w:t>Canada</w:t>
            </w:r>
          </w:p>
        </w:tc>
        <w:tc>
          <w:tcPr>
            <w:tcW w:w="1758" w:type="dxa"/>
          </w:tcPr>
          <w:p w:rsidR="002E4CB8" w:rsidRPr="006827B3" w:rsidRDefault="006827B3" w:rsidP="002A0637">
            <w:pPr>
              <w:keepNext/>
              <w:keepLines/>
              <w:spacing w:before="0"/>
              <w:ind w:left="57" w:right="57"/>
              <w:rPr>
                <w:sz w:val="18"/>
                <w:szCs w:val="18"/>
              </w:rPr>
            </w:pPr>
            <w:r w:rsidRPr="006827B3">
              <w:rPr>
                <w:sz w:val="18"/>
                <w:szCs w:val="18"/>
              </w:rPr>
              <w:t>N/A</w:t>
            </w:r>
          </w:p>
        </w:tc>
        <w:tc>
          <w:tcPr>
            <w:tcW w:w="1754" w:type="dxa"/>
          </w:tcPr>
          <w:p w:rsidR="002E4CB8" w:rsidRPr="006827B3" w:rsidRDefault="006827B3" w:rsidP="002A0637">
            <w:pPr>
              <w:keepNext/>
              <w:keepLines/>
              <w:spacing w:before="0"/>
              <w:ind w:left="57" w:right="57"/>
              <w:rPr>
                <w:sz w:val="18"/>
                <w:szCs w:val="18"/>
              </w:rPr>
            </w:pPr>
            <w:r w:rsidRPr="006827B3">
              <w:rPr>
                <w:sz w:val="18"/>
                <w:szCs w:val="18"/>
              </w:rPr>
              <w:t>N/A</w:t>
            </w:r>
          </w:p>
        </w:tc>
        <w:tc>
          <w:tcPr>
            <w:tcW w:w="1758" w:type="dxa"/>
          </w:tcPr>
          <w:p w:rsidR="002E4CB8" w:rsidRPr="006827B3" w:rsidRDefault="002F01E8" w:rsidP="002A0637">
            <w:pPr>
              <w:keepNext/>
              <w:keepLines/>
              <w:spacing w:before="0"/>
              <w:ind w:left="57" w:right="57"/>
              <w:rPr>
                <w:sz w:val="18"/>
                <w:szCs w:val="18"/>
              </w:rPr>
            </w:pPr>
            <w:r>
              <w:rPr>
                <w:sz w:val="18"/>
                <w:szCs w:val="18"/>
              </w:rPr>
              <w:t>N/A</w:t>
            </w:r>
          </w:p>
        </w:tc>
        <w:tc>
          <w:tcPr>
            <w:tcW w:w="1758" w:type="dxa"/>
          </w:tcPr>
          <w:p w:rsidR="002E4CB8" w:rsidRPr="006827B3" w:rsidRDefault="002F01E8" w:rsidP="002A0637">
            <w:pPr>
              <w:keepNext/>
              <w:keepLines/>
              <w:spacing w:before="0"/>
              <w:ind w:left="57" w:right="57"/>
              <w:rPr>
                <w:sz w:val="18"/>
                <w:szCs w:val="18"/>
              </w:rPr>
            </w:pPr>
            <w:r>
              <w:rPr>
                <w:sz w:val="18"/>
                <w:szCs w:val="18"/>
              </w:rPr>
              <w:t>N/A</w:t>
            </w:r>
          </w:p>
        </w:tc>
      </w:tr>
      <w:tr w:rsidR="002E4CB8" w:rsidTr="006827B3">
        <w:tc>
          <w:tcPr>
            <w:tcW w:w="1692" w:type="dxa"/>
          </w:tcPr>
          <w:p w:rsidR="002E4CB8" w:rsidRPr="006827B3" w:rsidRDefault="006827B3" w:rsidP="002F01E8">
            <w:pPr>
              <w:keepNext/>
              <w:keepLines/>
              <w:spacing w:before="0" w:after="0"/>
              <w:ind w:left="57" w:right="57"/>
              <w:rPr>
                <w:b/>
                <w:sz w:val="18"/>
                <w:szCs w:val="18"/>
              </w:rPr>
            </w:pPr>
            <w:r w:rsidRPr="006827B3">
              <w:rPr>
                <w:b/>
                <w:sz w:val="18"/>
                <w:szCs w:val="18"/>
              </w:rPr>
              <w:t>Switzerland</w:t>
            </w:r>
          </w:p>
        </w:tc>
        <w:tc>
          <w:tcPr>
            <w:tcW w:w="1758" w:type="dxa"/>
          </w:tcPr>
          <w:p w:rsidR="002E4CB8" w:rsidRPr="006827B3" w:rsidRDefault="006827B3" w:rsidP="002A0637">
            <w:pPr>
              <w:keepNext/>
              <w:keepLines/>
              <w:spacing w:before="0"/>
              <w:ind w:left="57" w:right="57"/>
              <w:rPr>
                <w:sz w:val="18"/>
                <w:szCs w:val="18"/>
              </w:rPr>
            </w:pPr>
            <w:r w:rsidRPr="006827B3">
              <w:rPr>
                <w:sz w:val="18"/>
                <w:szCs w:val="18"/>
              </w:rPr>
              <w:t>N/A</w:t>
            </w:r>
          </w:p>
        </w:tc>
        <w:tc>
          <w:tcPr>
            <w:tcW w:w="1754" w:type="dxa"/>
          </w:tcPr>
          <w:p w:rsidR="002E4CB8" w:rsidRPr="006827B3" w:rsidRDefault="006827B3"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b/>
                <w:sz w:val="18"/>
                <w:szCs w:val="18"/>
              </w:rPr>
              <w:t>:</w:t>
            </w:r>
            <w:r w:rsidRPr="006827B3">
              <w:rPr>
                <w:sz w:val="18"/>
                <w:szCs w:val="18"/>
              </w:rPr>
              <w:t xml:space="preserve">  28-04-2011</w:t>
            </w:r>
          </w:p>
          <w:p w:rsidR="006827B3" w:rsidRPr="006827B3" w:rsidRDefault="006827B3" w:rsidP="002A0637">
            <w:pPr>
              <w:keepNext/>
              <w:keepLines/>
              <w:spacing w:before="0"/>
              <w:ind w:left="57" w:right="57"/>
              <w:rPr>
                <w:sz w:val="18"/>
                <w:szCs w:val="18"/>
              </w:rPr>
            </w:pPr>
            <w:r w:rsidRPr="006827B3">
              <w:rPr>
                <w:b/>
                <w:sz w:val="18"/>
                <w:szCs w:val="18"/>
              </w:rPr>
              <w:t>Indications</w:t>
            </w:r>
            <w:r w:rsidRPr="006827B3">
              <w:rPr>
                <w:sz w:val="18"/>
                <w:szCs w:val="18"/>
              </w:rPr>
              <w:t xml:space="preserve">: Diabetes mellitus in adults, adolescents and children age 2 years if insulin treatment is necessary. </w:t>
            </w:r>
          </w:p>
        </w:tc>
        <w:tc>
          <w:tcPr>
            <w:tcW w:w="1758" w:type="dxa"/>
          </w:tcPr>
          <w:p w:rsidR="002E4CB8" w:rsidRPr="006827B3" w:rsidRDefault="006827B3" w:rsidP="002A0637">
            <w:pPr>
              <w:keepNext/>
              <w:keepLines/>
              <w:spacing w:before="0"/>
              <w:ind w:left="57" w:right="57"/>
              <w:rPr>
                <w:sz w:val="18"/>
                <w:szCs w:val="18"/>
              </w:rPr>
            </w:pPr>
            <w:r w:rsidRPr="006827B3">
              <w:rPr>
                <w:sz w:val="18"/>
                <w:szCs w:val="18"/>
              </w:rPr>
              <w:t>N/A</w:t>
            </w:r>
          </w:p>
        </w:tc>
        <w:tc>
          <w:tcPr>
            <w:tcW w:w="1758" w:type="dxa"/>
          </w:tcPr>
          <w:p w:rsidR="002E4CB8" w:rsidRPr="006827B3" w:rsidRDefault="006827B3" w:rsidP="002A0637">
            <w:pPr>
              <w:keepNext/>
              <w:keepLines/>
              <w:spacing w:before="0"/>
              <w:ind w:left="57" w:right="57"/>
              <w:rPr>
                <w:sz w:val="18"/>
                <w:szCs w:val="18"/>
              </w:rPr>
            </w:pPr>
            <w:r w:rsidRPr="006827B3">
              <w:rPr>
                <w:b/>
                <w:sz w:val="18"/>
                <w:szCs w:val="18"/>
              </w:rPr>
              <w:t>Approval</w:t>
            </w:r>
            <w:r w:rsidR="002F01E8">
              <w:rPr>
                <w:b/>
                <w:sz w:val="18"/>
                <w:szCs w:val="18"/>
              </w:rPr>
              <w:t xml:space="preserve"> Date</w:t>
            </w:r>
            <w:r w:rsidRPr="006827B3">
              <w:rPr>
                <w:sz w:val="18"/>
                <w:szCs w:val="18"/>
              </w:rPr>
              <w:t>:  18/04/2012</w:t>
            </w:r>
          </w:p>
          <w:p w:rsidR="006827B3" w:rsidRPr="006827B3" w:rsidRDefault="006827B3" w:rsidP="002A0637">
            <w:pPr>
              <w:keepNext/>
              <w:keepLines/>
              <w:spacing w:before="0"/>
              <w:ind w:left="57" w:right="57"/>
              <w:rPr>
                <w:sz w:val="18"/>
                <w:szCs w:val="18"/>
              </w:rPr>
            </w:pPr>
            <w:r w:rsidRPr="006827B3">
              <w:rPr>
                <w:b/>
                <w:sz w:val="18"/>
                <w:szCs w:val="18"/>
              </w:rPr>
              <w:t>Indications:</w:t>
            </w:r>
            <w:r w:rsidRPr="006827B3">
              <w:rPr>
                <w:sz w:val="18"/>
                <w:szCs w:val="18"/>
              </w:rPr>
              <w:t xml:space="preserve"> Diabetes mellitus in adults, adolescents and children age 2 years if insulin treatment is necessary.</w:t>
            </w:r>
          </w:p>
        </w:tc>
      </w:tr>
    </w:tbl>
    <w:p w:rsidR="008E7846" w:rsidRDefault="008E7846" w:rsidP="004A7AEC">
      <w:pPr>
        <w:pStyle w:val="Heading3"/>
      </w:pPr>
      <w:bookmarkStart w:id="18" w:name="_Toc247691505"/>
      <w:bookmarkStart w:id="19" w:name="_Toc314842486"/>
      <w:bookmarkStart w:id="20" w:name="_Toc383771037"/>
      <w:r>
        <w:t>Product Information</w:t>
      </w:r>
      <w:bookmarkEnd w:id="18"/>
      <w:bookmarkEnd w:id="19"/>
      <w:bookmarkEnd w:id="20"/>
    </w:p>
    <w:p w:rsidR="008E7846" w:rsidRDefault="008E7846" w:rsidP="008E7846">
      <w:r>
        <w:t>The approved PI current at the time this AusPAR was prepared can be found as Attachment 1.</w:t>
      </w:r>
      <w:bookmarkStart w:id="21" w:name="_Toc247691506"/>
      <w:bookmarkStart w:id="22" w:name="_Toc314842487"/>
    </w:p>
    <w:p w:rsidR="008E7846" w:rsidRPr="003602A9" w:rsidRDefault="008E7846" w:rsidP="008E7846">
      <w:pPr>
        <w:pStyle w:val="Heading2"/>
        <w:ind w:left="-11"/>
      </w:pPr>
      <w:bookmarkStart w:id="23" w:name="_Toc383771038"/>
      <w:r>
        <w:t>II. Quality</w:t>
      </w:r>
      <w:bookmarkEnd w:id="1"/>
      <w:r>
        <w:t xml:space="preserve"> findings</w:t>
      </w:r>
      <w:bookmarkEnd w:id="21"/>
      <w:bookmarkEnd w:id="22"/>
      <w:bookmarkEnd w:id="23"/>
    </w:p>
    <w:p w:rsidR="008E7846" w:rsidRDefault="008E7846" w:rsidP="008E7846">
      <w:r>
        <w:t>There was no requirement for a quality evaluation in a submission of this type.</w:t>
      </w:r>
    </w:p>
    <w:p w:rsidR="008E7846" w:rsidRDefault="008E7846" w:rsidP="008E7846">
      <w:pPr>
        <w:pStyle w:val="Heading2"/>
      </w:pPr>
      <w:bookmarkStart w:id="24" w:name="_Toc196046439"/>
      <w:bookmarkStart w:id="25" w:name="_Toc247691510"/>
      <w:bookmarkStart w:id="26" w:name="_Toc314842494"/>
      <w:bookmarkStart w:id="27" w:name="_Toc383771039"/>
      <w:r>
        <w:lastRenderedPageBreak/>
        <w:t>III. Nonclinical</w:t>
      </w:r>
      <w:bookmarkEnd w:id="24"/>
      <w:r>
        <w:t xml:space="preserve"> findings</w:t>
      </w:r>
      <w:bookmarkEnd w:id="25"/>
      <w:bookmarkEnd w:id="26"/>
      <w:bookmarkEnd w:id="27"/>
    </w:p>
    <w:p w:rsidR="00B23B86" w:rsidRPr="00B23B86" w:rsidRDefault="00B23B86" w:rsidP="00B23B86">
      <w:r w:rsidRPr="00B23B86">
        <w:t xml:space="preserve">With regard to nonclinical matters, the sponsor proposes the following modifications to the PI statement on </w:t>
      </w:r>
      <w:r w:rsidRPr="00B23B86">
        <w:rPr>
          <w:i/>
        </w:rPr>
        <w:t>Metabolism</w:t>
      </w:r>
      <w:r w:rsidRPr="00B23B86">
        <w:t>:</w:t>
      </w:r>
    </w:p>
    <w:p w:rsidR="001C211C" w:rsidRDefault="00B23B86" w:rsidP="00B23B86">
      <w:pPr>
        <w:ind w:left="720"/>
      </w:pPr>
      <w:r w:rsidRPr="00B23B86">
        <w:t>“The metabolism of insulin detemir is similar to that of human insulin.</w:t>
      </w:r>
      <w:r>
        <w:t>”</w:t>
      </w:r>
      <w:r w:rsidR="00970F26">
        <w:t xml:space="preserve"> </w:t>
      </w:r>
    </w:p>
    <w:p w:rsidR="00B23B86" w:rsidRDefault="00B23B86" w:rsidP="00B23B86">
      <w:pPr>
        <w:ind w:left="720"/>
      </w:pPr>
      <w:r>
        <w:t>To be amended to :</w:t>
      </w:r>
    </w:p>
    <w:p w:rsidR="00B23B86" w:rsidRPr="00B23B86" w:rsidRDefault="00B23B86" w:rsidP="00B23B86">
      <w:pPr>
        <w:ind w:left="720"/>
      </w:pPr>
      <w:r>
        <w:t>“</w:t>
      </w:r>
      <w:r w:rsidRPr="00B23B86">
        <w:t>Degradation of insulin detemir is similar to that of human insulin; all metabolites formed are inactive</w:t>
      </w:r>
      <w:r>
        <w:t>.”</w:t>
      </w:r>
    </w:p>
    <w:p w:rsidR="00B23B86" w:rsidRPr="00B23B86" w:rsidRDefault="00B23B86" w:rsidP="00B23B86">
      <w:r w:rsidRPr="00B23B86">
        <w:t xml:space="preserve">The current submission </w:t>
      </w:r>
      <w:r w:rsidR="001C211C">
        <w:t xml:space="preserve">did not </w:t>
      </w:r>
      <w:r w:rsidRPr="00B23B86">
        <w:t>contain</w:t>
      </w:r>
      <w:r w:rsidR="001C211C">
        <w:t xml:space="preserve"> non-clinical data</w:t>
      </w:r>
      <w:r w:rsidRPr="00B23B86">
        <w:t xml:space="preserve">. The sponsor cited two nonclinical studies submitted in the original application for the registration of insulin detemir as the evidence base for the modified statement. These studies compared the </w:t>
      </w:r>
      <w:r w:rsidRPr="00B23B86">
        <w:rPr>
          <w:i/>
        </w:rPr>
        <w:t>in vitro</w:t>
      </w:r>
      <w:r w:rsidRPr="00B23B86">
        <w:t xml:space="preserve"> metabolism of 14C</w:t>
      </w:r>
      <w:r w:rsidRPr="00B23B86">
        <w:noBreakHyphen/>
        <w:t>insulin detemir and human insulin</w:t>
      </w:r>
      <w:r w:rsidR="00455A70">
        <w:t xml:space="preserve"> (HI)</w:t>
      </w:r>
      <w:r w:rsidRPr="00B23B86">
        <w:t xml:space="preserve"> in liver cytosol (from rat, dog, pig and human) and in kidney S9 mix (rat and human) [Study NN201126] and related to the identification of major urinary metabolites of insulin detemir in rats (with the structure of one of the three metabolites elucidated) [Study NN01234]. Neither study contained any data on the pharmacological activity of the metabolites formed. However, Study NN201126 did identify that cleavage of the disulfide bonds between the A</w:t>
      </w:r>
      <w:r w:rsidRPr="00B23B86">
        <w:noBreakHyphen/>
        <w:t>chain and the B</w:t>
      </w:r>
      <w:r w:rsidRPr="00B23B86">
        <w:noBreakHyphen/>
        <w:t xml:space="preserve">chain was the first step of metabolism. This is recognised to be associated with loss of pharmacological activity for </w:t>
      </w:r>
      <w:r w:rsidR="00455A70">
        <w:t>HI</w:t>
      </w:r>
      <w:r w:rsidRPr="00B23B86">
        <w:t xml:space="preserve">, although some single chain analogues of </w:t>
      </w:r>
      <w:r w:rsidR="00455A70">
        <w:t>HI</w:t>
      </w:r>
      <w:r w:rsidRPr="00B23B86">
        <w:t xml:space="preserve"> that largely retain activity are reported in the literature</w:t>
      </w:r>
      <w:r w:rsidRPr="00B23B86">
        <w:rPr>
          <w:vertAlign w:val="superscript"/>
        </w:rPr>
        <w:footnoteReference w:id="4"/>
      </w:r>
      <w:r w:rsidRPr="00B23B86">
        <w:t>.</w:t>
      </w:r>
    </w:p>
    <w:p w:rsidR="00B23B86" w:rsidRPr="00B23B86" w:rsidRDefault="00B23B86" w:rsidP="00B23B86">
      <w:pPr>
        <w:pStyle w:val="Heading3"/>
      </w:pPr>
      <w:bookmarkStart w:id="28" w:name="_Toc247691515"/>
      <w:bookmarkStart w:id="29" w:name="_Toc314842499"/>
      <w:bookmarkStart w:id="30" w:name="_Toc383771040"/>
      <w:r w:rsidRPr="00B23B86">
        <w:t>Nonclinical summary and conclusions</w:t>
      </w:r>
      <w:bookmarkEnd w:id="28"/>
      <w:bookmarkEnd w:id="29"/>
      <w:bookmarkEnd w:id="30"/>
    </w:p>
    <w:p w:rsidR="00B23B86" w:rsidRPr="00B23B86" w:rsidRDefault="00B23B86" w:rsidP="00B23B86">
      <w:r w:rsidRPr="00B23B86">
        <w:t>Given the absence of specific data for insulin detemir, the proposed PI statement on metabolism should be revised as follows:</w:t>
      </w:r>
    </w:p>
    <w:p w:rsidR="00B23B86" w:rsidRDefault="00B23B86" w:rsidP="00B23B86">
      <w:pPr>
        <w:ind w:firstLine="720"/>
      </w:pPr>
      <w:r w:rsidRPr="00B23B86">
        <w:t>“</w:t>
      </w:r>
      <w:r w:rsidRPr="00B23B86">
        <w:rPr>
          <w:i/>
        </w:rPr>
        <w:t>Metabolism</w:t>
      </w:r>
    </w:p>
    <w:p w:rsidR="00B23B86" w:rsidRPr="00B23B86" w:rsidRDefault="00B23B86" w:rsidP="00B23B86">
      <w:pPr>
        <w:ind w:left="720"/>
      </w:pPr>
      <w:r w:rsidRPr="00B23B86">
        <w:t xml:space="preserve">Degradation of insulin detemir is similar to that of human insulin; all metabolites formed are </w:t>
      </w:r>
      <w:r w:rsidRPr="00B23B86">
        <w:rPr>
          <w:u w:val="single"/>
        </w:rPr>
        <w:t>likely to be</w:t>
      </w:r>
      <w:r w:rsidRPr="00B23B86">
        <w:t xml:space="preserve"> inactive.”</w:t>
      </w:r>
    </w:p>
    <w:p w:rsidR="008E7846" w:rsidRPr="00254787" w:rsidRDefault="008E7846" w:rsidP="008E7846">
      <w:pPr>
        <w:pStyle w:val="Heading2"/>
      </w:pPr>
      <w:bookmarkStart w:id="31" w:name="_Toc196046462"/>
      <w:bookmarkStart w:id="32" w:name="_Toc247691516"/>
      <w:bookmarkStart w:id="33" w:name="_Toc314842500"/>
      <w:bookmarkStart w:id="34" w:name="_Toc383771041"/>
      <w:bookmarkStart w:id="35" w:name="_Toc163441353"/>
      <w:bookmarkStart w:id="36" w:name="_Toc163441348"/>
      <w:r>
        <w:t xml:space="preserve">IV. </w:t>
      </w:r>
      <w:r w:rsidRPr="00254787">
        <w:t>Clinical</w:t>
      </w:r>
      <w:bookmarkEnd w:id="31"/>
      <w:r>
        <w:t xml:space="preserve"> </w:t>
      </w:r>
      <w:r w:rsidR="003A7F6C">
        <w:t>f</w:t>
      </w:r>
      <w:r>
        <w:t>indings</w:t>
      </w:r>
      <w:bookmarkEnd w:id="32"/>
      <w:bookmarkEnd w:id="33"/>
      <w:bookmarkEnd w:id="34"/>
    </w:p>
    <w:p w:rsidR="00C80137" w:rsidRDefault="00C80137" w:rsidP="008E7846">
      <w:pPr>
        <w:rPr>
          <w:i/>
        </w:rPr>
      </w:pPr>
      <w:bookmarkStart w:id="37" w:name="_Toc196046463"/>
      <w:r>
        <w:rPr>
          <w:i/>
        </w:rPr>
        <w:t xml:space="preserve">A summary of the </w:t>
      </w:r>
      <w:r w:rsidRPr="00FD70B8">
        <w:rPr>
          <w:i/>
        </w:rPr>
        <w:t xml:space="preserve">clinical findings is presented in this section. </w:t>
      </w:r>
      <w:r>
        <w:rPr>
          <w:i/>
        </w:rPr>
        <w:t xml:space="preserve">Further details of these </w:t>
      </w:r>
      <w:r w:rsidRPr="00FD70B8">
        <w:rPr>
          <w:i/>
        </w:rPr>
        <w:t>clinical findings can be found in Attachment 2.</w:t>
      </w:r>
    </w:p>
    <w:p w:rsidR="00B23B86" w:rsidRDefault="000706FA" w:rsidP="00B34E99">
      <w:pPr>
        <w:pStyle w:val="Heading4"/>
      </w:pPr>
      <w:r>
        <w:t>Clinical rationale</w:t>
      </w:r>
    </w:p>
    <w:p w:rsidR="00B34E99" w:rsidRPr="00CA7E30" w:rsidRDefault="00B34E99" w:rsidP="00B34E99">
      <w:r w:rsidRPr="00CA7E30">
        <w:t>The rationales provided by the Sponsor for each change are:</w:t>
      </w:r>
    </w:p>
    <w:p w:rsidR="00B34E99" w:rsidRPr="00B87649" w:rsidRDefault="00B34E99" w:rsidP="00B87649">
      <w:pPr>
        <w:pStyle w:val="Heading5"/>
        <w:rPr>
          <w:i w:val="0"/>
        </w:rPr>
      </w:pPr>
      <w:r w:rsidRPr="00B87649">
        <w:rPr>
          <w:i w:val="0"/>
        </w:rPr>
        <w:t>Change 1:</w:t>
      </w:r>
    </w:p>
    <w:p w:rsidR="00B34E99" w:rsidRPr="00CA7E30" w:rsidRDefault="00B34E99" w:rsidP="00B34E99">
      <w:r w:rsidRPr="00CA7E30">
        <w:t>In T2DM “basal insulin, co-administered with liraglutide, would provide additional glucose-lowering potency, while the presence of liraglutide may substantially reduce weight gain associated with insulin, reduce required insulin dose and maint</w:t>
      </w:r>
      <w:r>
        <w:t xml:space="preserve">ain low risk of hypoglycaemia. </w:t>
      </w:r>
      <w:r w:rsidRPr="00CA7E30">
        <w:t>Insulin detemir, a basal insulin analogue shown to provide lower risk of hypoglycaemia and less weight gain compared to</w:t>
      </w:r>
      <w:r w:rsidR="00F96D60">
        <w:t xml:space="preserve"> </w:t>
      </w:r>
      <w:r w:rsidR="00F96D60" w:rsidRPr="00E3564D">
        <w:t>Neutral Protamine Hagedorn</w:t>
      </w:r>
      <w:r w:rsidR="00F96D60">
        <w:t xml:space="preserve"> (</w:t>
      </w:r>
      <w:r w:rsidRPr="00CA7E30">
        <w:t>NPH</w:t>
      </w:r>
      <w:r w:rsidR="00F96D60">
        <w:t>)</w:t>
      </w:r>
      <w:r w:rsidRPr="00CA7E30">
        <w:t xml:space="preserve"> insulin (intermediate-acting insulin), is a promising candidate to be tested for efficacy and safety in combination with a once-daily human GLP-1 analogue, such as liraglutide.”</w:t>
      </w:r>
    </w:p>
    <w:p w:rsidR="00B34E99" w:rsidRPr="00B87649" w:rsidRDefault="00B34E99" w:rsidP="00B87649">
      <w:pPr>
        <w:pStyle w:val="Heading5"/>
        <w:rPr>
          <w:i w:val="0"/>
        </w:rPr>
      </w:pPr>
      <w:r w:rsidRPr="00B87649">
        <w:rPr>
          <w:i w:val="0"/>
        </w:rPr>
        <w:lastRenderedPageBreak/>
        <w:t>Change 2:</w:t>
      </w:r>
    </w:p>
    <w:p w:rsidR="00B34E99" w:rsidRPr="00CA7E30" w:rsidRDefault="00B34E99" w:rsidP="00B34E99">
      <w:r w:rsidRPr="00CA7E30">
        <w:t>“In connection with the approval of the paediatric indication of insulin detemir by EMA, a new long-term safety trial (NN304-1689) was discussed and agreed with EMA as part of a post-approval commitment”. The purpose of the application is to update the PI with long-term safety data from this trial.</w:t>
      </w:r>
    </w:p>
    <w:p w:rsidR="00B34E99" w:rsidRPr="00B87649" w:rsidRDefault="00B34E99" w:rsidP="00B87649">
      <w:pPr>
        <w:pStyle w:val="Heading5"/>
        <w:rPr>
          <w:i w:val="0"/>
        </w:rPr>
      </w:pPr>
      <w:r w:rsidRPr="00B87649">
        <w:rPr>
          <w:i w:val="0"/>
        </w:rPr>
        <w:t>Change 3:</w:t>
      </w:r>
    </w:p>
    <w:p w:rsidR="00B34E99" w:rsidRPr="00CA7E30" w:rsidRDefault="00B34E99" w:rsidP="00B34E99">
      <w:r w:rsidRPr="00CA7E30">
        <w:t xml:space="preserve">“The use of insulin analogues is increasing in </w:t>
      </w:r>
      <w:r>
        <w:t>T</w:t>
      </w:r>
      <w:r w:rsidRPr="00CA7E30">
        <w:t>1</w:t>
      </w:r>
      <w:r>
        <w:t>DM</w:t>
      </w:r>
      <w:r w:rsidRPr="00CA7E30">
        <w:t xml:space="preserve"> as well as in </w:t>
      </w:r>
      <w:r>
        <w:t>T</w:t>
      </w:r>
      <w:r w:rsidRPr="00CA7E30">
        <w:t>2</w:t>
      </w:r>
      <w:r>
        <w:t>DM</w:t>
      </w:r>
      <w:r w:rsidRPr="00CA7E30">
        <w:t>. Their use expands into special populations, such as children, elderly patients and patients with kidney failure. Use of insulin analogues implies that an increasing number of women conceive during insulin analogue treatment. Switching their treatment may carry a risk of deteriorated glycaemic control with an inherent risk of adverse influence on the pregnancy outcome. Pregnant women with diabetes need optimal glycaemic control with as few hypoglycaemic episodes as possible to reduce their risk of diabetes complications and to reduce the risk of adverse pregnancy outcome as described above. Hence, there is a medical need for optimising diabetic control in this population.”</w:t>
      </w:r>
    </w:p>
    <w:p w:rsidR="00B34E99" w:rsidRPr="00B87649" w:rsidRDefault="00B34E99" w:rsidP="00B87649">
      <w:pPr>
        <w:pStyle w:val="Heading5"/>
        <w:rPr>
          <w:i w:val="0"/>
        </w:rPr>
      </w:pPr>
      <w:r w:rsidRPr="00B87649">
        <w:rPr>
          <w:i w:val="0"/>
        </w:rPr>
        <w:t>Change 4:</w:t>
      </w:r>
    </w:p>
    <w:p w:rsidR="00B34E99" w:rsidRPr="00CA7E30" w:rsidRDefault="00B34E99" w:rsidP="00B34E99">
      <w:r w:rsidRPr="00CA7E30">
        <w:t>The Sponsor proposes to align the PI more closely with the CCDS. The Sponsor also has made some editorial changes to align the PI with the format described in Appendix 8 of the Australian Regulatory Guidelines for Prescription Medicines.</w:t>
      </w:r>
    </w:p>
    <w:p w:rsidR="00B23B86" w:rsidRPr="00B23B86" w:rsidRDefault="00B23B86" w:rsidP="00B23B86">
      <w:pPr>
        <w:pStyle w:val="Heading4"/>
      </w:pPr>
      <w:bookmarkStart w:id="38" w:name="_Toc381805742"/>
      <w:bookmarkEnd w:id="37"/>
      <w:r w:rsidRPr="00B23B86">
        <w:t>Scope of the clinical dossier</w:t>
      </w:r>
      <w:bookmarkEnd w:id="38"/>
    </w:p>
    <w:p w:rsidR="00B23B86" w:rsidRPr="00B23B86" w:rsidRDefault="00B23B86" w:rsidP="00B23B86">
      <w:r w:rsidRPr="00B23B86">
        <w:t>The submission contained the following clinical information:</w:t>
      </w:r>
    </w:p>
    <w:p w:rsidR="00B23B86" w:rsidRPr="00B23B86" w:rsidRDefault="00B23B86" w:rsidP="00B23B86">
      <w:pPr>
        <w:numPr>
          <w:ilvl w:val="0"/>
          <w:numId w:val="21"/>
        </w:numPr>
      </w:pPr>
      <w:r w:rsidRPr="00B23B86">
        <w:t>Change 1 contained three studies: Study NN2211-3673 (P</w:t>
      </w:r>
      <w:r w:rsidR="00B34E99">
        <w:t>harmacokinetic (P</w:t>
      </w:r>
      <w:r w:rsidRPr="00B23B86">
        <w:t>K</w:t>
      </w:r>
      <w:r w:rsidR="00B34E99">
        <w:t>)</w:t>
      </w:r>
      <w:r w:rsidRPr="00B23B86">
        <w:t>/</w:t>
      </w:r>
      <w:r w:rsidR="00B34E99">
        <w:t>Pharmacodynamic (</w:t>
      </w:r>
      <w:r w:rsidRPr="00B23B86">
        <w:t>PD</w:t>
      </w:r>
      <w:r w:rsidR="00B34E99">
        <w:t>)</w:t>
      </w:r>
      <w:r w:rsidRPr="00B23B86">
        <w:t>), Study NN2211-1842 (efficacy and safety)</w:t>
      </w:r>
      <w:r w:rsidR="00B34E99">
        <w:t xml:space="preserve"> and</w:t>
      </w:r>
      <w:r w:rsidRPr="00B23B86">
        <w:t xml:space="preserve"> Study NN2211-1842-extension (long-term safety)</w:t>
      </w:r>
    </w:p>
    <w:p w:rsidR="00B23B86" w:rsidRPr="00B23B86" w:rsidRDefault="00B23B86" w:rsidP="00B23B86">
      <w:pPr>
        <w:numPr>
          <w:ilvl w:val="0"/>
          <w:numId w:val="21"/>
        </w:numPr>
      </w:pPr>
      <w:r w:rsidRPr="00B23B86">
        <w:t>Change 2 contained one study: Study NN304-1690 (long-term open label safety in children)</w:t>
      </w:r>
    </w:p>
    <w:p w:rsidR="00B23B86" w:rsidRPr="00B23B86" w:rsidRDefault="00B23B86" w:rsidP="00B23B86">
      <w:pPr>
        <w:numPr>
          <w:ilvl w:val="0"/>
          <w:numId w:val="21"/>
        </w:numPr>
      </w:pPr>
      <w:r w:rsidRPr="00B23B86">
        <w:t>Change 3 contained one study: Study NN304-1687 (efficacy and safety in pregnancy)</w:t>
      </w:r>
    </w:p>
    <w:p w:rsidR="00B23B86" w:rsidRPr="00B23B86" w:rsidRDefault="00B23B86" w:rsidP="00B23B86">
      <w:pPr>
        <w:pStyle w:val="Heading4"/>
      </w:pPr>
      <w:bookmarkStart w:id="39" w:name="_Toc381805743"/>
      <w:r w:rsidRPr="00B23B86">
        <w:t>Paediatric data</w:t>
      </w:r>
      <w:bookmarkEnd w:id="39"/>
    </w:p>
    <w:p w:rsidR="00B23B86" w:rsidRPr="00B23B86" w:rsidRDefault="00B23B86" w:rsidP="00B23B86">
      <w:r w:rsidRPr="00B23B86">
        <w:t xml:space="preserve">The submission included paediatric safety data. </w:t>
      </w:r>
    </w:p>
    <w:p w:rsidR="00B23B86" w:rsidRPr="00B23B86" w:rsidRDefault="00B23B86" w:rsidP="00B23B86">
      <w:pPr>
        <w:pStyle w:val="Heading4"/>
      </w:pPr>
      <w:bookmarkStart w:id="40" w:name="_Toc381805744"/>
      <w:r w:rsidRPr="00B23B86">
        <w:t>Good clinical practice</w:t>
      </w:r>
      <w:bookmarkEnd w:id="40"/>
    </w:p>
    <w:p w:rsidR="00B23B86" w:rsidRPr="00B23B86" w:rsidRDefault="00B23B86" w:rsidP="00B23B86">
      <w:bookmarkStart w:id="41" w:name="_Toc241374282"/>
      <w:r w:rsidRPr="00B23B86">
        <w:t>The studies submitted in the application were stated to have been conducted according to GCP.</w:t>
      </w:r>
      <w:bookmarkEnd w:id="41"/>
    </w:p>
    <w:p w:rsidR="008E7846" w:rsidRPr="00254787" w:rsidRDefault="008E7846" w:rsidP="008E7846">
      <w:pPr>
        <w:pStyle w:val="Heading3"/>
      </w:pPr>
      <w:bookmarkStart w:id="42" w:name="_Toc196046464"/>
      <w:bookmarkStart w:id="43" w:name="_Toc247691518"/>
      <w:bookmarkStart w:id="44" w:name="_Toc314842502"/>
      <w:bookmarkStart w:id="45" w:name="_Toc383771042"/>
      <w:r w:rsidRPr="00254787">
        <w:t>Pharmacokinetics</w:t>
      </w:r>
      <w:bookmarkEnd w:id="35"/>
      <w:bookmarkEnd w:id="42"/>
      <w:bookmarkEnd w:id="43"/>
      <w:bookmarkEnd w:id="44"/>
      <w:bookmarkEnd w:id="45"/>
    </w:p>
    <w:p w:rsidR="00750EC4" w:rsidRPr="00750EC4" w:rsidRDefault="00750EC4" w:rsidP="00750EC4">
      <w:pPr>
        <w:pStyle w:val="Heading4"/>
      </w:pPr>
      <w:bookmarkStart w:id="46" w:name="_Toc272414637"/>
      <w:bookmarkStart w:id="47" w:name="_Toc290846260"/>
      <w:bookmarkStart w:id="48" w:name="_Toc347931812"/>
      <w:bookmarkStart w:id="49" w:name="_Toc381805746"/>
      <w:bookmarkStart w:id="50" w:name="_Toc196046481"/>
      <w:bookmarkStart w:id="51" w:name="_Toc247691520"/>
      <w:bookmarkStart w:id="52" w:name="_Toc314842503"/>
      <w:r w:rsidRPr="00750EC4">
        <w:t>Studies providing pharmacokinetic data</w:t>
      </w:r>
      <w:bookmarkEnd w:id="46"/>
      <w:bookmarkEnd w:id="47"/>
      <w:bookmarkEnd w:id="48"/>
      <w:bookmarkEnd w:id="49"/>
    </w:p>
    <w:p w:rsidR="00750EC4" w:rsidRPr="00750EC4" w:rsidRDefault="00750EC4" w:rsidP="00750EC4">
      <w:r w:rsidRPr="00750EC4">
        <w:t xml:space="preserve">Study NN2211-3673 was an open label, three treatment phase, single sequence, PK and PD (euglycaemic clamp at 100 mg/dL) study of detemir, liraglutide and the combination of liraglutide and detemir. The study was conducted at a single centre in the US from April 2009 to September 2009. The study included male or female subjects ≥ 18 years of age; insulin naïve and diagnosed with T2DM; treated with stable doses of </w:t>
      </w:r>
      <w:r w:rsidR="00B34E99">
        <w:t>oral anti-diabetics</w:t>
      </w:r>
      <w:r w:rsidRPr="00750EC4">
        <w:t xml:space="preserve"> (one of which had to be metformin); BMI of ≤ 45 kg/m</w:t>
      </w:r>
      <w:r w:rsidRPr="00B34E99">
        <w:rPr>
          <w:vertAlign w:val="superscript"/>
        </w:rPr>
        <w:t>2</w:t>
      </w:r>
      <w:r w:rsidRPr="00750EC4">
        <w:t xml:space="preserve">, screening HbA1c of 7 to 10% on </w:t>
      </w:r>
      <w:r w:rsidRPr="00750EC4">
        <w:lastRenderedPageBreak/>
        <w:t>monotherapy and 7 to 9.5% on dual therapy; FPG ≤ 250 mg/dL at Visit 2; and FPG ≥ 140 and ≤ 240 mg/dL at Visit 5 (Study Day 1).</w:t>
      </w:r>
    </w:p>
    <w:p w:rsidR="00750EC4" w:rsidRPr="00750EC4" w:rsidRDefault="00750EC4" w:rsidP="00750EC4">
      <w:r w:rsidRPr="00750EC4">
        <w:t>The study treatments were: insulin detemir 0.5 U/kg on Day 1, followed by 24 hour eugycaemic clamp; liraglutide titrated to 1.8 mg/day from Day 2 to Day 22, with 24 hour euglycaemic clamp on Day 22; liraglutide 1.8 mg daily from Day 22 to Day 36, and insulin detemir 0.5 U/kg on Day 36, with 24 hour euglycaemic clamp. All subjects were treated with metformin as a background medication.</w:t>
      </w:r>
    </w:p>
    <w:p w:rsidR="00750EC4" w:rsidRPr="00750EC4" w:rsidRDefault="00750EC4" w:rsidP="00750EC4">
      <w:r w:rsidRPr="00750EC4">
        <w:t xml:space="preserve">There were 33 subjects: 23 (69.7%) male, 10 (30.3%) female, and the age range was 33 to 68 years. Twenty subjects were treated with metformin alone and 13 with metformin and another </w:t>
      </w:r>
      <w:r w:rsidR="00B34E99">
        <w:t>oral anti-diabetics</w:t>
      </w:r>
      <w:r w:rsidRPr="00750EC4">
        <w:t>. There was no effect of liraglutide on exposure to detemir: the mean ratio (90% CI) detemir + liraglutide / detemir was 1.03 (0.97 to 1.09) for AUC</w:t>
      </w:r>
      <w:r w:rsidRPr="00B34E99">
        <w:rPr>
          <w:vertAlign w:val="subscript"/>
        </w:rPr>
        <w:t>0-24</w:t>
      </w:r>
      <w:r w:rsidRPr="00750EC4">
        <w:t xml:space="preserve"> and 1.05 (0.98 to 1.13) for C</w:t>
      </w:r>
      <w:r w:rsidRPr="00F96D60">
        <w:rPr>
          <w:vertAlign w:val="subscript"/>
        </w:rPr>
        <w:t>max</w:t>
      </w:r>
      <w:r w:rsidRPr="00750EC4">
        <w:t>. There was no effect of detemir on exposure to liraglutide: the mean ratio (90% CI) detemir + liraglutide / liraglutide was 0.97 (0.87 to 1.09) for AUC</w:t>
      </w:r>
      <w:r w:rsidRPr="00F96D60">
        <w:rPr>
          <w:vertAlign w:val="subscript"/>
        </w:rPr>
        <w:t>0-24</w:t>
      </w:r>
      <w:r w:rsidRPr="00750EC4">
        <w:t xml:space="preserve"> and 1.03 (0.93 to 1.13) for C</w:t>
      </w:r>
      <w:r w:rsidRPr="00F96D60">
        <w:rPr>
          <w:vertAlign w:val="subscript"/>
        </w:rPr>
        <w:t>max</w:t>
      </w:r>
      <w:r w:rsidRPr="00750EC4">
        <w:t>.</w:t>
      </w:r>
    </w:p>
    <w:p w:rsidR="00750EC4" w:rsidRPr="00750EC4" w:rsidRDefault="00750EC4" w:rsidP="00750EC4">
      <w:pPr>
        <w:pStyle w:val="Heading4"/>
      </w:pPr>
      <w:bookmarkStart w:id="53" w:name="_Toc241374296"/>
      <w:bookmarkStart w:id="54" w:name="_Ref269982040"/>
      <w:bookmarkStart w:id="55" w:name="_Ref271018704"/>
      <w:bookmarkStart w:id="56" w:name="_Ref271018755"/>
      <w:bookmarkStart w:id="57" w:name="_Toc272414635"/>
      <w:bookmarkStart w:id="58" w:name="_Toc290846258"/>
      <w:bookmarkStart w:id="59" w:name="_Toc347931810"/>
      <w:bookmarkStart w:id="60" w:name="_Toc381805747"/>
      <w:r w:rsidRPr="00750EC4">
        <w:t>Evaluator’s overall conclusions on pharmacokinetics</w:t>
      </w:r>
      <w:bookmarkEnd w:id="53"/>
      <w:bookmarkEnd w:id="54"/>
      <w:bookmarkEnd w:id="55"/>
      <w:bookmarkEnd w:id="56"/>
      <w:bookmarkEnd w:id="57"/>
      <w:bookmarkEnd w:id="58"/>
      <w:bookmarkEnd w:id="59"/>
      <w:bookmarkEnd w:id="60"/>
    </w:p>
    <w:p w:rsidR="00750EC4" w:rsidRPr="00750EC4" w:rsidRDefault="00750EC4" w:rsidP="00750EC4">
      <w:r w:rsidRPr="00750EC4">
        <w:t>There was no evidence of a PK interaction between insulin detemir and liraglutide.</w:t>
      </w:r>
    </w:p>
    <w:p w:rsidR="008E7846" w:rsidRDefault="008E7846" w:rsidP="008E7846">
      <w:pPr>
        <w:pStyle w:val="Heading3"/>
      </w:pPr>
      <w:bookmarkStart w:id="61" w:name="_Toc383771043"/>
      <w:r w:rsidRPr="00254787">
        <w:t>Pharmacodynamics</w:t>
      </w:r>
      <w:bookmarkEnd w:id="36"/>
      <w:bookmarkEnd w:id="50"/>
      <w:bookmarkEnd w:id="51"/>
      <w:bookmarkEnd w:id="52"/>
      <w:bookmarkEnd w:id="61"/>
    </w:p>
    <w:p w:rsidR="00750EC4" w:rsidRPr="00750EC4" w:rsidRDefault="00750EC4" w:rsidP="00750EC4">
      <w:pPr>
        <w:pStyle w:val="Heading4"/>
      </w:pPr>
      <w:bookmarkStart w:id="62" w:name="_Toc381805749"/>
      <w:r w:rsidRPr="00750EC4">
        <w:t>Studies providing pharmacodynamic data</w:t>
      </w:r>
      <w:bookmarkEnd w:id="62"/>
    </w:p>
    <w:p w:rsidR="00750EC4" w:rsidRDefault="00750EC4" w:rsidP="00750EC4">
      <w:pPr>
        <w:autoSpaceDE w:val="0"/>
        <w:autoSpaceDN w:val="0"/>
        <w:adjustRightInd w:val="0"/>
        <w:rPr>
          <w:color w:val="000000"/>
        </w:rPr>
      </w:pPr>
      <w:r w:rsidRPr="00750EC4">
        <w:rPr>
          <w:color w:val="000000"/>
        </w:rPr>
        <w:t>In Study NN2211-3673 from the euglycaemic clamp studies, the AUC for glucose infusion rate (AUC</w:t>
      </w:r>
      <w:r w:rsidRPr="00750EC4">
        <w:rPr>
          <w:color w:val="000000"/>
          <w:vertAlign w:val="subscript"/>
        </w:rPr>
        <w:t>GIR</w:t>
      </w:r>
      <w:r w:rsidRPr="00750EC4">
        <w:rPr>
          <w:color w:val="000000"/>
        </w:rPr>
        <w:t>) was greater for detemir and liraglutide in combination than for detemir alone, and for liraglutide alone compared with detemir alone, but there was no significant difference between detemir and liraglutide in combination and liraglutide alone.</w:t>
      </w:r>
    </w:p>
    <w:p w:rsidR="00750EC4" w:rsidRPr="00750EC4" w:rsidRDefault="00750EC4" w:rsidP="00750EC4">
      <w:pPr>
        <w:autoSpaceDE w:val="0"/>
        <w:autoSpaceDN w:val="0"/>
        <w:adjustRightInd w:val="0"/>
        <w:rPr>
          <w:color w:val="000000"/>
        </w:rPr>
      </w:pPr>
      <w:r w:rsidRPr="00750EC4">
        <w:rPr>
          <w:color w:val="000000"/>
        </w:rPr>
        <w:t>The mean AUC</w:t>
      </w:r>
      <w:r w:rsidRPr="00750EC4">
        <w:rPr>
          <w:color w:val="000000"/>
          <w:vertAlign w:val="subscript"/>
        </w:rPr>
        <w:t>GIR(0-24)</w:t>
      </w:r>
      <w:r w:rsidRPr="00750EC4">
        <w:rPr>
          <w:color w:val="000000"/>
        </w:rPr>
        <w:t xml:space="preserve"> (SD) was 1057.6 (803.18) mg/kg for detemir alone, 1981.6 (1167.60) mg/kg for liraglutide alone and 2947.0 (1460.57) mg/kg for detemir and liraglutide in combination. The mean (95% CI) ratio for AUC</w:t>
      </w:r>
      <w:r w:rsidRPr="00750EC4">
        <w:rPr>
          <w:color w:val="000000"/>
          <w:vertAlign w:val="subscript"/>
        </w:rPr>
        <w:t>GIR(0-24)</w:t>
      </w:r>
      <w:r w:rsidRPr="00750EC4">
        <w:rPr>
          <w:color w:val="000000"/>
        </w:rPr>
        <w:t xml:space="preserve"> was 2.98 (1.84 to 4.81) for detemir</w:t>
      </w:r>
      <w:r w:rsidR="00F96D60">
        <w:rPr>
          <w:color w:val="000000"/>
        </w:rPr>
        <w:t xml:space="preserve"> </w:t>
      </w:r>
      <w:r w:rsidRPr="00750EC4">
        <w:rPr>
          <w:color w:val="000000"/>
        </w:rPr>
        <w:t>+</w:t>
      </w:r>
      <w:r w:rsidR="00F96D60">
        <w:rPr>
          <w:color w:val="000000"/>
        </w:rPr>
        <w:t xml:space="preserve"> </w:t>
      </w:r>
      <w:r w:rsidRPr="00750EC4">
        <w:rPr>
          <w:color w:val="000000"/>
        </w:rPr>
        <w:t>liraglutide</w:t>
      </w:r>
      <w:r w:rsidR="00F96D60">
        <w:rPr>
          <w:color w:val="000000"/>
        </w:rPr>
        <w:t xml:space="preserve"> </w:t>
      </w:r>
      <w:r w:rsidRPr="00750EC4">
        <w:rPr>
          <w:color w:val="000000"/>
        </w:rPr>
        <w:t>/ detemir, 1.32 (0.82 to 2.14) for detemir</w:t>
      </w:r>
      <w:r w:rsidR="00F96D60">
        <w:rPr>
          <w:color w:val="000000"/>
        </w:rPr>
        <w:t xml:space="preserve"> </w:t>
      </w:r>
      <w:r w:rsidRPr="00750EC4">
        <w:rPr>
          <w:color w:val="000000"/>
        </w:rPr>
        <w:t>+</w:t>
      </w:r>
      <w:r w:rsidR="00F96D60">
        <w:rPr>
          <w:color w:val="000000"/>
        </w:rPr>
        <w:t xml:space="preserve"> </w:t>
      </w:r>
      <w:r w:rsidRPr="00750EC4">
        <w:rPr>
          <w:color w:val="000000"/>
        </w:rPr>
        <w:t>liraglutide</w:t>
      </w:r>
      <w:r w:rsidR="00F96D60">
        <w:rPr>
          <w:color w:val="000000"/>
        </w:rPr>
        <w:t xml:space="preserve"> </w:t>
      </w:r>
      <w:r w:rsidRPr="00750EC4">
        <w:rPr>
          <w:color w:val="000000"/>
        </w:rPr>
        <w:t>/ liraglutide and 2.25 (1.39 to 3.64) for liraglutide</w:t>
      </w:r>
      <w:r w:rsidR="00F96D60">
        <w:rPr>
          <w:color w:val="000000"/>
        </w:rPr>
        <w:t xml:space="preserve"> </w:t>
      </w:r>
      <w:r w:rsidRPr="00750EC4">
        <w:rPr>
          <w:color w:val="000000"/>
        </w:rPr>
        <w:t>/ detemir. Average C-peptide plasma concentrations over 24 hours were lower for detemir alone compared with detemir and liraglutide in combination, and higher for liraglutide alone.</w:t>
      </w:r>
    </w:p>
    <w:p w:rsidR="00750EC4" w:rsidRDefault="00750EC4" w:rsidP="00750EC4">
      <w:r w:rsidRPr="00750EC4">
        <w:t>Glucagon concentrations were lower with detemir and liraglutide in combination than with detemir alone, but there was no significant difference compared with liraglutide alone</w:t>
      </w:r>
      <w:r>
        <w:t>.</w:t>
      </w:r>
    </w:p>
    <w:p w:rsidR="00750EC4" w:rsidRPr="00750EC4" w:rsidRDefault="00750EC4" w:rsidP="00750EC4">
      <w:pPr>
        <w:pStyle w:val="Heading4"/>
      </w:pPr>
      <w:bookmarkStart w:id="63" w:name="_Ref269983272"/>
      <w:bookmarkStart w:id="64" w:name="_Toc272414648"/>
      <w:bookmarkStart w:id="65" w:name="_Toc290846270"/>
      <w:bookmarkStart w:id="66" w:name="_Toc347931813"/>
      <w:bookmarkStart w:id="67" w:name="_Toc381805750"/>
      <w:r w:rsidRPr="00750EC4">
        <w:t>Evaluator’s overall conclusions on pharmacodynamics</w:t>
      </w:r>
      <w:bookmarkEnd w:id="63"/>
      <w:bookmarkEnd w:id="64"/>
      <w:bookmarkEnd w:id="65"/>
      <w:bookmarkEnd w:id="66"/>
      <w:bookmarkEnd w:id="67"/>
    </w:p>
    <w:p w:rsidR="00750EC4" w:rsidRPr="00750EC4" w:rsidRDefault="00750EC4" w:rsidP="00750EC4">
      <w:r w:rsidRPr="00750EC4">
        <w:t>Insulin detemir and liraglutide have a synergistic effect in decreasing plasma glucose. Insulin detemir when added to liraglutide decreases overall insulin secretion.</w:t>
      </w:r>
    </w:p>
    <w:p w:rsidR="00750EC4" w:rsidRPr="00750EC4" w:rsidRDefault="00750EC4" w:rsidP="00750EC4">
      <w:pPr>
        <w:pStyle w:val="Heading3"/>
      </w:pPr>
      <w:bookmarkStart w:id="68" w:name="_Toc381805751"/>
      <w:bookmarkStart w:id="69" w:name="_Toc383771044"/>
      <w:r w:rsidRPr="00750EC4">
        <w:t>Dosage selection for the pivotal studies</w:t>
      </w:r>
      <w:bookmarkEnd w:id="68"/>
      <w:bookmarkEnd w:id="69"/>
    </w:p>
    <w:p w:rsidR="00750EC4" w:rsidRPr="00750EC4" w:rsidRDefault="00750EC4" w:rsidP="00750EC4">
      <w:r w:rsidRPr="00750EC4">
        <w:t>Dosage selection was based on the approved dosing recommendations.</w:t>
      </w:r>
    </w:p>
    <w:p w:rsidR="008E7846" w:rsidRPr="00254787" w:rsidRDefault="008E7846" w:rsidP="008E7846">
      <w:pPr>
        <w:pStyle w:val="Heading3"/>
      </w:pPr>
      <w:bookmarkStart w:id="70" w:name="_Toc163441372"/>
      <w:bookmarkStart w:id="71" w:name="_Toc196046485"/>
      <w:bookmarkStart w:id="72" w:name="_Toc247691521"/>
      <w:bookmarkStart w:id="73" w:name="_Toc314842504"/>
      <w:bookmarkStart w:id="74" w:name="_Toc383771045"/>
      <w:r w:rsidRPr="00254787">
        <w:lastRenderedPageBreak/>
        <w:t>Efficacy</w:t>
      </w:r>
      <w:bookmarkEnd w:id="70"/>
      <w:bookmarkEnd w:id="71"/>
      <w:bookmarkEnd w:id="72"/>
      <w:bookmarkEnd w:id="73"/>
      <w:bookmarkEnd w:id="74"/>
    </w:p>
    <w:p w:rsidR="00750EC4" w:rsidRPr="00750EC4" w:rsidRDefault="00750EC4" w:rsidP="00750EC4">
      <w:pPr>
        <w:pStyle w:val="Heading4"/>
      </w:pPr>
      <w:bookmarkStart w:id="75" w:name="_Toc347931816"/>
      <w:bookmarkStart w:id="76" w:name="_Toc381805753"/>
      <w:bookmarkStart w:id="77" w:name="_Toc184439992"/>
      <w:bookmarkStart w:id="78" w:name="_Toc184440279"/>
      <w:bookmarkStart w:id="79" w:name="_Toc184444657"/>
      <w:bookmarkStart w:id="80" w:name="_Toc196046487"/>
      <w:r w:rsidRPr="00750EC4">
        <w:t>Change 1</w:t>
      </w:r>
      <w:bookmarkEnd w:id="75"/>
      <w:bookmarkEnd w:id="76"/>
      <w:r w:rsidR="00F96D60">
        <w:t>:</w:t>
      </w:r>
    </w:p>
    <w:p w:rsidR="00750EC4" w:rsidRPr="00750EC4" w:rsidRDefault="00750EC4" w:rsidP="00750EC4">
      <w:pPr>
        <w:pStyle w:val="Heading5"/>
      </w:pPr>
      <w:bookmarkStart w:id="81" w:name="_Ref271037274"/>
      <w:bookmarkStart w:id="82" w:name="_Toc272414652"/>
      <w:bookmarkStart w:id="83" w:name="_Toc290846274"/>
      <w:bookmarkStart w:id="84" w:name="_Toc347931817"/>
      <w:r w:rsidRPr="00750EC4">
        <w:t>Pivotal efficacy stud</w:t>
      </w:r>
      <w:bookmarkEnd w:id="81"/>
      <w:bookmarkEnd w:id="82"/>
      <w:bookmarkEnd w:id="83"/>
      <w:r w:rsidRPr="00750EC4">
        <w:t>y</w:t>
      </w:r>
      <w:bookmarkEnd w:id="84"/>
      <w:r w:rsidR="00122FF9">
        <w:t xml:space="preserve"> (Study NN2211-1842)</w:t>
      </w:r>
    </w:p>
    <w:p w:rsidR="00750EC4" w:rsidRDefault="00750EC4" w:rsidP="00750EC4">
      <w:r w:rsidRPr="00750EC4">
        <w:t>Study NN2211-1842 was a multicentre, randomised, open label, two arm, parallel group trial with an additional open-</w:t>
      </w:r>
      <w:r w:rsidR="00F96D60" w:rsidRPr="00750EC4">
        <w:t>label;</w:t>
      </w:r>
      <w:r w:rsidRPr="00750EC4">
        <w:t xml:space="preserve"> non-randomised arm carrying subjects who achieved target glycaemic control after the run-in period. The study was conducted at 202 centres in nine countries from March 2009 to April 2010.</w:t>
      </w:r>
    </w:p>
    <w:p w:rsidR="00750EC4" w:rsidRPr="00750EC4" w:rsidRDefault="00750EC4" w:rsidP="00750EC4">
      <w:pPr>
        <w:pStyle w:val="Heading5"/>
      </w:pPr>
      <w:bookmarkStart w:id="85" w:name="_Toc347931819"/>
      <w:r w:rsidRPr="00750EC4">
        <w:t>Other efficacy studies</w:t>
      </w:r>
      <w:bookmarkEnd w:id="85"/>
    </w:p>
    <w:p w:rsidR="00750EC4" w:rsidRPr="00750EC4" w:rsidRDefault="00750EC4" w:rsidP="00750EC4">
      <w:r w:rsidRPr="00750EC4">
        <w:t>Study NN2211-1842-extension included 140 subjects from the detemir group and 122 from the control. Of these, there were 130 subjects in the detemir group and 92 in the control that completed the 52 weeks of treatment.</w:t>
      </w:r>
    </w:p>
    <w:p w:rsidR="00750EC4" w:rsidRPr="00750EC4" w:rsidRDefault="00750EC4" w:rsidP="00122FF9">
      <w:pPr>
        <w:pStyle w:val="Heading5"/>
      </w:pPr>
      <w:bookmarkStart w:id="86" w:name="_Toc347931820"/>
      <w:r w:rsidRPr="00750EC4">
        <w:t>Evaluator’s conclusions on clinical efficacy for Change 1</w:t>
      </w:r>
      <w:bookmarkEnd w:id="86"/>
    </w:p>
    <w:p w:rsidR="00750EC4" w:rsidRPr="00750EC4" w:rsidRDefault="00750EC4" w:rsidP="00750EC4">
      <w:r w:rsidRPr="00750EC4">
        <w:t>Insulin detemir in combination with liraglutide and metformin resulted in an incremental decrease in mean HbA1c of 0.51% over 26 weeks. This is a clinically significant improvement in diabetes control. The improvement was maintained over a 52 week period. There was weight loss in the group treated with detemir, liraglutide and metformin in combination, but less than in those treated with liraglutide and metformin alone.</w:t>
      </w:r>
    </w:p>
    <w:p w:rsidR="00122FF9" w:rsidRPr="00122FF9" w:rsidRDefault="00122FF9" w:rsidP="00122FF9">
      <w:pPr>
        <w:pStyle w:val="Heading4"/>
        <w:rPr>
          <w:lang w:val="en-US"/>
        </w:rPr>
      </w:pPr>
      <w:bookmarkStart w:id="87" w:name="_Toc347931821"/>
      <w:bookmarkStart w:id="88" w:name="_Toc381805754"/>
      <w:r w:rsidRPr="00122FF9">
        <w:rPr>
          <w:lang w:val="en-US"/>
        </w:rPr>
        <w:t>Change 2</w:t>
      </w:r>
      <w:bookmarkEnd w:id="87"/>
      <w:bookmarkEnd w:id="88"/>
      <w:r w:rsidR="00F96D60">
        <w:rPr>
          <w:lang w:val="en-US"/>
        </w:rPr>
        <w:t>:</w:t>
      </w:r>
    </w:p>
    <w:p w:rsidR="00122FF9" w:rsidRPr="00122FF9" w:rsidRDefault="00122FF9" w:rsidP="00122FF9">
      <w:pPr>
        <w:pStyle w:val="Heading5"/>
      </w:pPr>
      <w:bookmarkStart w:id="89" w:name="_Toc347931822"/>
      <w:r w:rsidRPr="00122FF9">
        <w:t>Study NN304-1690</w:t>
      </w:r>
      <w:bookmarkEnd w:id="89"/>
    </w:p>
    <w:p w:rsidR="005D3425" w:rsidRDefault="00122FF9" w:rsidP="00122FF9">
      <w:r w:rsidRPr="00122FF9">
        <w:t>Study NN304-1690 was an open label, multicentre, single arm, 52-week extension of Study NN304-1689 investigating insulin detemir administered once or twice daily to children and adolescents diagnosed with T1DM. The Study was conducted at 29 sites in eleven countries from February 2008 to September 2009. The study included subjects who had completed 52 weeks o</w:t>
      </w:r>
      <w:r>
        <w:t xml:space="preserve">f treatment in Study NN304-1689 previously evaluated by the </w:t>
      </w:r>
      <w:r w:rsidRPr="00122FF9">
        <w:t>TGA</w:t>
      </w:r>
      <w:r>
        <w:t xml:space="preserve">. </w:t>
      </w:r>
    </w:p>
    <w:p w:rsidR="00122FF9" w:rsidRPr="00122FF9" w:rsidRDefault="00122FF9" w:rsidP="00122FF9">
      <w:pPr>
        <w:pStyle w:val="Heading4"/>
      </w:pPr>
      <w:bookmarkStart w:id="90" w:name="_Toc347931823"/>
      <w:r w:rsidRPr="00122FF9">
        <w:t>Evaluator’s conclusions on clinical efficacy for Change 2</w:t>
      </w:r>
      <w:bookmarkEnd w:id="90"/>
    </w:p>
    <w:p w:rsidR="00122FF9" w:rsidRPr="00122FF9" w:rsidRDefault="00122FF9" w:rsidP="00122FF9">
      <w:r w:rsidRPr="00122FF9">
        <w:t xml:space="preserve">The data presented for Change 2 were primarily intended as safety data. The efficacy data are difficult to interpret in the absence of a control group. There appears to be a loss of efficacy over the second year of treatment but this most likely reflects the natural history of </w:t>
      </w:r>
      <w:r w:rsidR="00F44B1A">
        <w:t xml:space="preserve">T1DM </w:t>
      </w:r>
      <w:r w:rsidRPr="00122FF9">
        <w:t>in a paediatric clinical trial population.</w:t>
      </w:r>
    </w:p>
    <w:p w:rsidR="00122FF9" w:rsidRPr="00122FF9" w:rsidRDefault="00122FF9" w:rsidP="00122FF9">
      <w:pPr>
        <w:pStyle w:val="Heading4"/>
      </w:pPr>
      <w:bookmarkStart w:id="91" w:name="_Toc347931824"/>
      <w:bookmarkStart w:id="92" w:name="_Toc381805755"/>
      <w:r w:rsidRPr="00122FF9">
        <w:t>Change 3</w:t>
      </w:r>
      <w:bookmarkEnd w:id="91"/>
      <w:bookmarkEnd w:id="92"/>
      <w:r w:rsidR="00F96D60">
        <w:t>:</w:t>
      </w:r>
    </w:p>
    <w:p w:rsidR="00122FF9" w:rsidRPr="00122FF9" w:rsidRDefault="00122FF9" w:rsidP="00122FF9">
      <w:pPr>
        <w:pStyle w:val="Heading5"/>
      </w:pPr>
      <w:bookmarkStart w:id="93" w:name="_Toc347931825"/>
      <w:r w:rsidRPr="00122FF9">
        <w:t>Study NN304-1687</w:t>
      </w:r>
      <w:bookmarkEnd w:id="93"/>
    </w:p>
    <w:p w:rsidR="00122FF9" w:rsidRDefault="00122FF9" w:rsidP="00122FF9">
      <w:r w:rsidRPr="00122FF9">
        <w:t xml:space="preserve">Study NN304-1687 was a multicentre, open label, randomised, parallel group efficacy and safety study to compare detemir with NPH insulin, in combination with insulin aspart </w:t>
      </w:r>
      <w:r w:rsidR="002801FB">
        <w:t>(rys) (IAsp)</w:t>
      </w:r>
      <w:r w:rsidRPr="00122FF9">
        <w:t>as bolus insulin, in the treatment of pregnant women with T1DM. The study was conducted at 79 sites in 17 countries from May 2007 to August 2010.</w:t>
      </w:r>
    </w:p>
    <w:p w:rsidR="00122FF9" w:rsidRPr="00122FF9" w:rsidRDefault="00122FF9" w:rsidP="00122FF9">
      <w:pPr>
        <w:pStyle w:val="Heading4"/>
      </w:pPr>
      <w:bookmarkStart w:id="94" w:name="_Ref271126605"/>
      <w:bookmarkStart w:id="95" w:name="_Toc272414657"/>
      <w:bookmarkStart w:id="96" w:name="_Toc290846282"/>
      <w:bookmarkStart w:id="97" w:name="_Toc347931826"/>
      <w:r w:rsidRPr="00122FF9">
        <w:t xml:space="preserve">Evaluator’s conclusions on clinical efficacy for </w:t>
      </w:r>
      <w:bookmarkEnd w:id="94"/>
      <w:bookmarkEnd w:id="95"/>
      <w:bookmarkEnd w:id="96"/>
      <w:r w:rsidRPr="00122FF9">
        <w:t>Change 3</w:t>
      </w:r>
      <w:bookmarkEnd w:id="97"/>
    </w:p>
    <w:p w:rsidR="00122FF9" w:rsidRPr="00122FF9" w:rsidRDefault="00122FF9" w:rsidP="00122FF9">
      <w:r w:rsidRPr="00122FF9">
        <w:t xml:space="preserve">Insulin detemir has similar efficacy to NPH in the management of diabetes during pregnancy. </w:t>
      </w:r>
    </w:p>
    <w:p w:rsidR="008E7846" w:rsidRPr="002E238E" w:rsidRDefault="008E7846" w:rsidP="00C916DC">
      <w:pPr>
        <w:pStyle w:val="Heading3"/>
      </w:pPr>
      <w:bookmarkStart w:id="98" w:name="_Toc163441378"/>
      <w:bookmarkStart w:id="99" w:name="_Toc196046495"/>
      <w:bookmarkStart w:id="100" w:name="_Toc247691522"/>
      <w:bookmarkStart w:id="101" w:name="_Toc314842505"/>
      <w:bookmarkStart w:id="102" w:name="_Toc383771046"/>
      <w:bookmarkEnd w:id="77"/>
      <w:bookmarkEnd w:id="78"/>
      <w:bookmarkEnd w:id="79"/>
      <w:bookmarkEnd w:id="80"/>
      <w:r w:rsidRPr="002E238E">
        <w:lastRenderedPageBreak/>
        <w:t>Safety</w:t>
      </w:r>
      <w:bookmarkEnd w:id="98"/>
      <w:bookmarkEnd w:id="99"/>
      <w:bookmarkEnd w:id="100"/>
      <w:bookmarkEnd w:id="101"/>
      <w:bookmarkEnd w:id="102"/>
    </w:p>
    <w:p w:rsidR="005D3425" w:rsidRPr="005D3425" w:rsidRDefault="005D3425" w:rsidP="00C916DC">
      <w:pPr>
        <w:pStyle w:val="Heading4"/>
      </w:pPr>
      <w:bookmarkStart w:id="103" w:name="_Toc272414659"/>
      <w:bookmarkStart w:id="104" w:name="_Toc290846284"/>
      <w:bookmarkStart w:id="105" w:name="_Toc347931828"/>
      <w:bookmarkStart w:id="106" w:name="_Toc381805757"/>
      <w:bookmarkStart w:id="107" w:name="_Toc184440288"/>
      <w:bookmarkStart w:id="108" w:name="_Toc184444666"/>
      <w:bookmarkStart w:id="109" w:name="_Toc196046496"/>
      <w:r w:rsidRPr="005D3425">
        <w:t>Studies providing evaluable safety data</w:t>
      </w:r>
      <w:bookmarkEnd w:id="103"/>
      <w:bookmarkEnd w:id="104"/>
      <w:bookmarkEnd w:id="105"/>
      <w:bookmarkEnd w:id="106"/>
    </w:p>
    <w:p w:rsidR="005D3425" w:rsidRPr="005D3425" w:rsidRDefault="005D3425" w:rsidP="005D3425">
      <w:pPr>
        <w:autoSpaceDE w:val="0"/>
        <w:autoSpaceDN w:val="0"/>
        <w:adjustRightInd w:val="0"/>
      </w:pPr>
      <w:bookmarkStart w:id="110" w:name="_Ref268776745"/>
      <w:r w:rsidRPr="005D3425">
        <w:t>Evaluable safety data were available from all the clinical studies. These were:</w:t>
      </w:r>
    </w:p>
    <w:p w:rsidR="005D3425" w:rsidRPr="005D3425" w:rsidRDefault="005D3425" w:rsidP="005D3425">
      <w:pPr>
        <w:numPr>
          <w:ilvl w:val="0"/>
          <w:numId w:val="21"/>
        </w:numPr>
        <w:autoSpaceDE w:val="0"/>
        <w:autoSpaceDN w:val="0"/>
        <w:adjustRightInd w:val="0"/>
      </w:pPr>
      <w:r w:rsidRPr="005D3425">
        <w:t>Change 1: Study NN2211-3673 (PK/PD), Study NN2211-1842 (efficacy and safety), and Study NN2211-1842-extension (long-term safety).</w:t>
      </w:r>
    </w:p>
    <w:p w:rsidR="005D3425" w:rsidRPr="005D3425" w:rsidRDefault="005D3425" w:rsidP="005D3425">
      <w:pPr>
        <w:numPr>
          <w:ilvl w:val="0"/>
          <w:numId w:val="21"/>
        </w:numPr>
        <w:autoSpaceDE w:val="0"/>
        <w:autoSpaceDN w:val="0"/>
        <w:adjustRightInd w:val="0"/>
      </w:pPr>
      <w:r w:rsidRPr="005D3425">
        <w:t>Change 2: Study NN304-1690 (long-term open label safety in children)</w:t>
      </w:r>
    </w:p>
    <w:p w:rsidR="005D3425" w:rsidRDefault="005D3425" w:rsidP="005D3425">
      <w:pPr>
        <w:numPr>
          <w:ilvl w:val="0"/>
          <w:numId w:val="21"/>
        </w:numPr>
        <w:autoSpaceDE w:val="0"/>
        <w:autoSpaceDN w:val="0"/>
        <w:adjustRightInd w:val="0"/>
      </w:pPr>
      <w:r w:rsidRPr="005D3425">
        <w:t>Change 3: Study NN304-1687 (efficacy and safety in pregnancy)</w:t>
      </w:r>
    </w:p>
    <w:p w:rsidR="005D3425" w:rsidRPr="00E61C31" w:rsidRDefault="005D3425" w:rsidP="00C916DC">
      <w:pPr>
        <w:pStyle w:val="Heading4"/>
      </w:pPr>
      <w:bookmarkStart w:id="111" w:name="_Toc241374318"/>
      <w:bookmarkStart w:id="112" w:name="_Ref271196630"/>
      <w:bookmarkStart w:id="113" w:name="_Toc272414662"/>
      <w:bookmarkStart w:id="114" w:name="_Toc290846300"/>
      <w:bookmarkStart w:id="115" w:name="_Toc347931830"/>
      <w:bookmarkStart w:id="116" w:name="_Toc381805759"/>
      <w:r w:rsidRPr="00E61C31">
        <w:t>Patient exposure</w:t>
      </w:r>
      <w:bookmarkEnd w:id="111"/>
      <w:bookmarkEnd w:id="112"/>
      <w:bookmarkEnd w:id="113"/>
      <w:bookmarkEnd w:id="114"/>
      <w:bookmarkEnd w:id="115"/>
      <w:bookmarkEnd w:id="116"/>
    </w:p>
    <w:p w:rsidR="005D3425" w:rsidRPr="00E91DCB" w:rsidRDefault="005D3425" w:rsidP="005D3425">
      <w:pPr>
        <w:rPr>
          <w:b/>
        </w:rPr>
      </w:pPr>
      <w:r w:rsidRPr="00E91DCB">
        <w:rPr>
          <w:b/>
        </w:rPr>
        <w:t>Change 1:</w:t>
      </w:r>
    </w:p>
    <w:p w:rsidR="005D3425" w:rsidRPr="00E91DCB" w:rsidRDefault="005D3425" w:rsidP="005D3425">
      <w:pPr>
        <w:spacing w:before="240"/>
      </w:pPr>
      <w:r w:rsidRPr="00E91DCB">
        <w:t xml:space="preserve">In </w:t>
      </w:r>
      <w:r>
        <w:t xml:space="preserve">Study NN2211-3673 </w:t>
      </w:r>
      <w:r w:rsidRPr="00E91DCB">
        <w:t xml:space="preserve">there were 32 subjects exposed to a single dose of detemir 0.5 U/kg in combination with liraglutide 1.8 mg during a PK/PD study. </w:t>
      </w:r>
    </w:p>
    <w:p w:rsidR="005D3425" w:rsidRPr="00E91DCB" w:rsidRDefault="005D3425" w:rsidP="005D3425">
      <w:r w:rsidRPr="00E91DCB">
        <w:t>In Study NN2211-1842 there were 162 subjects exposed to detemir in combination with liraglutide and metf</w:t>
      </w:r>
      <w:r>
        <w:t>o</w:t>
      </w:r>
      <w:r w:rsidRPr="00E91DCB">
        <w:t>rmin for up to 26 weeks. The median duration of exposure was 182.5 days. In the extension study, Study NN2211-1842-extension, 140 subjects from the detemir group and that had completed 26 weeks treatment were included. Of these, 130 subjects completed the 52 weeks of treatment. The total patient year exposure</w:t>
      </w:r>
      <w:r w:rsidR="00306F23">
        <w:t>s</w:t>
      </w:r>
      <w:r w:rsidRPr="00E91DCB">
        <w:t xml:space="preserve"> to detemir in this study was 144.5 years.</w:t>
      </w:r>
    </w:p>
    <w:p w:rsidR="005D3425" w:rsidRPr="00E91DCB" w:rsidRDefault="005D3425" w:rsidP="005D3425">
      <w:pPr>
        <w:rPr>
          <w:b/>
        </w:rPr>
      </w:pPr>
      <w:r w:rsidRPr="00E91DCB">
        <w:rPr>
          <w:b/>
        </w:rPr>
        <w:t>Change 2:</w:t>
      </w:r>
    </w:p>
    <w:p w:rsidR="005D3425" w:rsidRPr="00E61C31" w:rsidRDefault="005D3425" w:rsidP="005D3425">
      <w:r w:rsidRPr="00E91DCB">
        <w:t xml:space="preserve">In Study NN304-1690 there were 146 subjects exposed to detemir for up to one year. There were 37 subjects aged </w:t>
      </w:r>
      <w:r>
        <w:t>two</w:t>
      </w:r>
      <w:r w:rsidRPr="00E91DCB">
        <w:t xml:space="preserve"> to </w:t>
      </w:r>
      <w:r>
        <w:t>five</w:t>
      </w:r>
      <w:r w:rsidRPr="00E91DCB">
        <w:t xml:space="preserve"> years, 59 aged </w:t>
      </w:r>
      <w:r>
        <w:t>six</w:t>
      </w:r>
      <w:r w:rsidRPr="00E91DCB">
        <w:t xml:space="preserve"> to 12 years and 50 aged 13 to 16 years. There were 105 subjects exposed to detemir</w:t>
      </w:r>
      <w:r w:rsidRPr="00E61C31">
        <w:rPr>
          <w:rFonts w:eastAsia="TimesNewRoman"/>
        </w:rPr>
        <w:t xml:space="preserve"> for a total duration of 104 weeks in the original and extension studies. At the end of the study the median (range) daily dose of detemir was 0.61 (0.09 to 1.63) U/kg.</w:t>
      </w:r>
    </w:p>
    <w:p w:rsidR="005D3425" w:rsidRPr="00E91DCB" w:rsidRDefault="005D3425" w:rsidP="005D3425">
      <w:pPr>
        <w:rPr>
          <w:b/>
        </w:rPr>
      </w:pPr>
      <w:r w:rsidRPr="00E91DCB">
        <w:rPr>
          <w:b/>
        </w:rPr>
        <w:t>Change 3:</w:t>
      </w:r>
    </w:p>
    <w:p w:rsidR="005D3425" w:rsidRDefault="005D3425" w:rsidP="005D3425">
      <w:r w:rsidRPr="00E91DCB">
        <w:t>In Study NN304-1687 there were 152 subjects exposed to detemir during pregnancy, corresponding to 119.4 subject year exposure</w:t>
      </w:r>
      <w:r w:rsidR="006D776D">
        <w:t>s</w:t>
      </w:r>
      <w:r w:rsidRPr="00E91DCB">
        <w:t>. The mean duration of exposure during pregnancy was 6.5 months.</w:t>
      </w:r>
    </w:p>
    <w:p w:rsidR="005D3425" w:rsidRPr="005D3425" w:rsidRDefault="005D3425" w:rsidP="00C916DC">
      <w:pPr>
        <w:pStyle w:val="Heading4"/>
      </w:pPr>
      <w:bookmarkStart w:id="117" w:name="_Toc241374320"/>
      <w:bookmarkStart w:id="118" w:name="_Ref272333507"/>
      <w:bookmarkStart w:id="119" w:name="_Toc272414666"/>
      <w:bookmarkStart w:id="120" w:name="_Toc290846304"/>
      <w:bookmarkStart w:id="121" w:name="_Toc347931834"/>
      <w:r w:rsidRPr="005D3425">
        <w:t>Deaths and other serious adverse events</w:t>
      </w:r>
      <w:bookmarkEnd w:id="117"/>
      <w:bookmarkEnd w:id="118"/>
      <w:bookmarkEnd w:id="119"/>
      <w:bookmarkEnd w:id="120"/>
      <w:bookmarkEnd w:id="121"/>
    </w:p>
    <w:p w:rsidR="005D3425" w:rsidRPr="005D3425" w:rsidRDefault="005D3425" w:rsidP="005D3425">
      <w:pPr>
        <w:autoSpaceDE w:val="0"/>
        <w:autoSpaceDN w:val="0"/>
        <w:adjustRightInd w:val="0"/>
        <w:rPr>
          <w:b/>
        </w:rPr>
      </w:pPr>
      <w:r w:rsidRPr="005D3425">
        <w:rPr>
          <w:b/>
        </w:rPr>
        <w:t>Change 1:</w:t>
      </w:r>
    </w:p>
    <w:p w:rsidR="005D3425" w:rsidRPr="005D3425" w:rsidRDefault="005D3425" w:rsidP="005D3425">
      <w:pPr>
        <w:autoSpaceDE w:val="0"/>
        <w:autoSpaceDN w:val="0"/>
        <w:adjustRightInd w:val="0"/>
      </w:pPr>
      <w:r w:rsidRPr="005D3425">
        <w:t xml:space="preserve">In Study NN2211-3673 there were no deaths or </w:t>
      </w:r>
      <w:r w:rsidR="00227614">
        <w:t>serious adverse events (</w:t>
      </w:r>
      <w:r w:rsidRPr="005D3425">
        <w:t>SAEs</w:t>
      </w:r>
      <w:r w:rsidR="00227614">
        <w:t>)</w:t>
      </w:r>
      <w:r w:rsidRPr="005D3425">
        <w:t>.</w:t>
      </w:r>
    </w:p>
    <w:p w:rsidR="00A41874" w:rsidRPr="00A41874" w:rsidRDefault="005D3425" w:rsidP="00A41874">
      <w:pPr>
        <w:autoSpaceDE w:val="0"/>
        <w:autoSpaceDN w:val="0"/>
        <w:adjustRightInd w:val="0"/>
      </w:pPr>
      <w:r w:rsidRPr="005D3425">
        <w:t>In Study NN2211-1842, there were no deaths reported during the main period of the trial (to Week 26) but there were two deaths in the control groups (treated with liraglutide and metformin): bronchogenic cancer, gall bladder cancer. There were 21 SAEs reported in 17 (10.4%) subjects in the detemir group and 16 in eleven (6.9%) in the control. There was no clear pattern to the SAEs to Week 26</w:t>
      </w:r>
      <w:r w:rsidR="00227614">
        <w:t>.</w:t>
      </w:r>
      <w:r w:rsidR="00A41874">
        <w:t xml:space="preserve"> </w:t>
      </w:r>
      <w:r w:rsidR="00A41874" w:rsidRPr="00A41874">
        <w:t xml:space="preserve">Chronic pancreatitis was reported in one subject in the control group. In the extension study there were four subjects in the detemir group with neoplasia, but none in the control. </w:t>
      </w:r>
    </w:p>
    <w:p w:rsidR="00A41874" w:rsidRPr="00A41874" w:rsidRDefault="00A41874" w:rsidP="00A41874">
      <w:pPr>
        <w:autoSpaceDE w:val="0"/>
        <w:autoSpaceDN w:val="0"/>
        <w:adjustRightInd w:val="0"/>
        <w:rPr>
          <w:b/>
        </w:rPr>
      </w:pPr>
      <w:r w:rsidRPr="00A41874">
        <w:rPr>
          <w:b/>
        </w:rPr>
        <w:t>Change 2:</w:t>
      </w:r>
    </w:p>
    <w:p w:rsidR="00A41874" w:rsidRPr="00A41874" w:rsidRDefault="00A41874" w:rsidP="00A41874">
      <w:pPr>
        <w:autoSpaceDE w:val="0"/>
        <w:autoSpaceDN w:val="0"/>
        <w:adjustRightInd w:val="0"/>
      </w:pPr>
      <w:r w:rsidRPr="00A41874">
        <w:t xml:space="preserve">In Study NN304-1690, there were no deaths reported during the study. There were 17 SAEs reported in 116 (79.5%) subjects in the combined population including four in three (8.1%) subjects in the </w:t>
      </w:r>
      <w:r w:rsidR="00227614">
        <w:t xml:space="preserve">two </w:t>
      </w:r>
      <w:r w:rsidRPr="00A41874">
        <w:t xml:space="preserve">to </w:t>
      </w:r>
      <w:r w:rsidR="00227614">
        <w:t>five</w:t>
      </w:r>
      <w:r w:rsidRPr="00A41874">
        <w:t xml:space="preserve"> year age group, nine in six (10.2%) in the </w:t>
      </w:r>
      <w:r w:rsidR="00227614">
        <w:t>six</w:t>
      </w:r>
      <w:r w:rsidRPr="00A41874">
        <w:t xml:space="preserve"> to 12 year and four in three (6.0%) in the 13 to 16 year. The overall rate of SAEs was 5.9/100 </w:t>
      </w:r>
      <w:r w:rsidRPr="00A41874">
        <w:lastRenderedPageBreak/>
        <w:t xml:space="preserve">exposure years, in the </w:t>
      </w:r>
      <w:r w:rsidR="00227614">
        <w:t>two</w:t>
      </w:r>
      <w:r w:rsidRPr="00A41874">
        <w:t xml:space="preserve"> to </w:t>
      </w:r>
      <w:r w:rsidR="00227614">
        <w:t>five</w:t>
      </w:r>
      <w:r w:rsidRPr="00A41874">
        <w:t xml:space="preserve"> year group 5.5/100 exposure years, in the </w:t>
      </w:r>
      <w:r w:rsidR="00227614">
        <w:t>six</w:t>
      </w:r>
      <w:r w:rsidRPr="00A41874">
        <w:t xml:space="preserve"> to 12 year group 7.7/100 patient years exposure and in the 13 to 16 year group 4.1/100 patient years exposure. There were three subjects with ketoacidosis and two with </w:t>
      </w:r>
      <w:r w:rsidR="00227614" w:rsidRPr="00A41874">
        <w:t>hypoglycaemia.</w:t>
      </w:r>
    </w:p>
    <w:p w:rsidR="00A41874" w:rsidRPr="00A41874" w:rsidRDefault="00A41874" w:rsidP="00A41874">
      <w:pPr>
        <w:autoSpaceDE w:val="0"/>
        <w:autoSpaceDN w:val="0"/>
        <w:adjustRightInd w:val="0"/>
        <w:rPr>
          <w:b/>
        </w:rPr>
      </w:pPr>
      <w:r w:rsidRPr="00A41874">
        <w:rPr>
          <w:b/>
        </w:rPr>
        <w:t>Change 3:</w:t>
      </w:r>
    </w:p>
    <w:p w:rsidR="00A41874" w:rsidRPr="00A41874" w:rsidRDefault="00A41874" w:rsidP="00A41874">
      <w:pPr>
        <w:autoSpaceDE w:val="0"/>
        <w:autoSpaceDN w:val="0"/>
        <w:adjustRightInd w:val="0"/>
      </w:pPr>
      <w:r w:rsidRPr="00A41874">
        <w:t>In Study NN304-1687 there were no maternal deaths. There were three perinatal deaths: two in the detemir group (stillbirth, intrauterine death) and one in the NPH (Dandy-Walker malformation/pulmonary hypoplasia). In addition there were two early pregnancy losses: one in the detemir group (intrauterine death) and one in the NPH (spontaneous abortion). There were 94 SAEs reported in 61 (40.1%) maternal subjects in the detemir group (corresponding to an event rate of 114.1/100 exposure years) and 76 in 49 (31.0%) in the NPH (corresponding to an event rate of 88.1/100 exposure years). There was a higher rate of spontaneous abortion in the detemir group: eight (5.3%) subjects compared with four (2.5%) in the NPH; and also of pre-eclampsia: eight (5.3%) subjects compared with one (0.6%) in the NPH.</w:t>
      </w:r>
    </w:p>
    <w:p w:rsidR="00A41874" w:rsidRPr="00A41874" w:rsidRDefault="00A41874" w:rsidP="00A41874">
      <w:pPr>
        <w:autoSpaceDE w:val="0"/>
        <w:autoSpaceDN w:val="0"/>
        <w:adjustRightInd w:val="0"/>
      </w:pPr>
      <w:r w:rsidRPr="00A41874">
        <w:t>In the neonatal population, there were 51 SAEs reported in 36 (23.7%) subjects in the detemir group and 53 in 32 (20.3%) in the NPH. The pattern of SAEs in neonates was similar for the two treatment groups.</w:t>
      </w:r>
      <w:r>
        <w:t xml:space="preserve"> </w:t>
      </w:r>
      <w:r w:rsidRPr="00A41874">
        <w:t>The rates and patterns of congenital malformations for both populations were consistent with the known patterns of malformations in infants of diabetic mothers.</w:t>
      </w:r>
    </w:p>
    <w:p w:rsidR="00C916DC" w:rsidRPr="00C916DC" w:rsidRDefault="00C916DC" w:rsidP="00C916DC">
      <w:pPr>
        <w:pStyle w:val="Heading4"/>
      </w:pPr>
      <w:bookmarkStart w:id="122" w:name="_Toc241374328"/>
      <w:bookmarkStart w:id="123" w:name="_Toc272414691"/>
      <w:bookmarkStart w:id="124" w:name="_Toc290846329"/>
      <w:bookmarkStart w:id="125" w:name="_Toc347931849"/>
      <w:bookmarkStart w:id="126" w:name="_Toc381805763"/>
      <w:r w:rsidRPr="00C916DC">
        <w:t>Evaluator’s overall conclusions on clinical safety</w:t>
      </w:r>
      <w:bookmarkEnd w:id="122"/>
      <w:bookmarkEnd w:id="123"/>
      <w:bookmarkEnd w:id="124"/>
      <w:bookmarkEnd w:id="125"/>
      <w:bookmarkEnd w:id="126"/>
    </w:p>
    <w:p w:rsidR="00C916DC" w:rsidRPr="00C916DC" w:rsidRDefault="00C916DC" w:rsidP="00C916DC">
      <w:pPr>
        <w:autoSpaceDE w:val="0"/>
        <w:autoSpaceDN w:val="0"/>
        <w:adjustRightInd w:val="0"/>
      </w:pPr>
      <w:r w:rsidRPr="00C916DC">
        <w:rPr>
          <w:b/>
        </w:rPr>
        <w:t>Change 1</w:t>
      </w:r>
      <w:r w:rsidRPr="00C916DC">
        <w:t>:</w:t>
      </w:r>
    </w:p>
    <w:p w:rsidR="00C916DC" w:rsidRPr="00C916DC" w:rsidRDefault="00C916DC" w:rsidP="00C916DC">
      <w:pPr>
        <w:autoSpaceDE w:val="0"/>
        <w:autoSpaceDN w:val="0"/>
        <w:adjustRightInd w:val="0"/>
      </w:pPr>
      <w:r w:rsidRPr="00C916DC">
        <w:t xml:space="preserve">The rate of </w:t>
      </w:r>
      <w:r w:rsidR="00227614">
        <w:t>t</w:t>
      </w:r>
      <w:r w:rsidR="00227614" w:rsidRPr="00E3564D">
        <w:t>reatment-emergent adverse event</w:t>
      </w:r>
      <w:r w:rsidR="00227614">
        <w:t>s</w:t>
      </w:r>
      <w:r w:rsidR="00227614" w:rsidRPr="00C916DC">
        <w:t xml:space="preserve"> </w:t>
      </w:r>
      <w:r w:rsidR="00227614">
        <w:t>(</w:t>
      </w:r>
      <w:r w:rsidRPr="00C916DC">
        <w:t>TEAEs</w:t>
      </w:r>
      <w:r w:rsidR="00227614">
        <w:t>)</w:t>
      </w:r>
      <w:r w:rsidRPr="00C916DC">
        <w:t xml:space="preserve"> with detemir in combination with liraglutide and metformin was similar to that for liraglutide and metformin. There were no deaths in the detemir treated patients. More subjects were reported with neoplasia in the detemir group in the extension study but there was no apparent pattern to this. The rates of </w:t>
      </w:r>
      <w:r w:rsidR="00227614">
        <w:t>a</w:t>
      </w:r>
      <w:r w:rsidR="00227614" w:rsidRPr="00072313">
        <w:t>dverse event leading to discontinuation</w:t>
      </w:r>
      <w:r w:rsidR="00227614" w:rsidRPr="00C916DC">
        <w:t xml:space="preserve"> </w:t>
      </w:r>
      <w:r w:rsidR="00227614">
        <w:t>(</w:t>
      </w:r>
      <w:r w:rsidRPr="00C916DC">
        <w:t>DAE</w:t>
      </w:r>
      <w:r w:rsidR="00227614">
        <w:t>)</w:t>
      </w:r>
      <w:r w:rsidRPr="00C916DC">
        <w:t xml:space="preserve"> were similar for detemir and control. To Week 52, elevated lipase was reported at a greater rate in the detemir group than in the control: 26 (16.0%) subjects in the detemir group compared with 16 (10.1%) in the control. Levels of antibodies to detemir increased through the study to 4.30 % B/T at Week 53. Minor hypoglycaemic events were more common with detemir than control: 21 (12.9%) subjects in the detemir group and four (2.5%) in the control. </w:t>
      </w:r>
    </w:p>
    <w:p w:rsidR="00C916DC" w:rsidRPr="00C916DC" w:rsidRDefault="00C916DC" w:rsidP="00C916DC">
      <w:pPr>
        <w:autoSpaceDE w:val="0"/>
        <w:autoSpaceDN w:val="0"/>
        <w:adjustRightInd w:val="0"/>
        <w:rPr>
          <w:b/>
        </w:rPr>
      </w:pPr>
      <w:r w:rsidRPr="00C916DC">
        <w:rPr>
          <w:b/>
        </w:rPr>
        <w:t>Change 2:</w:t>
      </w:r>
    </w:p>
    <w:p w:rsidR="00C916DC" w:rsidRPr="00C916DC" w:rsidRDefault="00C916DC" w:rsidP="00C916DC">
      <w:pPr>
        <w:autoSpaceDE w:val="0"/>
        <w:autoSpaceDN w:val="0"/>
        <w:adjustRightInd w:val="0"/>
      </w:pPr>
      <w:r w:rsidRPr="00C916DC">
        <w:t>The rate of TEAEs with detemir was not influenced by age and the profile was predominantly that expected for the paediatric age group alone. Treatment related TEAEs were as expected for insulins. The rate of SAEs was not affected by age group. The rate of hypoglycaemic events was similar for the three age groups.</w:t>
      </w:r>
    </w:p>
    <w:p w:rsidR="00C916DC" w:rsidRPr="00C916DC" w:rsidRDefault="00C916DC" w:rsidP="00C916DC">
      <w:pPr>
        <w:autoSpaceDE w:val="0"/>
        <w:autoSpaceDN w:val="0"/>
        <w:adjustRightInd w:val="0"/>
        <w:rPr>
          <w:b/>
        </w:rPr>
      </w:pPr>
      <w:r w:rsidRPr="00C916DC">
        <w:rPr>
          <w:b/>
        </w:rPr>
        <w:t>Change 3:</w:t>
      </w:r>
    </w:p>
    <w:p w:rsidR="00C916DC" w:rsidRPr="00C916DC" w:rsidRDefault="00C916DC" w:rsidP="00C916DC">
      <w:pPr>
        <w:autoSpaceDE w:val="0"/>
        <w:autoSpaceDN w:val="0"/>
        <w:adjustRightInd w:val="0"/>
      </w:pPr>
      <w:r w:rsidRPr="00C916DC">
        <w:t xml:space="preserve">The rates and patterns of TEAEs were similar for detemir and NPH for both mothers and infants. Treatment related TEAEs were similar for detemir and NPH. There were no maternal deaths. There were three perinatal deaths: two in the detemir group (stillbirth, intrauterine death) and one in the NPH (Dandy-Walker malformation/pulmonary hypoplasia). In addition there were two early pregnancy losses: one in the detemir group (intrauterine death) and one in the NPH (spontaneous abortion). There was a higher rate of spontaneous abortion in the detemir group: eight (5.3%) subjects compared with four (2.5%) in the NPH; and also of pre-eclampsia: eight (5.3%) subjects compared with one (0.6%) in the NPH. The rates of SAEs for infants were similar for detemir and NPH. The rates and patterns of congenital malformations for both populations were consistent with the known patterns of malformations in infants of diabetic mothers. DAE occurred at a </w:t>
      </w:r>
      <w:r w:rsidRPr="00C916DC">
        <w:lastRenderedPageBreak/>
        <w:t xml:space="preserve">higher rate in the detemir group: 13 (8.6%) subjects compared with six (3.8%) in the NPH. The rates of hypoglycaemia were similar for detemir and NPH. </w:t>
      </w:r>
    </w:p>
    <w:p w:rsidR="00C916DC" w:rsidRDefault="00C916DC" w:rsidP="00C916DC">
      <w:pPr>
        <w:autoSpaceDE w:val="0"/>
        <w:autoSpaceDN w:val="0"/>
        <w:adjustRightInd w:val="0"/>
      </w:pPr>
      <w:r w:rsidRPr="00C916DC">
        <w:t>Pregnancy outcome was slightly better in the NPH group. There were 128 (90.14%) live children at follow up in the detemir group and 135 (93.10%) in the NPH. This was not statistically significant (Chi</w:t>
      </w:r>
      <w:r w:rsidRPr="00227614">
        <w:rPr>
          <w:vertAlign w:val="superscript"/>
        </w:rPr>
        <w:t>2</w:t>
      </w:r>
      <w:r w:rsidRPr="00C916DC">
        <w:t xml:space="preserve"> Fisher</w:t>
      </w:r>
      <w:r w:rsidR="00227614">
        <w:t>’s exact test performed by the e</w:t>
      </w:r>
      <w:r w:rsidRPr="00C916DC">
        <w:t xml:space="preserve">valuator, p = 0.40). </w:t>
      </w:r>
    </w:p>
    <w:p w:rsidR="00C916DC" w:rsidRPr="00C916DC" w:rsidRDefault="00C916DC" w:rsidP="00C916DC">
      <w:pPr>
        <w:pStyle w:val="Heading3"/>
      </w:pPr>
      <w:bookmarkStart w:id="127" w:name="_Toc381805764"/>
      <w:bookmarkStart w:id="128" w:name="_Toc383771047"/>
      <w:r w:rsidRPr="00C916DC">
        <w:t>First round benefit-risk assessment</w:t>
      </w:r>
      <w:bookmarkEnd w:id="127"/>
      <w:bookmarkEnd w:id="128"/>
    </w:p>
    <w:p w:rsidR="00C916DC" w:rsidRPr="00C916DC" w:rsidRDefault="00C916DC" w:rsidP="00C916DC">
      <w:pPr>
        <w:pStyle w:val="Heading4"/>
      </w:pPr>
      <w:bookmarkStart w:id="129" w:name="_Toc236802592"/>
      <w:bookmarkStart w:id="130" w:name="_Toc241374331"/>
      <w:bookmarkStart w:id="131" w:name="_Ref272160836"/>
      <w:bookmarkStart w:id="132" w:name="_Toc272414693"/>
      <w:bookmarkStart w:id="133" w:name="_Toc290846331"/>
      <w:bookmarkStart w:id="134" w:name="_Toc347931851"/>
      <w:bookmarkStart w:id="135" w:name="_Toc381805765"/>
      <w:r w:rsidRPr="00C916DC">
        <w:t>First round assessment of benefits</w:t>
      </w:r>
      <w:bookmarkEnd w:id="129"/>
      <w:bookmarkEnd w:id="130"/>
      <w:bookmarkEnd w:id="131"/>
      <w:bookmarkEnd w:id="132"/>
      <w:bookmarkEnd w:id="133"/>
      <w:bookmarkEnd w:id="134"/>
      <w:bookmarkEnd w:id="135"/>
    </w:p>
    <w:p w:rsidR="00C916DC" w:rsidRPr="00B87649" w:rsidRDefault="00C916DC" w:rsidP="00B87649">
      <w:pPr>
        <w:pStyle w:val="Heading5"/>
        <w:rPr>
          <w:i w:val="0"/>
        </w:rPr>
      </w:pPr>
      <w:r w:rsidRPr="00B87649">
        <w:rPr>
          <w:i w:val="0"/>
        </w:rPr>
        <w:t>Change 1:</w:t>
      </w:r>
    </w:p>
    <w:p w:rsidR="00C916DC" w:rsidRPr="00C916DC" w:rsidRDefault="00C916DC" w:rsidP="00C916DC">
      <w:pPr>
        <w:autoSpaceDE w:val="0"/>
        <w:autoSpaceDN w:val="0"/>
        <w:adjustRightInd w:val="0"/>
      </w:pPr>
      <w:r w:rsidRPr="00C916DC">
        <w:t>Insulin detemir in combination with liraglutide and metformin resulted in an incremental decrease in mean HbA1c of 0.51% over 26 weeks. This is a clinically significant improvement in diabetes control. The improvement was maintained over a 52 week period. There was weight loss in the group treated with detemir, liraglutide and metformin in combination, but less than in those treated with liraglutide and metformin alone. The evaluator considers that the usual sequence of treatment would be liraglutide and metformin, with detemir added if patients were not adequately controlled on that combination.</w:t>
      </w:r>
    </w:p>
    <w:p w:rsidR="00C916DC" w:rsidRPr="00B87649" w:rsidRDefault="00C916DC" w:rsidP="00B87649">
      <w:pPr>
        <w:pStyle w:val="Heading5"/>
        <w:rPr>
          <w:i w:val="0"/>
        </w:rPr>
      </w:pPr>
      <w:r w:rsidRPr="00B87649">
        <w:rPr>
          <w:i w:val="0"/>
        </w:rPr>
        <w:t>Change 2:</w:t>
      </w:r>
    </w:p>
    <w:p w:rsidR="00C916DC" w:rsidRPr="00C916DC" w:rsidRDefault="00C916DC" w:rsidP="00C916DC">
      <w:pPr>
        <w:autoSpaceDE w:val="0"/>
        <w:autoSpaceDN w:val="0"/>
        <w:adjustRightInd w:val="0"/>
      </w:pPr>
      <w:r w:rsidRPr="00C916DC">
        <w:t xml:space="preserve">The data presented for Change 2 were primarily intended as safety data. The efficacy data are difficult to interpret in the absence of a control group. There appears to be a loss of efficacy over the second year of treatment but this most likely reflects the natural history of </w:t>
      </w:r>
      <w:r w:rsidR="00F44B1A">
        <w:t xml:space="preserve">T1DM </w:t>
      </w:r>
      <w:r w:rsidRPr="00C916DC">
        <w:t>in a paediatric clinical trial population.</w:t>
      </w:r>
    </w:p>
    <w:p w:rsidR="00C916DC" w:rsidRPr="00B87649" w:rsidRDefault="00C916DC" w:rsidP="00B87649">
      <w:pPr>
        <w:pStyle w:val="Heading5"/>
        <w:rPr>
          <w:i w:val="0"/>
        </w:rPr>
      </w:pPr>
      <w:r w:rsidRPr="00B87649">
        <w:rPr>
          <w:i w:val="0"/>
        </w:rPr>
        <w:t>Change 3:</w:t>
      </w:r>
    </w:p>
    <w:p w:rsidR="00C916DC" w:rsidRPr="00C916DC" w:rsidRDefault="00C916DC" w:rsidP="00C916DC">
      <w:pPr>
        <w:autoSpaceDE w:val="0"/>
        <w:autoSpaceDN w:val="0"/>
        <w:adjustRightInd w:val="0"/>
      </w:pPr>
      <w:r w:rsidRPr="00C916DC">
        <w:t xml:space="preserve">Insulin detemir has similar efficacy to NPH in the management of diabetes during pregnancy. </w:t>
      </w:r>
    </w:p>
    <w:p w:rsidR="00C916DC" w:rsidRPr="00C916DC" w:rsidRDefault="00C916DC" w:rsidP="00C916DC">
      <w:pPr>
        <w:pStyle w:val="Heading4"/>
      </w:pPr>
      <w:bookmarkStart w:id="136" w:name="_Toc236802596"/>
      <w:bookmarkStart w:id="137" w:name="_Toc241374334"/>
      <w:bookmarkStart w:id="138" w:name="_Ref272160964"/>
      <w:bookmarkStart w:id="139" w:name="_Toc272414694"/>
      <w:bookmarkStart w:id="140" w:name="_Toc290846332"/>
      <w:bookmarkStart w:id="141" w:name="_Toc347931852"/>
      <w:bookmarkStart w:id="142" w:name="_Toc381805766"/>
      <w:r w:rsidRPr="00C916DC">
        <w:t>First round assessment of risks</w:t>
      </w:r>
      <w:bookmarkEnd w:id="136"/>
      <w:bookmarkEnd w:id="137"/>
      <w:bookmarkEnd w:id="138"/>
      <w:bookmarkEnd w:id="139"/>
      <w:bookmarkEnd w:id="140"/>
      <w:bookmarkEnd w:id="141"/>
      <w:bookmarkEnd w:id="142"/>
    </w:p>
    <w:p w:rsidR="00C916DC" w:rsidRPr="00B87649" w:rsidRDefault="00C916DC" w:rsidP="00B87649">
      <w:pPr>
        <w:pStyle w:val="Heading5"/>
        <w:rPr>
          <w:i w:val="0"/>
        </w:rPr>
      </w:pPr>
      <w:r w:rsidRPr="00B87649">
        <w:rPr>
          <w:i w:val="0"/>
        </w:rPr>
        <w:t>Change 1:</w:t>
      </w:r>
    </w:p>
    <w:p w:rsidR="00C916DC" w:rsidRPr="00C916DC" w:rsidRDefault="00C916DC" w:rsidP="00C916DC">
      <w:r w:rsidRPr="00C916DC">
        <w:t xml:space="preserve">The rate of TEAEs with detemir in combination with liraglutide and metformin was similar to that for liraglutide and metformin. There were no deaths in the detemir treated patients. More subjects were reported with neoplasia in the detemir group in the extension study but there was no apparent pattern to this. The rates of DAE were similar for detemir and control. To Week 52, elevated lipase was reported at a greater rate in the detemir group than in the control: 26 (16.0%) subjects in the detemir group compared with 16 (10.1%) in the control. Levels of antibodies to detemir increased through the study to 4.30 % B/T at Week 53. Minor hypoglycaemic events were more common with detemir than control: 21 (12.9%) subjects in the detemir group and four (2.5%) in the control. </w:t>
      </w:r>
    </w:p>
    <w:p w:rsidR="00C916DC" w:rsidRPr="00B87649" w:rsidRDefault="00C916DC" w:rsidP="00B87649">
      <w:pPr>
        <w:pStyle w:val="Heading5"/>
        <w:rPr>
          <w:i w:val="0"/>
        </w:rPr>
      </w:pPr>
      <w:r w:rsidRPr="00B87649">
        <w:rPr>
          <w:i w:val="0"/>
        </w:rPr>
        <w:t>Change 2:</w:t>
      </w:r>
    </w:p>
    <w:p w:rsidR="00C916DC" w:rsidRPr="00C916DC" w:rsidRDefault="00C916DC" w:rsidP="00C916DC">
      <w:r w:rsidRPr="00C916DC">
        <w:t>The rate of TEAEs with detemir was not influenced by age and the profile was predominantly that expected for the paediatric age group alone. Treatment related TEAEs were as expected for insulins. The rate of SAEs was not affected by age group. The rate of hypoglycaemic events was similar for the three age groups.</w:t>
      </w:r>
    </w:p>
    <w:p w:rsidR="00C916DC" w:rsidRPr="00B87649" w:rsidRDefault="00C916DC" w:rsidP="00B87649">
      <w:pPr>
        <w:pStyle w:val="Heading5"/>
        <w:rPr>
          <w:i w:val="0"/>
        </w:rPr>
      </w:pPr>
      <w:r w:rsidRPr="00B87649">
        <w:rPr>
          <w:i w:val="0"/>
        </w:rPr>
        <w:t>Change 3:</w:t>
      </w:r>
    </w:p>
    <w:p w:rsidR="00C916DC" w:rsidRPr="00C916DC" w:rsidRDefault="00C916DC" w:rsidP="00C916DC">
      <w:r w:rsidRPr="00C916DC">
        <w:t xml:space="preserve">The rates and patterns of TEAEs were similar for detemir and NPH for both mothers and infants. Treatment related TEAEs were similar for detemir and NPH. There were no </w:t>
      </w:r>
      <w:r w:rsidRPr="00C916DC">
        <w:lastRenderedPageBreak/>
        <w:t xml:space="preserve">maternal deaths. There were three perinatal deaths: two in the detemir group (stillbirth, intrauterine death) and one in the NPH (Dandy-Walker malformation/pulmonary hypoplasia). In addition there were two early pregnancy losses: one in the detemir group (intrauterine death) and one in the NPH (spontaneous abortion). There was a higher rate of spontaneous abortion in the detemir group: eight (5.3%) subjects compared with four (2.5%) in the NPH; and also of pre-eclampsia: eight (5.3%) subjects compared with one (0.6%) in the NPH. The rates of SAEs for infants were similar for detemir and NPH. The rates and patterns of congenital malformations for both populations were consistent with the known patterns of malformations in infants of diabetic mothers. DAE occurred at a higher rate in the detemir group: 13 (8.6%) subjects compared with six (3.8%) in the NPH. The rates of hypoglycaemia overall and nocturnal hypoglycaemia were similar for detemir and NPH. </w:t>
      </w:r>
    </w:p>
    <w:p w:rsidR="00C916DC" w:rsidRPr="00C916DC" w:rsidRDefault="00C916DC" w:rsidP="00C916DC">
      <w:r w:rsidRPr="00C916DC">
        <w:t>Pregnancy outcome was slightly better in the NPH group. There were 128 (90.14%) live children at follow up in the detemir group and 135 (93.10%) in the NPH. This was not statistically significant (Chi</w:t>
      </w:r>
      <w:r w:rsidRPr="00D275F8">
        <w:rPr>
          <w:vertAlign w:val="superscript"/>
        </w:rPr>
        <w:t>2</w:t>
      </w:r>
      <w:r w:rsidRPr="00C916DC">
        <w:t xml:space="preserve"> Fisher’s exact test performed by the </w:t>
      </w:r>
      <w:r w:rsidR="00D275F8">
        <w:t>e</w:t>
      </w:r>
      <w:r w:rsidRPr="00C916DC">
        <w:t xml:space="preserve">valuator, p = 0.40). </w:t>
      </w:r>
    </w:p>
    <w:p w:rsidR="00C916DC" w:rsidRPr="00C916DC" w:rsidRDefault="00C916DC" w:rsidP="00C916DC">
      <w:pPr>
        <w:pStyle w:val="Heading4"/>
      </w:pPr>
      <w:bookmarkStart w:id="143" w:name="_Toc236802597"/>
      <w:bookmarkStart w:id="144" w:name="_Toc241374335"/>
      <w:bookmarkStart w:id="145" w:name="_Toc272414695"/>
      <w:bookmarkStart w:id="146" w:name="_Toc290846333"/>
      <w:bookmarkStart w:id="147" w:name="_Toc347931853"/>
      <w:bookmarkStart w:id="148" w:name="_Toc381805768"/>
      <w:r w:rsidRPr="00C916DC">
        <w:t>First round assessment of benefit-risk balance</w:t>
      </w:r>
      <w:bookmarkEnd w:id="143"/>
      <w:bookmarkEnd w:id="144"/>
      <w:bookmarkEnd w:id="145"/>
      <w:bookmarkEnd w:id="146"/>
      <w:bookmarkEnd w:id="147"/>
      <w:bookmarkEnd w:id="148"/>
    </w:p>
    <w:p w:rsidR="00C916DC" w:rsidRPr="00B87649" w:rsidRDefault="00C916DC" w:rsidP="00B87649">
      <w:pPr>
        <w:pStyle w:val="Heading5"/>
        <w:rPr>
          <w:i w:val="0"/>
        </w:rPr>
      </w:pPr>
      <w:r w:rsidRPr="00B87649">
        <w:rPr>
          <w:i w:val="0"/>
        </w:rPr>
        <w:t>Change 1:</w:t>
      </w:r>
    </w:p>
    <w:p w:rsidR="00C916DC" w:rsidRPr="00C916DC" w:rsidRDefault="00C916DC" w:rsidP="00C916DC">
      <w:r w:rsidRPr="00C916DC">
        <w:t>The benefit-risk balance of insulin detemir, given the proposed usage, is favourable.</w:t>
      </w:r>
    </w:p>
    <w:p w:rsidR="00C916DC" w:rsidRPr="00B87649" w:rsidRDefault="00C916DC" w:rsidP="00B87649">
      <w:pPr>
        <w:pStyle w:val="Heading5"/>
        <w:rPr>
          <w:i w:val="0"/>
        </w:rPr>
      </w:pPr>
      <w:r w:rsidRPr="00B87649">
        <w:rPr>
          <w:i w:val="0"/>
        </w:rPr>
        <w:t>Change 2:</w:t>
      </w:r>
    </w:p>
    <w:p w:rsidR="00C916DC" w:rsidRPr="00C916DC" w:rsidRDefault="00C916DC" w:rsidP="00C916DC">
      <w:r w:rsidRPr="00C916DC">
        <w:t>The benefit-risk balance of insulin detemir, given the proposed usage, is favourable.</w:t>
      </w:r>
    </w:p>
    <w:p w:rsidR="00C916DC" w:rsidRPr="00B87649" w:rsidRDefault="00C916DC" w:rsidP="00B87649">
      <w:pPr>
        <w:pStyle w:val="Heading5"/>
        <w:rPr>
          <w:i w:val="0"/>
        </w:rPr>
      </w:pPr>
      <w:r w:rsidRPr="00B87649">
        <w:rPr>
          <w:i w:val="0"/>
        </w:rPr>
        <w:t>Change 3:</w:t>
      </w:r>
    </w:p>
    <w:p w:rsidR="00C916DC" w:rsidRPr="00C916DC" w:rsidRDefault="00C916DC" w:rsidP="00C916DC">
      <w:r w:rsidRPr="00C916DC">
        <w:t>The benefit-risk balance of insulin detemir, given the proposed usage, is favourable.</w:t>
      </w:r>
    </w:p>
    <w:p w:rsidR="00C916DC" w:rsidRPr="00B87649" w:rsidRDefault="00C916DC" w:rsidP="00B87649">
      <w:pPr>
        <w:pStyle w:val="Heading5"/>
        <w:rPr>
          <w:i w:val="0"/>
        </w:rPr>
      </w:pPr>
      <w:r w:rsidRPr="00B87649">
        <w:rPr>
          <w:i w:val="0"/>
        </w:rPr>
        <w:t>Change 4:</w:t>
      </w:r>
    </w:p>
    <w:p w:rsidR="00C916DC" w:rsidRPr="00C916DC" w:rsidRDefault="00C916DC" w:rsidP="00C916DC">
      <w:r w:rsidRPr="00C916DC">
        <w:t>No data were presented for this proposed change as it relates to alignment of the PI with the CCDS.</w:t>
      </w:r>
    </w:p>
    <w:p w:rsidR="00C916DC" w:rsidRPr="00C916DC" w:rsidRDefault="00C916DC" w:rsidP="00C916DC">
      <w:pPr>
        <w:pStyle w:val="Heading4"/>
      </w:pPr>
      <w:bookmarkStart w:id="149" w:name="_Toc381805769"/>
      <w:r w:rsidRPr="00C916DC">
        <w:t>First round recommendation regarding authorisation</w:t>
      </w:r>
      <w:bookmarkEnd w:id="149"/>
    </w:p>
    <w:p w:rsidR="00C916DC" w:rsidRPr="00C916DC" w:rsidRDefault="00C916DC" w:rsidP="00C916DC">
      <w:r w:rsidRPr="00C916DC">
        <w:t xml:space="preserve">The </w:t>
      </w:r>
      <w:r w:rsidR="00D275F8">
        <w:t>e</w:t>
      </w:r>
      <w:r w:rsidRPr="00C916DC">
        <w:t>valuator recommends that the proposed changes to the conditions of registration for Levemir Flexpen</w:t>
      </w:r>
      <w:r w:rsidR="00D275F8">
        <w:t xml:space="preserve">, </w:t>
      </w:r>
      <w:r w:rsidRPr="00C916DC">
        <w:t>Levermir Penfill</w:t>
      </w:r>
      <w:r w:rsidR="00D275F8">
        <w:t xml:space="preserve"> and </w:t>
      </w:r>
      <w:r w:rsidRPr="00C916DC">
        <w:t>Levemir Innolet should be approved. The proposed changes are:</w:t>
      </w:r>
    </w:p>
    <w:p w:rsidR="00C916DC" w:rsidRPr="00C916DC" w:rsidRDefault="00C916DC" w:rsidP="00C916DC">
      <w:r w:rsidRPr="00C916DC">
        <w:rPr>
          <w:b/>
        </w:rPr>
        <w:t>Change 1</w:t>
      </w:r>
      <w:r w:rsidRPr="00C916DC">
        <w:t>: Update of the PI to include information on the use of Levemir (insulin detemir [rys]) as add-on therapy to Victoza</w:t>
      </w:r>
      <w:r>
        <w:t xml:space="preserve"> </w:t>
      </w:r>
      <w:r w:rsidRPr="00C916DC">
        <w:t>(liraglutide [rys]).</w:t>
      </w:r>
    </w:p>
    <w:p w:rsidR="00C916DC" w:rsidRPr="00C916DC" w:rsidRDefault="00C916DC" w:rsidP="00C916DC">
      <w:r w:rsidRPr="00C916DC">
        <w:rPr>
          <w:b/>
        </w:rPr>
        <w:t>Change 2:</w:t>
      </w:r>
      <w:r w:rsidRPr="00C916DC">
        <w:t xml:space="preserve"> Update of the PI to include safety data from long-term trials in use of Levemir in adolescents and children (from </w:t>
      </w:r>
      <w:r w:rsidR="00D275F8">
        <w:t>two</w:t>
      </w:r>
      <w:r w:rsidRPr="00C916DC">
        <w:t xml:space="preserve"> years old) with T1DM.</w:t>
      </w:r>
    </w:p>
    <w:p w:rsidR="00C916DC" w:rsidRPr="00C916DC" w:rsidRDefault="00C916DC" w:rsidP="00C916DC">
      <w:r w:rsidRPr="00C916DC">
        <w:rPr>
          <w:b/>
        </w:rPr>
        <w:t>Change 3</w:t>
      </w:r>
      <w:r w:rsidRPr="00C916DC">
        <w:t>: Update of the PI to allow use of Levemir in pregnancy.</w:t>
      </w:r>
    </w:p>
    <w:p w:rsidR="00C916DC" w:rsidRPr="00C916DC" w:rsidRDefault="00C916DC" w:rsidP="00C916DC">
      <w:r w:rsidRPr="00C916DC">
        <w:rPr>
          <w:b/>
        </w:rPr>
        <w:t>Change 4</w:t>
      </w:r>
      <w:r w:rsidRPr="00C916DC">
        <w:t>: Update of the PI to more closely align with the CCDS.</w:t>
      </w:r>
    </w:p>
    <w:p w:rsidR="008E7846" w:rsidRDefault="008E7846" w:rsidP="008E7846">
      <w:pPr>
        <w:pStyle w:val="Heading3"/>
      </w:pPr>
      <w:bookmarkStart w:id="150" w:name="_Toc255919423"/>
      <w:bookmarkStart w:id="151" w:name="_Toc241374329"/>
      <w:bookmarkStart w:id="152" w:name="_Toc270320087"/>
      <w:bookmarkStart w:id="153" w:name="_Toc314842506"/>
      <w:bookmarkStart w:id="154" w:name="_Toc383771048"/>
      <w:bookmarkStart w:id="155" w:name="_Toc163441387"/>
      <w:bookmarkEnd w:id="107"/>
      <w:bookmarkEnd w:id="108"/>
      <w:bookmarkEnd w:id="109"/>
      <w:bookmarkEnd w:id="110"/>
      <w:r>
        <w:t>List of questions</w:t>
      </w:r>
      <w:bookmarkEnd w:id="150"/>
      <w:bookmarkEnd w:id="151"/>
      <w:bookmarkEnd w:id="152"/>
      <w:bookmarkEnd w:id="153"/>
      <w:bookmarkEnd w:id="154"/>
    </w:p>
    <w:p w:rsidR="00C916DC" w:rsidRPr="00C916DC" w:rsidRDefault="00C916DC" w:rsidP="00C916DC">
      <w:r>
        <w:t>There are no questions</w:t>
      </w:r>
      <w:r w:rsidRPr="00C916DC">
        <w:t>.</w:t>
      </w:r>
    </w:p>
    <w:p w:rsidR="008E7846" w:rsidRPr="00E41208" w:rsidRDefault="008E7846" w:rsidP="008E7846">
      <w:pPr>
        <w:pStyle w:val="Heading2"/>
      </w:pPr>
      <w:bookmarkStart w:id="156" w:name="_Toc247691524"/>
      <w:bookmarkStart w:id="157" w:name="_Toc314842508"/>
      <w:bookmarkStart w:id="158" w:name="_Toc383771049"/>
      <w:bookmarkStart w:id="159" w:name="_Toc196046504"/>
      <w:bookmarkStart w:id="160" w:name="_Toc163441390"/>
      <w:bookmarkEnd w:id="155"/>
      <w:r w:rsidRPr="00E41208">
        <w:lastRenderedPageBreak/>
        <w:t xml:space="preserve">V. Pharmacovigilance </w:t>
      </w:r>
      <w:r>
        <w:t>f</w:t>
      </w:r>
      <w:r w:rsidRPr="00E41208">
        <w:t>indings</w:t>
      </w:r>
      <w:bookmarkEnd w:id="156"/>
      <w:bookmarkEnd w:id="157"/>
      <w:bookmarkEnd w:id="158"/>
    </w:p>
    <w:p w:rsidR="008E7846" w:rsidRDefault="00386150" w:rsidP="008E7846">
      <w:pPr>
        <w:pStyle w:val="Heading3"/>
        <w:rPr>
          <w:lang w:eastAsia="en-AU"/>
        </w:rPr>
      </w:pPr>
      <w:bookmarkStart w:id="161" w:name="_Toc247691526"/>
      <w:bookmarkStart w:id="162" w:name="_Toc314842509"/>
      <w:bookmarkStart w:id="163" w:name="_Toc383771050"/>
      <w:r>
        <w:rPr>
          <w:lang w:eastAsia="en-AU"/>
        </w:rPr>
        <w:t>Risk m</w:t>
      </w:r>
      <w:r w:rsidR="008E7846">
        <w:rPr>
          <w:lang w:eastAsia="en-AU"/>
        </w:rPr>
        <w:t xml:space="preserve">anagement </w:t>
      </w:r>
      <w:r>
        <w:rPr>
          <w:lang w:eastAsia="en-AU"/>
        </w:rPr>
        <w:t>p</w:t>
      </w:r>
      <w:r w:rsidR="008E7846">
        <w:rPr>
          <w:lang w:eastAsia="en-AU"/>
        </w:rPr>
        <w:t>lan</w:t>
      </w:r>
      <w:bookmarkEnd w:id="161"/>
      <w:bookmarkEnd w:id="162"/>
      <w:bookmarkEnd w:id="163"/>
    </w:p>
    <w:p w:rsidR="008E7846" w:rsidRDefault="008E7846" w:rsidP="008E7846">
      <w:pPr>
        <w:rPr>
          <w:lang w:eastAsia="en-AU"/>
        </w:rPr>
      </w:pPr>
      <w:r>
        <w:rPr>
          <w:lang w:eastAsia="en-AU"/>
        </w:rPr>
        <w:t xml:space="preserve">The sponsor submitted a Risk Management Plan </w:t>
      </w:r>
      <w:r w:rsidR="00CE11EA">
        <w:rPr>
          <w:lang w:eastAsia="en-AU"/>
        </w:rPr>
        <w:t xml:space="preserve">(RMP) </w:t>
      </w:r>
      <w:r>
        <w:rPr>
          <w:lang w:eastAsia="en-AU"/>
        </w:rPr>
        <w:t>which was reviewed by the TGA’s Office of Product Review (OPR).</w:t>
      </w:r>
    </w:p>
    <w:p w:rsidR="005B35CE" w:rsidRDefault="005B35CE" w:rsidP="005B35CE">
      <w:pPr>
        <w:rPr>
          <w:lang w:eastAsia="en-AU"/>
        </w:rPr>
      </w:pPr>
      <w:r>
        <w:rPr>
          <w:lang w:eastAsia="en-AU"/>
        </w:rPr>
        <w:t>EU-</w:t>
      </w:r>
      <w:r w:rsidRPr="00192C6D">
        <w:rPr>
          <w:lang w:eastAsia="en-AU"/>
        </w:rPr>
        <w:t xml:space="preserve">RMP </w:t>
      </w:r>
      <w:r>
        <w:rPr>
          <w:lang w:eastAsia="en-AU"/>
        </w:rPr>
        <w:t>Edition 15</w:t>
      </w:r>
      <w:r w:rsidRPr="00192C6D">
        <w:rPr>
          <w:lang w:eastAsia="en-AU"/>
        </w:rPr>
        <w:t xml:space="preserve"> (dated </w:t>
      </w:r>
      <w:r>
        <w:rPr>
          <w:lang w:eastAsia="en-AU"/>
        </w:rPr>
        <w:t>04/06/2012</w:t>
      </w:r>
      <w:r w:rsidRPr="00192C6D">
        <w:rPr>
          <w:lang w:eastAsia="en-AU"/>
        </w:rPr>
        <w:t xml:space="preserve">, DLP </w:t>
      </w:r>
      <w:r>
        <w:rPr>
          <w:lang w:eastAsia="en-AU"/>
        </w:rPr>
        <w:t>31/10/2010</w:t>
      </w:r>
      <w:r w:rsidRPr="00192C6D">
        <w:rPr>
          <w:lang w:eastAsia="en-AU"/>
        </w:rPr>
        <w:t xml:space="preserve">) with Safety Risk Management Plan Australian Implementation Version </w:t>
      </w:r>
      <w:r>
        <w:rPr>
          <w:lang w:eastAsia="en-AU"/>
        </w:rPr>
        <w:t>1</w:t>
      </w:r>
      <w:r w:rsidRPr="00192C6D">
        <w:rPr>
          <w:lang w:eastAsia="en-AU"/>
        </w:rPr>
        <w:t xml:space="preserve"> (dated </w:t>
      </w:r>
      <w:r>
        <w:rPr>
          <w:lang w:eastAsia="en-AU"/>
        </w:rPr>
        <w:t>11</w:t>
      </w:r>
      <w:r w:rsidRPr="00192C6D">
        <w:rPr>
          <w:lang w:eastAsia="en-AU"/>
        </w:rPr>
        <w:t>/09/2012)</w:t>
      </w:r>
      <w:r>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273C49" w:rsidRPr="00273C49" w:rsidRDefault="00273C49" w:rsidP="00273C49">
      <w:pPr>
        <w:rPr>
          <w:lang w:eastAsia="en-AU"/>
        </w:rPr>
      </w:pPr>
      <w:r w:rsidRPr="00273C49">
        <w:rPr>
          <w:lang w:eastAsia="en-AU"/>
        </w:rPr>
        <w:t>Subject to the evaluation of the non-clinical aspects of the Safety Specification (SS) by the Toxicology area of the OSE and the clinical aspects of the SS by the O</w:t>
      </w:r>
      <w:r w:rsidR="00D275F8">
        <w:rPr>
          <w:lang w:eastAsia="en-AU"/>
        </w:rPr>
        <w:t>ffice of Medicines Authorisation (O</w:t>
      </w:r>
      <w:r w:rsidRPr="00273C49">
        <w:rPr>
          <w:lang w:eastAsia="en-AU"/>
        </w:rPr>
        <w:t>MA</w:t>
      </w:r>
      <w:r w:rsidR="00D275F8">
        <w:rPr>
          <w:lang w:eastAsia="en-AU"/>
        </w:rPr>
        <w:t>)</w:t>
      </w:r>
      <w:r w:rsidRPr="00273C49">
        <w:rPr>
          <w:lang w:eastAsia="en-AU"/>
        </w:rPr>
        <w:t>, the summary of the Ongoing Safety Concerns as specified by the sponsor is as follows (Table</w:t>
      </w:r>
      <w:r w:rsidR="005A6C42">
        <w:rPr>
          <w:lang w:eastAsia="en-AU"/>
        </w:rPr>
        <w:t xml:space="preserve"> 2</w:t>
      </w:r>
      <w:r w:rsidRPr="00273C49">
        <w:rPr>
          <w:lang w:eastAsia="en-AU"/>
        </w:rPr>
        <w:t>):</w:t>
      </w:r>
    </w:p>
    <w:p w:rsidR="00273C49" w:rsidRDefault="00273C49" w:rsidP="00D275F8">
      <w:pPr>
        <w:pStyle w:val="TableTitle"/>
        <w:keepLines/>
        <w:rPr>
          <w:lang w:eastAsia="en-AU"/>
        </w:rPr>
      </w:pPr>
      <w:r w:rsidRPr="00273C49">
        <w:rPr>
          <w:lang w:eastAsia="en-AU"/>
        </w:rPr>
        <w:t xml:space="preserve">Table </w:t>
      </w:r>
      <w:r w:rsidR="005A6C42">
        <w:rPr>
          <w:lang w:eastAsia="en-AU"/>
        </w:rPr>
        <w:t>2</w:t>
      </w:r>
      <w:r w:rsidRPr="00273C49">
        <w:rPr>
          <w:lang w:eastAsia="en-AU"/>
        </w:rPr>
        <w:t xml:space="preserve"> Important identified and potential risks and missing information</w:t>
      </w:r>
    </w:p>
    <w:tbl>
      <w:tblPr>
        <w:tblStyle w:val="TableTGAblue"/>
        <w:tblW w:w="0" w:type="auto"/>
        <w:tblLook w:val="04A0" w:firstRow="1" w:lastRow="0" w:firstColumn="1" w:lastColumn="0" w:noHBand="0" w:noVBand="1"/>
      </w:tblPr>
      <w:tblGrid>
        <w:gridCol w:w="3306"/>
        <w:gridCol w:w="5307"/>
      </w:tblGrid>
      <w:tr w:rsidR="00273C49" w:rsidTr="007B74CF">
        <w:trPr>
          <w:cnfStyle w:val="100000000000" w:firstRow="1" w:lastRow="0" w:firstColumn="0" w:lastColumn="0" w:oddVBand="0" w:evenVBand="0" w:oddHBand="0" w:evenHBand="0" w:firstRowFirstColumn="0" w:firstRowLastColumn="0" w:lastRowFirstColumn="0" w:lastRowLastColumn="0"/>
        </w:trPr>
        <w:tc>
          <w:tcPr>
            <w:tcW w:w="3306" w:type="dxa"/>
          </w:tcPr>
          <w:p w:rsidR="00273C49" w:rsidRPr="007B74CF" w:rsidRDefault="00273C49" w:rsidP="00D275F8">
            <w:pPr>
              <w:keepLines/>
              <w:rPr>
                <w:sz w:val="20"/>
                <w:szCs w:val="20"/>
              </w:rPr>
            </w:pPr>
            <w:r w:rsidRPr="007B74CF">
              <w:rPr>
                <w:sz w:val="20"/>
                <w:szCs w:val="20"/>
              </w:rPr>
              <w:t>Summary of risks</w:t>
            </w:r>
          </w:p>
        </w:tc>
        <w:tc>
          <w:tcPr>
            <w:tcW w:w="5307" w:type="dxa"/>
          </w:tcPr>
          <w:p w:rsidR="00273C49" w:rsidRPr="007B74CF" w:rsidRDefault="00273C49" w:rsidP="00D275F8">
            <w:pPr>
              <w:keepLines/>
              <w:rPr>
                <w:sz w:val="20"/>
                <w:szCs w:val="20"/>
              </w:rPr>
            </w:pPr>
            <w:r w:rsidRPr="007B74CF">
              <w:rPr>
                <w:sz w:val="20"/>
                <w:szCs w:val="20"/>
              </w:rPr>
              <w:t>MedDRA terms or special populations</w:t>
            </w:r>
          </w:p>
        </w:tc>
      </w:tr>
      <w:tr w:rsidR="00273C49" w:rsidTr="007B74CF">
        <w:tc>
          <w:tcPr>
            <w:tcW w:w="3306" w:type="dxa"/>
          </w:tcPr>
          <w:p w:rsidR="00273C49" w:rsidRPr="007B74CF" w:rsidRDefault="00273C49" w:rsidP="00D275F8">
            <w:pPr>
              <w:keepNext/>
              <w:keepLines/>
              <w:spacing w:before="0" w:after="0"/>
              <w:ind w:left="57" w:right="57"/>
              <w:rPr>
                <w:b/>
                <w:sz w:val="20"/>
                <w:szCs w:val="20"/>
              </w:rPr>
            </w:pPr>
            <w:r w:rsidRPr="007B74CF">
              <w:rPr>
                <w:b/>
                <w:sz w:val="20"/>
                <w:szCs w:val="20"/>
              </w:rPr>
              <w:t>Identified risks</w:t>
            </w:r>
          </w:p>
        </w:tc>
        <w:tc>
          <w:tcPr>
            <w:tcW w:w="5307" w:type="dxa"/>
          </w:tcPr>
          <w:p w:rsidR="00273C49" w:rsidRPr="007B74CF" w:rsidRDefault="00273C49" w:rsidP="00D275F8">
            <w:pPr>
              <w:keepNext/>
              <w:keepLines/>
              <w:spacing w:before="0" w:after="0"/>
              <w:ind w:left="57" w:right="57"/>
              <w:rPr>
                <w:sz w:val="20"/>
                <w:szCs w:val="20"/>
              </w:rPr>
            </w:pPr>
            <w:r w:rsidRPr="007B74CF">
              <w:rPr>
                <w:sz w:val="20"/>
                <w:szCs w:val="20"/>
              </w:rPr>
              <w:t>Hypoglycaemia</w:t>
            </w:r>
          </w:p>
          <w:p w:rsidR="00273C49" w:rsidRPr="007B74CF" w:rsidRDefault="00273C49" w:rsidP="00D275F8">
            <w:pPr>
              <w:keepNext/>
              <w:keepLines/>
              <w:spacing w:before="0" w:after="0"/>
              <w:ind w:left="57" w:right="57"/>
              <w:rPr>
                <w:sz w:val="20"/>
                <w:szCs w:val="20"/>
              </w:rPr>
            </w:pPr>
            <w:r w:rsidRPr="007B74CF">
              <w:rPr>
                <w:sz w:val="20"/>
                <w:szCs w:val="20"/>
              </w:rPr>
              <w:t>Immunogenicity – injection site reactions</w:t>
            </w:r>
          </w:p>
          <w:p w:rsidR="00273C49" w:rsidRPr="007B74CF" w:rsidRDefault="00273C49" w:rsidP="00D275F8">
            <w:pPr>
              <w:keepNext/>
              <w:keepLines/>
              <w:spacing w:before="0" w:after="0"/>
              <w:ind w:left="57" w:right="57"/>
              <w:rPr>
                <w:sz w:val="20"/>
                <w:szCs w:val="20"/>
              </w:rPr>
            </w:pPr>
            <w:r w:rsidRPr="007B74CF">
              <w:rPr>
                <w:sz w:val="20"/>
                <w:szCs w:val="20"/>
              </w:rPr>
              <w:t>Immunogenicity – systemic allergic reactions</w:t>
            </w:r>
          </w:p>
          <w:p w:rsidR="00273C49" w:rsidRPr="007B74CF" w:rsidRDefault="00273C49" w:rsidP="00D275F8">
            <w:pPr>
              <w:keepNext/>
              <w:keepLines/>
              <w:spacing w:before="0" w:after="0"/>
              <w:ind w:left="57" w:right="57"/>
              <w:rPr>
                <w:sz w:val="20"/>
                <w:szCs w:val="20"/>
              </w:rPr>
            </w:pPr>
            <w:r w:rsidRPr="007B74CF">
              <w:rPr>
                <w:sz w:val="20"/>
                <w:szCs w:val="20"/>
              </w:rPr>
              <w:t>Lipodys</w:t>
            </w:r>
            <w:r w:rsidR="007B74CF" w:rsidRPr="007B74CF">
              <w:rPr>
                <w:sz w:val="20"/>
                <w:szCs w:val="20"/>
              </w:rPr>
              <w:t>trophy</w:t>
            </w:r>
          </w:p>
          <w:p w:rsidR="007B74CF" w:rsidRPr="007B74CF" w:rsidRDefault="007B74CF" w:rsidP="00D275F8">
            <w:pPr>
              <w:keepNext/>
              <w:keepLines/>
              <w:spacing w:before="0" w:after="0"/>
              <w:ind w:left="57" w:right="57"/>
              <w:rPr>
                <w:sz w:val="20"/>
                <w:szCs w:val="20"/>
              </w:rPr>
            </w:pPr>
            <w:r w:rsidRPr="007B74CF">
              <w:rPr>
                <w:sz w:val="20"/>
                <w:szCs w:val="20"/>
              </w:rPr>
              <w:t>Oedema</w:t>
            </w:r>
          </w:p>
        </w:tc>
      </w:tr>
      <w:tr w:rsidR="00273C49" w:rsidTr="007B74CF">
        <w:tc>
          <w:tcPr>
            <w:tcW w:w="3306" w:type="dxa"/>
          </w:tcPr>
          <w:p w:rsidR="00273C49" w:rsidRPr="007B74CF" w:rsidRDefault="00273C49" w:rsidP="00D275F8">
            <w:pPr>
              <w:keepNext/>
              <w:keepLines/>
              <w:spacing w:before="0" w:after="0"/>
              <w:ind w:left="57" w:right="57"/>
              <w:rPr>
                <w:b/>
                <w:sz w:val="20"/>
                <w:szCs w:val="20"/>
              </w:rPr>
            </w:pPr>
            <w:r w:rsidRPr="007B74CF">
              <w:rPr>
                <w:b/>
                <w:sz w:val="20"/>
                <w:szCs w:val="20"/>
              </w:rPr>
              <w:t>Important potential risks</w:t>
            </w:r>
          </w:p>
        </w:tc>
        <w:tc>
          <w:tcPr>
            <w:tcW w:w="5307" w:type="dxa"/>
          </w:tcPr>
          <w:p w:rsidR="00273C49" w:rsidRDefault="007B74CF" w:rsidP="00D275F8">
            <w:pPr>
              <w:keepNext/>
              <w:keepLines/>
              <w:spacing w:before="0" w:after="0"/>
              <w:ind w:left="57" w:right="57"/>
              <w:rPr>
                <w:sz w:val="20"/>
                <w:szCs w:val="20"/>
              </w:rPr>
            </w:pPr>
            <w:r>
              <w:rPr>
                <w:sz w:val="20"/>
                <w:szCs w:val="20"/>
              </w:rPr>
              <w:t>Cardiovascular and cerebrovascular events</w:t>
            </w:r>
          </w:p>
          <w:p w:rsidR="007B74CF" w:rsidRDefault="007B74CF" w:rsidP="00D275F8">
            <w:pPr>
              <w:keepNext/>
              <w:keepLines/>
              <w:spacing w:before="0" w:after="0"/>
              <w:ind w:left="57" w:right="57"/>
              <w:rPr>
                <w:sz w:val="20"/>
                <w:szCs w:val="20"/>
              </w:rPr>
            </w:pPr>
            <w:r>
              <w:rPr>
                <w:sz w:val="20"/>
                <w:szCs w:val="20"/>
              </w:rPr>
              <w:t>Immunogenicity – antibody formation</w:t>
            </w:r>
          </w:p>
          <w:p w:rsidR="007B74CF" w:rsidRDefault="007B74CF" w:rsidP="00D275F8">
            <w:pPr>
              <w:keepNext/>
              <w:keepLines/>
              <w:spacing w:before="0" w:after="0"/>
              <w:ind w:left="57" w:right="57"/>
              <w:rPr>
                <w:sz w:val="20"/>
                <w:szCs w:val="20"/>
              </w:rPr>
            </w:pPr>
            <w:r>
              <w:rPr>
                <w:sz w:val="20"/>
                <w:szCs w:val="20"/>
              </w:rPr>
              <w:t>Microvascular complications of the eye (late-stage)</w:t>
            </w:r>
          </w:p>
          <w:p w:rsidR="007B74CF" w:rsidRDefault="007B74CF" w:rsidP="00D275F8">
            <w:pPr>
              <w:keepNext/>
              <w:keepLines/>
              <w:spacing w:before="0" w:after="0"/>
              <w:ind w:left="57" w:right="57"/>
              <w:rPr>
                <w:sz w:val="20"/>
                <w:szCs w:val="20"/>
              </w:rPr>
            </w:pPr>
            <w:r>
              <w:rPr>
                <w:sz w:val="20"/>
                <w:szCs w:val="20"/>
              </w:rPr>
              <w:t>Potential anti-insulin antibody development in relation to NN7</w:t>
            </w:r>
            <w:r w:rsidR="005B35CE">
              <w:rPr>
                <w:sz w:val="20"/>
                <w:szCs w:val="20"/>
              </w:rPr>
              <w:t>2</w:t>
            </w:r>
            <w:r>
              <w:rPr>
                <w:sz w:val="20"/>
                <w:szCs w:val="20"/>
              </w:rPr>
              <w:t>9 process (allergic reactions and lack of efficacy)</w:t>
            </w:r>
          </w:p>
          <w:p w:rsidR="007B74CF" w:rsidRPr="007B74CF" w:rsidRDefault="007B74CF" w:rsidP="00D275F8">
            <w:pPr>
              <w:keepNext/>
              <w:keepLines/>
              <w:spacing w:before="0" w:after="0"/>
              <w:ind w:left="57" w:right="57"/>
              <w:rPr>
                <w:sz w:val="20"/>
                <w:szCs w:val="20"/>
              </w:rPr>
            </w:pPr>
            <w:r>
              <w:rPr>
                <w:sz w:val="20"/>
                <w:szCs w:val="20"/>
              </w:rPr>
              <w:t xml:space="preserve">Potential risk of malignant neoplasms following combination treatment with insulin </w:t>
            </w:r>
            <w:r w:rsidR="005D2126">
              <w:rPr>
                <w:sz w:val="20"/>
                <w:szCs w:val="20"/>
              </w:rPr>
              <w:t>detemir</w:t>
            </w:r>
            <w:r>
              <w:rPr>
                <w:sz w:val="20"/>
                <w:szCs w:val="20"/>
              </w:rPr>
              <w:t xml:space="preserve"> + liraglutide + metformin </w:t>
            </w:r>
          </w:p>
        </w:tc>
      </w:tr>
      <w:tr w:rsidR="00273C49" w:rsidTr="007B74CF">
        <w:tc>
          <w:tcPr>
            <w:tcW w:w="3306" w:type="dxa"/>
          </w:tcPr>
          <w:p w:rsidR="00273C49" w:rsidRPr="007B74CF" w:rsidRDefault="00273C49" w:rsidP="00D275F8">
            <w:pPr>
              <w:keepNext/>
              <w:keepLines/>
              <w:spacing w:before="0" w:after="0"/>
              <w:ind w:left="57" w:right="57"/>
              <w:rPr>
                <w:b/>
                <w:sz w:val="20"/>
                <w:szCs w:val="20"/>
              </w:rPr>
            </w:pPr>
            <w:r w:rsidRPr="007B74CF">
              <w:rPr>
                <w:b/>
                <w:sz w:val="20"/>
                <w:szCs w:val="20"/>
              </w:rPr>
              <w:t>Important missing information</w:t>
            </w:r>
          </w:p>
        </w:tc>
        <w:tc>
          <w:tcPr>
            <w:tcW w:w="5307" w:type="dxa"/>
          </w:tcPr>
          <w:p w:rsidR="00273C49" w:rsidRPr="007B74CF" w:rsidRDefault="007B74CF" w:rsidP="00D275F8">
            <w:pPr>
              <w:keepNext/>
              <w:keepLines/>
              <w:spacing w:before="0" w:after="0"/>
              <w:ind w:left="57" w:right="57"/>
              <w:rPr>
                <w:sz w:val="20"/>
                <w:szCs w:val="20"/>
              </w:rPr>
            </w:pPr>
            <w:r>
              <w:rPr>
                <w:sz w:val="20"/>
                <w:szCs w:val="20"/>
              </w:rPr>
              <w:t xml:space="preserve">Elderly patients with renal, hepatic or cardiac impairment and children &lt; 2 years. Unexpected safety issued arising from exposure to insulin </w:t>
            </w:r>
            <w:r w:rsidR="005D2126">
              <w:rPr>
                <w:sz w:val="20"/>
                <w:szCs w:val="20"/>
              </w:rPr>
              <w:t>detemir</w:t>
            </w:r>
            <w:r>
              <w:rPr>
                <w:sz w:val="20"/>
                <w:szCs w:val="20"/>
              </w:rPr>
              <w:t xml:space="preserve"> of pregnant women and long-term safety of children exposed </w:t>
            </w:r>
            <w:r w:rsidRPr="007B74CF">
              <w:rPr>
                <w:i/>
                <w:sz w:val="20"/>
                <w:szCs w:val="20"/>
              </w:rPr>
              <w:t>in utero</w:t>
            </w:r>
            <w:r>
              <w:rPr>
                <w:sz w:val="20"/>
                <w:szCs w:val="20"/>
              </w:rPr>
              <w:t>.</w:t>
            </w:r>
          </w:p>
        </w:tc>
      </w:tr>
    </w:tbl>
    <w:p w:rsidR="00273C49" w:rsidRPr="00273C49" w:rsidRDefault="00273C49" w:rsidP="00EB45F4">
      <w:pPr>
        <w:pStyle w:val="Heading5"/>
        <w:rPr>
          <w:lang w:eastAsia="en-AU"/>
        </w:rPr>
      </w:pPr>
      <w:r w:rsidRPr="00273C49">
        <w:rPr>
          <w:lang w:eastAsia="en-AU"/>
        </w:rPr>
        <w:t>OPR reviewer comment:</w:t>
      </w:r>
    </w:p>
    <w:p w:rsidR="00273C49" w:rsidRPr="00273C49" w:rsidRDefault="00273C49" w:rsidP="00273C49">
      <w:pPr>
        <w:rPr>
          <w:lang w:eastAsia="en-AU"/>
        </w:rPr>
      </w:pPr>
      <w:r w:rsidRPr="00273C49">
        <w:rPr>
          <w:lang w:eastAsia="en-AU"/>
        </w:rPr>
        <w:t>Notwithstanding the evaluation of the non-clinical and clinical aspects of the SS this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7B74CF" w:rsidRPr="007B74CF" w:rsidRDefault="007B74CF" w:rsidP="007B74CF">
      <w:pPr>
        <w:pStyle w:val="Heading5"/>
        <w:rPr>
          <w:lang w:eastAsia="en-AU"/>
        </w:rPr>
      </w:pPr>
      <w:bookmarkStart w:id="164" w:name="_Toc349907187"/>
      <w:r w:rsidRPr="007B74CF">
        <w:rPr>
          <w:lang w:eastAsia="en-AU"/>
        </w:rPr>
        <w:t>Proposed pharmacovigilance activities</w:t>
      </w:r>
      <w:bookmarkEnd w:id="164"/>
    </w:p>
    <w:p w:rsidR="007B74CF" w:rsidRPr="007B74CF" w:rsidRDefault="007B74CF" w:rsidP="007B74CF">
      <w:pPr>
        <w:rPr>
          <w:lang w:eastAsia="en-AU"/>
        </w:rPr>
      </w:pPr>
      <w:r w:rsidRPr="007B74CF">
        <w:rPr>
          <w:lang w:eastAsia="en-AU"/>
        </w:rPr>
        <w:t xml:space="preserve">The sponsor proposes routine pharmacovigilance activities for important identified and potential risks and missing information (as stated above). Furthermore, additional activities are planned for some of the risks. These activities are summarised in Table </w:t>
      </w:r>
      <w:r w:rsidR="005A6C42">
        <w:rPr>
          <w:lang w:eastAsia="en-AU"/>
        </w:rPr>
        <w:t>3</w:t>
      </w:r>
      <w:r w:rsidRPr="007B74CF">
        <w:rPr>
          <w:lang w:eastAsia="en-AU"/>
        </w:rPr>
        <w:t>.</w:t>
      </w:r>
    </w:p>
    <w:p w:rsidR="007B74CF" w:rsidRPr="007B74CF" w:rsidRDefault="007B74CF" w:rsidP="005A6C42">
      <w:pPr>
        <w:pStyle w:val="TableTitle"/>
        <w:keepLines/>
        <w:rPr>
          <w:lang w:eastAsia="en-AU"/>
        </w:rPr>
      </w:pPr>
      <w:r w:rsidRPr="007B74CF">
        <w:rPr>
          <w:lang w:eastAsia="en-AU"/>
        </w:rPr>
        <w:lastRenderedPageBreak/>
        <w:t xml:space="preserve">Table </w:t>
      </w:r>
      <w:r w:rsidR="005A6C42">
        <w:rPr>
          <w:lang w:eastAsia="en-AU"/>
        </w:rPr>
        <w:t>3</w:t>
      </w:r>
      <w:r w:rsidR="00D275F8">
        <w:rPr>
          <w:lang w:eastAsia="en-AU"/>
        </w:rPr>
        <w:t>:</w:t>
      </w:r>
      <w:r w:rsidRPr="007B74CF">
        <w:rPr>
          <w:lang w:eastAsia="en-AU"/>
        </w:rPr>
        <w:t xml:space="preserve"> Activities additional to routine planned by the sponsor regarding certain safety concerns.</w:t>
      </w:r>
    </w:p>
    <w:tbl>
      <w:tblPr>
        <w:tblStyle w:val="TableTGAblue"/>
        <w:tblW w:w="0" w:type="auto"/>
        <w:tblLook w:val="04A0" w:firstRow="1" w:lastRow="0" w:firstColumn="1" w:lastColumn="0" w:noHBand="0" w:noVBand="1"/>
      </w:tblPr>
      <w:tblGrid>
        <w:gridCol w:w="1887"/>
        <w:gridCol w:w="2157"/>
        <w:gridCol w:w="2929"/>
        <w:gridCol w:w="1747"/>
      </w:tblGrid>
      <w:tr w:rsidR="007B74CF" w:rsidRPr="007B74CF" w:rsidTr="00994E17">
        <w:trPr>
          <w:cnfStyle w:val="100000000000" w:firstRow="1" w:lastRow="0" w:firstColumn="0" w:lastColumn="0" w:oddVBand="0" w:evenVBand="0" w:oddHBand="0" w:evenHBand="0" w:firstRowFirstColumn="0" w:firstRowLastColumn="0" w:lastRowFirstColumn="0" w:lastRowLastColumn="0"/>
        </w:trPr>
        <w:tc>
          <w:tcPr>
            <w:tcW w:w="1887" w:type="dxa"/>
          </w:tcPr>
          <w:p w:rsidR="007B74CF" w:rsidRPr="007B74CF" w:rsidRDefault="007B74CF" w:rsidP="005A6C42">
            <w:pPr>
              <w:keepLines/>
              <w:spacing w:before="0" w:after="0"/>
              <w:ind w:left="57" w:right="57"/>
              <w:rPr>
                <w:sz w:val="20"/>
                <w:szCs w:val="20"/>
              </w:rPr>
            </w:pPr>
            <w:r w:rsidRPr="007B74CF">
              <w:rPr>
                <w:sz w:val="20"/>
                <w:szCs w:val="20"/>
              </w:rPr>
              <w:t>Additional activity</w:t>
            </w:r>
          </w:p>
        </w:tc>
        <w:tc>
          <w:tcPr>
            <w:tcW w:w="2157" w:type="dxa"/>
          </w:tcPr>
          <w:p w:rsidR="007B74CF" w:rsidRPr="007B74CF" w:rsidRDefault="007B74CF" w:rsidP="005A6C42">
            <w:pPr>
              <w:keepLines/>
              <w:spacing w:before="0" w:after="0"/>
              <w:ind w:left="57" w:right="57"/>
              <w:rPr>
                <w:sz w:val="20"/>
                <w:szCs w:val="20"/>
              </w:rPr>
            </w:pPr>
            <w:r w:rsidRPr="007B74CF">
              <w:rPr>
                <w:sz w:val="20"/>
                <w:szCs w:val="20"/>
              </w:rPr>
              <w:t>Assigned safety concern</w:t>
            </w:r>
          </w:p>
        </w:tc>
        <w:tc>
          <w:tcPr>
            <w:tcW w:w="2929" w:type="dxa"/>
          </w:tcPr>
          <w:p w:rsidR="007B74CF" w:rsidRPr="007B74CF" w:rsidRDefault="007B74CF" w:rsidP="005A6C42">
            <w:pPr>
              <w:keepLines/>
              <w:spacing w:before="0" w:after="0"/>
              <w:ind w:left="57" w:right="57"/>
              <w:rPr>
                <w:sz w:val="20"/>
                <w:szCs w:val="20"/>
              </w:rPr>
            </w:pPr>
            <w:r w:rsidRPr="007B74CF">
              <w:rPr>
                <w:sz w:val="20"/>
                <w:szCs w:val="20"/>
              </w:rPr>
              <w:t>Actions/outcome proposed</w:t>
            </w:r>
          </w:p>
        </w:tc>
        <w:tc>
          <w:tcPr>
            <w:tcW w:w="1747" w:type="dxa"/>
          </w:tcPr>
          <w:p w:rsidR="007B74CF" w:rsidRPr="007B74CF" w:rsidRDefault="007B74CF" w:rsidP="005A6C42">
            <w:pPr>
              <w:keepLines/>
              <w:spacing w:before="0" w:after="0"/>
              <w:ind w:left="57" w:right="57"/>
              <w:rPr>
                <w:sz w:val="20"/>
                <w:szCs w:val="20"/>
              </w:rPr>
            </w:pPr>
            <w:r w:rsidRPr="007B74CF">
              <w:rPr>
                <w:sz w:val="20"/>
                <w:szCs w:val="20"/>
              </w:rPr>
              <w:t>Planned submission of final data</w:t>
            </w:r>
          </w:p>
        </w:tc>
      </w:tr>
      <w:tr w:rsidR="007B74CF" w:rsidRPr="007B74CF" w:rsidTr="00994E17">
        <w:tc>
          <w:tcPr>
            <w:tcW w:w="1887" w:type="dxa"/>
          </w:tcPr>
          <w:p w:rsidR="007B74CF" w:rsidRPr="007B74CF" w:rsidRDefault="007B74CF" w:rsidP="00EB45F4">
            <w:pPr>
              <w:keepNext/>
              <w:keepLines/>
              <w:spacing w:before="0"/>
              <w:ind w:left="57" w:right="57"/>
              <w:rPr>
                <w:sz w:val="20"/>
                <w:szCs w:val="20"/>
              </w:rPr>
            </w:pPr>
            <w:r w:rsidRPr="007B74CF">
              <w:rPr>
                <w:sz w:val="20"/>
                <w:szCs w:val="20"/>
              </w:rPr>
              <w:t>Prospective cohort study into the prescribing of metformin + liraglutide in combination with insulin as add-on and the risk of neoplasms in the GPRD (NN2211-3880)</w:t>
            </w:r>
          </w:p>
          <w:p w:rsidR="007B74CF" w:rsidRPr="007B74CF" w:rsidRDefault="007B74CF" w:rsidP="00EB45F4">
            <w:pPr>
              <w:keepNext/>
              <w:keepLines/>
              <w:spacing w:before="0"/>
              <w:ind w:left="57" w:right="57"/>
              <w:rPr>
                <w:sz w:val="20"/>
                <w:szCs w:val="20"/>
              </w:rPr>
            </w:pPr>
            <w:r w:rsidRPr="007B74CF">
              <w:rPr>
                <w:sz w:val="20"/>
                <w:szCs w:val="20"/>
              </w:rPr>
              <w:t>Protocol not available</w:t>
            </w:r>
          </w:p>
          <w:p w:rsidR="007B74CF" w:rsidRPr="007B74CF" w:rsidRDefault="007B74CF" w:rsidP="00EB45F4">
            <w:pPr>
              <w:keepNext/>
              <w:keepLines/>
              <w:spacing w:before="0"/>
              <w:ind w:left="57" w:right="57"/>
              <w:rPr>
                <w:sz w:val="20"/>
                <w:szCs w:val="20"/>
              </w:rPr>
            </w:pPr>
            <w:r w:rsidRPr="007B74CF">
              <w:rPr>
                <w:sz w:val="20"/>
                <w:szCs w:val="20"/>
              </w:rPr>
              <w:t>Protocol addendum available</w:t>
            </w:r>
          </w:p>
        </w:tc>
        <w:tc>
          <w:tcPr>
            <w:tcW w:w="2157" w:type="dxa"/>
          </w:tcPr>
          <w:p w:rsidR="007B74CF" w:rsidRPr="007B74CF" w:rsidRDefault="007B74CF" w:rsidP="00EB45F4">
            <w:pPr>
              <w:keepNext/>
              <w:keepLines/>
              <w:numPr>
                <w:ilvl w:val="0"/>
                <w:numId w:val="28"/>
              </w:numPr>
              <w:spacing w:before="0"/>
              <w:ind w:left="57" w:right="57"/>
              <w:rPr>
                <w:sz w:val="20"/>
                <w:szCs w:val="20"/>
              </w:rPr>
            </w:pPr>
            <w:r w:rsidRPr="007B74CF">
              <w:rPr>
                <w:sz w:val="20"/>
                <w:szCs w:val="20"/>
              </w:rPr>
              <w:t>Potential risk of malignant neoplasms following treatment with combination of insulin detemir + liraglutide + metformin</w:t>
            </w:r>
          </w:p>
        </w:tc>
        <w:tc>
          <w:tcPr>
            <w:tcW w:w="2929" w:type="dxa"/>
          </w:tcPr>
          <w:p w:rsidR="007B74CF" w:rsidRPr="007B74CF" w:rsidRDefault="007B74CF" w:rsidP="00EB45F4">
            <w:pPr>
              <w:keepNext/>
              <w:keepLines/>
              <w:spacing w:before="0"/>
              <w:ind w:left="57" w:right="57"/>
              <w:rPr>
                <w:i/>
                <w:sz w:val="20"/>
                <w:szCs w:val="20"/>
              </w:rPr>
            </w:pPr>
            <w:r w:rsidRPr="007B74CF">
              <w:rPr>
                <w:i/>
                <w:sz w:val="20"/>
                <w:szCs w:val="20"/>
              </w:rPr>
              <w:t>No protocol available</w:t>
            </w:r>
          </w:p>
        </w:tc>
        <w:tc>
          <w:tcPr>
            <w:tcW w:w="1747" w:type="dxa"/>
          </w:tcPr>
          <w:p w:rsidR="007B74CF" w:rsidRPr="007B74CF" w:rsidRDefault="007B74CF" w:rsidP="00EB45F4">
            <w:pPr>
              <w:keepNext/>
              <w:keepLines/>
              <w:spacing w:before="0"/>
              <w:ind w:left="57" w:right="57"/>
              <w:rPr>
                <w:sz w:val="20"/>
                <w:szCs w:val="20"/>
              </w:rPr>
            </w:pPr>
            <w:r w:rsidRPr="007B74CF">
              <w:rPr>
                <w:sz w:val="20"/>
                <w:szCs w:val="20"/>
              </w:rPr>
              <w:t>31/12/2012 (final report)</w:t>
            </w:r>
          </w:p>
        </w:tc>
      </w:tr>
      <w:tr w:rsidR="007B74CF" w:rsidRPr="007B74CF" w:rsidTr="00994E17">
        <w:tc>
          <w:tcPr>
            <w:tcW w:w="1887" w:type="dxa"/>
          </w:tcPr>
          <w:p w:rsidR="007B74CF" w:rsidRPr="007B74CF" w:rsidRDefault="007B74CF" w:rsidP="00EB45F4">
            <w:pPr>
              <w:keepNext/>
              <w:keepLines/>
              <w:spacing w:before="0"/>
              <w:ind w:left="57" w:right="57"/>
              <w:rPr>
                <w:sz w:val="20"/>
                <w:szCs w:val="20"/>
              </w:rPr>
            </w:pPr>
            <w:r w:rsidRPr="007B74CF">
              <w:rPr>
                <w:sz w:val="20"/>
                <w:szCs w:val="20"/>
              </w:rPr>
              <w:t>Diabetes Pregnancy Registry</w:t>
            </w:r>
          </w:p>
          <w:p w:rsidR="007B74CF" w:rsidRPr="007B74CF" w:rsidRDefault="007B74CF" w:rsidP="00EB45F4">
            <w:pPr>
              <w:keepNext/>
              <w:keepLines/>
              <w:spacing w:before="0"/>
              <w:ind w:left="57" w:right="57"/>
              <w:rPr>
                <w:sz w:val="20"/>
                <w:szCs w:val="20"/>
              </w:rPr>
            </w:pPr>
            <w:r w:rsidRPr="007B74CF">
              <w:rPr>
                <w:sz w:val="20"/>
                <w:szCs w:val="20"/>
              </w:rPr>
              <w:t>An international non-interventional cohort study to evaluate the safety of treatment with Levemir® (insulin detemir) in pregnant women with diabetes mellitus (NN304-4016)</w:t>
            </w:r>
          </w:p>
          <w:p w:rsidR="007B74CF" w:rsidRPr="007B74CF" w:rsidRDefault="007B74CF" w:rsidP="00EB45F4">
            <w:pPr>
              <w:keepNext/>
              <w:keepLines/>
              <w:spacing w:before="0"/>
              <w:ind w:left="57" w:right="57"/>
              <w:rPr>
                <w:sz w:val="20"/>
                <w:szCs w:val="20"/>
              </w:rPr>
            </w:pPr>
            <w:r w:rsidRPr="007B74CF">
              <w:rPr>
                <w:sz w:val="20"/>
                <w:szCs w:val="20"/>
              </w:rPr>
              <w:t>Protocol available</w:t>
            </w:r>
          </w:p>
        </w:tc>
        <w:tc>
          <w:tcPr>
            <w:tcW w:w="2157" w:type="dxa"/>
          </w:tcPr>
          <w:p w:rsidR="007B74CF" w:rsidRPr="007B74CF" w:rsidRDefault="007B74CF" w:rsidP="00EB45F4">
            <w:pPr>
              <w:keepNext/>
              <w:keepLines/>
              <w:numPr>
                <w:ilvl w:val="0"/>
                <w:numId w:val="28"/>
              </w:numPr>
              <w:spacing w:before="0"/>
              <w:ind w:left="57" w:right="57"/>
              <w:rPr>
                <w:sz w:val="20"/>
                <w:szCs w:val="20"/>
              </w:rPr>
            </w:pPr>
            <w:r w:rsidRPr="007B74CF">
              <w:rPr>
                <w:sz w:val="20"/>
                <w:szCs w:val="20"/>
              </w:rPr>
              <w:t xml:space="preserve">Unexpected safety issues arising from exposure to insulin detemir of pregnant women and the long-term safety of children exposed </w:t>
            </w:r>
            <w:r w:rsidRPr="007B74CF">
              <w:rPr>
                <w:i/>
                <w:sz w:val="20"/>
                <w:szCs w:val="20"/>
              </w:rPr>
              <w:t>in utero</w:t>
            </w:r>
          </w:p>
          <w:p w:rsidR="007B74CF" w:rsidRPr="007B74CF" w:rsidRDefault="007B74CF" w:rsidP="00EB45F4">
            <w:pPr>
              <w:keepNext/>
              <w:keepLines/>
              <w:spacing w:before="0"/>
              <w:ind w:left="-303" w:right="57"/>
              <w:rPr>
                <w:sz w:val="20"/>
                <w:szCs w:val="20"/>
              </w:rPr>
            </w:pPr>
          </w:p>
        </w:tc>
        <w:tc>
          <w:tcPr>
            <w:tcW w:w="2929" w:type="dxa"/>
          </w:tcPr>
          <w:p w:rsidR="007B74CF" w:rsidRPr="007B74CF" w:rsidRDefault="007B74CF" w:rsidP="00EB45F4">
            <w:pPr>
              <w:keepNext/>
              <w:keepLines/>
              <w:spacing w:before="0"/>
              <w:ind w:left="57" w:right="57"/>
              <w:rPr>
                <w:sz w:val="20"/>
                <w:szCs w:val="20"/>
              </w:rPr>
            </w:pPr>
            <w:r w:rsidRPr="007B74CF">
              <w:rPr>
                <w:sz w:val="20"/>
                <w:szCs w:val="20"/>
              </w:rPr>
              <w:t>Primary objective:</w:t>
            </w:r>
          </w:p>
          <w:p w:rsidR="007B74CF" w:rsidRPr="007B74CF" w:rsidRDefault="007B74CF" w:rsidP="00EB45F4">
            <w:pPr>
              <w:keepNext/>
              <w:keepLines/>
              <w:spacing w:before="0"/>
              <w:ind w:left="57" w:right="57"/>
              <w:rPr>
                <w:sz w:val="20"/>
                <w:szCs w:val="20"/>
              </w:rPr>
            </w:pPr>
            <w:r w:rsidRPr="007B74CF">
              <w:rPr>
                <w:sz w:val="20"/>
                <w:szCs w:val="20"/>
              </w:rPr>
              <w:t>To compare the proportion of pregnancies in pregnant women treated with Levemir® to pregnant women treated with other basal insulin regimens which results in none of the following events:</w:t>
            </w:r>
          </w:p>
          <w:p w:rsidR="007B74CF" w:rsidRPr="007B74CF" w:rsidRDefault="007B74CF" w:rsidP="00EB45F4">
            <w:pPr>
              <w:keepNext/>
              <w:keepLines/>
              <w:numPr>
                <w:ilvl w:val="0"/>
                <w:numId w:val="28"/>
              </w:numPr>
              <w:spacing w:before="0"/>
              <w:ind w:left="57" w:right="57"/>
              <w:rPr>
                <w:sz w:val="20"/>
                <w:szCs w:val="20"/>
              </w:rPr>
            </w:pPr>
            <w:r w:rsidRPr="007B74CF">
              <w:rPr>
                <w:sz w:val="20"/>
                <w:szCs w:val="20"/>
              </w:rPr>
              <w:t>Major congenital anomalies</w:t>
            </w:r>
          </w:p>
          <w:p w:rsidR="007B74CF" w:rsidRPr="007B74CF" w:rsidRDefault="007B74CF" w:rsidP="00EB45F4">
            <w:pPr>
              <w:keepNext/>
              <w:keepLines/>
              <w:numPr>
                <w:ilvl w:val="0"/>
                <w:numId w:val="28"/>
              </w:numPr>
              <w:spacing w:before="0"/>
              <w:ind w:left="57" w:right="57"/>
              <w:rPr>
                <w:sz w:val="20"/>
                <w:szCs w:val="20"/>
              </w:rPr>
            </w:pPr>
            <w:r w:rsidRPr="007B74CF">
              <w:rPr>
                <w:sz w:val="20"/>
                <w:szCs w:val="20"/>
              </w:rPr>
              <w:t>Perinatal death</w:t>
            </w:r>
          </w:p>
          <w:p w:rsidR="007B74CF" w:rsidRPr="007B74CF" w:rsidRDefault="007B74CF" w:rsidP="00EB45F4">
            <w:pPr>
              <w:keepNext/>
              <w:keepLines/>
              <w:numPr>
                <w:ilvl w:val="0"/>
                <w:numId w:val="28"/>
              </w:numPr>
              <w:spacing w:before="0"/>
              <w:ind w:left="57" w:right="57"/>
              <w:rPr>
                <w:sz w:val="20"/>
                <w:szCs w:val="20"/>
              </w:rPr>
            </w:pPr>
            <w:r w:rsidRPr="007B74CF">
              <w:rPr>
                <w:sz w:val="20"/>
                <w:szCs w:val="20"/>
              </w:rPr>
              <w:t>Neonatal death</w:t>
            </w:r>
          </w:p>
          <w:p w:rsidR="007B74CF" w:rsidRPr="007B74CF" w:rsidRDefault="007B74CF" w:rsidP="00EB45F4">
            <w:pPr>
              <w:keepNext/>
              <w:keepLines/>
              <w:numPr>
                <w:ilvl w:val="0"/>
                <w:numId w:val="28"/>
              </w:numPr>
              <w:spacing w:before="0"/>
              <w:ind w:left="57" w:right="57"/>
              <w:rPr>
                <w:sz w:val="20"/>
                <w:szCs w:val="20"/>
              </w:rPr>
            </w:pPr>
            <w:r w:rsidRPr="007B74CF">
              <w:rPr>
                <w:sz w:val="20"/>
                <w:szCs w:val="20"/>
              </w:rPr>
              <w:t>Spontaneous abortion</w:t>
            </w:r>
          </w:p>
          <w:p w:rsidR="007B74CF" w:rsidRPr="007B74CF" w:rsidRDefault="007B74CF" w:rsidP="00EB45F4">
            <w:pPr>
              <w:keepNext/>
              <w:keepLines/>
              <w:spacing w:before="0"/>
              <w:ind w:left="57" w:right="57"/>
              <w:rPr>
                <w:sz w:val="20"/>
                <w:szCs w:val="20"/>
              </w:rPr>
            </w:pPr>
            <w:r w:rsidRPr="007B74CF">
              <w:rPr>
                <w:sz w:val="20"/>
                <w:szCs w:val="20"/>
              </w:rPr>
              <w:t>Secondary objectives:</w:t>
            </w:r>
          </w:p>
          <w:p w:rsidR="007B74CF" w:rsidRPr="007B74CF" w:rsidRDefault="007B74CF" w:rsidP="00EB45F4">
            <w:pPr>
              <w:keepNext/>
              <w:keepLines/>
              <w:spacing w:before="0"/>
              <w:ind w:left="57" w:right="57"/>
              <w:rPr>
                <w:sz w:val="20"/>
                <w:szCs w:val="20"/>
              </w:rPr>
            </w:pPr>
            <w:r w:rsidRPr="007B74CF">
              <w:rPr>
                <w:sz w:val="20"/>
                <w:szCs w:val="20"/>
              </w:rPr>
              <w:t>Multiple (see protocol)</w:t>
            </w:r>
          </w:p>
        </w:tc>
        <w:tc>
          <w:tcPr>
            <w:tcW w:w="1747" w:type="dxa"/>
          </w:tcPr>
          <w:p w:rsidR="007B74CF" w:rsidRPr="007B74CF" w:rsidRDefault="007B74CF" w:rsidP="00EB45F4">
            <w:pPr>
              <w:keepNext/>
              <w:keepLines/>
              <w:spacing w:before="0"/>
              <w:ind w:left="57" w:right="57"/>
              <w:rPr>
                <w:sz w:val="20"/>
                <w:szCs w:val="20"/>
              </w:rPr>
            </w:pPr>
            <w:r w:rsidRPr="007B74CF">
              <w:rPr>
                <w:sz w:val="20"/>
                <w:szCs w:val="20"/>
              </w:rPr>
              <w:t>Q4, 2019 (LPLV)</w:t>
            </w:r>
          </w:p>
        </w:tc>
      </w:tr>
      <w:tr w:rsidR="007B74CF" w:rsidRPr="007B74CF" w:rsidTr="00994E17">
        <w:tc>
          <w:tcPr>
            <w:tcW w:w="1887" w:type="dxa"/>
          </w:tcPr>
          <w:p w:rsidR="007B74CF" w:rsidRPr="007B74CF" w:rsidRDefault="007B74CF" w:rsidP="00EB45F4">
            <w:pPr>
              <w:keepNext/>
              <w:keepLines/>
              <w:spacing w:before="0"/>
              <w:ind w:left="57" w:right="57"/>
              <w:rPr>
                <w:sz w:val="20"/>
                <w:szCs w:val="20"/>
              </w:rPr>
            </w:pPr>
            <w:r w:rsidRPr="007B74CF">
              <w:rPr>
                <w:sz w:val="20"/>
                <w:szCs w:val="20"/>
              </w:rPr>
              <w:t>A summary analysis based on descriptive statistics will be</w:t>
            </w:r>
          </w:p>
          <w:p w:rsidR="007B74CF" w:rsidRPr="007B74CF" w:rsidRDefault="007B74CF" w:rsidP="00EB45F4">
            <w:pPr>
              <w:keepNext/>
              <w:keepLines/>
              <w:spacing w:before="0"/>
              <w:ind w:left="57" w:right="57"/>
              <w:rPr>
                <w:sz w:val="20"/>
                <w:szCs w:val="20"/>
              </w:rPr>
            </w:pPr>
            <w:r w:rsidRPr="007B74CF">
              <w:rPr>
                <w:sz w:val="20"/>
                <w:szCs w:val="20"/>
              </w:rPr>
              <w:t>provided at the end of the LEADER trial.</w:t>
            </w:r>
          </w:p>
          <w:p w:rsidR="007B74CF" w:rsidRPr="007B74CF" w:rsidRDefault="007B74CF" w:rsidP="00EB45F4">
            <w:pPr>
              <w:keepNext/>
              <w:keepLines/>
              <w:spacing w:before="0"/>
              <w:ind w:left="57" w:right="57"/>
              <w:rPr>
                <w:sz w:val="20"/>
                <w:szCs w:val="20"/>
              </w:rPr>
            </w:pPr>
            <w:r w:rsidRPr="007B74CF">
              <w:rPr>
                <w:sz w:val="20"/>
                <w:szCs w:val="20"/>
              </w:rPr>
              <w:t>(EX2211-3748)</w:t>
            </w:r>
          </w:p>
        </w:tc>
        <w:tc>
          <w:tcPr>
            <w:tcW w:w="2157" w:type="dxa"/>
          </w:tcPr>
          <w:p w:rsidR="007B74CF" w:rsidRPr="007B74CF" w:rsidRDefault="007B74CF" w:rsidP="00EB45F4">
            <w:pPr>
              <w:keepNext/>
              <w:keepLines/>
              <w:numPr>
                <w:ilvl w:val="0"/>
                <w:numId w:val="28"/>
              </w:numPr>
              <w:spacing w:before="0"/>
              <w:ind w:left="57" w:right="57"/>
              <w:rPr>
                <w:sz w:val="20"/>
                <w:szCs w:val="20"/>
              </w:rPr>
            </w:pPr>
            <w:r w:rsidRPr="007B74CF">
              <w:rPr>
                <w:sz w:val="20"/>
                <w:szCs w:val="20"/>
              </w:rPr>
              <w:t>Potential risk of malignant neoplasms following treatment with combination of insulin detemir + liraglutide + metformin</w:t>
            </w:r>
          </w:p>
          <w:p w:rsidR="007B74CF" w:rsidRPr="007B74CF" w:rsidRDefault="007B74CF" w:rsidP="00EB45F4">
            <w:pPr>
              <w:keepNext/>
              <w:keepLines/>
              <w:spacing w:before="0"/>
              <w:ind w:left="57" w:right="57"/>
              <w:rPr>
                <w:sz w:val="20"/>
                <w:szCs w:val="20"/>
              </w:rPr>
            </w:pPr>
          </w:p>
        </w:tc>
        <w:tc>
          <w:tcPr>
            <w:tcW w:w="2929" w:type="dxa"/>
          </w:tcPr>
          <w:p w:rsidR="007B74CF" w:rsidRPr="007B74CF" w:rsidRDefault="007B74CF" w:rsidP="00EB45F4">
            <w:pPr>
              <w:keepNext/>
              <w:keepLines/>
              <w:spacing w:before="0"/>
              <w:ind w:left="57" w:right="57"/>
              <w:rPr>
                <w:sz w:val="20"/>
                <w:szCs w:val="20"/>
              </w:rPr>
            </w:pPr>
          </w:p>
        </w:tc>
        <w:tc>
          <w:tcPr>
            <w:tcW w:w="1747" w:type="dxa"/>
          </w:tcPr>
          <w:p w:rsidR="007B74CF" w:rsidRPr="007B74CF" w:rsidRDefault="007B74CF" w:rsidP="00EB45F4">
            <w:pPr>
              <w:keepNext/>
              <w:keepLines/>
              <w:spacing w:before="0"/>
              <w:ind w:left="57" w:right="57"/>
              <w:rPr>
                <w:sz w:val="20"/>
                <w:szCs w:val="20"/>
              </w:rPr>
            </w:pPr>
            <w:r w:rsidRPr="007B74CF">
              <w:rPr>
                <w:sz w:val="20"/>
                <w:szCs w:val="20"/>
              </w:rPr>
              <w:t>LEADER trial LPLV 19/01/2016</w:t>
            </w:r>
          </w:p>
        </w:tc>
      </w:tr>
      <w:tr w:rsidR="007B74CF" w:rsidRPr="007B74CF" w:rsidTr="00994E17">
        <w:tc>
          <w:tcPr>
            <w:tcW w:w="1887" w:type="dxa"/>
          </w:tcPr>
          <w:p w:rsidR="007B74CF" w:rsidRPr="007B74CF" w:rsidRDefault="007B74CF" w:rsidP="00EB45F4">
            <w:pPr>
              <w:keepNext/>
              <w:keepLines/>
              <w:spacing w:before="0"/>
              <w:ind w:left="57" w:right="57"/>
              <w:rPr>
                <w:sz w:val="20"/>
                <w:szCs w:val="20"/>
              </w:rPr>
            </w:pPr>
            <w:r w:rsidRPr="007B74CF">
              <w:rPr>
                <w:sz w:val="20"/>
                <w:szCs w:val="20"/>
              </w:rPr>
              <w:t>Meta analysis of selected clinical trials</w:t>
            </w:r>
          </w:p>
        </w:tc>
        <w:tc>
          <w:tcPr>
            <w:tcW w:w="2157" w:type="dxa"/>
          </w:tcPr>
          <w:p w:rsidR="007B74CF" w:rsidRPr="007B74CF" w:rsidRDefault="007B74CF" w:rsidP="00EB45F4">
            <w:pPr>
              <w:keepNext/>
              <w:keepLines/>
              <w:numPr>
                <w:ilvl w:val="0"/>
                <w:numId w:val="28"/>
              </w:numPr>
              <w:spacing w:before="0"/>
              <w:ind w:left="57" w:right="57"/>
              <w:rPr>
                <w:sz w:val="20"/>
                <w:szCs w:val="20"/>
              </w:rPr>
            </w:pPr>
            <w:r w:rsidRPr="007B74CF">
              <w:rPr>
                <w:sz w:val="20"/>
                <w:szCs w:val="20"/>
              </w:rPr>
              <w:t>Cardiovascular and cerebrovascular events</w:t>
            </w:r>
          </w:p>
        </w:tc>
        <w:tc>
          <w:tcPr>
            <w:tcW w:w="2929" w:type="dxa"/>
          </w:tcPr>
          <w:p w:rsidR="007B74CF" w:rsidRPr="007B74CF" w:rsidRDefault="007B74CF" w:rsidP="00EB45F4">
            <w:pPr>
              <w:keepNext/>
              <w:keepLines/>
              <w:spacing w:before="0"/>
              <w:ind w:left="57" w:right="57"/>
              <w:rPr>
                <w:sz w:val="20"/>
                <w:szCs w:val="20"/>
              </w:rPr>
            </w:pPr>
          </w:p>
        </w:tc>
        <w:tc>
          <w:tcPr>
            <w:tcW w:w="1747" w:type="dxa"/>
          </w:tcPr>
          <w:p w:rsidR="007B74CF" w:rsidRPr="007B74CF" w:rsidRDefault="007B74CF" w:rsidP="00EB45F4">
            <w:pPr>
              <w:keepNext/>
              <w:keepLines/>
              <w:spacing w:before="0"/>
              <w:ind w:left="57" w:right="57"/>
              <w:rPr>
                <w:sz w:val="20"/>
                <w:szCs w:val="20"/>
              </w:rPr>
            </w:pPr>
            <w:r w:rsidRPr="007B74CF">
              <w:rPr>
                <w:sz w:val="20"/>
                <w:szCs w:val="20"/>
              </w:rPr>
              <w:t>Aligned with the post-approval PSURs</w:t>
            </w:r>
          </w:p>
        </w:tc>
      </w:tr>
    </w:tbl>
    <w:p w:rsidR="00994E17" w:rsidRPr="00994E17" w:rsidRDefault="00994E17" w:rsidP="00EB45F4">
      <w:pPr>
        <w:pStyle w:val="Heading5"/>
        <w:pageBreakBefore/>
        <w:rPr>
          <w:lang w:eastAsia="en-AU"/>
        </w:rPr>
      </w:pPr>
      <w:bookmarkStart w:id="165" w:name="_Toc349907188"/>
      <w:r w:rsidRPr="00994E17">
        <w:rPr>
          <w:lang w:eastAsia="en-AU"/>
        </w:rPr>
        <w:lastRenderedPageBreak/>
        <w:t xml:space="preserve">OPR reviewer’s comments in regard to the pharmacovigilance plan (PP) and the appropriateness of </w:t>
      </w:r>
      <w:r w:rsidRPr="00EB45F4">
        <w:t>milestones</w:t>
      </w:r>
      <w:bookmarkEnd w:id="165"/>
    </w:p>
    <w:p w:rsidR="00994E17" w:rsidRPr="00994E17" w:rsidRDefault="00994E17" w:rsidP="00994E17">
      <w:pPr>
        <w:rPr>
          <w:lang w:eastAsia="en-AU"/>
        </w:rPr>
      </w:pPr>
      <w:r w:rsidRPr="00994E17">
        <w:rPr>
          <w:lang w:eastAsia="en-AU"/>
        </w:rPr>
        <w:t xml:space="preserve">The sponsor mainly plans routine pharmacovigilance activities. Some additional pharmacovigilance activities are planned in the EU-RMP. It is noted the overall </w:t>
      </w:r>
      <w:r w:rsidR="00CE11EA">
        <w:rPr>
          <w:lang w:eastAsia="en-AU"/>
        </w:rPr>
        <w:t>RMP</w:t>
      </w:r>
      <w:r w:rsidRPr="00994E17">
        <w:rPr>
          <w:lang w:eastAsia="en-AU"/>
        </w:rPr>
        <w:t xml:space="preserve"> for Australia in the Australian Specific Annex omits all additional pharmacovigilance activities. This is not acceptable. At a minimum, the sponsor needs to conduct all additional pharmacovigilance activities proposed for the EU, considering that the submitted EU-RMP is used to establish safety, in particular for the pregnant patient population. These are:</w:t>
      </w:r>
    </w:p>
    <w:p w:rsidR="00994E17" w:rsidRPr="00994E17" w:rsidRDefault="00994E17" w:rsidP="00994E17">
      <w:pPr>
        <w:pStyle w:val="ListBullet"/>
        <w:rPr>
          <w:lang w:eastAsia="en-AU"/>
        </w:rPr>
      </w:pPr>
      <w:r w:rsidRPr="00994E17">
        <w:rPr>
          <w:lang w:eastAsia="en-AU"/>
        </w:rPr>
        <w:t xml:space="preserve">Prospective cohort study into the prescribing of metformin + liraglutide in combination with insulin as add-on and the risk of neoplasms in the </w:t>
      </w:r>
      <w:r w:rsidR="00227EBE" w:rsidRPr="00227EBE">
        <w:t xml:space="preserve">General Practice Research Database </w:t>
      </w:r>
      <w:r w:rsidR="00227EBE">
        <w:rPr>
          <w:lang w:eastAsia="en-AU"/>
        </w:rPr>
        <w:t>(</w:t>
      </w:r>
      <w:r w:rsidRPr="00994E17">
        <w:rPr>
          <w:lang w:eastAsia="en-AU"/>
        </w:rPr>
        <w:t>GPRD</w:t>
      </w:r>
      <w:r w:rsidR="00227EBE">
        <w:rPr>
          <w:lang w:eastAsia="en-AU"/>
        </w:rPr>
        <w:t>)</w:t>
      </w:r>
      <w:r w:rsidRPr="00994E17">
        <w:rPr>
          <w:lang w:eastAsia="en-AU"/>
        </w:rPr>
        <w:t xml:space="preserve"> (NN2211-3880);</w:t>
      </w:r>
    </w:p>
    <w:p w:rsidR="00994E17" w:rsidRPr="00994E17" w:rsidRDefault="00994E17" w:rsidP="00994E17">
      <w:pPr>
        <w:pStyle w:val="ListBullet"/>
        <w:rPr>
          <w:lang w:eastAsia="en-AU"/>
        </w:rPr>
      </w:pPr>
      <w:r w:rsidRPr="00994E17">
        <w:rPr>
          <w:lang w:eastAsia="en-AU"/>
        </w:rPr>
        <w:t>An international non-interventional cohort study to evaluate the safety of treatment with Levemir (insulin detemir) in pregnant women with diabetes mellitus (NN304-4016);</w:t>
      </w:r>
    </w:p>
    <w:p w:rsidR="00994E17" w:rsidRPr="00994E17" w:rsidRDefault="00994E17" w:rsidP="00994E17">
      <w:pPr>
        <w:pStyle w:val="ListBullet"/>
        <w:rPr>
          <w:lang w:eastAsia="en-AU"/>
        </w:rPr>
      </w:pPr>
      <w:r w:rsidRPr="00994E17">
        <w:rPr>
          <w:lang w:eastAsia="en-AU"/>
        </w:rPr>
        <w:t>A summary analysis based on descriptive statistics will be provided at the end of the LEADER trial (EX2211-3748); and</w:t>
      </w:r>
    </w:p>
    <w:p w:rsidR="00994E17" w:rsidRPr="00994E17" w:rsidRDefault="00994E17" w:rsidP="00994E17">
      <w:pPr>
        <w:pStyle w:val="ListBullet"/>
        <w:rPr>
          <w:lang w:eastAsia="en-AU"/>
        </w:rPr>
      </w:pPr>
      <w:r w:rsidRPr="00994E17">
        <w:rPr>
          <w:lang w:eastAsia="en-AU"/>
        </w:rPr>
        <w:t>Meta-analysis of selected clinical trials.</w:t>
      </w:r>
    </w:p>
    <w:p w:rsidR="00994E17" w:rsidRPr="00994E17" w:rsidRDefault="00994E17" w:rsidP="00994E17">
      <w:pPr>
        <w:rPr>
          <w:lang w:eastAsia="en-AU"/>
        </w:rPr>
      </w:pPr>
      <w:r w:rsidRPr="00994E17">
        <w:rPr>
          <w:lang w:eastAsia="en-AU"/>
        </w:rPr>
        <w:t>It is noted that the proposed pregnancy registry will not collect data from Australian women.</w:t>
      </w:r>
    </w:p>
    <w:p w:rsidR="00994E17" w:rsidRPr="00994E17" w:rsidRDefault="00994E17" w:rsidP="00994E17">
      <w:pPr>
        <w:rPr>
          <w:lang w:eastAsia="en-AU"/>
        </w:rPr>
      </w:pPr>
      <w:r w:rsidRPr="00994E17">
        <w:rPr>
          <w:lang w:eastAsia="en-AU"/>
        </w:rPr>
        <w:t>The following refers to the assumption that the sponsor will conduct the abovementioned additional pharmacovigilance activities and makes the results available to the TGA:</w:t>
      </w:r>
    </w:p>
    <w:p w:rsidR="00994E17" w:rsidRPr="00994E17" w:rsidRDefault="00994E17" w:rsidP="00994E17">
      <w:pPr>
        <w:rPr>
          <w:lang w:eastAsia="en-AU"/>
        </w:rPr>
      </w:pPr>
      <w:r w:rsidRPr="00994E17">
        <w:rPr>
          <w:lang w:eastAsia="en-AU"/>
        </w:rPr>
        <w:t>The sponsor’s proposed pharmacovigilance activities and milestones are considered acceptable. The study protocol submitted is considered acceptable in regard to the assigned safety concern for RMP purposes.</w:t>
      </w:r>
    </w:p>
    <w:p w:rsidR="00994E17" w:rsidRPr="00994E17" w:rsidRDefault="00994E17" w:rsidP="00994E17">
      <w:pPr>
        <w:rPr>
          <w:lang w:eastAsia="en-AU"/>
        </w:rPr>
      </w:pPr>
      <w:r w:rsidRPr="00994E17">
        <w:rPr>
          <w:lang w:eastAsia="en-AU"/>
        </w:rPr>
        <w:t>It is noted that the final report for the Prospective cohort study into the prescribing of metformin + liraglutide in combination with insulin as add-on and the risk of neoplasms in the GPRD (NN2211-3880) was due at the end of 2012. The sponsor is advised to submit the final report.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994E17" w:rsidRPr="00994E17" w:rsidRDefault="00994E17" w:rsidP="00994E17">
      <w:pPr>
        <w:rPr>
          <w:i/>
          <w:lang w:eastAsia="en-AU"/>
        </w:rPr>
      </w:pPr>
      <w:bookmarkStart w:id="166" w:name="_Toc247691527"/>
      <w:r w:rsidRPr="00994E17">
        <w:rPr>
          <w:lang w:eastAsia="en-AU"/>
        </w:rPr>
        <w:t>The sponsor states that no additional risk minimisation activities are necessary.</w:t>
      </w:r>
    </w:p>
    <w:p w:rsidR="00994E17" w:rsidRPr="00994E17" w:rsidRDefault="00994E17" w:rsidP="00994E17">
      <w:pPr>
        <w:rPr>
          <w:lang w:eastAsia="en-AU"/>
        </w:rPr>
      </w:pPr>
      <w:r w:rsidRPr="00994E17">
        <w:rPr>
          <w:b/>
          <w:i/>
          <w:lang w:eastAsia="en-AU"/>
        </w:rPr>
        <w:t>OPR reviewer comment:</w:t>
      </w:r>
      <w:r>
        <w:rPr>
          <w:b/>
          <w:i/>
          <w:lang w:eastAsia="en-AU"/>
        </w:rPr>
        <w:t xml:space="preserve">   </w:t>
      </w:r>
      <w:r w:rsidRPr="00994E17">
        <w:rPr>
          <w:lang w:eastAsia="en-AU"/>
        </w:rPr>
        <w:t>The sponsor’s conclusion is acceptable.</w:t>
      </w:r>
    </w:p>
    <w:p w:rsidR="00994E17" w:rsidRPr="00EB45F4" w:rsidRDefault="00994E17" w:rsidP="00EB45F4">
      <w:pPr>
        <w:pStyle w:val="Heading5"/>
      </w:pPr>
      <w:bookmarkStart w:id="167" w:name="_Toc268857338"/>
      <w:bookmarkStart w:id="168" w:name="_Toc349907191"/>
      <w:r w:rsidRPr="00EB45F4">
        <w:t>Potential for medication errors</w:t>
      </w:r>
      <w:bookmarkEnd w:id="167"/>
      <w:bookmarkEnd w:id="168"/>
    </w:p>
    <w:p w:rsidR="00994E17" w:rsidRPr="00994E17" w:rsidRDefault="00994E17" w:rsidP="00994E17">
      <w:pPr>
        <w:rPr>
          <w:lang w:eastAsia="en-AU"/>
        </w:rPr>
      </w:pPr>
      <w:r w:rsidRPr="00994E17">
        <w:rPr>
          <w:lang w:eastAsia="en-AU"/>
        </w:rPr>
        <w:t>For the purposes of this RMP evaluation different types of medication errors, as suggested by Ferner &amp; Aronson (2006</w:t>
      </w:r>
      <w:r>
        <w:rPr>
          <w:rStyle w:val="FootnoteReference"/>
          <w:lang w:eastAsia="en-AU"/>
        </w:rPr>
        <w:footnoteReference w:id="5"/>
      </w:r>
      <w:r w:rsidRPr="00994E17">
        <w:rPr>
          <w:lang w:eastAsia="en-AU"/>
        </w:rPr>
        <w:t>), have been considered.</w:t>
      </w:r>
    </w:p>
    <w:p w:rsidR="00994E17" w:rsidRPr="00994E17" w:rsidRDefault="00994E17" w:rsidP="00994E17">
      <w:pPr>
        <w:rPr>
          <w:lang w:eastAsia="en-AU"/>
        </w:rPr>
      </w:pPr>
      <w:r w:rsidRPr="00994E17">
        <w:rPr>
          <w:b/>
          <w:i/>
          <w:lang w:eastAsia="en-AU"/>
        </w:rPr>
        <w:t>OPR reviewer comment:</w:t>
      </w:r>
      <w:r>
        <w:rPr>
          <w:b/>
          <w:i/>
          <w:lang w:eastAsia="en-AU"/>
        </w:rPr>
        <w:t xml:space="preserve">   </w:t>
      </w:r>
      <w:r w:rsidRPr="00994E17">
        <w:rPr>
          <w:lang w:eastAsia="en-AU"/>
        </w:rPr>
        <w:t>The sponsor’s actions regarding name confusion, labelling and presentation are considered acceptable.</w:t>
      </w:r>
    </w:p>
    <w:p w:rsidR="00994E17" w:rsidRPr="00EB45F4" w:rsidRDefault="00994E17" w:rsidP="00EB45F4">
      <w:pPr>
        <w:pStyle w:val="Heading5"/>
      </w:pPr>
      <w:r w:rsidRPr="00EB45F4">
        <w:t>Potential for overdose</w:t>
      </w:r>
    </w:p>
    <w:p w:rsidR="00994E17" w:rsidRPr="00994E17" w:rsidRDefault="00994E17" w:rsidP="00994E17">
      <w:pPr>
        <w:rPr>
          <w:lang w:eastAsia="en-AU"/>
        </w:rPr>
      </w:pPr>
      <w:r w:rsidRPr="00994E17">
        <w:rPr>
          <w:lang w:eastAsia="en-AU"/>
        </w:rPr>
        <w:t>There is a risk for overdose with any insulin product, which could potentially lead to life-threatening hypoglycaemia. In the proposed PI, hypoglycaemia and its management have been discussed to a satisfactory standard.</w:t>
      </w:r>
    </w:p>
    <w:p w:rsidR="00994E17" w:rsidRPr="00994E17" w:rsidRDefault="00994E17" w:rsidP="00EB45F4">
      <w:pPr>
        <w:pStyle w:val="Heading5"/>
        <w:rPr>
          <w:lang w:eastAsia="en-AU"/>
        </w:rPr>
      </w:pPr>
      <w:r w:rsidRPr="00994E17">
        <w:rPr>
          <w:lang w:eastAsia="en-AU"/>
        </w:rPr>
        <w:lastRenderedPageBreak/>
        <w:t>Potential for paediatric off-label use</w:t>
      </w:r>
    </w:p>
    <w:p w:rsidR="00994E17" w:rsidRDefault="00994E17" w:rsidP="00994E17">
      <w:pPr>
        <w:rPr>
          <w:lang w:eastAsia="en-AU"/>
        </w:rPr>
      </w:pPr>
      <w:r w:rsidRPr="00994E17">
        <w:rPr>
          <w:lang w:eastAsia="en-AU"/>
        </w:rPr>
        <w:t xml:space="preserve">The sponsor recognises that this product is indicated for patients that are </w:t>
      </w:r>
      <w:r>
        <w:rPr>
          <w:lang w:eastAsia="en-AU"/>
        </w:rPr>
        <w:t>two</w:t>
      </w:r>
      <w:r w:rsidRPr="00994E17">
        <w:rPr>
          <w:lang w:eastAsia="en-AU"/>
        </w:rPr>
        <w:t xml:space="preserve"> years of age or older. This is reflected in the proposed PI.</w:t>
      </w:r>
    </w:p>
    <w:p w:rsidR="00766AFD" w:rsidRPr="00766AFD" w:rsidRDefault="00766AFD" w:rsidP="00766AFD">
      <w:pPr>
        <w:pStyle w:val="Heading4"/>
      </w:pPr>
      <w:bookmarkStart w:id="169" w:name="_Toc349907192"/>
      <w:r w:rsidRPr="00766AFD">
        <w:t>Risk minimisation plan</w:t>
      </w:r>
      <w:bookmarkEnd w:id="169"/>
    </w:p>
    <w:p w:rsidR="00766AFD" w:rsidRPr="00766AFD" w:rsidRDefault="00766AFD" w:rsidP="00766AFD">
      <w:pPr>
        <w:pStyle w:val="Heading5"/>
        <w:rPr>
          <w:lang w:eastAsia="en-AU"/>
        </w:rPr>
      </w:pPr>
      <w:bookmarkStart w:id="170" w:name="_Toc349907193"/>
      <w:r w:rsidRPr="00766AFD">
        <w:rPr>
          <w:lang w:eastAsia="en-AU"/>
        </w:rPr>
        <w:t>Planned actions</w:t>
      </w:r>
      <w:bookmarkEnd w:id="170"/>
    </w:p>
    <w:p w:rsidR="00766AFD" w:rsidRPr="00766AFD" w:rsidRDefault="00766AFD" w:rsidP="00766AFD">
      <w:pPr>
        <w:rPr>
          <w:lang w:eastAsia="en-AU"/>
        </w:rPr>
      </w:pPr>
      <w:r w:rsidRPr="00766AFD">
        <w:rPr>
          <w:lang w:eastAsia="en-AU"/>
        </w:rPr>
        <w:t>No additional risk minimisation activities are proposed for Levemir.</w:t>
      </w:r>
    </w:p>
    <w:p w:rsidR="00766AFD" w:rsidRPr="00766AFD" w:rsidRDefault="00766AFD" w:rsidP="00766AFD">
      <w:pPr>
        <w:rPr>
          <w:lang w:eastAsia="en-AU"/>
        </w:rPr>
      </w:pPr>
      <w:r w:rsidRPr="00766AFD">
        <w:rPr>
          <w:b/>
          <w:i/>
          <w:lang w:eastAsia="en-AU"/>
        </w:rPr>
        <w:t>OPR reviewer comment:</w:t>
      </w:r>
      <w:r>
        <w:rPr>
          <w:b/>
          <w:i/>
          <w:lang w:eastAsia="en-AU"/>
        </w:rPr>
        <w:t xml:space="preserve">   </w:t>
      </w:r>
      <w:r w:rsidRPr="00766AFD">
        <w:rPr>
          <w:lang w:eastAsia="en-AU"/>
        </w:rPr>
        <w:t>The sponsor proposes pregnancy category A be assigned to Levemir. In regard to the use of Levemir in pregnancy, the sponsor has presented the following in their RMP:</w:t>
      </w:r>
    </w:p>
    <w:p w:rsidR="00766AFD" w:rsidRPr="00227614" w:rsidRDefault="00766AFD" w:rsidP="00766AFD">
      <w:pPr>
        <w:ind w:left="720"/>
        <w:rPr>
          <w:lang w:eastAsia="en-AU"/>
        </w:rPr>
      </w:pPr>
      <w:r w:rsidRPr="00227614">
        <w:rPr>
          <w:lang w:eastAsia="en-AU"/>
        </w:rPr>
        <w:t xml:space="preserve">‘In an open-label randomised controlled clinical trial </w:t>
      </w:r>
      <w:r w:rsidR="00455A70">
        <w:rPr>
          <w:lang w:eastAsia="en-AU"/>
        </w:rPr>
        <w:t xml:space="preserve">(RCT) </w:t>
      </w:r>
      <w:r w:rsidRPr="00227614">
        <w:rPr>
          <w:lang w:eastAsia="en-AU"/>
        </w:rPr>
        <w:t xml:space="preserve">pregnant women with </w:t>
      </w:r>
      <w:r w:rsidR="001C211C" w:rsidRPr="00227614">
        <w:rPr>
          <w:lang w:eastAsia="en-AU"/>
        </w:rPr>
        <w:t>T</w:t>
      </w:r>
      <w:r w:rsidRPr="00227614">
        <w:rPr>
          <w:lang w:eastAsia="en-AU"/>
        </w:rPr>
        <w:t>1</w:t>
      </w:r>
      <w:r w:rsidR="001C211C" w:rsidRPr="00227614">
        <w:rPr>
          <w:lang w:eastAsia="en-AU"/>
        </w:rPr>
        <w:t>DM</w:t>
      </w:r>
      <w:r w:rsidRPr="00227614">
        <w:rPr>
          <w:lang w:eastAsia="en-AU"/>
        </w:rPr>
        <w:t xml:space="preserve"> (n=310) were treated in a basal-bolus treatment regimen with Levemir (n=152) or NPH insulin (n=158) as basal insulin, both in combination with NovoRapid. Primary objective of this study was to assess the effect of Levemir on blood glucose regulation in pregnant women with diabetes. </w:t>
      </w:r>
    </w:p>
    <w:p w:rsidR="00766AFD" w:rsidRPr="00227614" w:rsidRDefault="00766AFD" w:rsidP="00766AFD">
      <w:pPr>
        <w:ind w:left="720"/>
        <w:rPr>
          <w:lang w:eastAsia="en-AU"/>
        </w:rPr>
      </w:pPr>
      <w:r w:rsidRPr="00227614">
        <w:rPr>
          <w:lang w:eastAsia="en-AU"/>
        </w:rPr>
        <w:t xml:space="preserve">The overall rates of maternal adverse events were similar for Levemir and NPH insulin treatment groups; however, a numerically higher frequency of </w:t>
      </w:r>
      <w:r w:rsidR="00227614" w:rsidRPr="00227614">
        <w:rPr>
          <w:lang w:eastAsia="en-AU"/>
        </w:rPr>
        <w:t>SAE</w:t>
      </w:r>
      <w:r w:rsidRPr="00227614">
        <w:rPr>
          <w:lang w:eastAsia="en-AU"/>
        </w:rPr>
        <w:t>s in the mothers (61 (40%) versus 49 (31%)) and in the newborn children (36 (24%) versus 32 (20%)) was seen for Levemir compared to NPH insulin. The number of live born children of women becoming pregnant after randomisation were 50 (83%) for Levemir and 55 (89%) for NPH. The frequency of congenital malformations was 4 (5%) for Le</w:t>
      </w:r>
      <w:r w:rsidR="00CE11EA">
        <w:rPr>
          <w:lang w:eastAsia="en-AU"/>
        </w:rPr>
        <w:t xml:space="preserve">vemir and 11 (7%) for NPH with three </w:t>
      </w:r>
      <w:r w:rsidRPr="00227614">
        <w:rPr>
          <w:lang w:eastAsia="en-AU"/>
        </w:rPr>
        <w:t>(4%) major malformations for Levemir and</w:t>
      </w:r>
      <w:r w:rsidR="00CE11EA">
        <w:rPr>
          <w:lang w:eastAsia="en-AU"/>
        </w:rPr>
        <w:t xml:space="preserve"> three</w:t>
      </w:r>
      <w:r w:rsidRPr="00227614">
        <w:rPr>
          <w:lang w:eastAsia="en-AU"/>
        </w:rPr>
        <w:t xml:space="preserve"> (2%) for NPH.</w:t>
      </w:r>
    </w:p>
    <w:p w:rsidR="00766AFD" w:rsidRPr="00227614" w:rsidRDefault="00766AFD" w:rsidP="00766AFD">
      <w:pPr>
        <w:ind w:left="720"/>
        <w:rPr>
          <w:lang w:eastAsia="en-AU"/>
        </w:rPr>
      </w:pPr>
      <w:r w:rsidRPr="00227614">
        <w:rPr>
          <w:lang w:eastAsia="en-AU"/>
        </w:rPr>
        <w:t>Post-marketing data from an additional 250 outcomes from pregnant women exposed to Levemir indicate no adverse effects of insulin detemir on pregnancy and no malformative or feto/neonatal toxicity of insulin detemir.’</w:t>
      </w:r>
    </w:p>
    <w:p w:rsidR="00766AFD" w:rsidRPr="00766AFD" w:rsidRDefault="00766AFD" w:rsidP="00766AFD">
      <w:pPr>
        <w:rPr>
          <w:lang w:eastAsia="en-AU"/>
        </w:rPr>
      </w:pPr>
      <w:r w:rsidRPr="00766AFD">
        <w:rPr>
          <w:lang w:eastAsia="en-AU"/>
        </w:rPr>
        <w:t>The abovementioned information should be considered to assign a pregnancy category for Levemir. A total number of 402 pregnant women have been taking Levemir. It is noted that the data presented contains no assessment of a potential statistically significant difference of the adverse events of Levemir v</w:t>
      </w:r>
      <w:r w:rsidR="00227614">
        <w:rPr>
          <w:lang w:eastAsia="en-AU"/>
        </w:rPr>
        <w:t>ersus</w:t>
      </w:r>
      <w:r w:rsidRPr="00766AFD">
        <w:rPr>
          <w:lang w:eastAsia="en-AU"/>
        </w:rPr>
        <w:t xml:space="preserve"> adverse events of NPH insulin in pregnant women.</w:t>
      </w:r>
    </w:p>
    <w:p w:rsidR="00766AFD" w:rsidRPr="00766AFD" w:rsidRDefault="00766AFD" w:rsidP="00766AFD">
      <w:pPr>
        <w:rPr>
          <w:lang w:eastAsia="en-AU"/>
        </w:rPr>
      </w:pPr>
      <w:r w:rsidRPr="00766AFD">
        <w:rPr>
          <w:lang w:eastAsia="en-AU"/>
        </w:rPr>
        <w:t xml:space="preserve">In regard to the proposed routine risk minimisation activities, the Delegate may wish to consider revising </w:t>
      </w:r>
      <w:r>
        <w:rPr>
          <w:lang w:eastAsia="en-AU"/>
        </w:rPr>
        <w:t>the draft PI</w:t>
      </w:r>
      <w:r w:rsidRPr="00766AFD">
        <w:rPr>
          <w:lang w:eastAsia="en-AU"/>
        </w:rPr>
        <w:t xml:space="preserve"> document</w:t>
      </w:r>
      <w:r>
        <w:rPr>
          <w:lang w:eastAsia="en-AU"/>
        </w:rPr>
        <w:t>.</w:t>
      </w:r>
    </w:p>
    <w:p w:rsidR="00766AFD" w:rsidRPr="00766AFD" w:rsidRDefault="00766AFD" w:rsidP="00766AFD">
      <w:pPr>
        <w:rPr>
          <w:lang w:eastAsia="en-AU"/>
        </w:rPr>
      </w:pPr>
      <w:r w:rsidRPr="00766AFD">
        <w:rPr>
          <w:lang w:eastAsia="en-AU"/>
        </w:rPr>
        <w:t>In regard to the proposed routine risk minimisation activities, the draft consumer medicine information</w:t>
      </w:r>
      <w:r>
        <w:rPr>
          <w:lang w:eastAsia="en-AU"/>
        </w:rPr>
        <w:t xml:space="preserve"> (CMI) </w:t>
      </w:r>
      <w:r w:rsidRPr="00766AFD">
        <w:rPr>
          <w:lang w:eastAsia="en-AU"/>
        </w:rPr>
        <w:t>document is considered satisfactory.</w:t>
      </w:r>
    </w:p>
    <w:p w:rsidR="00766AFD" w:rsidRDefault="00766AFD" w:rsidP="00766AFD">
      <w:pPr>
        <w:pStyle w:val="Heading4"/>
        <w:rPr>
          <w:lang w:eastAsia="en-AU"/>
        </w:rPr>
      </w:pPr>
      <w:r>
        <w:rPr>
          <w:lang w:eastAsia="en-AU"/>
        </w:rPr>
        <w:t>Summary of recommendations</w:t>
      </w:r>
    </w:p>
    <w:p w:rsidR="005B35CE" w:rsidRPr="00766AFD" w:rsidRDefault="005B35CE" w:rsidP="005B35CE">
      <w:pPr>
        <w:rPr>
          <w:lang w:eastAsia="en-AU"/>
        </w:rPr>
      </w:pPr>
      <w:r w:rsidRPr="00766AFD">
        <w:rPr>
          <w:lang w:eastAsia="en-AU"/>
        </w:rPr>
        <w:t>The OPR provides these recommendations in the context that the submitted RMP (Safety R</w:t>
      </w:r>
      <w:r>
        <w:rPr>
          <w:lang w:eastAsia="en-AU"/>
        </w:rPr>
        <w:t>MP</w:t>
      </w:r>
      <w:r w:rsidRPr="00766AFD">
        <w:rPr>
          <w:lang w:eastAsia="en-AU"/>
        </w:rPr>
        <w:t xml:space="preserve"> (in EU-RMP format) </w:t>
      </w:r>
      <w:r>
        <w:rPr>
          <w:lang w:eastAsia="en-AU"/>
        </w:rPr>
        <w:t>Edition 15</w:t>
      </w:r>
      <w:r w:rsidRPr="00766AFD">
        <w:rPr>
          <w:lang w:eastAsia="en-AU"/>
        </w:rPr>
        <w:t xml:space="preserve"> (dated </w:t>
      </w:r>
      <w:r>
        <w:rPr>
          <w:lang w:eastAsia="en-AU"/>
        </w:rPr>
        <w:t>04/06/2012</w:t>
      </w:r>
      <w:r w:rsidRPr="00766AFD">
        <w:rPr>
          <w:lang w:eastAsia="en-AU"/>
        </w:rPr>
        <w:t xml:space="preserve">, DLP </w:t>
      </w:r>
      <w:r>
        <w:rPr>
          <w:lang w:eastAsia="en-AU"/>
        </w:rPr>
        <w:t>31/10/2010</w:t>
      </w:r>
      <w:r w:rsidRPr="00766AFD">
        <w:rPr>
          <w:lang w:eastAsia="en-AU"/>
        </w:rPr>
        <w:t xml:space="preserve">) with Safety RMP Australian Implementation Version </w:t>
      </w:r>
      <w:r>
        <w:rPr>
          <w:lang w:eastAsia="en-AU"/>
        </w:rPr>
        <w:t>1</w:t>
      </w:r>
      <w:r w:rsidRPr="00766AFD">
        <w:rPr>
          <w:lang w:eastAsia="en-AU"/>
        </w:rPr>
        <w:t xml:space="preserve"> (dated </w:t>
      </w:r>
      <w:r>
        <w:rPr>
          <w:lang w:eastAsia="en-AU"/>
        </w:rPr>
        <w:t>11</w:t>
      </w:r>
      <w:r w:rsidRPr="00766AFD">
        <w:rPr>
          <w:lang w:eastAsia="en-AU"/>
        </w:rPr>
        <w:t xml:space="preserve">/09/2012)) is supportive to the application; the implementation of a RMP satisfactory to the TGA is imposed as a condition of registration; the submitted EU-RMP is applicable without modification in Australia unless so qualified; and the draft </w:t>
      </w:r>
      <w:r>
        <w:rPr>
          <w:lang w:eastAsia="en-AU"/>
        </w:rPr>
        <w:t>PI</w:t>
      </w:r>
      <w:r w:rsidRPr="00766AFD">
        <w:rPr>
          <w:lang w:eastAsia="en-AU"/>
        </w:rPr>
        <w:t xml:space="preserve"> and consumer medicine information documents should NOT be revised until the Delegates Overview has been received:</w:t>
      </w:r>
    </w:p>
    <w:p w:rsidR="00766AFD" w:rsidRPr="00766AFD" w:rsidRDefault="00766AFD" w:rsidP="00EB45F4">
      <w:pPr>
        <w:pStyle w:val="Heading5"/>
      </w:pPr>
      <w:r w:rsidRPr="00766AFD">
        <w:t>Further safety considerations</w:t>
      </w:r>
    </w:p>
    <w:p w:rsidR="00766AFD" w:rsidRPr="00766AFD" w:rsidRDefault="00766AFD" w:rsidP="00766AFD">
      <w:pPr>
        <w:pStyle w:val="Numberbullet0"/>
        <w:rPr>
          <w:lang w:eastAsia="en-AU"/>
        </w:rPr>
      </w:pPr>
      <w:r w:rsidRPr="00766AFD">
        <w:rPr>
          <w:lang w:eastAsia="en-AU"/>
        </w:rPr>
        <w:t xml:space="preserve">Safety considerations may be raised by the nonclinical and clinical evaluators through the consolidated </w:t>
      </w:r>
      <w:r>
        <w:rPr>
          <w:lang w:eastAsia="en-AU"/>
        </w:rPr>
        <w:t xml:space="preserve">TGA request for further information </w:t>
      </w:r>
      <w:r w:rsidRPr="00766AFD">
        <w:rPr>
          <w:lang w:eastAsia="en-AU"/>
        </w:rPr>
        <w:t xml:space="preserve">and/or the Nonclinical and </w:t>
      </w:r>
      <w:r w:rsidRPr="00766AFD">
        <w:rPr>
          <w:lang w:eastAsia="en-AU"/>
        </w:rPr>
        <w:lastRenderedPageBreak/>
        <w:t>Clinical Ev</w:t>
      </w:r>
      <w:r>
        <w:rPr>
          <w:lang w:eastAsia="en-AU"/>
        </w:rPr>
        <w:t xml:space="preserve">aluation Reports respectively. </w:t>
      </w:r>
      <w:r w:rsidRPr="00766AFD">
        <w:rPr>
          <w:lang w:eastAsia="en-AU"/>
        </w:rPr>
        <w:t>It is important to ensure that the information provided in response to these includes a consideration of the relevance for the RMP, and any specific information needed to address this issue in the RMP. For any safety considerations so raised, please provide information that is relevant and necessary to address the issue in the RMP.</w:t>
      </w:r>
    </w:p>
    <w:p w:rsidR="00766AFD" w:rsidRPr="00766AFD" w:rsidRDefault="00766AFD" w:rsidP="00766AFD">
      <w:pPr>
        <w:rPr>
          <w:lang w:eastAsia="en-AU"/>
        </w:rPr>
      </w:pPr>
      <w:r w:rsidRPr="00766AFD">
        <w:rPr>
          <w:lang w:eastAsia="en-AU"/>
        </w:rPr>
        <w:t>Unless the sponsor can provide compelling justification against any of the following recommendations, the following should be considered:</w:t>
      </w:r>
    </w:p>
    <w:p w:rsidR="00766AFD" w:rsidRPr="00766AFD" w:rsidRDefault="00766AFD" w:rsidP="00EB45F4">
      <w:pPr>
        <w:pStyle w:val="Heading5"/>
        <w:rPr>
          <w:lang w:eastAsia="en-AU"/>
        </w:rPr>
      </w:pPr>
      <w:r w:rsidRPr="00766AFD">
        <w:rPr>
          <w:lang w:eastAsia="en-AU"/>
        </w:rPr>
        <w:t xml:space="preserve">Recommendations in regard to pharmacovigilance activities </w:t>
      </w:r>
    </w:p>
    <w:p w:rsidR="00766AFD" w:rsidRPr="00766AFD" w:rsidRDefault="00766AFD" w:rsidP="00766AFD">
      <w:pPr>
        <w:pStyle w:val="Numberbullet0"/>
        <w:rPr>
          <w:lang w:eastAsia="en-AU"/>
        </w:rPr>
      </w:pPr>
      <w:r w:rsidRPr="00766AFD">
        <w:rPr>
          <w:lang w:eastAsia="en-AU"/>
        </w:rPr>
        <w:t>The sponsor needs to conduct all additional pharmacovigilance activities proposed for the EU, considering that the submitted EU-RMP is used to establish safety, in particular for the pregnant patient population. These are:</w:t>
      </w:r>
    </w:p>
    <w:p w:rsidR="00766AFD" w:rsidRPr="00766AFD" w:rsidRDefault="00766AFD" w:rsidP="00766AFD">
      <w:pPr>
        <w:pStyle w:val="ListBullet2"/>
        <w:rPr>
          <w:lang w:eastAsia="en-AU"/>
        </w:rPr>
      </w:pPr>
      <w:r w:rsidRPr="00766AFD">
        <w:rPr>
          <w:lang w:eastAsia="en-AU"/>
        </w:rPr>
        <w:t>Prospective cohort study into the prescribing of metformin + liraglutide in combination with insulin as add-on and the risk of neoplasms in the GPRD (NN2211-3880);</w:t>
      </w:r>
    </w:p>
    <w:p w:rsidR="00766AFD" w:rsidRPr="00766AFD" w:rsidRDefault="00766AFD" w:rsidP="00766AFD">
      <w:pPr>
        <w:pStyle w:val="ListBullet2"/>
        <w:rPr>
          <w:lang w:eastAsia="en-AU"/>
        </w:rPr>
      </w:pPr>
      <w:r w:rsidRPr="00766AFD">
        <w:rPr>
          <w:lang w:eastAsia="en-AU"/>
        </w:rPr>
        <w:t>An international non-interventional cohort study to evaluate the safety of treatment with Levemir (insulin detemir) in pregnant women with diabetes mellitus (NN304-4016);</w:t>
      </w:r>
    </w:p>
    <w:p w:rsidR="00766AFD" w:rsidRPr="00766AFD" w:rsidRDefault="00766AFD" w:rsidP="00766AFD">
      <w:pPr>
        <w:pStyle w:val="ListBullet2"/>
        <w:rPr>
          <w:lang w:eastAsia="en-AU"/>
        </w:rPr>
      </w:pPr>
      <w:r w:rsidRPr="00766AFD">
        <w:rPr>
          <w:lang w:eastAsia="en-AU"/>
        </w:rPr>
        <w:t>A summary analysis based on descriptive statistics will be provided at the end of the LEADER trial (EX2211-3748); and</w:t>
      </w:r>
    </w:p>
    <w:p w:rsidR="00766AFD" w:rsidRPr="00766AFD" w:rsidRDefault="00766AFD" w:rsidP="00766AFD">
      <w:pPr>
        <w:pStyle w:val="ListBullet2"/>
        <w:rPr>
          <w:lang w:eastAsia="en-AU"/>
        </w:rPr>
      </w:pPr>
      <w:r w:rsidRPr="00766AFD">
        <w:rPr>
          <w:lang w:eastAsia="en-AU"/>
        </w:rPr>
        <w:t>Meta-analysis of selected clinical trials.</w:t>
      </w:r>
    </w:p>
    <w:p w:rsidR="00766AFD" w:rsidRPr="00766AFD" w:rsidRDefault="00766AFD" w:rsidP="00766AFD">
      <w:pPr>
        <w:pStyle w:val="Numberbullet0"/>
        <w:rPr>
          <w:lang w:eastAsia="en-AU"/>
        </w:rPr>
      </w:pPr>
      <w:r w:rsidRPr="00766AFD">
        <w:rPr>
          <w:lang w:eastAsia="en-AU"/>
        </w:rPr>
        <w:t xml:space="preserve">It is noted that the final report for the </w:t>
      </w:r>
      <w:r w:rsidR="00CE11EA">
        <w:rPr>
          <w:lang w:eastAsia="en-AU"/>
        </w:rPr>
        <w:t>p</w:t>
      </w:r>
      <w:r w:rsidRPr="00766AFD">
        <w:rPr>
          <w:lang w:eastAsia="en-AU"/>
        </w:rPr>
        <w:t>rospective cohort study into the prescribing of metformin + liraglutide in combination with insulin as add-on and the risk of neoplasms in the GPRD (NN2211-3880) was due at the end of 2012. The sponsor is advised to submit the final report.</w:t>
      </w:r>
    </w:p>
    <w:p w:rsidR="00766AFD" w:rsidRPr="00766AFD" w:rsidRDefault="00766AFD" w:rsidP="00EB45F4">
      <w:pPr>
        <w:pStyle w:val="Heading5"/>
        <w:rPr>
          <w:lang w:eastAsia="en-AU"/>
        </w:rPr>
      </w:pPr>
      <w:r w:rsidRPr="00766AFD">
        <w:rPr>
          <w:lang w:eastAsia="en-AU"/>
        </w:rPr>
        <w:t xml:space="preserve">Recommendations in regard to risk minimisation activities </w:t>
      </w:r>
    </w:p>
    <w:p w:rsidR="00766AFD" w:rsidRDefault="00766AFD" w:rsidP="00766AFD">
      <w:pPr>
        <w:pStyle w:val="Numberbullet0"/>
        <w:rPr>
          <w:lang w:eastAsia="en-AU"/>
        </w:rPr>
      </w:pPr>
      <w:r w:rsidRPr="00766AFD">
        <w:rPr>
          <w:lang w:eastAsia="en-AU"/>
        </w:rPr>
        <w:t xml:space="preserve">In regard to the proposed routine risk minimisation activities, the Delegate may wish to consider revising the draft </w:t>
      </w:r>
      <w:r w:rsidR="00D275F8">
        <w:rPr>
          <w:lang w:eastAsia="en-AU"/>
        </w:rPr>
        <w:t>PI</w:t>
      </w:r>
      <w:r w:rsidRPr="00766AFD">
        <w:rPr>
          <w:lang w:eastAsia="en-AU"/>
        </w:rPr>
        <w:t xml:space="preserve"> document</w:t>
      </w:r>
      <w:r>
        <w:rPr>
          <w:lang w:eastAsia="en-AU"/>
        </w:rPr>
        <w:t>.</w:t>
      </w:r>
    </w:p>
    <w:p w:rsidR="00534755" w:rsidRDefault="00534755" w:rsidP="00534755">
      <w:pPr>
        <w:pStyle w:val="Heading4"/>
        <w:rPr>
          <w:lang w:eastAsia="en-AU"/>
        </w:rPr>
      </w:pPr>
      <w:r>
        <w:rPr>
          <w:lang w:eastAsia="en-AU"/>
        </w:rPr>
        <w:t>Second round review</w:t>
      </w:r>
    </w:p>
    <w:p w:rsidR="00534755" w:rsidRPr="00534755" w:rsidRDefault="00534755" w:rsidP="00534755">
      <w:pPr>
        <w:rPr>
          <w:lang w:eastAsia="en-AU"/>
        </w:rPr>
      </w:pPr>
      <w:r>
        <w:t xml:space="preserve">Table </w:t>
      </w:r>
      <w:r w:rsidR="00BC2CA1">
        <w:t>4</w:t>
      </w:r>
      <w:r w:rsidRPr="00534755">
        <w:rPr>
          <w:lang w:eastAsia="en-AU"/>
        </w:rPr>
        <w:t xml:space="preserve"> seeks to reconcile issues identified in the RMP evaluation report with consideration of the following documents:</w:t>
      </w:r>
    </w:p>
    <w:p w:rsidR="005B35CE" w:rsidRPr="00534755" w:rsidRDefault="005B35CE" w:rsidP="005B35CE">
      <w:pPr>
        <w:pStyle w:val="Numberbullet0"/>
        <w:numPr>
          <w:ilvl w:val="0"/>
          <w:numId w:val="31"/>
        </w:numPr>
        <w:rPr>
          <w:lang w:eastAsia="en-AU"/>
        </w:rPr>
      </w:pPr>
      <w:r w:rsidRPr="00534755">
        <w:rPr>
          <w:lang w:eastAsia="en-AU"/>
        </w:rPr>
        <w:t>R</w:t>
      </w:r>
      <w:r>
        <w:rPr>
          <w:lang w:eastAsia="en-AU"/>
        </w:rPr>
        <w:t>M</w:t>
      </w:r>
      <w:r w:rsidRPr="00534755">
        <w:rPr>
          <w:lang w:eastAsia="en-AU"/>
        </w:rPr>
        <w:t>P (in EU-RMP format) Version 15 (dated 04/06/2012, DLP 31/10/2010) with Australian Specific Annex Version 1.0 (dated 11/09/2012)</w:t>
      </w:r>
    </w:p>
    <w:p w:rsidR="00534755" w:rsidRPr="00534755" w:rsidRDefault="00534755" w:rsidP="00534755">
      <w:pPr>
        <w:pStyle w:val="Numberbullet0"/>
      </w:pPr>
      <w:r w:rsidRPr="00534755">
        <w:t xml:space="preserve">Sponsor’s response to TGA </w:t>
      </w:r>
      <w:r>
        <w:t xml:space="preserve">request for further information </w:t>
      </w:r>
      <w:bookmarkStart w:id="171" w:name="_Toc341615860"/>
      <w:r>
        <w:t>(dated</w:t>
      </w:r>
      <w:r w:rsidRPr="00534755">
        <w:t xml:space="preserve"> 27/03/2013).</w:t>
      </w:r>
    </w:p>
    <w:p w:rsidR="00534755" w:rsidRPr="00534755" w:rsidRDefault="00534755" w:rsidP="00534755">
      <w:pPr>
        <w:pStyle w:val="Numberbullet0"/>
      </w:pPr>
      <w:bookmarkStart w:id="172" w:name="_Toc341615861"/>
      <w:bookmarkEnd w:id="171"/>
      <w:r w:rsidRPr="00534755">
        <w:t>OMA Clinical Evaluation Report</w:t>
      </w:r>
      <w:bookmarkEnd w:id="172"/>
      <w:r w:rsidRPr="00534755">
        <w:t xml:space="preserve"> (CER) (first round dated 05/02/2012; no second round report).</w:t>
      </w:r>
    </w:p>
    <w:p w:rsidR="00534755" w:rsidRPr="00534755" w:rsidRDefault="00534755" w:rsidP="00534755">
      <w:pPr>
        <w:pStyle w:val="Numberbullet0"/>
      </w:pPr>
      <w:r w:rsidRPr="00534755">
        <w:t>OSE Non-clinical Evaluation Report (NCER) (dated 05/04/2013).</w:t>
      </w:r>
    </w:p>
    <w:p w:rsidR="00534755" w:rsidRPr="00534755" w:rsidRDefault="00534755" w:rsidP="00534755">
      <w:r w:rsidRPr="00534755">
        <w:t xml:space="preserve">It is considered that the sponsor’s response to the TGA </w:t>
      </w:r>
      <w:r>
        <w:t xml:space="preserve">request for further information has </w:t>
      </w:r>
      <w:r w:rsidRPr="00534755">
        <w:t>adequately addressed most of the issues identified in the RMP evaluation report. The outstanding issues are listed below.</w:t>
      </w:r>
    </w:p>
    <w:p w:rsidR="00534755" w:rsidRPr="00534755" w:rsidRDefault="00FF1E7C" w:rsidP="005A6C42">
      <w:pPr>
        <w:pStyle w:val="TableTitle"/>
        <w:keepLines/>
        <w:rPr>
          <w:lang w:eastAsia="en-AU"/>
        </w:rPr>
      </w:pPr>
      <w:bookmarkStart w:id="173" w:name="_Toc314842510"/>
      <w:r>
        <w:rPr>
          <w:lang w:eastAsia="en-AU"/>
        </w:rPr>
        <w:lastRenderedPageBreak/>
        <w:t xml:space="preserve">Table </w:t>
      </w:r>
      <w:r w:rsidR="005A6C42">
        <w:rPr>
          <w:lang w:eastAsia="en-AU"/>
        </w:rPr>
        <w:t>4</w:t>
      </w:r>
      <w:r>
        <w:rPr>
          <w:lang w:eastAsia="en-AU"/>
        </w:rPr>
        <w:t xml:space="preserve">: </w:t>
      </w:r>
      <w:r w:rsidR="00534755" w:rsidRPr="00534755">
        <w:rPr>
          <w:lang w:eastAsia="en-AU"/>
        </w:rPr>
        <w:t>Reconciliation of issues outlined in the RMP report</w:t>
      </w:r>
    </w:p>
    <w:tbl>
      <w:tblPr>
        <w:tblStyle w:val="TableTGAblue"/>
        <w:tblW w:w="0" w:type="auto"/>
        <w:tblLook w:val="04A0" w:firstRow="1" w:lastRow="0" w:firstColumn="1" w:lastColumn="0" w:noHBand="0" w:noVBand="1"/>
      </w:tblPr>
      <w:tblGrid>
        <w:gridCol w:w="2906"/>
        <w:gridCol w:w="2907"/>
        <w:gridCol w:w="2907"/>
      </w:tblGrid>
      <w:tr w:rsidR="00534755" w:rsidTr="00534755">
        <w:trPr>
          <w:cnfStyle w:val="100000000000" w:firstRow="1" w:lastRow="0" w:firstColumn="0" w:lastColumn="0" w:oddVBand="0" w:evenVBand="0" w:oddHBand="0" w:evenHBand="0" w:firstRowFirstColumn="0" w:firstRowLastColumn="0" w:lastRowFirstColumn="0" w:lastRowLastColumn="0"/>
        </w:trPr>
        <w:tc>
          <w:tcPr>
            <w:tcW w:w="2906" w:type="dxa"/>
          </w:tcPr>
          <w:p w:rsidR="00534755" w:rsidRPr="00534755" w:rsidRDefault="00534755" w:rsidP="005A6C42">
            <w:pPr>
              <w:keepLines/>
              <w:spacing w:before="0" w:after="0"/>
              <w:ind w:left="57" w:right="57"/>
              <w:rPr>
                <w:sz w:val="18"/>
                <w:szCs w:val="18"/>
              </w:rPr>
            </w:pPr>
            <w:r w:rsidRPr="00534755">
              <w:rPr>
                <w:sz w:val="18"/>
                <w:szCs w:val="18"/>
              </w:rPr>
              <w:t>Recommendation in RMP evaluation report</w:t>
            </w:r>
          </w:p>
        </w:tc>
        <w:tc>
          <w:tcPr>
            <w:tcW w:w="2907" w:type="dxa"/>
          </w:tcPr>
          <w:p w:rsidR="00534755" w:rsidRPr="00534755" w:rsidRDefault="00534755" w:rsidP="005A6C42">
            <w:pPr>
              <w:keepLines/>
              <w:spacing w:before="0" w:after="0"/>
              <w:ind w:left="57" w:right="57"/>
              <w:rPr>
                <w:sz w:val="18"/>
                <w:szCs w:val="18"/>
              </w:rPr>
            </w:pPr>
            <w:r w:rsidRPr="00534755">
              <w:rPr>
                <w:sz w:val="18"/>
                <w:szCs w:val="18"/>
              </w:rPr>
              <w:t>Sponsor’s response (or summary of the response)</w:t>
            </w:r>
          </w:p>
          <w:p w:rsidR="00534755" w:rsidRPr="00534755" w:rsidRDefault="00534755" w:rsidP="005A6C42">
            <w:pPr>
              <w:keepLines/>
              <w:spacing w:before="0" w:after="0"/>
              <w:ind w:left="57" w:right="57"/>
              <w:rPr>
                <w:sz w:val="18"/>
                <w:szCs w:val="18"/>
              </w:rPr>
            </w:pPr>
          </w:p>
        </w:tc>
        <w:tc>
          <w:tcPr>
            <w:tcW w:w="2907" w:type="dxa"/>
          </w:tcPr>
          <w:p w:rsidR="00534755" w:rsidRPr="00534755" w:rsidRDefault="00534755" w:rsidP="005A6C42">
            <w:pPr>
              <w:keepLines/>
              <w:spacing w:before="0" w:after="0"/>
              <w:ind w:left="57" w:right="57"/>
              <w:rPr>
                <w:sz w:val="18"/>
                <w:szCs w:val="18"/>
              </w:rPr>
            </w:pPr>
            <w:r w:rsidRPr="00534755">
              <w:rPr>
                <w:sz w:val="18"/>
                <w:szCs w:val="18"/>
              </w:rPr>
              <w:t>OPR evaluator’s comment</w:t>
            </w:r>
          </w:p>
        </w:tc>
      </w:tr>
      <w:tr w:rsidR="00534755" w:rsidTr="00534755">
        <w:tc>
          <w:tcPr>
            <w:tcW w:w="2906" w:type="dxa"/>
          </w:tcPr>
          <w:p w:rsidR="00534755" w:rsidRPr="00534755" w:rsidRDefault="00534755" w:rsidP="005A6C42">
            <w:pPr>
              <w:pStyle w:val="Numberbullet0"/>
              <w:keepNext/>
              <w:keepLines/>
              <w:numPr>
                <w:ilvl w:val="0"/>
                <w:numId w:val="32"/>
              </w:numPr>
              <w:spacing w:before="0" w:after="0"/>
              <w:rPr>
                <w:sz w:val="18"/>
                <w:szCs w:val="18"/>
              </w:rPr>
            </w:pPr>
            <w:r w:rsidRPr="00534755">
              <w:rPr>
                <w:sz w:val="18"/>
                <w:szCs w:val="18"/>
              </w:rPr>
              <w:t>Safety considerations may be raised by the nonclinical and clinical evaluators through the consolidated section 31 request and/or the Nonclinical and Clinical Evaluation Reports respectively. It is important to ensure that the information provided in response to these include a consideration of the relevance for the RMP, and any specific information needed to address this issue in the RMP. For any safety considerations so raised, please provide information that is relevant and necessary to address the issue in the RMP.</w:t>
            </w:r>
          </w:p>
        </w:tc>
        <w:tc>
          <w:tcPr>
            <w:tcW w:w="2907" w:type="dxa"/>
          </w:tcPr>
          <w:p w:rsidR="00534755" w:rsidRPr="00534755" w:rsidRDefault="00534755" w:rsidP="005A6C42">
            <w:pPr>
              <w:keepNext/>
              <w:keepLines/>
              <w:spacing w:before="0" w:after="0"/>
              <w:ind w:left="57" w:right="57"/>
              <w:rPr>
                <w:i/>
                <w:sz w:val="18"/>
                <w:szCs w:val="18"/>
              </w:rPr>
            </w:pPr>
            <w:r w:rsidRPr="00534755">
              <w:rPr>
                <w:i/>
                <w:sz w:val="18"/>
                <w:szCs w:val="18"/>
              </w:rPr>
              <w:t>‘No clinical issues have been raised via the Section 31 Request for Information. No Module 4 data were submitted with this application and a nonclinical evaluation report is not expected to be issued. NN acknowledges that safety questions may be raised in the clinical evaluation report and these will be addressed in the Australian Specific Annex to the EU-RMP as necessary and the EU-RMP if appropriate.’</w:t>
            </w:r>
          </w:p>
        </w:tc>
        <w:tc>
          <w:tcPr>
            <w:tcW w:w="2907" w:type="dxa"/>
          </w:tcPr>
          <w:p w:rsidR="00534755" w:rsidRPr="00534755" w:rsidRDefault="00534755" w:rsidP="005A6C42">
            <w:pPr>
              <w:keepNext/>
              <w:keepLines/>
              <w:spacing w:before="0" w:after="0"/>
              <w:ind w:left="57" w:right="57"/>
              <w:rPr>
                <w:sz w:val="18"/>
                <w:szCs w:val="18"/>
              </w:rPr>
            </w:pPr>
            <w:r w:rsidRPr="00534755">
              <w:rPr>
                <w:sz w:val="18"/>
                <w:szCs w:val="18"/>
              </w:rPr>
              <w:t>This is considered acceptable.</w:t>
            </w:r>
          </w:p>
          <w:p w:rsidR="00534755" w:rsidRPr="00534755" w:rsidRDefault="00534755" w:rsidP="005A6C42">
            <w:pPr>
              <w:keepNext/>
              <w:keepLines/>
              <w:spacing w:before="0" w:after="0"/>
              <w:ind w:left="57" w:right="57"/>
              <w:rPr>
                <w:sz w:val="18"/>
                <w:szCs w:val="18"/>
              </w:rPr>
            </w:pPr>
            <w:r w:rsidRPr="00534755">
              <w:rPr>
                <w:sz w:val="18"/>
                <w:szCs w:val="18"/>
              </w:rPr>
              <w:t>A short non-clinical evaluation report was prepared by OSE and has been considered for this RMP Round 2 advice document.</w:t>
            </w:r>
          </w:p>
        </w:tc>
      </w:tr>
      <w:tr w:rsidR="00534755" w:rsidTr="00534755">
        <w:tc>
          <w:tcPr>
            <w:tcW w:w="2906" w:type="dxa"/>
          </w:tcPr>
          <w:p w:rsidR="00534755" w:rsidRPr="00534755" w:rsidRDefault="00534755" w:rsidP="005A6C42">
            <w:pPr>
              <w:pStyle w:val="Numberbullet0"/>
              <w:keepNext/>
              <w:keepLines/>
              <w:spacing w:before="0" w:after="0"/>
              <w:rPr>
                <w:sz w:val="18"/>
                <w:szCs w:val="18"/>
              </w:rPr>
            </w:pPr>
            <w:r w:rsidRPr="00534755">
              <w:rPr>
                <w:sz w:val="18"/>
                <w:szCs w:val="18"/>
              </w:rPr>
              <w:t>The sponsor needs to conduct all additional pharmacovigilance activities proposed for the European Union, considering that the submitted EU-RMP is used to establish safety, in particular for the pregnant patient population. These are:</w:t>
            </w:r>
          </w:p>
          <w:p w:rsidR="00534755" w:rsidRPr="00534755" w:rsidRDefault="00534755" w:rsidP="005A6C42">
            <w:pPr>
              <w:pStyle w:val="ListBullet2"/>
              <w:keepNext/>
              <w:keepLines/>
              <w:rPr>
                <w:sz w:val="18"/>
                <w:szCs w:val="18"/>
              </w:rPr>
            </w:pPr>
            <w:r w:rsidRPr="00534755">
              <w:rPr>
                <w:sz w:val="18"/>
                <w:szCs w:val="18"/>
              </w:rPr>
              <w:t>Prospective cohort study into the prescribing of metformin + liraglutide in combination with insulin as add-on and the risk of neoplasms in the GPRD (NN2211-3880);</w:t>
            </w:r>
          </w:p>
          <w:p w:rsidR="00534755" w:rsidRPr="00534755" w:rsidRDefault="00534755" w:rsidP="005A6C42">
            <w:pPr>
              <w:pStyle w:val="ListBullet2"/>
              <w:keepNext/>
              <w:keepLines/>
              <w:rPr>
                <w:sz w:val="18"/>
                <w:szCs w:val="18"/>
                <w:lang w:val="en-US"/>
              </w:rPr>
            </w:pPr>
            <w:r w:rsidRPr="00534755">
              <w:rPr>
                <w:sz w:val="18"/>
                <w:szCs w:val="18"/>
              </w:rPr>
              <w:t>An international non-interventional cohort study to</w:t>
            </w:r>
            <w:r w:rsidRPr="00534755">
              <w:rPr>
                <w:sz w:val="18"/>
                <w:szCs w:val="18"/>
                <w:lang w:val="en-US"/>
              </w:rPr>
              <w:t xml:space="preserve"> evaluate the safety of treatment with Levemir (insulin detemir) in pregnant women with diabetes mellitus (NN304-4016);</w:t>
            </w:r>
          </w:p>
          <w:p w:rsidR="00534755" w:rsidRPr="00534755" w:rsidRDefault="00534755" w:rsidP="005A6C42">
            <w:pPr>
              <w:pStyle w:val="ListBullet2"/>
              <w:keepNext/>
              <w:keepLines/>
              <w:rPr>
                <w:sz w:val="18"/>
                <w:szCs w:val="18"/>
              </w:rPr>
            </w:pPr>
            <w:r w:rsidRPr="00534755">
              <w:rPr>
                <w:sz w:val="18"/>
                <w:szCs w:val="18"/>
              </w:rPr>
              <w:lastRenderedPageBreak/>
              <w:t>A summary analysis based on descriptive statistics will be provided at the end of the LEADER trial (EX2211-3748); and</w:t>
            </w:r>
          </w:p>
          <w:p w:rsidR="00534755" w:rsidRPr="00534755" w:rsidRDefault="00534755" w:rsidP="005A6C42">
            <w:pPr>
              <w:pStyle w:val="ListBullet2"/>
              <w:keepNext/>
              <w:keepLines/>
              <w:rPr>
                <w:sz w:val="18"/>
                <w:szCs w:val="18"/>
              </w:rPr>
            </w:pPr>
            <w:r w:rsidRPr="00534755">
              <w:rPr>
                <w:sz w:val="18"/>
                <w:szCs w:val="18"/>
              </w:rPr>
              <w:t xml:space="preserve">Meta-analysis of selected clinical trials. </w:t>
            </w:r>
          </w:p>
        </w:tc>
        <w:tc>
          <w:tcPr>
            <w:tcW w:w="2907" w:type="dxa"/>
          </w:tcPr>
          <w:p w:rsidR="00534755" w:rsidRPr="00534755" w:rsidRDefault="00534755" w:rsidP="00EB45F4">
            <w:pPr>
              <w:keepNext/>
              <w:keepLines/>
              <w:spacing w:before="0"/>
              <w:ind w:left="57" w:right="57"/>
              <w:rPr>
                <w:bCs/>
                <w:i/>
                <w:sz w:val="18"/>
                <w:szCs w:val="18"/>
                <w:lang w:val="en-US"/>
              </w:rPr>
            </w:pPr>
            <w:r w:rsidRPr="00534755">
              <w:rPr>
                <w:bCs/>
                <w:i/>
                <w:sz w:val="18"/>
                <w:szCs w:val="18"/>
                <w:lang w:val="en-US"/>
              </w:rPr>
              <w:lastRenderedPageBreak/>
              <w:t>As clarified with the RMP evaluator via email correspondence on 13-Mar-2</w:t>
            </w:r>
            <w:r w:rsidR="002801FB">
              <w:rPr>
                <w:bCs/>
                <w:i/>
                <w:sz w:val="18"/>
                <w:szCs w:val="18"/>
                <w:lang w:val="en-US"/>
              </w:rPr>
              <w:t>013 (enclosed as Appendix 1), N</w:t>
            </w:r>
            <w:r w:rsidRPr="00534755">
              <w:rPr>
                <w:bCs/>
                <w:i/>
                <w:sz w:val="18"/>
                <w:szCs w:val="18"/>
                <w:lang w:val="en-US"/>
              </w:rPr>
              <w:t>N commits to providing TGA with the data from the abovementioned pharmacovigilance activities, which will be conducted by NN A/S as described in the EU-RMP.</w:t>
            </w:r>
          </w:p>
          <w:p w:rsidR="00534755" w:rsidRPr="00534755" w:rsidRDefault="00534755" w:rsidP="00EB45F4">
            <w:pPr>
              <w:keepNext/>
              <w:keepLines/>
              <w:spacing w:before="0"/>
              <w:ind w:left="57" w:right="57"/>
              <w:rPr>
                <w:bCs/>
                <w:i/>
                <w:sz w:val="18"/>
                <w:szCs w:val="18"/>
                <w:lang w:val="en-US"/>
              </w:rPr>
            </w:pPr>
            <w:r w:rsidRPr="00534755">
              <w:rPr>
                <w:bCs/>
                <w:i/>
                <w:sz w:val="18"/>
                <w:szCs w:val="18"/>
                <w:lang w:val="en-US"/>
              </w:rPr>
              <w:t>The meta-analysis of selected clinical trials of cardiovascular and cerebrovascular events (point 4 above) has been completed. The EU-RMP (v.1.0, dated 04 June 2012) submitted to TGA with this application incorrectly states that the activity is outstanding. The report is enclosed with this response (enclosed as Appendix 2). The next edition of the EU-RMP will be updated to remove this activity from the outstanding actions.</w:t>
            </w:r>
          </w:p>
          <w:p w:rsidR="00534755" w:rsidRPr="00534755" w:rsidRDefault="00534755" w:rsidP="00EB45F4">
            <w:pPr>
              <w:keepNext/>
              <w:keepLines/>
              <w:spacing w:before="0"/>
              <w:ind w:left="57" w:right="57"/>
              <w:rPr>
                <w:bCs/>
                <w:i/>
                <w:sz w:val="18"/>
                <w:szCs w:val="18"/>
                <w:lang w:val="en-US"/>
              </w:rPr>
            </w:pPr>
            <w:r w:rsidRPr="00534755">
              <w:rPr>
                <w:bCs/>
                <w:i/>
                <w:sz w:val="18"/>
                <w:szCs w:val="18"/>
                <w:lang w:val="en-US"/>
              </w:rPr>
              <w:t>Events of cardiovascular disorders will continue to be monitored through routine pharmacovigilance.</w:t>
            </w:r>
          </w:p>
          <w:p w:rsidR="00534755" w:rsidRPr="00EB45F4" w:rsidRDefault="00534755" w:rsidP="00EB45F4">
            <w:pPr>
              <w:keepNext/>
              <w:keepLines/>
              <w:spacing w:before="0"/>
              <w:ind w:left="57" w:right="57"/>
              <w:rPr>
                <w:bCs/>
                <w:i/>
                <w:sz w:val="18"/>
                <w:szCs w:val="18"/>
                <w:lang w:val="en-US"/>
              </w:rPr>
            </w:pPr>
            <w:r w:rsidRPr="00534755">
              <w:rPr>
                <w:bCs/>
                <w:i/>
                <w:sz w:val="18"/>
                <w:szCs w:val="18"/>
                <w:lang w:val="en-US"/>
              </w:rPr>
              <w:t xml:space="preserve">Furthermore, when agreement is </w:t>
            </w:r>
            <w:r w:rsidRPr="00534755">
              <w:rPr>
                <w:bCs/>
                <w:i/>
                <w:sz w:val="18"/>
                <w:szCs w:val="18"/>
                <w:lang w:val="en-US"/>
              </w:rPr>
              <w:lastRenderedPageBreak/>
              <w:t>reached with the Delegate on safety issues raised, NN accepts to undertake to update the Australian Specific Annex to the EU-RMP as necessary, and to provide this and, as available, an updated EU-RMP to the TGA.</w:t>
            </w:r>
          </w:p>
        </w:tc>
        <w:tc>
          <w:tcPr>
            <w:tcW w:w="2907" w:type="dxa"/>
          </w:tcPr>
          <w:p w:rsidR="00534755" w:rsidRPr="00534755" w:rsidRDefault="00534755" w:rsidP="005A6C42">
            <w:pPr>
              <w:keepNext/>
              <w:keepLines/>
              <w:spacing w:before="0" w:after="0"/>
              <w:ind w:left="57" w:right="57"/>
              <w:rPr>
                <w:sz w:val="18"/>
                <w:szCs w:val="18"/>
              </w:rPr>
            </w:pPr>
          </w:p>
        </w:tc>
      </w:tr>
      <w:tr w:rsidR="00534755" w:rsidTr="00534755">
        <w:tc>
          <w:tcPr>
            <w:tcW w:w="2906" w:type="dxa"/>
          </w:tcPr>
          <w:p w:rsidR="00534755" w:rsidRPr="00534755" w:rsidRDefault="00FF1E7C" w:rsidP="005A6C42">
            <w:pPr>
              <w:pStyle w:val="Numberbullet0"/>
              <w:keepNext/>
              <w:keepLines/>
              <w:spacing w:before="0" w:after="0"/>
              <w:rPr>
                <w:sz w:val="18"/>
                <w:szCs w:val="18"/>
              </w:rPr>
            </w:pPr>
            <w:r w:rsidRPr="00FF1E7C">
              <w:rPr>
                <w:sz w:val="18"/>
                <w:szCs w:val="18"/>
              </w:rPr>
              <w:lastRenderedPageBreak/>
              <w:t>It is noted that the final report for the Prospective cohort study into the prescribing of metformin + liraglutide in combination with insulin as add-on and the risk of neoplasms in the GPRD (NN2211-3880) was due at the end of 2012. The sponsor is advised to submit the final report.</w:t>
            </w:r>
          </w:p>
        </w:tc>
        <w:tc>
          <w:tcPr>
            <w:tcW w:w="2907" w:type="dxa"/>
          </w:tcPr>
          <w:p w:rsidR="00534755" w:rsidRPr="00534755" w:rsidRDefault="00FF1E7C" w:rsidP="005A6C42">
            <w:pPr>
              <w:keepNext/>
              <w:keepLines/>
              <w:spacing w:before="0" w:after="0"/>
              <w:ind w:left="57" w:right="57"/>
              <w:rPr>
                <w:sz w:val="18"/>
                <w:szCs w:val="18"/>
              </w:rPr>
            </w:pPr>
            <w:r w:rsidRPr="00FF1E7C">
              <w:rPr>
                <w:i/>
                <w:sz w:val="18"/>
                <w:szCs w:val="18"/>
              </w:rPr>
              <w:t>As clarified with the RMP evaluator via email correspondence on 13-Mar-2013 (See Appendix 1), the study report for NN2211-3880 is planned for completion by 31-Dec-2015. NN commits to submitting the final report to TGA when available.</w:t>
            </w:r>
          </w:p>
        </w:tc>
        <w:tc>
          <w:tcPr>
            <w:tcW w:w="2907" w:type="dxa"/>
          </w:tcPr>
          <w:p w:rsidR="00534755" w:rsidRPr="00534755" w:rsidRDefault="00FF1E7C" w:rsidP="005A6C42">
            <w:pPr>
              <w:keepNext/>
              <w:keepLines/>
              <w:spacing w:before="0" w:after="0"/>
              <w:ind w:left="57" w:right="57"/>
              <w:rPr>
                <w:sz w:val="18"/>
                <w:szCs w:val="18"/>
              </w:rPr>
            </w:pPr>
            <w:r w:rsidRPr="00FF1E7C">
              <w:rPr>
                <w:sz w:val="18"/>
                <w:szCs w:val="18"/>
              </w:rPr>
              <w:t>The final report date had been misread by the evaluator. The sponsor’s response is considered acceptable</w:t>
            </w:r>
          </w:p>
        </w:tc>
      </w:tr>
      <w:tr w:rsidR="00534755" w:rsidTr="00534755">
        <w:tc>
          <w:tcPr>
            <w:tcW w:w="2906" w:type="dxa"/>
          </w:tcPr>
          <w:p w:rsidR="00534755" w:rsidRPr="00534755" w:rsidRDefault="00FF1E7C" w:rsidP="005A6C42">
            <w:pPr>
              <w:pStyle w:val="Numberbullet0"/>
              <w:keepNext/>
              <w:keepLines/>
              <w:spacing w:before="0" w:after="0"/>
              <w:rPr>
                <w:sz w:val="18"/>
                <w:szCs w:val="18"/>
              </w:rPr>
            </w:pPr>
            <w:r w:rsidRPr="00FF1E7C">
              <w:rPr>
                <w:sz w:val="18"/>
                <w:szCs w:val="18"/>
              </w:rPr>
              <w:t xml:space="preserve">In regard to the proposed routine risk minimisation activities, the Delegate may wish to consider revising the draft </w:t>
            </w:r>
            <w:r w:rsidR="00D275F8">
              <w:rPr>
                <w:sz w:val="18"/>
                <w:szCs w:val="18"/>
              </w:rPr>
              <w:t>PI doc</w:t>
            </w:r>
            <w:r w:rsidRPr="00FF1E7C">
              <w:rPr>
                <w:sz w:val="18"/>
                <w:szCs w:val="18"/>
              </w:rPr>
              <w:t>ument</w:t>
            </w:r>
            <w:r>
              <w:rPr>
                <w:sz w:val="18"/>
                <w:szCs w:val="18"/>
              </w:rPr>
              <w:t>.</w:t>
            </w:r>
          </w:p>
        </w:tc>
        <w:tc>
          <w:tcPr>
            <w:tcW w:w="2907" w:type="dxa"/>
          </w:tcPr>
          <w:p w:rsidR="00534755" w:rsidRPr="00534755" w:rsidRDefault="00FF1E7C" w:rsidP="005A6C42">
            <w:pPr>
              <w:keepNext/>
              <w:keepLines/>
              <w:spacing w:before="0" w:after="0"/>
              <w:ind w:left="57" w:right="57"/>
              <w:rPr>
                <w:sz w:val="18"/>
                <w:szCs w:val="18"/>
              </w:rPr>
            </w:pPr>
            <w:r w:rsidRPr="00FF1E7C">
              <w:rPr>
                <w:i/>
                <w:sz w:val="18"/>
                <w:szCs w:val="18"/>
              </w:rPr>
              <w:t>‘NN accepts the evaluator’s recommendation and will update the PI accordingly after receipt of the Delegate’s Overview.’</w:t>
            </w:r>
          </w:p>
        </w:tc>
        <w:tc>
          <w:tcPr>
            <w:tcW w:w="2907" w:type="dxa"/>
          </w:tcPr>
          <w:p w:rsidR="00534755" w:rsidRPr="00534755" w:rsidRDefault="00FF1E7C" w:rsidP="005A6C42">
            <w:pPr>
              <w:keepNext/>
              <w:keepLines/>
              <w:spacing w:before="0" w:after="0"/>
              <w:ind w:left="57" w:right="57"/>
              <w:rPr>
                <w:sz w:val="18"/>
                <w:szCs w:val="18"/>
              </w:rPr>
            </w:pPr>
            <w:r w:rsidRPr="00FF1E7C">
              <w:rPr>
                <w:sz w:val="18"/>
                <w:szCs w:val="18"/>
              </w:rPr>
              <w:t>This is considered acceptable.</w:t>
            </w:r>
          </w:p>
        </w:tc>
      </w:tr>
    </w:tbl>
    <w:p w:rsidR="008E7846" w:rsidRPr="00792A32" w:rsidRDefault="008E7846" w:rsidP="008E7846">
      <w:pPr>
        <w:pStyle w:val="Heading2"/>
      </w:pPr>
      <w:bookmarkStart w:id="174" w:name="_Toc38377105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9"/>
      <w:bookmarkEnd w:id="166"/>
      <w:bookmarkEnd w:id="173"/>
      <w:bookmarkEnd w:id="174"/>
    </w:p>
    <w:p w:rsidR="008E7846" w:rsidRDefault="008E7846" w:rsidP="008E7846">
      <w:bookmarkStart w:id="17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787B34">
      <w:pPr>
        <w:pStyle w:val="Heading3"/>
      </w:pPr>
      <w:bookmarkStart w:id="176" w:name="_Toc314842511"/>
      <w:bookmarkStart w:id="177" w:name="_Toc383771052"/>
      <w:r w:rsidRPr="00787B34">
        <w:t>Quality</w:t>
      </w:r>
      <w:bookmarkEnd w:id="175"/>
      <w:bookmarkEnd w:id="176"/>
      <w:bookmarkEnd w:id="177"/>
    </w:p>
    <w:p w:rsidR="00787B34" w:rsidRPr="00787B34" w:rsidRDefault="00787B34" w:rsidP="00787B34">
      <w:r w:rsidRPr="00787B34">
        <w:t xml:space="preserve">There was no requirement for a </w:t>
      </w:r>
      <w:r>
        <w:t xml:space="preserve">quality </w:t>
      </w:r>
      <w:r w:rsidRPr="00787B34">
        <w:t>evaluation in a submission of this type.</w:t>
      </w:r>
    </w:p>
    <w:p w:rsidR="008E7846" w:rsidRDefault="008E7846" w:rsidP="008E7846">
      <w:pPr>
        <w:pStyle w:val="Heading3"/>
      </w:pPr>
      <w:bookmarkStart w:id="178" w:name="_Toc314842512"/>
      <w:bookmarkStart w:id="179" w:name="_Toc383771053"/>
      <w:r>
        <w:t>Nonclinical</w:t>
      </w:r>
      <w:bookmarkEnd w:id="178"/>
      <w:bookmarkEnd w:id="179"/>
    </w:p>
    <w:p w:rsidR="00787B34" w:rsidRPr="00787B34" w:rsidRDefault="00787B34" w:rsidP="00787B34">
      <w:r w:rsidRPr="00787B34">
        <w:t>The submission included toxicology data to support modification of a current text in the PI about metabolites of insulin detemir. A revised statement has been recommended by the toxicology evaluators to that initially proposed by the sponsor.</w:t>
      </w:r>
    </w:p>
    <w:p w:rsidR="00787B34" w:rsidRPr="00787B34" w:rsidRDefault="00787B34" w:rsidP="00787B34">
      <w:r w:rsidRPr="00787B34">
        <w:t>The Toxicology evaluators have not provided any recommendation in regard to the proposed change in the Pregnancy category from B3 to A as the change is based on clinical data.</w:t>
      </w:r>
    </w:p>
    <w:p w:rsidR="008E7846" w:rsidRDefault="008E7846" w:rsidP="008E7846">
      <w:pPr>
        <w:pStyle w:val="Heading3"/>
      </w:pPr>
      <w:bookmarkStart w:id="180" w:name="_Toc247691530"/>
      <w:bookmarkStart w:id="181" w:name="_Toc314842513"/>
      <w:bookmarkStart w:id="182" w:name="_Toc383771054"/>
      <w:r>
        <w:t>Clinical</w:t>
      </w:r>
      <w:bookmarkEnd w:id="180"/>
      <w:bookmarkEnd w:id="181"/>
      <w:bookmarkEnd w:id="182"/>
    </w:p>
    <w:p w:rsidR="00787B34" w:rsidRPr="00787B34" w:rsidRDefault="00787B34" w:rsidP="00787B34">
      <w:r w:rsidRPr="00787B34">
        <w:t>The clinical evaluator supports approval of change from B3 to Pregnancy category A.</w:t>
      </w:r>
    </w:p>
    <w:p w:rsidR="00787B34" w:rsidRPr="00787B34" w:rsidRDefault="00787B34" w:rsidP="00787B34">
      <w:r w:rsidRPr="00787B34">
        <w:lastRenderedPageBreak/>
        <w:t xml:space="preserve">The change is based on </w:t>
      </w:r>
      <w:r w:rsidR="00CE11EA">
        <w:t>S</w:t>
      </w:r>
      <w:r w:rsidRPr="00787B34">
        <w:t>tudy NN304-1687. This was an open label, randomised trial to compare efficacy of insulin detemir against NPH insulin with respect to glycaemic control in the treatment of pregnant women with T1DM. Women (≥ 18 years of age) with T</w:t>
      </w:r>
      <w:r w:rsidR="00CE11EA">
        <w:t>1</w:t>
      </w:r>
      <w:r w:rsidRPr="00787B34">
        <w:t xml:space="preserve">DM on treatment with (any) insulin for at least 12 months who were pregnant (gestational age </w:t>
      </w:r>
      <w:r>
        <w:t>eight</w:t>
      </w:r>
      <w:r w:rsidR="00CE11EA">
        <w:t xml:space="preserve"> </w:t>
      </w:r>
      <w:r w:rsidRPr="00787B34">
        <w:t>-</w:t>
      </w:r>
      <w:r w:rsidR="00CE11EA">
        <w:t xml:space="preserve"> </w:t>
      </w:r>
      <w:r w:rsidRPr="00787B34">
        <w:t>12 weeks) or were planning to become pregnant were eligible to enter this trial.</w:t>
      </w:r>
    </w:p>
    <w:p w:rsidR="00787B34" w:rsidRPr="00787B34" w:rsidRDefault="00787B34" w:rsidP="00787B34">
      <w:r w:rsidRPr="00787B34">
        <w:t xml:space="preserve">A total of 470 women were randomised to </w:t>
      </w:r>
      <w:r>
        <w:t>two</w:t>
      </w:r>
      <w:r w:rsidRPr="00787B34">
        <w:t xml:space="preserve"> parallel treatment groups (233 &amp; 237 subjects in detemir and NPH groups respectively). Pregnancy status at the time of randomisation was a stratification factor. Non-pregnant subjects who did not reach HbA1c ≤ 8.0% after </w:t>
      </w:r>
      <w:r>
        <w:t>nine</w:t>
      </w:r>
      <w:r w:rsidRPr="00787B34">
        <w:t xml:space="preserve"> months were withdrawn. Women who did not conceive within 12 months of randomisation or whose HbA1c was &gt; 8.0% at the time of confirmation of pregnancy were also withdrawn.</w:t>
      </w:r>
    </w:p>
    <w:p w:rsidR="00787B34" w:rsidRPr="00787B34" w:rsidRDefault="00787B34" w:rsidP="00787B34">
      <w:r w:rsidRPr="00787B34">
        <w:t>The Full Analysis Set (FAS</w:t>
      </w:r>
      <w:r w:rsidRPr="00787B34">
        <w:rPr>
          <w:vertAlign w:val="subscript"/>
        </w:rPr>
        <w:t>Pregnant</w:t>
      </w:r>
      <w:r w:rsidRPr="00787B34">
        <w:t>) consisted of 152 women in detemir group (79 pregnant at randomisation; 73 pregnant post randomisation) and 158 women in NPH group (83 pregnant at randomisation; 75 pregnant post randomisation). The PP</w:t>
      </w:r>
      <w:r w:rsidRPr="00787B34">
        <w:rPr>
          <w:vertAlign w:val="subscript"/>
        </w:rPr>
        <w:t>Pregnant</w:t>
      </w:r>
      <w:r w:rsidRPr="00787B34">
        <w:t xml:space="preserve"> analysis set comprised of 127 &amp; 137 women in detemir &amp; NPH groups respectively.</w:t>
      </w:r>
    </w:p>
    <w:p w:rsidR="00787B34" w:rsidRPr="00787B34" w:rsidRDefault="00787B34" w:rsidP="00787B34">
      <w:r w:rsidRPr="00787B34">
        <w:t>The subjects received the respective randomised treatment (insulin detemir 100</w:t>
      </w:r>
      <w:r w:rsidR="009C6F5C">
        <w:t xml:space="preserve"> U</w:t>
      </w:r>
      <w:r w:rsidRPr="00787B34">
        <w:t>/mL or NPH insulin (100</w:t>
      </w:r>
      <w:r w:rsidR="009C6F5C">
        <w:t xml:space="preserve"> U</w:t>
      </w:r>
      <w:r w:rsidRPr="00787B34">
        <w:t>/mL) by subcutaneous route. Both groups also received bolus (short acting)</w:t>
      </w:r>
      <w:r w:rsidR="002801FB">
        <w:t xml:space="preserve"> IAsp</w:t>
      </w:r>
      <w:r w:rsidRPr="00787B34">
        <w:t xml:space="preserve"> (100</w:t>
      </w:r>
      <w:r w:rsidR="009C6F5C">
        <w:t xml:space="preserve"> U</w:t>
      </w:r>
      <w:r w:rsidRPr="00787B34">
        <w:t>/mL). The study drugs were administered from entry into the trial until termination or 6 weeks post-delivery. The insulin doses were titrated.</w:t>
      </w:r>
    </w:p>
    <w:p w:rsidR="00787B34" w:rsidRPr="00787B34" w:rsidRDefault="00787B34" w:rsidP="00787B34">
      <w:r w:rsidRPr="00787B34">
        <w:t>The primary efficacy outcome was change in HbA1c at gestational week 36 (GW36) with non-inferiority limit no greater than 0.4% for the upper border of 95%CI for the treatment difference in change in HBA1c from baseline to GW36.</w:t>
      </w:r>
    </w:p>
    <w:p w:rsidR="00787B34" w:rsidRDefault="00787B34" w:rsidP="00787B34">
      <w:r w:rsidRPr="00787B34">
        <w:t>The non-inferiority was demonstrated satisfactorily using both FAS and PP analysis sets as shown below:</w:t>
      </w:r>
    </w:p>
    <w:p w:rsidR="009046FD" w:rsidRPr="009046FD" w:rsidRDefault="009046FD" w:rsidP="005A6C42">
      <w:pPr>
        <w:pStyle w:val="TableTitle"/>
        <w:keepLines/>
      </w:pPr>
      <w:r>
        <w:t xml:space="preserve">Table </w:t>
      </w:r>
      <w:r w:rsidR="005A6C42">
        <w:t>5</w:t>
      </w:r>
      <w:r>
        <w:t>: Linear regression analysis of HbA</w:t>
      </w:r>
      <w:r w:rsidRPr="009046FD">
        <w:rPr>
          <w:vertAlign w:val="subscript"/>
        </w:rPr>
        <w:t>1c</w:t>
      </w:r>
      <w:r>
        <w:rPr>
          <w:vertAlign w:val="subscript"/>
        </w:rPr>
        <w:t xml:space="preserve"> </w:t>
      </w:r>
      <w:r w:rsidRPr="009046FD">
        <w:t>(%) at</w:t>
      </w:r>
      <w:r>
        <w:t xml:space="preserve"> GW 36, LOCF, FAS</w:t>
      </w:r>
      <w:r w:rsidRPr="009046FD">
        <w:rPr>
          <w:vertAlign w:val="subscript"/>
        </w:rPr>
        <w:t>Pregnant</w:t>
      </w:r>
    </w:p>
    <w:p w:rsidR="009046FD" w:rsidRDefault="009046FD" w:rsidP="005A6C42">
      <w:pPr>
        <w:keepNext/>
        <w:keepLines/>
      </w:pPr>
      <w:r w:rsidRPr="009046FD">
        <w:rPr>
          <w:noProof/>
          <w:lang w:eastAsia="en-AU"/>
        </w:rPr>
        <w:drawing>
          <wp:inline distT="0" distB="0" distL="0" distR="0" wp14:anchorId="02874788" wp14:editId="1ACFEA13">
            <wp:extent cx="5400040" cy="1374059"/>
            <wp:effectExtent l="19050" t="0" r="0" b="0"/>
            <wp:docPr id="14" name="Picture 3" descr="Table 5: Linear regression analysis of HbA1c (%) at GW 36, LOCF, FAS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00040" cy="1374059"/>
                    </a:xfrm>
                    <a:prstGeom prst="rect">
                      <a:avLst/>
                    </a:prstGeom>
                    <a:noFill/>
                    <a:ln w="9525">
                      <a:noFill/>
                      <a:miter lim="800000"/>
                      <a:headEnd/>
                      <a:tailEnd/>
                    </a:ln>
                  </pic:spPr>
                </pic:pic>
              </a:graphicData>
            </a:graphic>
          </wp:inline>
        </w:drawing>
      </w:r>
    </w:p>
    <w:p w:rsidR="00042457" w:rsidRDefault="00042457" w:rsidP="00EB45F4">
      <w:pPr>
        <w:pStyle w:val="TableTitle"/>
        <w:keepLines/>
        <w:spacing w:before="240"/>
        <w:rPr>
          <w:vertAlign w:val="subscript"/>
        </w:rPr>
      </w:pPr>
      <w:r w:rsidRPr="00042457">
        <w:t>Table</w:t>
      </w:r>
      <w:r w:rsidR="009C6F5C">
        <w:t xml:space="preserve"> </w:t>
      </w:r>
      <w:r w:rsidR="005A6C42">
        <w:t>6</w:t>
      </w:r>
      <w:r w:rsidRPr="00042457">
        <w:t>: Linear regression analysis of HbA</w:t>
      </w:r>
      <w:r w:rsidRPr="00042457">
        <w:rPr>
          <w:vertAlign w:val="subscript"/>
        </w:rPr>
        <w:t xml:space="preserve">1c </w:t>
      </w:r>
      <w:r w:rsidRPr="00042457">
        <w:t xml:space="preserve">(%) at GW 36, </w:t>
      </w:r>
      <w:r>
        <w:t>PP</w:t>
      </w:r>
      <w:r w:rsidRPr="00042457">
        <w:rPr>
          <w:vertAlign w:val="subscript"/>
        </w:rPr>
        <w:t>Pregnant</w:t>
      </w:r>
    </w:p>
    <w:p w:rsidR="00D01B66" w:rsidRDefault="00042457" w:rsidP="009C6F5C">
      <w:pPr>
        <w:keepNext/>
        <w:keepLines/>
      </w:pPr>
      <w:r w:rsidRPr="00042457">
        <w:rPr>
          <w:noProof/>
          <w:lang w:eastAsia="en-AU"/>
        </w:rPr>
        <w:drawing>
          <wp:inline distT="0" distB="0" distL="0" distR="0" wp14:anchorId="3553A130" wp14:editId="645B8773">
            <wp:extent cx="5400040" cy="1386130"/>
            <wp:effectExtent l="19050" t="0" r="0" b="0"/>
            <wp:docPr id="15" name="Picture 5" descr="Table 6: Linear regression analysis of HbA1c (%) at GW 36, PP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400040" cy="1386130"/>
                    </a:xfrm>
                    <a:prstGeom prst="rect">
                      <a:avLst/>
                    </a:prstGeom>
                    <a:noFill/>
                    <a:ln w="9525">
                      <a:noFill/>
                      <a:miter lim="800000"/>
                      <a:headEnd/>
                      <a:tailEnd/>
                    </a:ln>
                  </pic:spPr>
                </pic:pic>
              </a:graphicData>
            </a:graphic>
          </wp:inline>
        </w:drawing>
      </w:r>
    </w:p>
    <w:p w:rsidR="00042457" w:rsidRDefault="00042457" w:rsidP="00042457">
      <w:r w:rsidRPr="00042457">
        <w:t>The results were consistent across the two strata with respect to pregnancy status at baseline:</w:t>
      </w:r>
    </w:p>
    <w:p w:rsidR="009046FD" w:rsidRDefault="00042457" w:rsidP="009C6F5C">
      <w:pPr>
        <w:pStyle w:val="TableTitle"/>
        <w:keepLines/>
      </w:pPr>
      <w:r>
        <w:lastRenderedPageBreak/>
        <w:t>Table</w:t>
      </w:r>
      <w:r w:rsidR="009C6F5C">
        <w:t xml:space="preserve"> </w:t>
      </w:r>
      <w:r w:rsidR="005A6C42">
        <w:t>7</w:t>
      </w:r>
      <w:r>
        <w:t xml:space="preserve">: Exploratory Linear Regression Analysis of </w:t>
      </w:r>
      <w:r w:rsidRPr="00042457">
        <w:t>HbA</w:t>
      </w:r>
      <w:r w:rsidRPr="00042457">
        <w:rPr>
          <w:vertAlign w:val="subscript"/>
        </w:rPr>
        <w:t xml:space="preserve">1c </w:t>
      </w:r>
      <w:r w:rsidRPr="00042457">
        <w:t xml:space="preserve">(%) </w:t>
      </w:r>
      <w:r>
        <w:t xml:space="preserve">with Treatment by pregnancy status at randomisation interaction, </w:t>
      </w:r>
      <w:r w:rsidRPr="00042457">
        <w:t>LOCF, FAS</w:t>
      </w:r>
      <w:r w:rsidRPr="00042457">
        <w:rPr>
          <w:vertAlign w:val="subscript"/>
        </w:rPr>
        <w:t>Pregnant</w:t>
      </w:r>
      <w:r w:rsidRPr="00042457">
        <w:t xml:space="preserve"> </w:t>
      </w:r>
      <w:r w:rsidRPr="00042457">
        <w:rPr>
          <w:noProof/>
          <w:lang w:eastAsia="en-AU"/>
        </w:rPr>
        <w:drawing>
          <wp:inline distT="0" distB="0" distL="0" distR="0" wp14:anchorId="26683EE4" wp14:editId="08416AD4">
            <wp:extent cx="5400040" cy="1694159"/>
            <wp:effectExtent l="19050" t="0" r="0" b="0"/>
            <wp:docPr id="16" name="Picture 7" descr="Table 7: Exploratory Linear Regression Analysis of HbA1c (%) with Treatment by pregnancy status at randomisation interaction, LOCF, FASPreg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400040" cy="1694159"/>
                    </a:xfrm>
                    <a:prstGeom prst="rect">
                      <a:avLst/>
                    </a:prstGeom>
                    <a:noFill/>
                    <a:ln w="9525">
                      <a:noFill/>
                      <a:miter lim="800000"/>
                      <a:headEnd/>
                      <a:tailEnd/>
                    </a:ln>
                  </pic:spPr>
                </pic:pic>
              </a:graphicData>
            </a:graphic>
          </wp:inline>
        </w:drawing>
      </w:r>
    </w:p>
    <w:p w:rsidR="00042457" w:rsidRPr="00042457" w:rsidRDefault="00042457" w:rsidP="00042457">
      <w:pPr>
        <w:pStyle w:val="Heading4"/>
      </w:pPr>
      <w:r w:rsidRPr="00042457">
        <w:t>Pregnancy outcomes</w:t>
      </w:r>
    </w:p>
    <w:p w:rsidR="00042457" w:rsidRPr="00042457" w:rsidRDefault="00042457" w:rsidP="00042457">
      <w:r w:rsidRPr="00042457">
        <w:t>There were 152 pregnancies and 128 live births in detemir group.</w:t>
      </w:r>
    </w:p>
    <w:p w:rsidR="00042457" w:rsidRPr="00042457" w:rsidRDefault="00042457" w:rsidP="00042457">
      <w:r w:rsidRPr="00042457">
        <w:t>There were 160 pregnancies and 136 live births in NPH group.</w:t>
      </w:r>
    </w:p>
    <w:p w:rsidR="00042457" w:rsidRPr="00042457" w:rsidRDefault="00042457" w:rsidP="00042457">
      <w:r w:rsidRPr="00042457">
        <w:t>There were no maternal deaths. There were no neonatal deaths.</w:t>
      </w:r>
    </w:p>
    <w:p w:rsidR="00042457" w:rsidRPr="00042457" w:rsidRDefault="00042457" w:rsidP="00042457">
      <w:r w:rsidRPr="00042457">
        <w:t>A composite pregnancy outcome (live births with birth weight &lt; 10</w:t>
      </w:r>
      <w:r w:rsidRPr="00042457">
        <w:rPr>
          <w:vertAlign w:val="superscript"/>
        </w:rPr>
        <w:t>th</w:t>
      </w:r>
      <w:r w:rsidRPr="00042457">
        <w:t xml:space="preserve"> or &gt; 90</w:t>
      </w:r>
      <w:r w:rsidRPr="00042457">
        <w:rPr>
          <w:vertAlign w:val="superscript"/>
        </w:rPr>
        <w:t>th</w:t>
      </w:r>
      <w:r w:rsidRPr="00042457">
        <w:t xml:space="preserve"> percentile; preterm delivery including abortion; major malformations; early foetal death; perinatal mortality; neonatal mortality) was defined.</w:t>
      </w:r>
    </w:p>
    <w:p w:rsidR="00042457" w:rsidRPr="00042457" w:rsidRDefault="00042457" w:rsidP="00042457">
      <w:r w:rsidRPr="00042457">
        <w:t>Based on known pregnancy outcomes at follow up in this study (142 &amp; 145 subjects in detemir and NPH groups respectively), 62.7% (89/142) pregnancy outcomes in detemir group compared to 66.2% (96/145) outcomes in NPH group had at least one component of the composite endpoint (odds ratio 0.86; 95%CI 0.53, 1.40) as shown below:</w:t>
      </w:r>
    </w:p>
    <w:p w:rsidR="00042457" w:rsidRDefault="00042457" w:rsidP="009C6F5C">
      <w:pPr>
        <w:pStyle w:val="TableTitle"/>
        <w:keepLines/>
      </w:pPr>
      <w:r>
        <w:t xml:space="preserve">Table </w:t>
      </w:r>
      <w:r w:rsidR="005A6C42">
        <w:t>8:</w:t>
      </w:r>
      <w:r>
        <w:t xml:space="preserve"> Pregnancy outcomes</w:t>
      </w:r>
      <w:r>
        <w:rPr>
          <w:rStyle w:val="FootnoteReference"/>
        </w:rPr>
        <w:footnoteReference w:id="6"/>
      </w:r>
      <w:r>
        <w:t xml:space="preserve"> </w:t>
      </w:r>
    </w:p>
    <w:p w:rsidR="00042457" w:rsidRPr="00042457" w:rsidRDefault="00042457" w:rsidP="009C6F5C">
      <w:pPr>
        <w:keepNext/>
        <w:keepLines/>
      </w:pPr>
      <w:r w:rsidRPr="00042457">
        <w:rPr>
          <w:noProof/>
          <w:lang w:eastAsia="en-AU"/>
        </w:rPr>
        <w:drawing>
          <wp:inline distT="0" distB="0" distL="0" distR="0" wp14:anchorId="50ABEAC1" wp14:editId="6E59E09A">
            <wp:extent cx="5187950" cy="2867711"/>
            <wp:effectExtent l="19050" t="0" r="0" b="0"/>
            <wp:docPr id="17" name="Picture 7" descr="Table 8: Pregnan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189128" cy="2868362"/>
                    </a:xfrm>
                    <a:prstGeom prst="rect">
                      <a:avLst/>
                    </a:prstGeom>
                    <a:noFill/>
                    <a:ln w="9525">
                      <a:noFill/>
                      <a:miter lim="800000"/>
                      <a:headEnd/>
                      <a:tailEnd/>
                    </a:ln>
                  </pic:spPr>
                </pic:pic>
              </a:graphicData>
            </a:graphic>
          </wp:inline>
        </w:drawing>
      </w:r>
    </w:p>
    <w:p w:rsidR="00042457" w:rsidRPr="00042457" w:rsidRDefault="00042457" w:rsidP="00042457">
      <w:r w:rsidRPr="00042457">
        <w:t>Other notable findings reported in this publication were higher occurrence of spontaneous abortion in detemir group (7.0%) compared to NPH group (5.5%). Treatment with detemir insulin compared to NPH appeared to be advantageous with respect to preterm delivery (20.3% v</w:t>
      </w:r>
      <w:r>
        <w:t>ersu</w:t>
      </w:r>
      <w:r w:rsidRPr="00042457">
        <w:t>s 26.5%), large for gestational age baby (46.1% v</w:t>
      </w:r>
      <w:r>
        <w:t>ersus</w:t>
      </w:r>
      <w:r w:rsidRPr="00042457">
        <w:t xml:space="preserve"> 53.7%), </w:t>
      </w:r>
      <w:r w:rsidRPr="00042457">
        <w:lastRenderedPageBreak/>
        <w:t>macrosomia (18.8% v</w:t>
      </w:r>
      <w:r>
        <w:t>ersus</w:t>
      </w:r>
      <w:r w:rsidRPr="00042457">
        <w:t xml:space="preserve"> 25.7%) and neonatal hypoglycaemia within 24 hours of birth (11.7% v</w:t>
      </w:r>
      <w:r>
        <w:t>ersus</w:t>
      </w:r>
      <w:r w:rsidRPr="00042457">
        <w:t xml:space="preserve"> 17.6%). Overall, the reported occurrence of major malformations was 3.5% (5/142) v</w:t>
      </w:r>
      <w:r>
        <w:t>ersus</w:t>
      </w:r>
      <w:r w:rsidRPr="00042457">
        <w:t xml:space="preserve"> 0.7% (1/145) in detemir and NPH groups respectively as shown below:</w:t>
      </w:r>
    </w:p>
    <w:p w:rsidR="00042457" w:rsidRDefault="00042457" w:rsidP="005535BD">
      <w:pPr>
        <w:pStyle w:val="TableTitle"/>
        <w:keepLines/>
      </w:pPr>
      <w:r>
        <w:t>Table</w:t>
      </w:r>
      <w:r w:rsidR="005535BD">
        <w:t xml:space="preserve"> </w:t>
      </w:r>
      <w:r w:rsidR="005A6C42">
        <w:t>9</w:t>
      </w:r>
      <w:r>
        <w:t xml:space="preserve">: </w:t>
      </w:r>
      <w:r w:rsidRPr="00042457">
        <w:t>Summary of congenital malformations</w:t>
      </w:r>
    </w:p>
    <w:p w:rsidR="00042457" w:rsidRDefault="00042457" w:rsidP="005535BD">
      <w:pPr>
        <w:keepNext/>
        <w:keepLines/>
      </w:pPr>
      <w:r w:rsidRPr="00042457">
        <w:rPr>
          <w:noProof/>
          <w:lang w:eastAsia="en-AU"/>
        </w:rPr>
        <w:drawing>
          <wp:inline distT="0" distB="0" distL="0" distR="0" wp14:anchorId="090A62C5" wp14:editId="6E7BC58D">
            <wp:extent cx="5351871" cy="2247969"/>
            <wp:effectExtent l="19050" t="0" r="1179" b="0"/>
            <wp:docPr id="18" name="Picture 10" descr="Table 9: Summary of congenital mal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353032" cy="2248457"/>
                    </a:xfrm>
                    <a:prstGeom prst="rect">
                      <a:avLst/>
                    </a:prstGeom>
                    <a:noFill/>
                    <a:ln w="9525">
                      <a:noFill/>
                      <a:miter lim="800000"/>
                      <a:headEnd/>
                      <a:tailEnd/>
                    </a:ln>
                  </pic:spPr>
                </pic:pic>
              </a:graphicData>
            </a:graphic>
          </wp:inline>
        </w:drawing>
      </w:r>
    </w:p>
    <w:p w:rsidR="00042457" w:rsidRPr="00042457" w:rsidRDefault="00042457" w:rsidP="00042457">
      <w:r w:rsidRPr="00042457">
        <w:t>A total of 73 women in detemir group and 75 women in NPH group became pregnant post-randomisation and were thus comparably exposed to the study drugs for the whole period of interest for organogenesis (</w:t>
      </w:r>
      <w:r w:rsidR="00455A70">
        <w:t>three to 1</w:t>
      </w:r>
      <w:r w:rsidRPr="00042457">
        <w:t xml:space="preserve">2 </w:t>
      </w:r>
      <w:r w:rsidR="00455A70">
        <w:t>GWs</w:t>
      </w:r>
      <w:r w:rsidRPr="00042457">
        <w:t>). The reported malformations were as follows:</w:t>
      </w:r>
    </w:p>
    <w:p w:rsidR="00042457" w:rsidRPr="00042457" w:rsidRDefault="00042457" w:rsidP="005A6C42">
      <w:pPr>
        <w:pStyle w:val="TableTitle"/>
        <w:keepLines/>
      </w:pPr>
      <w:r>
        <w:lastRenderedPageBreak/>
        <w:t xml:space="preserve">Table </w:t>
      </w:r>
      <w:r w:rsidR="005535BD">
        <w:t>1</w:t>
      </w:r>
      <w:r w:rsidR="005A6C42">
        <w:t>0</w:t>
      </w:r>
      <w:r>
        <w:t xml:space="preserve">: </w:t>
      </w:r>
      <w:r w:rsidRPr="00042457">
        <w:t xml:space="preserve">Congenital malformation by </w:t>
      </w:r>
      <w:r w:rsidR="005535BD">
        <w:t>p</w:t>
      </w:r>
      <w:r w:rsidRPr="00042457">
        <w:t>regnancy status at randomisation</w:t>
      </w:r>
    </w:p>
    <w:p w:rsidR="00042457" w:rsidRDefault="00042457" w:rsidP="005A6C42">
      <w:pPr>
        <w:keepNext/>
        <w:keepLines/>
      </w:pPr>
      <w:r w:rsidRPr="00042457">
        <w:rPr>
          <w:noProof/>
          <w:lang w:eastAsia="en-AU"/>
        </w:rPr>
        <w:drawing>
          <wp:inline distT="0" distB="0" distL="0" distR="0" wp14:anchorId="1D56B5F3" wp14:editId="228EEB31">
            <wp:extent cx="4841819" cy="4742851"/>
            <wp:effectExtent l="19050" t="0" r="0" b="0"/>
            <wp:docPr id="19" name="Picture 12" descr="Table 10: Congenital malformation by pregnancy status at randomisatio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843502" cy="4744499"/>
                    </a:xfrm>
                    <a:prstGeom prst="rect">
                      <a:avLst/>
                    </a:prstGeom>
                    <a:noFill/>
                    <a:ln w="9525">
                      <a:noFill/>
                      <a:miter lim="800000"/>
                      <a:headEnd/>
                      <a:tailEnd/>
                    </a:ln>
                  </pic:spPr>
                </pic:pic>
              </a:graphicData>
            </a:graphic>
          </wp:inline>
        </w:drawing>
      </w:r>
    </w:p>
    <w:p w:rsidR="00042457" w:rsidRPr="00042457" w:rsidRDefault="00042457" w:rsidP="00042457">
      <w:r w:rsidRPr="00042457">
        <w:t>Additional notable findings included reported occurrence of pre-eclampsia of 10.5% in detemir group compared to 7.0% in NPH group.</w:t>
      </w:r>
    </w:p>
    <w:p w:rsidR="00042457" w:rsidRPr="00042457" w:rsidRDefault="00042457" w:rsidP="00EB45F4">
      <w:pPr>
        <w:pStyle w:val="Heading5"/>
      </w:pPr>
      <w:bookmarkStart w:id="183" w:name="_Toc241374326"/>
      <w:bookmarkStart w:id="184" w:name="_Ref272333048"/>
      <w:bookmarkStart w:id="185" w:name="_Toc272414679"/>
      <w:bookmarkStart w:id="186" w:name="_Toc290846317"/>
      <w:bookmarkStart w:id="187" w:name="_Toc347931848"/>
      <w:r w:rsidRPr="00042457">
        <w:t>Post-marketing experience</w:t>
      </w:r>
      <w:bookmarkEnd w:id="183"/>
      <w:bookmarkEnd w:id="184"/>
      <w:bookmarkEnd w:id="185"/>
      <w:bookmarkEnd w:id="186"/>
      <w:bookmarkEnd w:id="187"/>
    </w:p>
    <w:p w:rsidR="00042457" w:rsidRPr="00042457" w:rsidRDefault="00042457" w:rsidP="00042457">
      <w:r w:rsidRPr="00042457">
        <w:t>The post-market data supplied by the sponsor comprise 528 pregnancies with outcomes as shown below:</w:t>
      </w:r>
    </w:p>
    <w:p w:rsidR="00042457" w:rsidRPr="00042457" w:rsidRDefault="00042457" w:rsidP="005535BD">
      <w:pPr>
        <w:pStyle w:val="TableTitle"/>
        <w:keepLines/>
      </w:pPr>
      <w:r>
        <w:lastRenderedPageBreak/>
        <w:t xml:space="preserve">Table </w:t>
      </w:r>
      <w:r w:rsidR="005535BD">
        <w:t>1</w:t>
      </w:r>
      <w:r w:rsidR="005A6C42">
        <w:t>1</w:t>
      </w:r>
      <w:r>
        <w:t>: Pregnancy outcomes based on post-marketing surveillance</w:t>
      </w:r>
    </w:p>
    <w:p w:rsidR="00042457" w:rsidRDefault="00042457" w:rsidP="005535BD">
      <w:pPr>
        <w:keepNext/>
        <w:keepLines/>
      </w:pPr>
      <w:r w:rsidRPr="00042457">
        <w:rPr>
          <w:noProof/>
          <w:lang w:eastAsia="en-AU"/>
        </w:rPr>
        <w:drawing>
          <wp:inline distT="0" distB="0" distL="0" distR="0" wp14:anchorId="5FE18E51" wp14:editId="6B1D9942">
            <wp:extent cx="5124450" cy="2280634"/>
            <wp:effectExtent l="19050" t="0" r="0" b="0"/>
            <wp:docPr id="20" name="Picture 36" descr="Table 11: Pregnancy outcomes based on post-marketing surveil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5123847" cy="2280366"/>
                    </a:xfrm>
                    <a:prstGeom prst="rect">
                      <a:avLst/>
                    </a:prstGeom>
                    <a:noFill/>
                    <a:ln w="9525">
                      <a:noFill/>
                      <a:miter lim="800000"/>
                      <a:headEnd/>
                      <a:tailEnd/>
                    </a:ln>
                  </pic:spPr>
                </pic:pic>
              </a:graphicData>
            </a:graphic>
          </wp:inline>
        </w:drawing>
      </w:r>
    </w:p>
    <w:p w:rsidR="008E7846" w:rsidRPr="00E41670" w:rsidRDefault="00386150" w:rsidP="00E41670">
      <w:pPr>
        <w:pStyle w:val="Heading3"/>
      </w:pPr>
      <w:bookmarkStart w:id="188" w:name="_Toc314842514"/>
      <w:bookmarkStart w:id="189" w:name="_Toc383771055"/>
      <w:r w:rsidRPr="00E41670">
        <w:t>Risk m</w:t>
      </w:r>
      <w:r w:rsidR="008E7846" w:rsidRPr="00E41670">
        <w:t xml:space="preserve">anagement </w:t>
      </w:r>
      <w:r w:rsidRPr="00E41670">
        <w:t>p</w:t>
      </w:r>
      <w:r w:rsidR="008E7846" w:rsidRPr="00E41670">
        <w:t>lan</w:t>
      </w:r>
      <w:bookmarkEnd w:id="188"/>
      <w:bookmarkEnd w:id="189"/>
    </w:p>
    <w:p w:rsidR="001E64DA" w:rsidRDefault="001E64DA" w:rsidP="001E64DA">
      <w:r w:rsidRPr="001E64DA">
        <w:t>Risk Management Plan (EU-RMP format) Version 15 (dated 04/06/2012; DLP 31/10/2010) with Australian Specific Annex Version 1.0 (dated 11/09/2012) is intended for inclusion as a condition of approv</w:t>
      </w:r>
      <w:bookmarkStart w:id="190" w:name="_Toc247691531"/>
      <w:bookmarkStart w:id="191" w:name="_Toc314842515"/>
      <w:bookmarkStart w:id="192" w:name="_Toc196046505"/>
      <w:bookmarkStart w:id="193" w:name="_Toc196046949"/>
      <w:r w:rsidR="005535BD">
        <w:t>al for the proposed variations.</w:t>
      </w:r>
    </w:p>
    <w:p w:rsidR="001E64DA" w:rsidRDefault="001E64DA" w:rsidP="001E64DA">
      <w:pPr>
        <w:pStyle w:val="Heading3"/>
      </w:pPr>
      <w:bookmarkStart w:id="194" w:name="_Toc383771056"/>
      <w:r>
        <w:t>Delegate considerations</w:t>
      </w:r>
      <w:bookmarkEnd w:id="194"/>
      <w:r>
        <w:t xml:space="preserve"> </w:t>
      </w:r>
    </w:p>
    <w:p w:rsidR="001E64DA" w:rsidRPr="001E64DA" w:rsidRDefault="001E64DA" w:rsidP="001E64DA">
      <w:r w:rsidRPr="001E64DA">
        <w:t xml:space="preserve">The </w:t>
      </w:r>
      <w:r w:rsidR="005535BD">
        <w:t>T</w:t>
      </w:r>
      <w:r w:rsidRPr="001E64DA">
        <w:t>rial NN304-1687 was an open label, randomised trial intended to investigate the use of insulin detemir for glycaemic control in pregnancy (women with T1DM) compared to NPH insulin. The results support non-inferior efficacy and comparable safety.</w:t>
      </w:r>
    </w:p>
    <w:p w:rsidR="001E64DA" w:rsidRPr="001E64DA" w:rsidRDefault="001E64DA" w:rsidP="001E64DA">
      <w:r w:rsidRPr="001E64DA">
        <w:t>The trial also collected data with respect to pregnancy outcomes in association with insulin detemir use. Overall, the results were comparable between insulin detemir and NPH. The notable differences include pre-eclampsia (10.5% v</w:t>
      </w:r>
      <w:r>
        <w:t>ersu</w:t>
      </w:r>
      <w:r w:rsidRPr="001E64DA">
        <w:t>s 7.0% for detemir and NPH respectively) and congenital malformations (major 3.5% v</w:t>
      </w:r>
      <w:r>
        <w:t>ersu</w:t>
      </w:r>
      <w:r w:rsidRPr="001E64DA">
        <w:t>s 0.7%; minor 2.1% v</w:t>
      </w:r>
      <w:r>
        <w:t>ersu</w:t>
      </w:r>
      <w:r w:rsidRPr="001E64DA">
        <w:t>s 4.8% for detemir and NPH respectively).</w:t>
      </w:r>
    </w:p>
    <w:p w:rsidR="001E64DA" w:rsidRPr="001E64DA" w:rsidRDefault="001E64DA" w:rsidP="001E64DA">
      <w:r w:rsidRPr="001E64DA">
        <w:t xml:space="preserve">At present, </w:t>
      </w:r>
      <w:r>
        <w:t>two</w:t>
      </w:r>
      <w:r w:rsidRPr="001E64DA">
        <w:t xml:space="preserve"> bolus insulin analogues (</w:t>
      </w:r>
      <w:r w:rsidR="002801FB">
        <w:t>IA</w:t>
      </w:r>
      <w:r w:rsidRPr="001E64DA">
        <w:t>s</w:t>
      </w:r>
      <w:r w:rsidR="002801FB">
        <w:t>p</w:t>
      </w:r>
      <w:r w:rsidRPr="001E64DA">
        <w:t xml:space="preserve"> from the same sponsor based on a randomised study and insulin lispro from another sponsor based on observational data) are assigned Pregnancy category A. </w:t>
      </w:r>
      <w:r>
        <w:t>H</w:t>
      </w:r>
      <w:r w:rsidR="00425637">
        <w:t>I</w:t>
      </w:r>
      <w:r w:rsidRPr="001E64DA">
        <w:t>s (rcb) are uncategorised. No basal insulin currently has Pregnancy category A.</w:t>
      </w:r>
    </w:p>
    <w:p w:rsidR="001E64DA" w:rsidRPr="001E64DA" w:rsidRDefault="001E64DA" w:rsidP="001E64DA">
      <w:r w:rsidRPr="001E64DA">
        <w:t>As noted earlier the data submitted in Australia have been reviewed overseas and are included in the EMA and FDA approved prescribing information for insulin detemir. The EU does not use discreet pregnancy categories whereas FDA category B applies to this product in the US.</w:t>
      </w:r>
    </w:p>
    <w:p w:rsidR="001E64DA" w:rsidRPr="001E64DA" w:rsidRDefault="001E64DA" w:rsidP="001E64DA">
      <w:r w:rsidRPr="001E64DA">
        <w:t>The category A in the Pregnancy categories adopted in Australia is not necessarily equivalent to the B category in the FDA Pregnancy categories. As well, the Australian categories are not hierarchical and there appears to be no insistence on randomised trial data recognising the fact that a hypothesis driven, adequately powered randomised trial to establish nil effect in pregnancy outcomes may not be practical. A consideration of all available experience may be more appropriate.</w:t>
      </w:r>
    </w:p>
    <w:p w:rsidR="001E64DA" w:rsidRPr="001E64DA" w:rsidRDefault="001E64DA" w:rsidP="001E64DA">
      <w:r w:rsidRPr="001E64DA">
        <w:t>The data from this randomised study makes available very valuable prescribing information for the treating doctors in the management of diabetes mellitus during pregnancy using insulin detemir. In addition, it provides valuable data with respect to pregnancy outcomes.</w:t>
      </w:r>
    </w:p>
    <w:p w:rsidR="001E64DA" w:rsidRPr="001E64DA" w:rsidRDefault="001E64DA" w:rsidP="001E64DA">
      <w:r w:rsidRPr="001E64DA">
        <w:lastRenderedPageBreak/>
        <w:t>However, the B3 category is considered still applicable. The current B3 category allows use of insulin detemir when clinically needed and data from this trial will be useful in making that judgement and detailed inclusion is supported in the PI.</w:t>
      </w:r>
    </w:p>
    <w:p w:rsidR="001E64DA" w:rsidRPr="001E64DA" w:rsidRDefault="001E64DA" w:rsidP="001E64DA">
      <w:r>
        <w:t>I</w:t>
      </w:r>
      <w:r w:rsidRPr="001E64DA">
        <w:t xml:space="preserve">t is considered that the large dataset needed to recommend Pregnancy category A is not yet available (73 women in insulin detemir group who became pregnant post-randomisation and were thus exposed through the whole risk period of </w:t>
      </w:r>
      <w:r>
        <w:t>three</w:t>
      </w:r>
      <w:r w:rsidRPr="001E64DA">
        <w:t xml:space="preserve">-12 </w:t>
      </w:r>
      <w:r w:rsidR="005535BD">
        <w:t>GW</w:t>
      </w:r>
      <w:r w:rsidRPr="001E64DA">
        <w:t>s relevant for organogenesis and provided unconfounded comparison; limited post market data).</w:t>
      </w:r>
    </w:p>
    <w:p w:rsidR="001E64DA" w:rsidRPr="001E64DA" w:rsidRDefault="001E64DA" w:rsidP="001E64DA">
      <w:r>
        <w:t xml:space="preserve">It should also be noted </w:t>
      </w:r>
      <w:r w:rsidRPr="001E64DA">
        <w:t xml:space="preserve">that a cohort study has been agreed between the sponsor and the EMA, which will include 2500 subjects, to be conducted in </w:t>
      </w:r>
      <w:r>
        <w:t>seven</w:t>
      </w:r>
      <w:r w:rsidRPr="001E64DA">
        <w:t xml:space="preserve"> European countries to further assess pregnancy outcomes associated with insulin detemir use.</w:t>
      </w:r>
    </w:p>
    <w:p w:rsidR="001E64DA" w:rsidRDefault="001E64DA" w:rsidP="001E64DA">
      <w:pPr>
        <w:pStyle w:val="Heading3"/>
      </w:pPr>
      <w:bookmarkStart w:id="195" w:name="_Toc383771057"/>
      <w:r>
        <w:t>Proposed action</w:t>
      </w:r>
      <w:bookmarkEnd w:id="195"/>
    </w:p>
    <w:p w:rsidR="001E64DA" w:rsidRPr="001E64DA" w:rsidRDefault="00E41670" w:rsidP="001E64DA">
      <w:r w:rsidRPr="00E41670">
        <w:rPr>
          <w:bCs/>
        </w:rPr>
        <w:t>Pending ACPM advice, the current Pregnancy Category B3 is considered to continue to be applicable.</w:t>
      </w:r>
    </w:p>
    <w:p w:rsidR="001E64DA" w:rsidRDefault="001E64DA" w:rsidP="001E64DA">
      <w:pPr>
        <w:pStyle w:val="Heading3"/>
      </w:pPr>
      <w:bookmarkStart w:id="196" w:name="_Toc383771058"/>
      <w:r>
        <w:t>Request for advice</w:t>
      </w:r>
      <w:bookmarkEnd w:id="196"/>
    </w:p>
    <w:bookmarkEnd w:id="190"/>
    <w:bookmarkEnd w:id="191"/>
    <w:p w:rsidR="00E41670" w:rsidRPr="00E41670" w:rsidRDefault="00E41670" w:rsidP="00E41670">
      <w:r w:rsidRPr="00E41670">
        <w:t>The Committee is requested to provide advice on the following issues:</w:t>
      </w:r>
    </w:p>
    <w:p w:rsidR="00E41670" w:rsidRPr="00E41670" w:rsidRDefault="00E41670" w:rsidP="00E41670">
      <w:pPr>
        <w:pStyle w:val="ListBullet"/>
      </w:pPr>
      <w:r w:rsidRPr="00E41670">
        <w:t>Advice on suitability of change from the current Pregnancy category B3 to Pregnancy category A for this long-acting (basal) insulin analogue, in particular whether sufficiently large data is considered to be available supporting this change.</w:t>
      </w:r>
    </w:p>
    <w:p w:rsidR="00E41670" w:rsidRPr="00E41670" w:rsidRDefault="00E41670" w:rsidP="00E41670">
      <w:pPr>
        <w:pStyle w:val="ListBullet"/>
      </w:pPr>
      <w:r w:rsidRPr="00E41670">
        <w:t>The committee is also requested to provide advice on any other issues that it thinks may be relevant to a decision on this submission</w:t>
      </w:r>
      <w:r>
        <w:t>.</w:t>
      </w:r>
    </w:p>
    <w:p w:rsidR="008E7846" w:rsidRDefault="008E7846" w:rsidP="00B87BF8">
      <w:pPr>
        <w:pStyle w:val="Heading3"/>
      </w:pPr>
      <w:bookmarkStart w:id="197" w:name="_Toc383771059"/>
      <w:r>
        <w:t>Response from Sponsor</w:t>
      </w:r>
      <w:bookmarkEnd w:id="197"/>
    </w:p>
    <w:p w:rsidR="00C35BED" w:rsidRPr="00C35BED" w:rsidRDefault="00C35BED" w:rsidP="00B87BF8">
      <w:pPr>
        <w:pStyle w:val="Heading4"/>
      </w:pPr>
      <w:r w:rsidRPr="00C35BED">
        <w:t>Executive Summary</w:t>
      </w:r>
    </w:p>
    <w:p w:rsidR="00C35BED" w:rsidRPr="00C35BED" w:rsidRDefault="00C35BED" w:rsidP="00C35BED">
      <w:r w:rsidRPr="00C35BED">
        <w:t>Novo Nordisk (NN) seeks approval of a labelling extension to the Australian Levemir (insulin detemir</w:t>
      </w:r>
      <w:r>
        <w:t xml:space="preserve"> </w:t>
      </w:r>
      <w:r w:rsidRPr="00C35BED">
        <w:t>(rys)) (</w:t>
      </w:r>
      <w:r w:rsidR="00F96D60">
        <w:t>detemir</w:t>
      </w:r>
      <w:r w:rsidRPr="00C35BED">
        <w:t xml:space="preserve"> PI to revise the pregnancy category from B3 to A and to give</w:t>
      </w:r>
      <w:r>
        <w:t xml:space="preserve"> </w:t>
      </w:r>
      <w:r w:rsidRPr="00C35BED">
        <w:t xml:space="preserve">specific guidance on use of </w:t>
      </w:r>
      <w:r w:rsidR="005D2126">
        <w:t>detemir</w:t>
      </w:r>
      <w:r w:rsidRPr="00C35BED">
        <w:t xml:space="preserve"> during pregnancy. This request is based on an extensive body of robust</w:t>
      </w:r>
      <w:r>
        <w:t xml:space="preserve"> </w:t>
      </w:r>
      <w:r w:rsidRPr="00C35BED">
        <w:t>evidence:</w:t>
      </w:r>
    </w:p>
    <w:p w:rsidR="00C35BED" w:rsidRPr="00C35BED" w:rsidRDefault="00C35BED" w:rsidP="00C35BED">
      <w:pPr>
        <w:pStyle w:val="ListBullet"/>
      </w:pPr>
      <w:r w:rsidRPr="00C35BED">
        <w:t xml:space="preserve">Data used to evaluate </w:t>
      </w:r>
      <w:r w:rsidR="005D2126">
        <w:t>detemir</w:t>
      </w:r>
      <w:r w:rsidRPr="00C35BED">
        <w:t xml:space="preserve"> in pregnancy (</w:t>
      </w:r>
      <w:r w:rsidR="007E2846">
        <w:t>C</w:t>
      </w:r>
      <w:r w:rsidRPr="00C35BED">
        <w:t xml:space="preserve">linical </w:t>
      </w:r>
      <w:r w:rsidR="007E2846">
        <w:t>T</w:t>
      </w:r>
      <w:r w:rsidRPr="00C35BED">
        <w:t xml:space="preserve">rial 1687) was of the highest </w:t>
      </w:r>
      <w:r w:rsidR="00F96D60" w:rsidRPr="00C35BED">
        <w:t>standard</w:t>
      </w:r>
      <w:r w:rsidR="00F96D60">
        <w:t xml:space="preserve"> that</w:t>
      </w:r>
      <w:r>
        <w:t xml:space="preserve"> is </w:t>
      </w:r>
      <w:r w:rsidRPr="00C35BED">
        <w:t>a</w:t>
      </w:r>
      <w:r w:rsidR="00455A70">
        <w:t>n</w:t>
      </w:r>
      <w:r>
        <w:t xml:space="preserve"> </w:t>
      </w:r>
      <w:r w:rsidRPr="00C35BED">
        <w:t>RCT, which is consistently referred to as the gold-standard of</w:t>
      </w:r>
      <w:r>
        <w:t xml:space="preserve"> </w:t>
      </w:r>
      <w:r w:rsidRPr="00C35BED">
        <w:t>clinical trials.</w:t>
      </w:r>
    </w:p>
    <w:p w:rsidR="00C35BED" w:rsidRPr="00C35BED" w:rsidRDefault="00C35BED" w:rsidP="00C35BED">
      <w:pPr>
        <w:pStyle w:val="ListBullet"/>
      </w:pPr>
      <w:r w:rsidRPr="00C35BED">
        <w:t>NN is the only company to carry out large scale RCTs with insulin in pregnancy in T1DM.</w:t>
      </w:r>
    </w:p>
    <w:p w:rsidR="00C35BED" w:rsidRPr="00C35BED" w:rsidRDefault="00C35BED" w:rsidP="00C35BED">
      <w:pPr>
        <w:pStyle w:val="ListBullet"/>
      </w:pPr>
      <w:r w:rsidRPr="00C35BED">
        <w:t>A sample size of 310 exposed pregnant women with T1DM (</w:t>
      </w:r>
      <w:r w:rsidR="005D2126">
        <w:t>detemir</w:t>
      </w:r>
      <w:r w:rsidRPr="00C35BED">
        <w:t xml:space="preserve"> N=152; NPH N=158) participating</w:t>
      </w:r>
      <w:r>
        <w:t xml:space="preserve"> </w:t>
      </w:r>
      <w:r w:rsidRPr="00C35BED">
        <w:t xml:space="preserve">in </w:t>
      </w:r>
      <w:r>
        <w:t>T</w:t>
      </w:r>
      <w:r w:rsidRPr="00C35BED">
        <w:t>rial 1687 is substantial, particularly in view of the vulnerable nature of this sub-population.</w:t>
      </w:r>
    </w:p>
    <w:p w:rsidR="00C35BED" w:rsidRPr="00C35BED" w:rsidRDefault="00C35BED" w:rsidP="00C35BED">
      <w:pPr>
        <w:pStyle w:val="ListBullet"/>
      </w:pPr>
      <w:r w:rsidRPr="00C35BED">
        <w:t>Trial 1687 was of a similar sample size and design as that accepted by TGA to substantiate</w:t>
      </w:r>
      <w:r>
        <w:t xml:space="preserve"> </w:t>
      </w:r>
      <w:r w:rsidRPr="00C35BED">
        <w:t xml:space="preserve">pregnancy category A for NovoRapid (IAsp), </w:t>
      </w:r>
      <w:r w:rsidR="007E2846">
        <w:t>C</w:t>
      </w:r>
      <w:r w:rsidRPr="00C35BED">
        <w:t xml:space="preserve">linical </w:t>
      </w:r>
      <w:r w:rsidR="007E2846">
        <w:t>T</w:t>
      </w:r>
      <w:r w:rsidRPr="00C35BED">
        <w:t>rial ANA-1474.</w:t>
      </w:r>
      <w:r>
        <w:t xml:space="preserve"> </w:t>
      </w:r>
      <w:r w:rsidRPr="00C35BED">
        <w:t xml:space="preserve">Indeed, compared with </w:t>
      </w:r>
      <w:r>
        <w:t>T</w:t>
      </w:r>
      <w:r w:rsidRPr="00C35BED">
        <w:t>rial ANA-1474 a considerably higher number of pregnancies were exposed</w:t>
      </w:r>
      <w:r>
        <w:t xml:space="preserve"> </w:t>
      </w:r>
      <w:r w:rsidRPr="00C35BED">
        <w:t>to study tre</w:t>
      </w:r>
      <w:r>
        <w:t>atment during organogenesis in T</w:t>
      </w:r>
      <w:r w:rsidRPr="00C35BED">
        <w:t>rial 1687.</w:t>
      </w:r>
    </w:p>
    <w:p w:rsidR="00C35BED" w:rsidRPr="00C35BED" w:rsidRDefault="00C35BED" w:rsidP="00F24603">
      <w:pPr>
        <w:pStyle w:val="ListBullet"/>
      </w:pPr>
      <w:r w:rsidRPr="00C35BED">
        <w:lastRenderedPageBreak/>
        <w:t xml:space="preserve">In total, 789 reports of pregnant women exposed to </w:t>
      </w:r>
      <w:r w:rsidR="005D2126">
        <w:t>detemir</w:t>
      </w:r>
      <w:r w:rsidRPr="00C35BED">
        <w:t xml:space="preserve"> are available from cumulative postmarketing</w:t>
      </w:r>
      <w:r>
        <w:t xml:space="preserve"> </w:t>
      </w:r>
      <w:r w:rsidRPr="00C35BED">
        <w:t>data (1</w:t>
      </w:r>
      <w:r w:rsidR="00455A70">
        <w:t xml:space="preserve"> </w:t>
      </w:r>
      <w:r w:rsidRPr="00C35BED">
        <w:t>Nov</w:t>
      </w:r>
      <w:r w:rsidR="00455A70">
        <w:t xml:space="preserve">ember </w:t>
      </w:r>
      <w:r w:rsidRPr="00C35BED">
        <w:t>2003 – 15</w:t>
      </w:r>
      <w:r w:rsidR="00455A70">
        <w:t xml:space="preserve"> </w:t>
      </w:r>
      <w:r w:rsidRPr="00C35BED">
        <w:t>Aug</w:t>
      </w:r>
      <w:r w:rsidR="00455A70">
        <w:t xml:space="preserve">ust </w:t>
      </w:r>
      <w:r w:rsidRPr="00C35BED">
        <w:t>2013) no safety signals related to maternal or fetal</w:t>
      </w:r>
      <w:r>
        <w:t xml:space="preserve"> </w:t>
      </w:r>
      <w:r w:rsidRPr="00C35BED">
        <w:t>exposure during pregnancy have been identified.</w:t>
      </w:r>
    </w:p>
    <w:p w:rsidR="00C35BED" w:rsidRPr="00C35BED" w:rsidRDefault="00C35BED" w:rsidP="00F24603">
      <w:pPr>
        <w:pStyle w:val="ListBullet"/>
      </w:pPr>
      <w:r w:rsidRPr="00C35BED">
        <w:t xml:space="preserve">The use of </w:t>
      </w:r>
      <w:r w:rsidR="005D2126">
        <w:t>detemir</w:t>
      </w:r>
      <w:r w:rsidRPr="00C35BED">
        <w:t xml:space="preserve"> in pregnancy in Australian clinical practice has been endorsed by a leading local</w:t>
      </w:r>
      <w:r w:rsidR="00F24603">
        <w:t xml:space="preserve"> </w:t>
      </w:r>
      <w:r w:rsidRPr="00C35BED">
        <w:t>expert.</w:t>
      </w:r>
    </w:p>
    <w:p w:rsidR="008E7846" w:rsidRDefault="00C35BED" w:rsidP="00F24603">
      <w:pPr>
        <w:pStyle w:val="ListBullet"/>
      </w:pPr>
      <w:r w:rsidRPr="00C35BED">
        <w:t xml:space="preserve">The </w:t>
      </w:r>
      <w:r w:rsidR="00F24603">
        <w:t>c</w:t>
      </w:r>
      <w:r w:rsidRPr="00C35BED">
        <w:t xml:space="preserve">linical </w:t>
      </w:r>
      <w:r w:rsidR="00F24603">
        <w:t>e</w:t>
      </w:r>
      <w:r w:rsidRPr="00C35BED">
        <w:t>valuator supports the proposed pregnancy category, finding no issue with the size of</w:t>
      </w:r>
      <w:r w:rsidR="00F24603">
        <w:t xml:space="preserve"> </w:t>
      </w:r>
      <w:r w:rsidRPr="00C35BED">
        <w:t>the dataset, and did not contest the clinical or safety outcomes which substantiate pregnancy</w:t>
      </w:r>
      <w:r w:rsidR="00F24603">
        <w:t xml:space="preserve"> </w:t>
      </w:r>
      <w:r w:rsidRPr="00C35BED">
        <w:t xml:space="preserve">category A, concluding that the benefit-risk balance of </w:t>
      </w:r>
      <w:r w:rsidR="005D2126">
        <w:t>detemir</w:t>
      </w:r>
      <w:r w:rsidRPr="00C35BED">
        <w:t xml:space="preserve"> use in pregnancy is favourable and</w:t>
      </w:r>
      <w:r w:rsidR="00F24603">
        <w:t xml:space="preserve"> </w:t>
      </w:r>
      <w:r w:rsidRPr="00C35BED">
        <w:t xml:space="preserve">endorsing approval. The OPR </w:t>
      </w:r>
      <w:r w:rsidR="00455A70">
        <w:t>e</w:t>
      </w:r>
      <w:r w:rsidRPr="00C35BED">
        <w:t>valuator accepted this evaluation</w:t>
      </w:r>
      <w:r w:rsidR="00F24603">
        <w:t>.</w:t>
      </w:r>
    </w:p>
    <w:p w:rsidR="007E2846" w:rsidRPr="007E2846" w:rsidRDefault="007E2846" w:rsidP="007E2846">
      <w:pPr>
        <w:pStyle w:val="ListBullet"/>
      </w:pPr>
      <w:r w:rsidRPr="007E2846">
        <w:t>NN contends that the data package submitted, the positive clinical evaluation report and the</w:t>
      </w:r>
      <w:r>
        <w:t xml:space="preserve"> </w:t>
      </w:r>
      <w:r w:rsidRPr="007E2846">
        <w:t>commitment made to conduct pharmacovigilance activities to complement routine on-going safety</w:t>
      </w:r>
      <w:r w:rsidR="00FC0C49">
        <w:t xml:space="preserve"> </w:t>
      </w:r>
      <w:r w:rsidRPr="007E2846">
        <w:t>monitoring, provide sufficient justification for</w:t>
      </w:r>
      <w:r w:rsidR="0090752A">
        <w:t xml:space="preserve"> </w:t>
      </w:r>
      <w:r w:rsidR="005D2126">
        <w:t>detemir</w:t>
      </w:r>
      <w:r w:rsidRPr="007E2846">
        <w:t xml:space="preserve"> to be approved for use in pregnancy in Australia</w:t>
      </w:r>
      <w:r w:rsidR="00FC0C49">
        <w:t xml:space="preserve"> </w:t>
      </w:r>
      <w:r w:rsidRPr="007E2846">
        <w:t>with pregnancy category A.</w:t>
      </w:r>
    </w:p>
    <w:p w:rsidR="007E2846" w:rsidRPr="007E2846" w:rsidRDefault="007E2846" w:rsidP="00B87BF8">
      <w:pPr>
        <w:pStyle w:val="Heading4"/>
      </w:pPr>
      <w:r w:rsidRPr="00FC0C49">
        <w:t>Changes to the Indications and/or Dosage and Administration Information from the Original</w:t>
      </w:r>
      <w:r w:rsidR="00FC0C49">
        <w:t xml:space="preserve"> </w:t>
      </w:r>
      <w:r w:rsidRPr="00FC0C49">
        <w:t>Application</w:t>
      </w:r>
    </w:p>
    <w:p w:rsidR="007E2846" w:rsidRDefault="007E2846" w:rsidP="007E2846">
      <w:r w:rsidRPr="007E2846">
        <w:t>No changes to the Indications are proposed from the version of the PI submitted originally</w:t>
      </w:r>
      <w:r w:rsidR="00FC0C49">
        <w:t xml:space="preserve">. </w:t>
      </w:r>
      <w:r w:rsidRPr="007E2846">
        <w:t>In response to recommendations</w:t>
      </w:r>
      <w:r w:rsidR="00455A70">
        <w:t xml:space="preserve"> from the OPR e</w:t>
      </w:r>
      <w:r w:rsidRPr="007E2846">
        <w:t>valuator, the</w:t>
      </w:r>
      <w:r w:rsidR="00FC0C49">
        <w:t xml:space="preserve"> </w:t>
      </w:r>
      <w:r w:rsidRPr="007E2846">
        <w:t>Dosage and Administration text has been updated to: replace the tradename “Victoza” with the active substance name “liraglutide”; include a</w:t>
      </w:r>
      <w:r w:rsidR="00FC0C49">
        <w:t xml:space="preserve"> </w:t>
      </w:r>
      <w:r w:rsidRPr="007E2846">
        <w:t xml:space="preserve">statement that, in T1DM, </w:t>
      </w:r>
      <w:r w:rsidR="005D2126">
        <w:t>detemir</w:t>
      </w:r>
      <w:r w:rsidRPr="007E2846">
        <w:t xml:space="preserve"> needs to be used in combination with a rapid or short</w:t>
      </w:r>
      <w:r w:rsidR="00455A70">
        <w:t xml:space="preserve"> </w:t>
      </w:r>
      <w:r w:rsidRPr="007E2846">
        <w:t>acting insulin;</w:t>
      </w:r>
      <w:r w:rsidR="00FC0C49">
        <w:t xml:space="preserve"> </w:t>
      </w:r>
      <w:r w:rsidRPr="007E2846">
        <w:t>include a statement that, in paediatric patients, glucose monitoring should be intensified and insulin</w:t>
      </w:r>
      <w:r w:rsidR="00FC0C49">
        <w:t xml:space="preserve"> </w:t>
      </w:r>
      <w:r w:rsidRPr="007E2846">
        <w:t>dosage adjusted individually; include a statement that, in pregnant patients, glucose monitoring should</w:t>
      </w:r>
      <w:r w:rsidR="00FC0C49">
        <w:t xml:space="preserve"> </w:t>
      </w:r>
      <w:r w:rsidRPr="007E2846">
        <w:t>be intensified and insulin dosage adjusted individually; include a statement that, in patients with</w:t>
      </w:r>
      <w:r w:rsidR="00FC0C49">
        <w:t xml:space="preserve"> </w:t>
      </w:r>
      <w:r w:rsidRPr="007E2846">
        <w:t>hypoalbuminaemia, glucose monitoring should be intensified and insulin dosage adjusted individually</w:t>
      </w:r>
      <w:r w:rsidR="00FC0C49">
        <w:t>.</w:t>
      </w:r>
    </w:p>
    <w:p w:rsidR="00FC0C49" w:rsidRPr="00FC0C49" w:rsidRDefault="00FC0C49" w:rsidP="00B87BF8">
      <w:pPr>
        <w:pStyle w:val="Heading4"/>
      </w:pPr>
      <w:r w:rsidRPr="00FC0C49">
        <w:t>NN’s comments to the Delegate’s evaluations and proposed actions</w:t>
      </w:r>
    </w:p>
    <w:p w:rsidR="00FC0C49" w:rsidRPr="00FC0C49" w:rsidRDefault="00FC0C49" w:rsidP="00FC0C49">
      <w:r w:rsidRPr="00FC0C49">
        <w:t>Comments from the Delegate’s Request for ACPM Advice are discussed below:</w:t>
      </w:r>
    </w:p>
    <w:p w:rsidR="00FC0C49" w:rsidRPr="007951FB" w:rsidRDefault="00FC0C49" w:rsidP="00FC0C49">
      <w:pPr>
        <w:pStyle w:val="Numberbullet0"/>
        <w:numPr>
          <w:ilvl w:val="0"/>
          <w:numId w:val="34"/>
        </w:numPr>
        <w:rPr>
          <w:i/>
        </w:rPr>
      </w:pPr>
      <w:r w:rsidRPr="007951FB">
        <w:rPr>
          <w:i/>
        </w:rPr>
        <w:t>The Delegate states that “it is considered that the large dataset needed to recommend Pregnancy category A is not yet available (73 women in insulin detemir group who became pregnant post-randomisation and were thus exposed through</w:t>
      </w:r>
      <w:r w:rsidR="00455A70">
        <w:rPr>
          <w:i/>
        </w:rPr>
        <w:t xml:space="preserve"> the whole risk period of three to</w:t>
      </w:r>
      <w:r w:rsidRPr="007951FB">
        <w:rPr>
          <w:i/>
        </w:rPr>
        <w:t xml:space="preserve">12 </w:t>
      </w:r>
      <w:r w:rsidR="00455A70">
        <w:rPr>
          <w:i/>
        </w:rPr>
        <w:t>GW</w:t>
      </w:r>
      <w:r w:rsidRPr="007951FB">
        <w:rPr>
          <w:i/>
        </w:rPr>
        <w:t>s relevant for organogenesis and provided unconfounded comparison; limited post market data).”</w:t>
      </w:r>
    </w:p>
    <w:p w:rsidR="00B9306D" w:rsidRDefault="00FC0C49" w:rsidP="00B9306D">
      <w:pPr>
        <w:pStyle w:val="Numberbullet2"/>
        <w:ind w:left="720"/>
      </w:pPr>
      <w:r w:rsidRPr="00FC0C49">
        <w:t>Data from all sources should be considered collectively to characterise the safety of a medicinal</w:t>
      </w:r>
      <w:r w:rsidR="00B9306D">
        <w:t xml:space="preserve"> </w:t>
      </w:r>
      <w:r w:rsidRPr="00B9306D">
        <w:t>product in pregnancy and to inform pregnancy labelling</w:t>
      </w:r>
      <w:r w:rsidR="00B9306D">
        <w:t>.</w:t>
      </w:r>
    </w:p>
    <w:p w:rsidR="00FC0C49" w:rsidRPr="00B9306D" w:rsidRDefault="00B9306D" w:rsidP="00B9306D">
      <w:pPr>
        <w:ind w:left="720"/>
      </w:pPr>
      <w:r w:rsidRPr="00B9306D">
        <w:t>NN agrees with the Delegate that “a consideration of all available experience may be more appropriate”</w:t>
      </w:r>
      <w:r>
        <w:t xml:space="preserve"> </w:t>
      </w:r>
      <w:r w:rsidRPr="00B9306D">
        <w:t>to characterise the safety of a medicinal product in pregnancy and to inform pregnancy labelling.</w:t>
      </w:r>
      <w:r>
        <w:t xml:space="preserve"> </w:t>
      </w:r>
      <w:r w:rsidRPr="00B9306D">
        <w:t>This approach was adopted by TGA in the assessment of NN’s application for approval of use of IAsp</w:t>
      </w:r>
      <w:r>
        <w:t xml:space="preserve"> </w:t>
      </w:r>
      <w:r w:rsidRPr="00B9306D">
        <w:t>in pregnancy in 2006, where consideration was given to all available</w:t>
      </w:r>
      <w:r>
        <w:t xml:space="preserve"> </w:t>
      </w:r>
      <w:r w:rsidRPr="00B9306D">
        <w:t xml:space="preserve">experience, including </w:t>
      </w:r>
      <w:r w:rsidR="00455A70">
        <w:t>T</w:t>
      </w:r>
      <w:r w:rsidRPr="00B9306D">
        <w:t>rial ANA-1474, a limited number of exposures available from post-marketing</w:t>
      </w:r>
      <w:r>
        <w:t xml:space="preserve"> </w:t>
      </w:r>
      <w:r w:rsidRPr="00B9306D">
        <w:t>data and the widespread prescribing of IAsp in clinical practice, particularly in the treatment of T1DM.</w:t>
      </w:r>
      <w:r>
        <w:t xml:space="preserve"> </w:t>
      </w:r>
      <w:r w:rsidRPr="00B9306D">
        <w:t xml:space="preserve">The body of evidence available for </w:t>
      </w:r>
      <w:r w:rsidR="005D2126">
        <w:t>detemir</w:t>
      </w:r>
      <w:r w:rsidRPr="00B9306D">
        <w:t xml:space="preserve"> is more extensive compared with that accepted for IAsp, in</w:t>
      </w:r>
      <w:r>
        <w:t xml:space="preserve"> </w:t>
      </w:r>
      <w:r w:rsidRPr="00B9306D">
        <w:t>terms of both exp</w:t>
      </w:r>
      <w:r w:rsidR="00455A70">
        <w:t>osures during organogenesis in T</w:t>
      </w:r>
      <w:r w:rsidRPr="00B9306D">
        <w:t>rial 1687 and post-marketing data (discussed further</w:t>
      </w:r>
      <w:r>
        <w:t xml:space="preserve"> </w:t>
      </w:r>
      <w:r w:rsidRPr="00B9306D">
        <w:t>below).</w:t>
      </w:r>
    </w:p>
    <w:p w:rsidR="00FC0C49" w:rsidRPr="00B9306D" w:rsidRDefault="00B9306D" w:rsidP="00B9306D">
      <w:pPr>
        <w:pStyle w:val="Numberbullet2"/>
      </w:pPr>
      <w:r w:rsidRPr="00B9306D">
        <w:t>Data are available for a large number of exposures and outcomes from Trial 1687</w:t>
      </w:r>
    </w:p>
    <w:p w:rsidR="00FC0C49" w:rsidRDefault="00B9306D" w:rsidP="00B9306D">
      <w:pPr>
        <w:ind w:left="720"/>
      </w:pPr>
      <w:r w:rsidRPr="00B9306D">
        <w:lastRenderedPageBreak/>
        <w:t>NN contends that in the present overall context the sample size of 310 exposed pregnant subjects with</w:t>
      </w:r>
      <w:r>
        <w:t xml:space="preserve"> </w:t>
      </w:r>
      <w:r w:rsidRPr="00B9306D">
        <w:t xml:space="preserve">T1DM in </w:t>
      </w:r>
      <w:r w:rsidR="00455A70">
        <w:t>T</w:t>
      </w:r>
      <w:r w:rsidRPr="00B9306D">
        <w:t>rial 1687 is large. 470 subjects were randomised, of these 310 (</w:t>
      </w:r>
      <w:r w:rsidR="005D2126">
        <w:t>detemir</w:t>
      </w:r>
      <w:r w:rsidRPr="00B9306D">
        <w:t xml:space="preserve"> N=152; NPH N=158)</w:t>
      </w:r>
      <w:r>
        <w:t xml:space="preserve"> </w:t>
      </w:r>
      <w:r w:rsidRPr="00B9306D">
        <w:t>were pregnant and were exposed to study treatment up to 12 months before pregnancy (48%) or during</w:t>
      </w:r>
      <w:r>
        <w:t xml:space="preserve"> </w:t>
      </w:r>
      <w:r w:rsidRPr="00B9306D">
        <w:t xml:space="preserve">pregnancy at </w:t>
      </w:r>
      <w:r>
        <w:t>eight</w:t>
      </w:r>
      <w:r w:rsidR="00455A70">
        <w:t xml:space="preserve"> to </w:t>
      </w:r>
      <w:r w:rsidRPr="00B9306D">
        <w:t>12 weeks (52%). This</w:t>
      </w:r>
      <w:r>
        <w:t xml:space="preserve"> </w:t>
      </w:r>
      <w:r w:rsidRPr="00B9306D">
        <w:t>sample size was predefined, discussed with regulators, and the trial was designed on that basis. Given</w:t>
      </w:r>
      <w:r>
        <w:t xml:space="preserve"> </w:t>
      </w:r>
      <w:r w:rsidRPr="00B9306D">
        <w:t>the vulnerable nature of this sub-population and the scarcity of randomised data, it is NN’s contention</w:t>
      </w:r>
      <w:r>
        <w:t xml:space="preserve"> </w:t>
      </w:r>
      <w:r w:rsidRPr="00B9306D">
        <w:t>that this is not a “limited number”. Trial ANA-1474 was of a similar sample size, with a total 322</w:t>
      </w:r>
      <w:r>
        <w:t xml:space="preserve"> </w:t>
      </w:r>
      <w:r w:rsidRPr="00B9306D">
        <w:t>pregnant women with T1DM exposed to trial treatment (IAsp N=157; soluble H</w:t>
      </w:r>
      <w:r w:rsidR="00425637">
        <w:t>I</w:t>
      </w:r>
      <w:r>
        <w:t xml:space="preserve"> </w:t>
      </w:r>
      <w:r w:rsidRPr="00B9306D">
        <w:t>N=165).</w:t>
      </w:r>
    </w:p>
    <w:p w:rsidR="00B9306D" w:rsidRDefault="00B9306D" w:rsidP="00B9306D">
      <w:pPr>
        <w:ind w:left="720"/>
      </w:pPr>
      <w:r w:rsidRPr="00B9306D">
        <w:t xml:space="preserve">The Delegate questions the number of women in </w:t>
      </w:r>
      <w:r>
        <w:t>T</w:t>
      </w:r>
      <w:r w:rsidRPr="00B9306D">
        <w:t>rial 1687 who became pregnant post-randomisation</w:t>
      </w:r>
      <w:r>
        <w:t xml:space="preserve"> </w:t>
      </w:r>
      <w:r w:rsidRPr="00B9306D">
        <w:t xml:space="preserve">and were thus exposed throughout the “period of interest” </w:t>
      </w:r>
      <w:r w:rsidR="00425637">
        <w:t xml:space="preserve">that is, </w:t>
      </w:r>
      <w:r w:rsidRPr="00B9306D">
        <w:t>organogenesis. A considerable proportion</w:t>
      </w:r>
      <w:r>
        <w:t xml:space="preserve"> </w:t>
      </w:r>
      <w:r w:rsidRPr="00B9306D">
        <w:t>of subjects were exposed to trial treatment during the entire gestational period, including the first</w:t>
      </w:r>
      <w:r>
        <w:t xml:space="preserve"> </w:t>
      </w:r>
      <w:r w:rsidRPr="00B9306D">
        <w:t>trimester where major organogenesis occurs (</w:t>
      </w:r>
      <w:r w:rsidR="005D2126">
        <w:t>detemir</w:t>
      </w:r>
      <w:r w:rsidRPr="00B9306D">
        <w:t xml:space="preserve"> N=73; NPH N=75)</w:t>
      </w:r>
      <w:r w:rsidRPr="00B9306D">
        <w:rPr>
          <w:i/>
          <w:iCs/>
        </w:rPr>
        <w:t xml:space="preserve">. </w:t>
      </w:r>
      <w:r w:rsidRPr="00B9306D">
        <w:t xml:space="preserve">In contrast, the cohorts of subjects exposed to trial treatments in </w:t>
      </w:r>
      <w:r>
        <w:t>T</w:t>
      </w:r>
      <w:r w:rsidRPr="00B9306D">
        <w:t>rial ANA-1474 were</w:t>
      </w:r>
      <w:r>
        <w:t xml:space="preserve"> </w:t>
      </w:r>
      <w:r w:rsidRPr="00B9306D">
        <w:t>considerably fewer (IAsp N=44; HI N=55).</w:t>
      </w:r>
    </w:p>
    <w:p w:rsidR="00B9306D" w:rsidRPr="00B9306D" w:rsidRDefault="00B9306D" w:rsidP="00B9306D">
      <w:pPr>
        <w:pStyle w:val="Numberbullet2"/>
      </w:pPr>
      <w:r w:rsidRPr="00B9306D">
        <w:t>Data on a significant number of outcomes is available from post-marketing surveillance</w:t>
      </w:r>
    </w:p>
    <w:p w:rsidR="00B9306D" w:rsidRPr="00B9306D" w:rsidRDefault="00B9306D" w:rsidP="00B9306D">
      <w:pPr>
        <w:ind w:left="720"/>
      </w:pPr>
      <w:r w:rsidRPr="00B9306D">
        <w:t xml:space="preserve">Ongoing post-marketing monitoring of </w:t>
      </w:r>
      <w:r w:rsidR="005D2126">
        <w:t>detemir</w:t>
      </w:r>
      <w:r w:rsidRPr="00B9306D">
        <w:t xml:space="preserve"> use in pregnancy has demonstrated a favourable risk-benefit</w:t>
      </w:r>
      <w:r w:rsidR="00970F26">
        <w:t xml:space="preserve"> </w:t>
      </w:r>
      <w:r w:rsidRPr="00B9306D">
        <w:t>profile. This evaluation of safety is based on worldwide exposure from 1</w:t>
      </w:r>
      <w:r>
        <w:t xml:space="preserve"> </w:t>
      </w:r>
      <w:r w:rsidRPr="00B9306D">
        <w:t>Nov</w:t>
      </w:r>
      <w:r>
        <w:t xml:space="preserve">ember </w:t>
      </w:r>
      <w:r w:rsidRPr="00B9306D">
        <w:t>2003 (product</w:t>
      </w:r>
      <w:r>
        <w:t xml:space="preserve"> </w:t>
      </w:r>
      <w:r w:rsidRPr="00B9306D">
        <w:t>international birth date) to 15</w:t>
      </w:r>
      <w:r>
        <w:t xml:space="preserve"> </w:t>
      </w:r>
      <w:r w:rsidRPr="00B9306D">
        <w:t>Aug</w:t>
      </w:r>
      <w:r>
        <w:t xml:space="preserve">ust </w:t>
      </w:r>
      <w:r w:rsidRPr="00B9306D">
        <w:t>2013, representing approximately 11,053,050 patient years of</w:t>
      </w:r>
      <w:r>
        <w:t xml:space="preserve"> </w:t>
      </w:r>
      <w:r w:rsidRPr="00B9306D">
        <w:t xml:space="preserve">exposure (PYE). No safety concerns associated with </w:t>
      </w:r>
      <w:r w:rsidR="005D2126">
        <w:t>detemir</w:t>
      </w:r>
      <w:r w:rsidRPr="00B9306D">
        <w:t xml:space="preserve"> were raised during the latest Periodic Safety</w:t>
      </w:r>
      <w:r>
        <w:t xml:space="preserve"> </w:t>
      </w:r>
      <w:r w:rsidRPr="00B9306D">
        <w:t>Update Report (PSUR) review period, 1</w:t>
      </w:r>
      <w:r>
        <w:t xml:space="preserve"> </w:t>
      </w:r>
      <w:r w:rsidRPr="00B9306D">
        <w:t>Nov</w:t>
      </w:r>
      <w:r>
        <w:t xml:space="preserve">ember </w:t>
      </w:r>
      <w:r w:rsidRPr="00B9306D">
        <w:t xml:space="preserve">2011 </w:t>
      </w:r>
      <w:r>
        <w:t>–</w:t>
      </w:r>
      <w:r w:rsidRPr="00B9306D">
        <w:t xml:space="preserve"> 31</w:t>
      </w:r>
      <w:r>
        <w:t xml:space="preserve"> </w:t>
      </w:r>
      <w:r w:rsidRPr="00B9306D">
        <w:t>Oct</w:t>
      </w:r>
      <w:r>
        <w:t xml:space="preserve">ober </w:t>
      </w:r>
      <w:r w:rsidRPr="00B9306D">
        <w:t>2012. Moreover, no safety concerns were identified during an interim review covering the period</w:t>
      </w:r>
      <w:r>
        <w:t xml:space="preserve"> </w:t>
      </w:r>
      <w:r w:rsidRPr="00B9306D">
        <w:t>1</w:t>
      </w:r>
      <w:r>
        <w:t xml:space="preserve"> </w:t>
      </w:r>
      <w:r w:rsidRPr="00B9306D">
        <w:t>Nov</w:t>
      </w:r>
      <w:r>
        <w:t xml:space="preserve">ember </w:t>
      </w:r>
      <w:r w:rsidRPr="00B9306D">
        <w:t xml:space="preserve">2012 </w:t>
      </w:r>
      <w:r>
        <w:t>–</w:t>
      </w:r>
      <w:r w:rsidRPr="00B9306D">
        <w:t xml:space="preserve"> 15</w:t>
      </w:r>
      <w:r>
        <w:t xml:space="preserve"> </w:t>
      </w:r>
      <w:r w:rsidRPr="00B9306D">
        <w:t>Aug</w:t>
      </w:r>
      <w:r>
        <w:t xml:space="preserve">ust </w:t>
      </w:r>
      <w:r w:rsidRPr="00B9306D">
        <w:t xml:space="preserve">2013, during which 218 additional reports of </w:t>
      </w:r>
      <w:r w:rsidR="005D2126">
        <w:t>detemir</w:t>
      </w:r>
      <w:r w:rsidRPr="00B9306D">
        <w:t xml:space="preserve"> exposure during pregnancy</w:t>
      </w:r>
      <w:r>
        <w:t xml:space="preserve"> </w:t>
      </w:r>
      <w:r w:rsidRPr="00B9306D">
        <w:t>were received, comprising 376 adverse events (AEs) (350 non-serious and 26 serious events). No cases</w:t>
      </w:r>
      <w:r>
        <w:t xml:space="preserve"> </w:t>
      </w:r>
      <w:r w:rsidRPr="00B9306D">
        <w:t>of ‘live birth with congenital anomalies’ or ‘termination with fetal defects’ were received.</w:t>
      </w:r>
    </w:p>
    <w:p w:rsidR="00B9306D" w:rsidRDefault="00B9306D" w:rsidP="00B9306D">
      <w:pPr>
        <w:ind w:left="720"/>
      </w:pPr>
      <w:r w:rsidRPr="00B9306D">
        <w:t>In total, 789 reports of exposed pregnant women, comprising 1329 AEs, are available from cumulative</w:t>
      </w:r>
      <w:r>
        <w:t xml:space="preserve"> </w:t>
      </w:r>
      <w:r w:rsidRPr="00B9306D">
        <w:t>worldwide data, excluding case reports from clinical trials. 678 of the 789 case reports were non-serious</w:t>
      </w:r>
      <w:r>
        <w:t xml:space="preserve"> </w:t>
      </w:r>
      <w:r w:rsidRPr="00B9306D">
        <w:t>cases. The vast majority of the 789 cases were for the reported events ‘pregnancy’ (560 events) and</w:t>
      </w:r>
      <w:r>
        <w:t xml:space="preserve"> </w:t>
      </w:r>
      <w:r w:rsidRPr="00B9306D">
        <w:t>‘exposure during pregnancy’ (185 events). Where trimester of exposure was reported, 133 pregnancies</w:t>
      </w:r>
      <w:r>
        <w:t xml:space="preserve"> </w:t>
      </w:r>
      <w:r w:rsidRPr="00B9306D">
        <w:t>were exposed during the entire gestational period and 134 pregnancies were exposed during the first</w:t>
      </w:r>
      <w:r>
        <w:t xml:space="preserve"> </w:t>
      </w:r>
      <w:r w:rsidRPr="00B9306D">
        <w:t>trimester.</w:t>
      </w:r>
    </w:p>
    <w:p w:rsidR="00B9306D" w:rsidRDefault="00B9306D" w:rsidP="00B9306D">
      <w:pPr>
        <w:ind w:left="720"/>
      </w:pPr>
      <w:r w:rsidRPr="00B9306D">
        <w:t xml:space="preserve">The post-market data available for </w:t>
      </w:r>
      <w:r w:rsidR="005D2126">
        <w:t>detemir</w:t>
      </w:r>
      <w:r w:rsidRPr="00B9306D">
        <w:t xml:space="preserve"> is considerable compared with the limited experience available</w:t>
      </w:r>
      <w:r>
        <w:t xml:space="preserve"> </w:t>
      </w:r>
      <w:r w:rsidRPr="00B9306D">
        <w:t xml:space="preserve">for IAsp at the time of application for the equivalent variation, </w:t>
      </w:r>
      <w:r>
        <w:t xml:space="preserve">that is, </w:t>
      </w:r>
      <w:r w:rsidRPr="00B9306D">
        <w:t>use in pregnancy, in 2006. Based on</w:t>
      </w:r>
      <w:r>
        <w:t xml:space="preserve"> </w:t>
      </w:r>
      <w:r w:rsidRPr="00B9306D">
        <w:t xml:space="preserve">worldwide spontaneous case reports received over a </w:t>
      </w:r>
      <w:r>
        <w:t>six</w:t>
      </w:r>
      <w:r w:rsidRPr="00B9306D">
        <w:t xml:space="preserve"> year period from Oct 1999 to Jan 2006, 26 cases</w:t>
      </w:r>
      <w:r>
        <w:t xml:space="preserve"> </w:t>
      </w:r>
      <w:r w:rsidRPr="00B9306D">
        <w:t>of AEs in women exposed to IAsp during pregnancy were received. The estimated worldwide exposure</w:t>
      </w:r>
      <w:r>
        <w:t xml:space="preserve"> </w:t>
      </w:r>
      <w:r w:rsidRPr="00B9306D">
        <w:t>for IAsp during this period was approximately 5.5 million PYE.</w:t>
      </w:r>
    </w:p>
    <w:p w:rsidR="00B85BA6" w:rsidRPr="00B85BA6" w:rsidRDefault="00B85BA6" w:rsidP="00B85BA6">
      <w:pPr>
        <w:pStyle w:val="Numberbullet2"/>
      </w:pPr>
      <w:r w:rsidRPr="00B85BA6">
        <w:t>NN have established a comprehensive pharmacovigilance programme</w:t>
      </w:r>
    </w:p>
    <w:p w:rsidR="00B85BA6" w:rsidRPr="00B85BA6" w:rsidRDefault="00B85BA6" w:rsidP="00B85BA6">
      <w:pPr>
        <w:ind w:left="720"/>
      </w:pPr>
      <w:r w:rsidRPr="00B85BA6">
        <w:t>Collection of data with relation to intended and unintended exposure during pregnancy forms part of</w:t>
      </w:r>
      <w:r>
        <w:t xml:space="preserve"> </w:t>
      </w:r>
      <w:r w:rsidRPr="00B85BA6">
        <w:t>NN’s routine pharmacovigilance monitoring for all NN products. These data are submitted to regulatory</w:t>
      </w:r>
      <w:r>
        <w:t xml:space="preserve"> </w:t>
      </w:r>
      <w:r w:rsidRPr="00B85BA6">
        <w:t>authorities, including TGA, via PSURs and individual case reports. NN has committed to submitting</w:t>
      </w:r>
      <w:r>
        <w:t xml:space="preserve"> </w:t>
      </w:r>
      <w:r w:rsidRPr="00B85BA6">
        <w:t xml:space="preserve">PSURs for </w:t>
      </w:r>
      <w:r w:rsidR="005D2126">
        <w:t>detemir</w:t>
      </w:r>
      <w:r w:rsidRPr="00B85BA6">
        <w:t xml:space="preserve"> to TGA for an extended period (2008 - 2018).</w:t>
      </w:r>
    </w:p>
    <w:p w:rsidR="00B85BA6" w:rsidRDefault="00B85BA6" w:rsidP="00B85BA6">
      <w:pPr>
        <w:ind w:left="720"/>
      </w:pPr>
      <w:r w:rsidRPr="00B85BA6">
        <w:lastRenderedPageBreak/>
        <w:t>A further pharmacovigilance initiative is planned to expand the safety database and to increase</w:t>
      </w:r>
      <w:r>
        <w:t xml:space="preserve"> </w:t>
      </w:r>
      <w:r w:rsidRPr="00B85BA6">
        <w:t>systematic follow-up on exposures in pregnancy. As outlined in the EU RMP, NN plans to perform an</w:t>
      </w:r>
      <w:r>
        <w:t xml:space="preserve"> </w:t>
      </w:r>
      <w:r w:rsidRPr="00B85BA6">
        <w:t xml:space="preserve">international prospective cohort study, NN304-4016, across </w:t>
      </w:r>
      <w:r>
        <w:t>seven</w:t>
      </w:r>
      <w:r w:rsidRPr="00B85BA6">
        <w:t xml:space="preserve"> countries including more than 2500</w:t>
      </w:r>
      <w:r>
        <w:t xml:space="preserve"> </w:t>
      </w:r>
      <w:r w:rsidRPr="00B85BA6">
        <w:t>subjects (protocol discussed and approved by EMA), as a post-variation commitment with EMA. NN Australia’s commitment to provide</w:t>
      </w:r>
      <w:r>
        <w:t xml:space="preserve"> </w:t>
      </w:r>
      <w:r w:rsidRPr="00B85BA6">
        <w:t>TGA with data from this pharmacovigilance activity is acceptable to the OPR Evaluator</w:t>
      </w:r>
    </w:p>
    <w:p w:rsidR="00B85BA6" w:rsidRPr="00B85BA6" w:rsidRDefault="00B85BA6" w:rsidP="00B85BA6">
      <w:pPr>
        <w:pStyle w:val="Numberbullet2"/>
      </w:pPr>
      <w:r w:rsidRPr="00B85BA6">
        <w:t xml:space="preserve">There is increasing use in pregnant women of insulin analogues, including </w:t>
      </w:r>
      <w:r w:rsidR="005D2126">
        <w:t>detemir</w:t>
      </w:r>
      <w:r w:rsidRPr="00B85BA6">
        <w:t>, in clinical practice</w:t>
      </w:r>
    </w:p>
    <w:p w:rsidR="00B85BA6" w:rsidRPr="00B85BA6" w:rsidRDefault="00B85BA6" w:rsidP="0006071B">
      <w:pPr>
        <w:ind w:left="720"/>
      </w:pPr>
      <w:r w:rsidRPr="00B85BA6">
        <w:t xml:space="preserve">Factors considered in clinical practice are related to the established safety and efficacy profile of </w:t>
      </w:r>
      <w:r w:rsidR="005D2126">
        <w:t>detemir</w:t>
      </w:r>
      <w:r w:rsidRPr="00B85BA6">
        <w:t xml:space="preserve"> in</w:t>
      </w:r>
      <w:r>
        <w:t xml:space="preserve"> </w:t>
      </w:r>
      <w:r w:rsidRPr="00B85BA6">
        <w:t>non-pregnant populations and benefits such as reduced risk of nocturnal hypoglycaemia</w:t>
      </w:r>
      <w:r>
        <w:rPr>
          <w:rStyle w:val="FootnoteReference"/>
        </w:rPr>
        <w:footnoteReference w:id="7"/>
      </w:r>
      <w:r w:rsidRPr="00B85BA6">
        <w:t>, and to</w:t>
      </w:r>
      <w:r>
        <w:t xml:space="preserve"> </w:t>
      </w:r>
      <w:r w:rsidRPr="00B85BA6">
        <w:t>continued treatment where the woman is achieving optimal glycaemic control on their current regimen</w:t>
      </w:r>
      <w:r>
        <w:rPr>
          <w:rStyle w:val="FootnoteReference"/>
        </w:rPr>
        <w:footnoteReference w:id="8"/>
      </w:r>
      <w:r w:rsidRPr="00B85BA6">
        <w:t>.</w:t>
      </w:r>
      <w:r>
        <w:t xml:space="preserve"> </w:t>
      </w:r>
      <w:r w:rsidRPr="00B85BA6">
        <w:t>There are an increasing number of women with T1DM, who are planning or entering pregnancy while</w:t>
      </w:r>
      <w:r>
        <w:t xml:space="preserve"> </w:t>
      </w:r>
      <w:r w:rsidRPr="00B85BA6">
        <w:t>treated with a long-acting insulin analogue. This trend is illustrated by pre-trial insulin treatment seen in</w:t>
      </w:r>
      <w:r>
        <w:t xml:space="preserve"> </w:t>
      </w:r>
      <w:r w:rsidR="0006071B">
        <w:t>T</w:t>
      </w:r>
      <w:r w:rsidRPr="00B85BA6">
        <w:t>rial ANA-1474, where approximately 48% of subjects were treated with insulin analogues. In</w:t>
      </w:r>
      <w:r>
        <w:t xml:space="preserve"> </w:t>
      </w:r>
      <w:r w:rsidRPr="00B85BA6">
        <w:t xml:space="preserve">comparison, </w:t>
      </w:r>
      <w:r>
        <w:t>T</w:t>
      </w:r>
      <w:r w:rsidRPr="00B85BA6">
        <w:t>rial 1687 showed a marked increase in pre-trial treatment with approximately 90% and</w:t>
      </w:r>
      <w:r>
        <w:t xml:space="preserve"> </w:t>
      </w:r>
      <w:r w:rsidRPr="00B85BA6">
        <w:t>47% of subjects using a bolus and basal insulin analogue, respectively</w:t>
      </w:r>
      <w:r>
        <w:rPr>
          <w:rStyle w:val="FootnoteReference"/>
        </w:rPr>
        <w:footnoteReference w:id="9"/>
      </w:r>
      <w:r w:rsidRPr="00B85BA6">
        <w:t>. Insulin treatment in pregnancy</w:t>
      </w:r>
      <w:r>
        <w:t xml:space="preserve"> </w:t>
      </w:r>
      <w:r w:rsidRPr="00B85BA6">
        <w:t>is also growing in women with T2DM and gestational diabetes mellitus</w:t>
      </w:r>
      <w:r>
        <w:t xml:space="preserve"> </w:t>
      </w:r>
      <w:r w:rsidRPr="00B85BA6">
        <w:t>(GDM) due to increasing numbers of women developing T2DM related to rising rates of obesity and an</w:t>
      </w:r>
      <w:r>
        <w:t xml:space="preserve"> </w:t>
      </w:r>
      <w:r w:rsidRPr="00B85BA6">
        <w:t>increase in the number of women with GDM, possibly related to improved detection and later age at</w:t>
      </w:r>
      <w:r>
        <w:t xml:space="preserve"> </w:t>
      </w:r>
      <w:r w:rsidRPr="00B85BA6">
        <w:t>pregnancy. Moreover, an ‘absolute increase’ in the number of women with T1DM has been observed</w:t>
      </w:r>
      <w:r>
        <w:t xml:space="preserve"> </w:t>
      </w:r>
      <w:r w:rsidRPr="00B85BA6">
        <w:t>over the last 20 years</w:t>
      </w:r>
      <w:r>
        <w:rPr>
          <w:rStyle w:val="FootnoteReference"/>
        </w:rPr>
        <w:footnoteReference w:id="10"/>
      </w:r>
      <w:r w:rsidRPr="00B85BA6">
        <w:t>.</w:t>
      </w:r>
    </w:p>
    <w:p w:rsidR="007951FB" w:rsidRDefault="007951FB" w:rsidP="007951FB">
      <w:pPr>
        <w:pStyle w:val="Numberbullet0"/>
        <w:rPr>
          <w:i/>
        </w:rPr>
      </w:pPr>
      <w:r w:rsidRPr="007951FB">
        <w:rPr>
          <w:i/>
        </w:rPr>
        <w:t xml:space="preserve">The Delegate observes that at present, only </w:t>
      </w:r>
      <w:r w:rsidR="0006071B">
        <w:rPr>
          <w:i/>
        </w:rPr>
        <w:t>two</w:t>
      </w:r>
      <w:r w:rsidRPr="007951FB">
        <w:rPr>
          <w:i/>
        </w:rPr>
        <w:t xml:space="preserve"> insulin analogues (</w:t>
      </w:r>
      <w:r w:rsidR="0006071B">
        <w:rPr>
          <w:i/>
        </w:rPr>
        <w:t xml:space="preserve">IAsp </w:t>
      </w:r>
      <w:r w:rsidRPr="007951FB">
        <w:rPr>
          <w:i/>
        </w:rPr>
        <w:t>and insulin lispro) are assigned pregnancy category A, and that no basal insulin currently has pregnancy category A status. Additionally the Delegate comments that “there appears to be no insistence on randomised trial data recognising the fact that a hypothesis driven, adequately powered randomised trial to establish nil effect in pregnancy outcomes may not be practical.”</w:t>
      </w:r>
    </w:p>
    <w:p w:rsidR="003823F9" w:rsidRPr="003823F9" w:rsidRDefault="003823F9" w:rsidP="003823F9">
      <w:pPr>
        <w:pStyle w:val="Numberbullet2"/>
      </w:pPr>
      <w:r w:rsidRPr="003823F9">
        <w:t xml:space="preserve">NN’s clinical development program to assess efficacy and safety of </w:t>
      </w:r>
      <w:r w:rsidR="005D2126">
        <w:t>detemir</w:t>
      </w:r>
      <w:r w:rsidRPr="003823F9">
        <w:t xml:space="preserve"> in pregnancy,</w:t>
      </w:r>
      <w:r>
        <w:t xml:space="preserve"> </w:t>
      </w:r>
      <w:r w:rsidRPr="003823F9">
        <w:t>derived from high level evidence, is consistent with that previously approved by TGA for IAsp</w:t>
      </w:r>
    </w:p>
    <w:p w:rsidR="003823F9" w:rsidRPr="003823F9" w:rsidRDefault="003823F9" w:rsidP="003823F9">
      <w:pPr>
        <w:ind w:left="720"/>
      </w:pPr>
      <w:r w:rsidRPr="003823F9">
        <w:t>Two rapid-acting insulin analogues, IAsp and insulin lispro, have been assigned pregnancy category A</w:t>
      </w:r>
      <w:r>
        <w:t xml:space="preserve"> </w:t>
      </w:r>
      <w:r w:rsidRPr="003823F9">
        <w:t>by TGA, in contrast to</w:t>
      </w:r>
      <w:r w:rsidR="00425637">
        <w:t xml:space="preserve"> HI</w:t>
      </w:r>
      <w:r w:rsidRPr="003823F9">
        <w:t>, which in the absence of high level evidence to characterise safety</w:t>
      </w:r>
      <w:r>
        <w:t xml:space="preserve"> </w:t>
      </w:r>
      <w:r w:rsidRPr="003823F9">
        <w:t>in pregnancy has historically been considered the treatment of choice</w:t>
      </w:r>
      <w:r>
        <w:rPr>
          <w:rStyle w:val="FootnoteReference"/>
        </w:rPr>
        <w:footnoteReference w:id="11"/>
      </w:r>
      <w:r w:rsidRPr="003823F9">
        <w:t>. The Delegate also noted that the</w:t>
      </w:r>
      <w:r>
        <w:t xml:space="preserve"> d</w:t>
      </w:r>
      <w:r w:rsidRPr="003823F9">
        <w:t xml:space="preserve">atasets accepted by TGA to </w:t>
      </w:r>
      <w:r w:rsidRPr="003823F9">
        <w:lastRenderedPageBreak/>
        <w:t>characterise “large number of pregnant women and women of childbearing</w:t>
      </w:r>
      <w:r>
        <w:t xml:space="preserve"> </w:t>
      </w:r>
      <w:r w:rsidRPr="003823F9">
        <w:t>age” for IAsp and insulin lispro were derived using different clinical methodologies.</w:t>
      </w:r>
    </w:p>
    <w:p w:rsidR="003823F9" w:rsidRDefault="003823F9" w:rsidP="003823F9">
      <w:pPr>
        <w:ind w:left="720"/>
      </w:pPr>
      <w:r w:rsidRPr="003823F9">
        <w:t>IAsp was assigned pregnancy</w:t>
      </w:r>
      <w:r>
        <w:t xml:space="preserve"> </w:t>
      </w:r>
      <w:r w:rsidRPr="003823F9">
        <w:t>category A on the basis of a</w:t>
      </w:r>
      <w:r w:rsidR="00455A70">
        <w:t>n</w:t>
      </w:r>
      <w:r w:rsidRPr="003823F9">
        <w:t xml:space="preserve"> RCT</w:t>
      </w:r>
      <w:r>
        <w:t xml:space="preserve"> </w:t>
      </w:r>
      <w:r w:rsidRPr="003823F9">
        <w:t>(NHMRC level ‘II’ evidence6)</w:t>
      </w:r>
      <w:r>
        <w:t xml:space="preserve"> </w:t>
      </w:r>
      <w:r w:rsidRPr="003823F9">
        <w:t>which included pregnancy</w:t>
      </w:r>
      <w:r>
        <w:t xml:space="preserve"> </w:t>
      </w:r>
      <w:r w:rsidRPr="003823F9">
        <w:t>outcomes of 322 women with</w:t>
      </w:r>
      <w:r>
        <w:t xml:space="preserve"> </w:t>
      </w:r>
      <w:r w:rsidRPr="003823F9">
        <w:t>T1DM (IAsp N=157; HI</w:t>
      </w:r>
      <w:r>
        <w:t xml:space="preserve"> </w:t>
      </w:r>
      <w:r w:rsidRPr="003823F9">
        <w:t>N=165). Insulin lispro was</w:t>
      </w:r>
      <w:r>
        <w:t xml:space="preserve"> </w:t>
      </w:r>
      <w:r w:rsidRPr="003823F9">
        <w:t>assigned pregnancy category A</w:t>
      </w:r>
      <w:r>
        <w:t xml:space="preserve"> </w:t>
      </w:r>
      <w:r w:rsidRPr="003823F9">
        <w:t>on the basis of an uncontrolled</w:t>
      </w:r>
      <w:r>
        <w:t xml:space="preserve"> </w:t>
      </w:r>
      <w:r w:rsidRPr="003823F9">
        <w:t>retrospective cohort study of a</w:t>
      </w:r>
      <w:r>
        <w:t xml:space="preserve"> </w:t>
      </w:r>
      <w:r w:rsidRPr="003823F9">
        <w:t>lower evidence ranking</w:t>
      </w:r>
      <w:r>
        <w:t xml:space="preserve"> </w:t>
      </w:r>
      <w:r w:rsidRPr="003823F9">
        <w:t>(NHMRC level ‘III-2’</w:t>
      </w:r>
      <w:r>
        <w:t xml:space="preserve"> </w:t>
      </w:r>
      <w:r w:rsidRPr="003823F9">
        <w:t>evidence</w:t>
      </w:r>
      <w:r w:rsidR="0006071B">
        <w:rPr>
          <w:rStyle w:val="FootnoteReference"/>
        </w:rPr>
        <w:footnoteReference w:id="12"/>
      </w:r>
      <w:r w:rsidRPr="003823F9">
        <w:t>), which included</w:t>
      </w:r>
      <w:r>
        <w:t xml:space="preserve"> </w:t>
      </w:r>
      <w:r w:rsidRPr="003823F9">
        <w:t>pregnancy outcomes of 496</w:t>
      </w:r>
      <w:r>
        <w:t xml:space="preserve"> </w:t>
      </w:r>
      <w:r w:rsidRPr="003823F9">
        <w:t>women with T1DM or T2DM.</w:t>
      </w:r>
      <w:r>
        <w:t xml:space="preserve"> </w:t>
      </w:r>
      <w:r w:rsidRPr="003823F9">
        <w:t>An overview of current</w:t>
      </w:r>
      <w:r>
        <w:t xml:space="preserve"> </w:t>
      </w:r>
      <w:r w:rsidRPr="003823F9">
        <w:t>pregnancy categories and</w:t>
      </w:r>
      <w:r>
        <w:t xml:space="preserve"> </w:t>
      </w:r>
      <w:r w:rsidRPr="003823F9">
        <w:t xml:space="preserve">supportive dataset is given in Figure </w:t>
      </w:r>
      <w:r w:rsidR="0006071B">
        <w:t>1.</w:t>
      </w:r>
    </w:p>
    <w:p w:rsidR="003823F9" w:rsidRDefault="003823F9" w:rsidP="0006071B">
      <w:pPr>
        <w:pStyle w:val="FigureTitle"/>
        <w:keepLines/>
      </w:pPr>
      <w:r>
        <w:t xml:space="preserve">Figure </w:t>
      </w:r>
      <w:r w:rsidR="0006071B">
        <w:t>1</w:t>
      </w:r>
      <w:r>
        <w:t xml:space="preserve">: Comparison of number of exposures in pregnancy (dataset) and assigned pregnancy category </w:t>
      </w:r>
    </w:p>
    <w:p w:rsidR="003823F9" w:rsidRDefault="003823F9" w:rsidP="0006071B">
      <w:pPr>
        <w:keepNext/>
        <w:keepLines/>
        <w:rPr>
          <w:b/>
          <w:bCs/>
          <w:i/>
          <w:iCs/>
        </w:rPr>
      </w:pPr>
      <w:r>
        <w:rPr>
          <w:b/>
          <w:bCs/>
          <w:i/>
          <w:iCs/>
          <w:noProof/>
          <w:lang w:eastAsia="en-AU"/>
        </w:rPr>
        <w:drawing>
          <wp:inline distT="0" distB="0" distL="0" distR="0" wp14:anchorId="698D5F07" wp14:editId="6F837884">
            <wp:extent cx="5400040" cy="3894113"/>
            <wp:effectExtent l="0" t="0" r="0" b="0"/>
            <wp:docPr id="21" name="Picture 1" descr="Figure 1: Comparison of number of exposures in pregnancy (dataset) and assigned pregnancy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00040" cy="3894113"/>
                    </a:xfrm>
                    <a:prstGeom prst="rect">
                      <a:avLst/>
                    </a:prstGeom>
                    <a:noFill/>
                    <a:ln w="9525">
                      <a:noFill/>
                      <a:miter lim="800000"/>
                      <a:headEnd/>
                      <a:tailEnd/>
                    </a:ln>
                  </pic:spPr>
                </pic:pic>
              </a:graphicData>
            </a:graphic>
          </wp:inline>
        </w:drawing>
      </w:r>
    </w:p>
    <w:p w:rsidR="003823F9" w:rsidRPr="003823F9" w:rsidRDefault="003823F9" w:rsidP="003823F9">
      <w:pPr>
        <w:pStyle w:val="Numberbullet2"/>
      </w:pPr>
      <w:r w:rsidRPr="003823F9">
        <w:t>Scientifically rigorous data should guide risk–benefit assessment</w:t>
      </w:r>
    </w:p>
    <w:p w:rsidR="003823F9" w:rsidRPr="003823F9" w:rsidRDefault="003823F9" w:rsidP="00615A50">
      <w:pPr>
        <w:ind w:left="720"/>
      </w:pPr>
      <w:r w:rsidRPr="003823F9">
        <w:t>Typically, clinical development programs preclude pregnant women due to ethical considerations and</w:t>
      </w:r>
      <w:r>
        <w:t xml:space="preserve"> </w:t>
      </w:r>
      <w:r w:rsidRPr="003823F9">
        <w:t>implications for the safety of the fetus/neonate. Industry may also moderate investment in conducting</w:t>
      </w:r>
      <w:r>
        <w:t xml:space="preserve"> </w:t>
      </w:r>
      <w:r w:rsidRPr="003823F9">
        <w:t>RCTs in this population due to factors such as design and recruitment challenges, risk of adverse</w:t>
      </w:r>
      <w:r>
        <w:t xml:space="preserve"> </w:t>
      </w:r>
      <w:r w:rsidRPr="003823F9">
        <w:t>outcome and potential litigation, and cost</w:t>
      </w:r>
      <w:r w:rsidR="0006071B">
        <w:rPr>
          <w:rStyle w:val="FootnoteReference"/>
        </w:rPr>
        <w:footnoteReference w:id="13"/>
      </w:r>
      <w:r w:rsidRPr="003823F9">
        <w:t>. Despite these challenges, NN conducted the first RCT of a</w:t>
      </w:r>
      <w:r>
        <w:t xml:space="preserve"> </w:t>
      </w:r>
      <w:r w:rsidRPr="003823F9">
        <w:t>long-acting insulin analogue in pregnant women with T1DM. The randomised nature of the dataset as</w:t>
      </w:r>
      <w:r>
        <w:t xml:space="preserve"> </w:t>
      </w:r>
      <w:r w:rsidRPr="003823F9">
        <w:t>well as robust design underlines the value of these data in informing risk-benefit assessment for</w:t>
      </w:r>
      <w:r>
        <w:t xml:space="preserve"> </w:t>
      </w:r>
      <w:r w:rsidRPr="003823F9">
        <w:t xml:space="preserve">prescribers, which is accepted by the Delegate, who remarked that </w:t>
      </w:r>
      <w:r>
        <w:t>T</w:t>
      </w:r>
      <w:r w:rsidRPr="003823F9">
        <w:t>rial 1687 “makes available very</w:t>
      </w:r>
      <w:r>
        <w:t xml:space="preserve"> </w:t>
      </w:r>
      <w:r w:rsidRPr="003823F9">
        <w:t>v</w:t>
      </w:r>
      <w:r w:rsidR="000F4B83">
        <w:t xml:space="preserve">aluable prescribing information. </w:t>
      </w:r>
      <w:r w:rsidRPr="003823F9">
        <w:t>In addition, it provides valuable data with respect to pregnancy</w:t>
      </w:r>
      <w:r w:rsidR="00615A50">
        <w:t xml:space="preserve"> outcomes.”</w:t>
      </w:r>
    </w:p>
    <w:p w:rsidR="003823F9" w:rsidRPr="00AA64A0" w:rsidRDefault="003823F9" w:rsidP="00AA64A0">
      <w:pPr>
        <w:pStyle w:val="Numberbullet0"/>
        <w:rPr>
          <w:i/>
        </w:rPr>
      </w:pPr>
      <w:r w:rsidRPr="00AA64A0">
        <w:rPr>
          <w:i/>
        </w:rPr>
        <w:lastRenderedPageBreak/>
        <w:t>The Delegate notes that “FDA category B applies to this product in the US. The category A in the</w:t>
      </w:r>
      <w:r w:rsidR="00AA64A0" w:rsidRPr="00AA64A0">
        <w:rPr>
          <w:i/>
        </w:rPr>
        <w:t xml:space="preserve"> </w:t>
      </w:r>
      <w:r w:rsidRPr="00AA64A0">
        <w:rPr>
          <w:i/>
        </w:rPr>
        <w:t>Pregnancy categories adopted in Australia is not necessarily equivalent to the B category in the</w:t>
      </w:r>
      <w:r w:rsidR="00AA64A0" w:rsidRPr="00AA64A0">
        <w:rPr>
          <w:i/>
        </w:rPr>
        <w:t xml:space="preserve"> </w:t>
      </w:r>
      <w:r w:rsidRPr="00AA64A0">
        <w:rPr>
          <w:i/>
        </w:rPr>
        <w:t>FDA Pregnancy categories.” Further to this the Delegate states that “the B3 category is considered</w:t>
      </w:r>
      <w:r w:rsidR="00AA64A0" w:rsidRPr="00AA64A0">
        <w:rPr>
          <w:i/>
        </w:rPr>
        <w:t xml:space="preserve"> </w:t>
      </w:r>
      <w:r w:rsidRPr="00AA64A0">
        <w:rPr>
          <w:i/>
        </w:rPr>
        <w:t>still applicable.”</w:t>
      </w:r>
    </w:p>
    <w:p w:rsidR="003823F9" w:rsidRPr="00AA64A0" w:rsidRDefault="003823F9" w:rsidP="00AA64A0">
      <w:pPr>
        <w:pStyle w:val="Numberbullet2"/>
      </w:pPr>
      <w:r w:rsidRPr="00AA64A0">
        <w:t xml:space="preserve">Outcomes from pre-clinical animal studies demonstrate that </w:t>
      </w:r>
      <w:r w:rsidR="005D2126">
        <w:t>detemir</w:t>
      </w:r>
      <w:r w:rsidRPr="00AA64A0">
        <w:t xml:space="preserve"> does not warrant the current</w:t>
      </w:r>
      <w:r w:rsidR="00AA64A0">
        <w:t xml:space="preserve"> </w:t>
      </w:r>
      <w:r w:rsidRPr="00AA64A0">
        <w:t>pregnancy category, B3</w:t>
      </w:r>
    </w:p>
    <w:p w:rsidR="003823F9" w:rsidRPr="00AA64A0" w:rsidRDefault="003823F9" w:rsidP="00A76EC3">
      <w:pPr>
        <w:ind w:left="720"/>
      </w:pPr>
      <w:r w:rsidRPr="00AA64A0">
        <w:t xml:space="preserve">On the basis of data from </w:t>
      </w:r>
      <w:r w:rsidR="000F4B83">
        <w:t>T</w:t>
      </w:r>
      <w:r w:rsidRPr="00AA64A0">
        <w:t xml:space="preserve">rial 1687, the FDA reclassified </w:t>
      </w:r>
      <w:r w:rsidR="005D2126">
        <w:t>detemir</w:t>
      </w:r>
      <w:r w:rsidRPr="00AA64A0">
        <w:t xml:space="preserve"> from pregnancy category C to B, which</w:t>
      </w:r>
      <w:r w:rsidR="00AA64A0">
        <w:t xml:space="preserve"> </w:t>
      </w:r>
      <w:r w:rsidRPr="00AA64A0">
        <w:t>is the same class as IAsp, insulin lispro and HI. FDA pregnancy category B takes into consideration</w:t>
      </w:r>
      <w:r w:rsidR="00AA64A0">
        <w:t xml:space="preserve"> </w:t>
      </w:r>
      <w:r w:rsidRPr="00AA64A0">
        <w:t>adverse outcomes observed in pre-clinical studies, specifically in that “animal reproduction studies have</w:t>
      </w:r>
      <w:r w:rsidR="00AA64A0">
        <w:t xml:space="preserve"> </w:t>
      </w:r>
      <w:r w:rsidRPr="00AA64A0">
        <w:t>failed to demonstrate a risk to the fetus”</w:t>
      </w:r>
      <w:r w:rsidR="001A51CF">
        <w:rPr>
          <w:rStyle w:val="FootnoteReference"/>
        </w:rPr>
        <w:footnoteReference w:id="14"/>
      </w:r>
      <w:r w:rsidRPr="00AA64A0">
        <w:t xml:space="preserve">. Nonclinical data submitted to TGA in the original </w:t>
      </w:r>
      <w:r w:rsidR="005D2126">
        <w:t>detemir</w:t>
      </w:r>
      <w:r w:rsidR="00A76EC3">
        <w:t xml:space="preserve"> </w:t>
      </w:r>
      <w:r w:rsidRPr="00AA64A0">
        <w:t xml:space="preserve">registration application demonstrated that </w:t>
      </w:r>
      <w:r w:rsidR="005D2126">
        <w:t>detemir</w:t>
      </w:r>
      <w:r w:rsidRPr="00AA64A0">
        <w:t xml:space="preserve"> and NPH, when given at </w:t>
      </w:r>
      <w:r w:rsidR="00A76EC3" w:rsidRPr="00AA64A0">
        <w:t>several fold</w:t>
      </w:r>
      <w:r w:rsidR="00A76EC3">
        <w:t xml:space="preserve"> </w:t>
      </w:r>
      <w:r w:rsidRPr="00AA64A0">
        <w:t>normal human exposure, had similar effects regarding embryotoxicity and teratogenicity. The</w:t>
      </w:r>
      <w:r w:rsidR="00A76EC3">
        <w:t xml:space="preserve"> </w:t>
      </w:r>
      <w:r w:rsidRPr="00AA64A0">
        <w:t>adverse outcomes observed were secondary to maternal hypoglycaemia and were NOT due to the direct</w:t>
      </w:r>
      <w:r w:rsidR="00A76EC3">
        <w:t xml:space="preserve"> </w:t>
      </w:r>
      <w:r w:rsidRPr="00AA64A0">
        <w:t xml:space="preserve">actions of the insulins. Based on these data, NN believes that </w:t>
      </w:r>
      <w:r w:rsidR="005D2126">
        <w:t>detemir</w:t>
      </w:r>
      <w:r w:rsidRPr="00AA64A0">
        <w:t xml:space="preserve"> does not warrant the current</w:t>
      </w:r>
      <w:r w:rsidR="00A76EC3">
        <w:t xml:space="preserve"> </w:t>
      </w:r>
      <w:r w:rsidRPr="00AA64A0">
        <w:t>Australian pregnancy category B3, which specifies that “studies in animals have shown evidence of an</w:t>
      </w:r>
      <w:r w:rsidR="00A76EC3">
        <w:t xml:space="preserve"> </w:t>
      </w:r>
      <w:r w:rsidRPr="00AA64A0">
        <w:t>increased occurrence of fetal damage, the significance of which is considered uncertain in humans”</w:t>
      </w:r>
      <w:r w:rsidR="00A76EC3">
        <w:rPr>
          <w:rStyle w:val="FootnoteReference"/>
        </w:rPr>
        <w:footnoteReference w:id="15"/>
      </w:r>
      <w:r w:rsidRPr="00AA64A0">
        <w:t>.</w:t>
      </w:r>
    </w:p>
    <w:p w:rsidR="003823F9" w:rsidRPr="00A76EC3" w:rsidRDefault="003823F9" w:rsidP="00AA64A0">
      <w:pPr>
        <w:pStyle w:val="Numberbullet0"/>
        <w:rPr>
          <w:i/>
        </w:rPr>
      </w:pPr>
      <w:r w:rsidRPr="00A76EC3">
        <w:rPr>
          <w:i/>
        </w:rPr>
        <w:t xml:space="preserve">With reference to </w:t>
      </w:r>
      <w:r w:rsidR="00A76EC3" w:rsidRPr="00A76EC3">
        <w:rPr>
          <w:i/>
        </w:rPr>
        <w:t>T</w:t>
      </w:r>
      <w:r w:rsidRPr="00A76EC3">
        <w:rPr>
          <w:i/>
        </w:rPr>
        <w:t>rial 1687, the Delegate comments that “The results support non-inferior efficacy</w:t>
      </w:r>
      <w:r w:rsidR="00A76EC3" w:rsidRPr="00A76EC3">
        <w:rPr>
          <w:i/>
        </w:rPr>
        <w:t xml:space="preserve"> </w:t>
      </w:r>
      <w:r w:rsidRPr="00A76EC3">
        <w:rPr>
          <w:i/>
        </w:rPr>
        <w:t>and comparable safety.</w:t>
      </w:r>
      <w:r w:rsidR="00A76EC3" w:rsidRPr="00A76EC3">
        <w:rPr>
          <w:i/>
        </w:rPr>
        <w:t>’</w:t>
      </w:r>
    </w:p>
    <w:p w:rsidR="003823F9" w:rsidRPr="00AA64A0" w:rsidRDefault="003823F9" w:rsidP="00AA64A0">
      <w:pPr>
        <w:pStyle w:val="Numberbullet2"/>
      </w:pPr>
      <w:r w:rsidRPr="00AA64A0">
        <w:t xml:space="preserve">Efficacy and Safety of </w:t>
      </w:r>
      <w:r w:rsidR="005D2126">
        <w:t>detemir</w:t>
      </w:r>
      <w:r w:rsidRPr="00AA64A0">
        <w:t xml:space="preserve"> use in pregnancy has been substantiated</w:t>
      </w:r>
      <w:r w:rsidR="000F4B83">
        <w:t xml:space="preserve"> in</w:t>
      </w:r>
      <w:r w:rsidR="00A76EC3">
        <w:t xml:space="preserve"> </w:t>
      </w:r>
      <w:r w:rsidRPr="00AA64A0">
        <w:t xml:space="preserve">Trial 1687, a large scale, </w:t>
      </w:r>
      <w:r w:rsidR="00A76EC3">
        <w:t>P</w:t>
      </w:r>
      <w:r w:rsidRPr="00AA64A0">
        <w:t xml:space="preserve">hase </w:t>
      </w:r>
      <w:r w:rsidR="00A76EC3">
        <w:t>III</w:t>
      </w:r>
      <w:r w:rsidRPr="00AA64A0">
        <w:t>, multinational clinical trial conducted at 79 trial sites in 17 countries,</w:t>
      </w:r>
      <w:r w:rsidR="00A76EC3">
        <w:t xml:space="preserve"> </w:t>
      </w:r>
      <w:r w:rsidRPr="00AA64A0">
        <w:t>including Australia, demonstrated important clinical benefits, including glycaemic control which has</w:t>
      </w:r>
      <w:r w:rsidR="00A76EC3">
        <w:t xml:space="preserve"> </w:t>
      </w:r>
      <w:r w:rsidRPr="00AA64A0">
        <w:t>implications for reducing fetal congenital abnormalities in pregnancies complicated by diabetes.</w:t>
      </w:r>
    </w:p>
    <w:p w:rsidR="00C01C42" w:rsidRPr="00C01C42" w:rsidRDefault="00C01C42" w:rsidP="009437B7">
      <w:pPr>
        <w:ind w:left="720"/>
      </w:pPr>
      <w:r w:rsidRPr="00C01C42">
        <w:t xml:space="preserve">Treatment with </w:t>
      </w:r>
      <w:r w:rsidR="005D2126">
        <w:t>detemir</w:t>
      </w:r>
      <w:r w:rsidRPr="00C01C42">
        <w:t xml:space="preserve"> was non-inferior to NPH, as demonstrated by HbA1c at 36 GWs. Statistically significantly lower fasting plasma glucose (FPG) at 24 and 36 GWs was seen with</w:t>
      </w:r>
      <w:r>
        <w:t xml:space="preserve"> </w:t>
      </w:r>
      <w:r w:rsidR="005D2126">
        <w:t>detemir</w:t>
      </w:r>
      <w:r w:rsidRPr="00C01C42">
        <w:t xml:space="preserve"> compared with NPH. Importantly, this was not associated with increased rates of hypoglycaemia</w:t>
      </w:r>
      <w:r>
        <w:t>. The TG</w:t>
      </w:r>
      <w:r w:rsidRPr="00C01C42">
        <w:t xml:space="preserve">A </w:t>
      </w:r>
      <w:r>
        <w:t>c</w:t>
      </w:r>
      <w:r w:rsidRPr="00C01C42">
        <w:t xml:space="preserve">linical </w:t>
      </w:r>
      <w:r>
        <w:t>e</w:t>
      </w:r>
      <w:r w:rsidRPr="00C01C42">
        <w:t>valuator and</w:t>
      </w:r>
      <w:r>
        <w:t xml:space="preserve"> </w:t>
      </w:r>
      <w:r w:rsidRPr="00C01C42">
        <w:t xml:space="preserve">Delegate accept that non-inferior efficacy and comparable safety were demonstrated for </w:t>
      </w:r>
      <w:r w:rsidR="005D2126">
        <w:t>detemir</w:t>
      </w:r>
      <w:r w:rsidRPr="00C01C42">
        <w:t>. The</w:t>
      </w:r>
      <w:r>
        <w:t xml:space="preserve"> c</w:t>
      </w:r>
      <w:r w:rsidRPr="00C01C42">
        <w:t xml:space="preserve">linical </w:t>
      </w:r>
      <w:r>
        <w:t>e</w:t>
      </w:r>
      <w:r w:rsidRPr="00C01C42">
        <w:t xml:space="preserve">valuator concludes that the benefit-risk balance of </w:t>
      </w:r>
      <w:r w:rsidR="005D2126">
        <w:t>detemir</w:t>
      </w:r>
      <w:r w:rsidRPr="00C01C42">
        <w:t xml:space="preserve"> for use in pregnancy is favourable and</w:t>
      </w:r>
      <w:r>
        <w:t xml:space="preserve"> </w:t>
      </w:r>
      <w:r w:rsidRPr="00C01C42">
        <w:t>endorses approval.</w:t>
      </w:r>
    </w:p>
    <w:p w:rsidR="00C01C42" w:rsidRPr="00C01C42" w:rsidRDefault="00C01C42" w:rsidP="00C01C42">
      <w:pPr>
        <w:pStyle w:val="Numberbullet0"/>
        <w:rPr>
          <w:i/>
        </w:rPr>
      </w:pPr>
      <w:r w:rsidRPr="00C01C42">
        <w:rPr>
          <w:i/>
        </w:rPr>
        <w:t>The Delegate observes that “Overall, the results were comparable between insulin detemir and NPH. The notable differences include pre-eclampsia (10.5% versus 7.0% for detemir and NPH respectively) and congenital malformations (major 3.5% versus 0.7%; minor 2.1% versus 4.8% for detemir and NPH respectively).”</w:t>
      </w:r>
    </w:p>
    <w:p w:rsidR="009437B7" w:rsidRDefault="00C01C42" w:rsidP="009437B7">
      <w:pPr>
        <w:pStyle w:val="Numberbullet2"/>
      </w:pPr>
      <w:r w:rsidRPr="00C01C42">
        <w:t>The inci</w:t>
      </w:r>
      <w:r>
        <w:t>dence of pre-eclampsia seen in T</w:t>
      </w:r>
      <w:r w:rsidRPr="00C01C42">
        <w:t>rial 1687 was within expected rates for pregnancy</w:t>
      </w:r>
      <w:r>
        <w:t xml:space="preserve"> </w:t>
      </w:r>
      <w:r w:rsidRPr="00C01C42">
        <w:t>complicated by diabetes.</w:t>
      </w:r>
      <w:r>
        <w:t xml:space="preserve"> </w:t>
      </w:r>
    </w:p>
    <w:p w:rsidR="00C01C42" w:rsidRPr="00C01C42" w:rsidRDefault="00C01C42" w:rsidP="009437B7">
      <w:pPr>
        <w:ind w:left="720"/>
      </w:pPr>
      <w:r w:rsidRPr="00C01C42">
        <w:t>A numerical difference was observed between the treatment groups in the incidence of pre-eclampsia in</w:t>
      </w:r>
      <w:r>
        <w:t xml:space="preserve"> T</w:t>
      </w:r>
      <w:r w:rsidRPr="00C01C42">
        <w:t>rial 1687 (</w:t>
      </w:r>
      <w:r w:rsidR="005D2126">
        <w:t>detemir</w:t>
      </w:r>
      <w:r w:rsidRPr="00C01C42">
        <w:t xml:space="preserve"> N=16 (10.5%); NPH N=11 (7.0%))</w:t>
      </w:r>
      <w:r>
        <w:t>.</w:t>
      </w:r>
      <w:r w:rsidRPr="00C01C42">
        <w:t xml:space="preserve"> The</w:t>
      </w:r>
      <w:r>
        <w:t xml:space="preserve"> </w:t>
      </w:r>
      <w:r w:rsidRPr="00C01C42">
        <w:t>difference between the treatment groups was NOT statistically significant and the incidence was within</w:t>
      </w:r>
      <w:r>
        <w:t xml:space="preserve"> </w:t>
      </w:r>
      <w:r w:rsidRPr="00C01C42">
        <w:t xml:space="preserve">expected rates for pregnancy complicated by diabetes. </w:t>
      </w:r>
      <w:r>
        <w:t>Eight</w:t>
      </w:r>
      <w:r w:rsidRPr="00C01C42">
        <w:t xml:space="preserve"> events of pre-eclampsia in the </w:t>
      </w:r>
      <w:r w:rsidR="005D2126">
        <w:t>detemir</w:t>
      </w:r>
      <w:r w:rsidRPr="00C01C42">
        <w:t xml:space="preserve"> group and </w:t>
      </w:r>
      <w:r>
        <w:t xml:space="preserve">one </w:t>
      </w:r>
      <w:r w:rsidRPr="00C01C42">
        <w:t>in the NPH group were SAEs. For all pre-eclampsia SAEs, the seriousness</w:t>
      </w:r>
      <w:r>
        <w:t xml:space="preserve"> </w:t>
      </w:r>
      <w:r w:rsidRPr="00C01C42">
        <w:t xml:space="preserve">criterion was </w:t>
      </w:r>
      <w:r w:rsidRPr="00C01C42">
        <w:lastRenderedPageBreak/>
        <w:t xml:space="preserve">hospitalisation. In </w:t>
      </w:r>
      <w:r>
        <w:t>eight</w:t>
      </w:r>
      <w:r w:rsidRPr="00C01C42">
        <w:t xml:space="preserve"> cases caesarean sections were performed and one woman had a</w:t>
      </w:r>
      <w:r>
        <w:t xml:space="preserve"> </w:t>
      </w:r>
      <w:r w:rsidRPr="00C01C42">
        <w:t xml:space="preserve">vaginal induced delivery. In all </w:t>
      </w:r>
      <w:r>
        <w:t>nine</w:t>
      </w:r>
      <w:r w:rsidRPr="00C01C42">
        <w:t xml:space="preserve"> SAE cases the women had live-born healthy infants. All events were considered unlikely related to trial treatment. No</w:t>
      </w:r>
      <w:r>
        <w:t xml:space="preserve"> </w:t>
      </w:r>
      <w:r w:rsidRPr="00C01C42">
        <w:t>plausible causality can be established due to the multiple underlying possible causes involved in the</w:t>
      </w:r>
      <w:r>
        <w:t xml:space="preserve"> </w:t>
      </w:r>
      <w:r w:rsidRPr="00C01C42">
        <w:t xml:space="preserve">development of pre-eclampsia. In addition, </w:t>
      </w:r>
      <w:r w:rsidR="005D2126">
        <w:t>detemir</w:t>
      </w:r>
      <w:r w:rsidRPr="00C01C42">
        <w:t xml:space="preserve"> and NPH share the same mechanism of action, they are</w:t>
      </w:r>
      <w:r>
        <w:t xml:space="preserve"> </w:t>
      </w:r>
      <w:r w:rsidRPr="00C01C42">
        <w:t>both used as treatment for improvement of glycaemic control, and the efficacy results demonstrated that</w:t>
      </w:r>
      <w:r>
        <w:t xml:space="preserve"> </w:t>
      </w:r>
      <w:r w:rsidR="005D2126">
        <w:t>detemir</w:t>
      </w:r>
      <w:r w:rsidRPr="00C01C42">
        <w:t xml:space="preserve"> was non-inferior to NPH with respect to HbA1c. The OPR Evaluator acknowledges that the events</w:t>
      </w:r>
      <w:r w:rsidR="009437B7">
        <w:t xml:space="preserve"> </w:t>
      </w:r>
      <w:r w:rsidRPr="00C01C42">
        <w:t xml:space="preserve">of pre-eclampsia seen in </w:t>
      </w:r>
      <w:r w:rsidR="009437B7">
        <w:t>T</w:t>
      </w:r>
      <w:r w:rsidRPr="00C01C42">
        <w:t>rial 1687 “seem unrelated to the use of Levemir”</w:t>
      </w:r>
      <w:r w:rsidR="009437B7">
        <w:t xml:space="preserve">. </w:t>
      </w:r>
      <w:r w:rsidRPr="00C01C42">
        <w:t xml:space="preserve">Furthermore, no questions were raised by the </w:t>
      </w:r>
      <w:r w:rsidR="009437B7">
        <w:t>c</w:t>
      </w:r>
      <w:r w:rsidRPr="00C01C42">
        <w:t xml:space="preserve">linical </w:t>
      </w:r>
      <w:r w:rsidR="009437B7">
        <w:t>e</w:t>
      </w:r>
      <w:r w:rsidRPr="00C01C42">
        <w:t>valuator on this</w:t>
      </w:r>
      <w:r w:rsidR="009437B7">
        <w:t xml:space="preserve"> </w:t>
      </w:r>
      <w:r w:rsidRPr="00C01C42">
        <w:t xml:space="preserve">matter. At the OPR </w:t>
      </w:r>
      <w:r w:rsidR="000F4B83">
        <w:t>e</w:t>
      </w:r>
      <w:r w:rsidRPr="00C01C42">
        <w:t>valuator’s request, NN agreed to include a precautionary statement regarding the</w:t>
      </w:r>
      <w:r w:rsidR="009437B7">
        <w:t xml:space="preserve"> </w:t>
      </w:r>
      <w:r w:rsidRPr="00C01C42">
        <w:t xml:space="preserve">incidence of pre-eclampsia in the </w:t>
      </w:r>
      <w:r w:rsidR="005D2126">
        <w:t>detemir</w:t>
      </w:r>
      <w:r w:rsidRPr="00C01C42">
        <w:t xml:space="preserve"> P</w:t>
      </w:r>
      <w:r w:rsidR="000F4B83">
        <w:t>I</w:t>
      </w:r>
      <w:r w:rsidRPr="00C01C42">
        <w:t>.</w:t>
      </w:r>
    </w:p>
    <w:p w:rsidR="00C01C42" w:rsidRPr="00C01C42" w:rsidRDefault="00C01C42" w:rsidP="009437B7">
      <w:pPr>
        <w:ind w:left="720"/>
      </w:pPr>
      <w:r w:rsidRPr="00C01C42">
        <w:t xml:space="preserve">In conclusion, the incidences of pre-eclampsia observed in the </w:t>
      </w:r>
      <w:r w:rsidR="005D2126">
        <w:t>detemir</w:t>
      </w:r>
      <w:r w:rsidRPr="00C01C42">
        <w:t xml:space="preserve"> and NPH treatment groups were</w:t>
      </w:r>
      <w:r w:rsidR="009437B7">
        <w:t xml:space="preserve"> </w:t>
      </w:r>
      <w:r w:rsidRPr="00C01C42">
        <w:t>within expected rates for pregnancy complicated by diabetes. NN considers that the numerical but nonstatistically</w:t>
      </w:r>
      <w:r w:rsidR="009437B7">
        <w:t xml:space="preserve"> </w:t>
      </w:r>
      <w:r w:rsidRPr="00C01C42">
        <w:t>significant difference in incidence of pre-eclampsia does not indicate an increased risk of</w:t>
      </w:r>
      <w:r w:rsidR="009437B7">
        <w:t xml:space="preserve"> </w:t>
      </w:r>
      <w:r w:rsidRPr="00C01C42">
        <w:t xml:space="preserve">pre-eclampsia associated with the use of </w:t>
      </w:r>
      <w:r w:rsidR="005D2126">
        <w:t>detemir</w:t>
      </w:r>
      <w:r w:rsidRPr="00C01C42">
        <w:t xml:space="preserve"> during pregnancy compared to NPH.</w:t>
      </w:r>
    </w:p>
    <w:p w:rsidR="00C01C42" w:rsidRPr="009437B7" w:rsidRDefault="00C01C42" w:rsidP="009437B7">
      <w:pPr>
        <w:pStyle w:val="Numberbullet2"/>
        <w:rPr>
          <w:i/>
        </w:rPr>
      </w:pPr>
      <w:r w:rsidRPr="009437B7">
        <w:rPr>
          <w:i/>
        </w:rPr>
        <w:t xml:space="preserve">The frequencies of malformations seen in the </w:t>
      </w:r>
      <w:r w:rsidR="005D2126">
        <w:rPr>
          <w:i/>
        </w:rPr>
        <w:t>detemir</w:t>
      </w:r>
      <w:r w:rsidRPr="009437B7">
        <w:rPr>
          <w:i/>
        </w:rPr>
        <w:t xml:space="preserve"> and the NPH groups in </w:t>
      </w:r>
      <w:r w:rsidR="009437B7" w:rsidRPr="009437B7">
        <w:rPr>
          <w:i/>
        </w:rPr>
        <w:t>T</w:t>
      </w:r>
      <w:r w:rsidRPr="009437B7">
        <w:rPr>
          <w:i/>
        </w:rPr>
        <w:t>rial 1687 were</w:t>
      </w:r>
      <w:r w:rsidR="009437B7" w:rsidRPr="009437B7">
        <w:rPr>
          <w:i/>
        </w:rPr>
        <w:t xml:space="preserve"> </w:t>
      </w:r>
      <w:r w:rsidRPr="009437B7">
        <w:rPr>
          <w:i/>
        </w:rPr>
        <w:t>similar, and were consistent with the known patterns of malformations in infants of diabetic</w:t>
      </w:r>
      <w:r w:rsidR="009437B7" w:rsidRPr="009437B7">
        <w:rPr>
          <w:i/>
        </w:rPr>
        <w:t xml:space="preserve"> </w:t>
      </w:r>
      <w:r w:rsidRPr="009437B7">
        <w:rPr>
          <w:i/>
        </w:rPr>
        <w:t>mothers.</w:t>
      </w:r>
    </w:p>
    <w:p w:rsidR="00895A62" w:rsidRPr="00895A62" w:rsidRDefault="00C01C42" w:rsidP="00895A62">
      <w:pPr>
        <w:ind w:left="720"/>
      </w:pPr>
      <w:r w:rsidRPr="00895A62">
        <w:t>Congenital malformations were classified and evaluated by randomised treatment and by treatment</w:t>
      </w:r>
      <w:r w:rsidR="00895A62" w:rsidRPr="00895A62">
        <w:t xml:space="preserve"> </w:t>
      </w:r>
      <w:r w:rsidRPr="00895A62">
        <w:t>received during organogenesis, in order to assess treatment causality. Most subjects were treated with</w:t>
      </w:r>
      <w:r w:rsidR="00895A62">
        <w:t xml:space="preserve"> </w:t>
      </w:r>
      <w:r w:rsidR="005D2126">
        <w:t>detemir</w:t>
      </w:r>
      <w:r w:rsidRPr="00895A62">
        <w:t xml:space="preserve"> or NPH during organogenesis. A number of subjects were treated with insulin glargine or ‘other’</w:t>
      </w:r>
      <w:r w:rsidR="00895A62">
        <w:t xml:space="preserve"> </w:t>
      </w:r>
      <w:r w:rsidRPr="00895A62">
        <w:t>insulin during organogenesis.</w:t>
      </w:r>
      <w:r w:rsidR="00895A62">
        <w:t xml:space="preserve"> </w:t>
      </w:r>
      <w:r w:rsidRPr="00895A62">
        <w:t>By randomised treatment in the primary analysis, among subjects who gave birth or terminated their</w:t>
      </w:r>
      <w:r w:rsidR="00895A62">
        <w:t xml:space="preserve"> </w:t>
      </w:r>
      <w:r w:rsidRPr="00895A62">
        <w:t>pregnancy during the trial, a total of 16 children were recorded as having one or more malformations</w:t>
      </w:r>
      <w:r w:rsidR="00895A62" w:rsidRPr="00895A62">
        <w:t xml:space="preserve"> (</w:t>
      </w:r>
      <w:r w:rsidR="005D2126">
        <w:t>detemir</w:t>
      </w:r>
      <w:r w:rsidR="00895A62" w:rsidRPr="00895A62">
        <w:t>: 5.6% (N=8); NPH: 5.5% (N=8)). Of these, 10 children had minor malformations (</w:t>
      </w:r>
      <w:r w:rsidR="005D2126">
        <w:t>detemir</w:t>
      </w:r>
      <w:r w:rsidR="00895A62" w:rsidRPr="00895A62">
        <w:t>: 2.1%</w:t>
      </w:r>
      <w:r w:rsidR="00895A62">
        <w:t xml:space="preserve"> </w:t>
      </w:r>
      <w:r w:rsidR="00895A62" w:rsidRPr="00895A62">
        <w:t xml:space="preserve">(N=3); NPH: 4.8% (N=7)) and </w:t>
      </w:r>
      <w:r w:rsidR="00895A62">
        <w:t>six</w:t>
      </w:r>
      <w:r w:rsidR="00895A62" w:rsidRPr="00895A62">
        <w:t xml:space="preserve"> children had major malformations (</w:t>
      </w:r>
      <w:r w:rsidR="005D2126">
        <w:t>detemir</w:t>
      </w:r>
      <w:r w:rsidR="00895A62" w:rsidRPr="00895A62">
        <w:t>: 3.5% (N=5); NPH: 0.7%</w:t>
      </w:r>
      <w:r w:rsidR="00895A62">
        <w:t xml:space="preserve"> </w:t>
      </w:r>
      <w:r w:rsidR="00895A62" w:rsidRPr="00895A62">
        <w:t>(N=1)). The overall frequency of malformations by treatment during organogenesis, was 4.8% (N=4)</w:t>
      </w:r>
      <w:r w:rsidR="00895A62">
        <w:t xml:space="preserve"> </w:t>
      </w:r>
      <w:r w:rsidR="00895A62" w:rsidRPr="00895A62">
        <w:t xml:space="preserve">and 7.1% (N=11) for subjects treated with </w:t>
      </w:r>
      <w:r w:rsidR="005D2126">
        <w:t>detemir</w:t>
      </w:r>
      <w:r w:rsidR="00895A62" w:rsidRPr="00895A62">
        <w:t xml:space="preserve"> and NPH, respectively. The frequency of minor</w:t>
      </w:r>
      <w:r w:rsidR="00895A62">
        <w:t xml:space="preserve"> </w:t>
      </w:r>
      <w:r w:rsidR="00895A62" w:rsidRPr="00895A62">
        <w:t xml:space="preserve">malformations was 1.2% (N=1) and 5.2% (N=8) for subjects treated with </w:t>
      </w:r>
      <w:r w:rsidR="005D2126">
        <w:t>detemir</w:t>
      </w:r>
      <w:r w:rsidR="00895A62" w:rsidRPr="00895A62">
        <w:t xml:space="preserve"> and NPH, respectively.</w:t>
      </w:r>
      <w:r w:rsidR="00895A62">
        <w:t xml:space="preserve"> </w:t>
      </w:r>
      <w:r w:rsidR="00895A62" w:rsidRPr="00895A62">
        <w:t xml:space="preserve">The frequency of major malformations was 3.6% (N=3) and 1.9% (N=3) for subjects treated with </w:t>
      </w:r>
      <w:r w:rsidR="005D2126">
        <w:t>detemir</w:t>
      </w:r>
      <w:r w:rsidR="00895A62">
        <w:t xml:space="preserve"> </w:t>
      </w:r>
      <w:r w:rsidR="00895A62" w:rsidRPr="00895A62">
        <w:t>and NPH, respectively. No malformations were associated with abortions (spontaneous or induced) or</w:t>
      </w:r>
      <w:r w:rsidR="00895A62">
        <w:t xml:space="preserve"> </w:t>
      </w:r>
      <w:r w:rsidR="00895A62" w:rsidRPr="00895A62">
        <w:t xml:space="preserve">ectopic pregnancies. </w:t>
      </w:r>
      <w:r w:rsidR="00895A62">
        <w:t xml:space="preserve">One </w:t>
      </w:r>
      <w:r w:rsidR="00895A62" w:rsidRPr="00895A62">
        <w:t>malformation was fatal; it concerned a case of ‘pulmonary hypoplasia’ in a child</w:t>
      </w:r>
      <w:r w:rsidR="00895A62">
        <w:t xml:space="preserve"> </w:t>
      </w:r>
      <w:r w:rsidR="00895A62" w:rsidRPr="00895A62">
        <w:t>who also had ‘Dandy-Walker syndrome’. The mother was pregnant at randomisation and was treated</w:t>
      </w:r>
      <w:r w:rsidR="00895A62">
        <w:t xml:space="preserve"> </w:t>
      </w:r>
      <w:r w:rsidR="00895A62" w:rsidRPr="00895A62">
        <w:t>with NPH during organogenesis and the death was recorded as a perinatal death. Among the 25 subjects</w:t>
      </w:r>
      <w:r w:rsidR="00895A62">
        <w:t xml:space="preserve"> who were exposed to trial treatment who were withdrawn from the trial while pregnant, only one</w:t>
      </w:r>
      <w:r w:rsidR="00895A62" w:rsidRPr="00895A62">
        <w:t xml:space="preserve"> major</w:t>
      </w:r>
      <w:r w:rsidR="00895A62">
        <w:t xml:space="preserve"> </w:t>
      </w:r>
      <w:r w:rsidR="00895A62" w:rsidRPr="00895A62">
        <w:t>malformation was reported (in the NPH group); this was a pelvic kidney, diagnosed after the mother</w:t>
      </w:r>
      <w:r w:rsidR="00895A62">
        <w:t xml:space="preserve"> </w:t>
      </w:r>
      <w:r w:rsidR="00895A62" w:rsidRPr="00895A62">
        <w:t>was withdrawn due to HbA1c &gt; 8.0% at confirmation of pregnancy.</w:t>
      </w:r>
    </w:p>
    <w:p w:rsidR="003823F9" w:rsidRDefault="00895A62" w:rsidP="007873EC">
      <w:pPr>
        <w:ind w:left="720"/>
      </w:pPr>
      <w:r w:rsidRPr="00895A62">
        <w:t>Secondary to the initial evaluation, cases of malformations based on the subgroup of subjects who</w:t>
      </w:r>
      <w:r>
        <w:t xml:space="preserve"> </w:t>
      </w:r>
      <w:r w:rsidRPr="00895A62">
        <w:t xml:space="preserve">became pregnant after randomisation to </w:t>
      </w:r>
      <w:r w:rsidR="005D2126">
        <w:t>detemir</w:t>
      </w:r>
      <w:r w:rsidRPr="00895A62">
        <w:t xml:space="preserve"> and NPH were evaluated and reclassified (post-hoc) by an</w:t>
      </w:r>
      <w:r>
        <w:t xml:space="preserve"> </w:t>
      </w:r>
      <w:r w:rsidRPr="00895A62">
        <w:t xml:space="preserve">independent specialist. This data, </w:t>
      </w:r>
      <w:r w:rsidRPr="00895A62">
        <w:lastRenderedPageBreak/>
        <w:t xml:space="preserve">published by Hod M </w:t>
      </w:r>
      <w:r w:rsidRPr="000F4B83">
        <w:rPr>
          <w:i/>
        </w:rPr>
        <w:t>et al</w:t>
      </w:r>
      <w:r w:rsidRPr="00895A62">
        <w:t>, 2013</w:t>
      </w:r>
      <w:r>
        <w:rPr>
          <w:rStyle w:val="FootnoteReference"/>
        </w:rPr>
        <w:footnoteReference w:id="16"/>
      </w:r>
      <w:r w:rsidRPr="00895A62">
        <w:t>, are referenced by the Delegate. According to the post-hoc evaluation, the risk of major malformations was higher for subjects treated</w:t>
      </w:r>
      <w:r w:rsidR="007873EC">
        <w:t xml:space="preserve"> </w:t>
      </w:r>
      <w:r w:rsidRPr="00895A62">
        <w:t xml:space="preserve">with NPH (3.9%) than for subjects treated with </w:t>
      </w:r>
      <w:r w:rsidR="005D2126">
        <w:t>detemir</w:t>
      </w:r>
      <w:r w:rsidRPr="00895A62">
        <w:t xml:space="preserve"> (2.4</w:t>
      </w:r>
      <w:r w:rsidR="007873EC">
        <w:t xml:space="preserve">%) during organogenesis (Table </w:t>
      </w:r>
      <w:r w:rsidR="000F4B83">
        <w:t>1</w:t>
      </w:r>
      <w:r w:rsidR="005A6C42">
        <w:t>2</w:t>
      </w:r>
      <w:r w:rsidRPr="00895A62">
        <w:t>). There were</w:t>
      </w:r>
      <w:r w:rsidR="007873EC">
        <w:t xml:space="preserve"> </w:t>
      </w:r>
      <w:r w:rsidRPr="00895A62">
        <w:t>some differences between the primary and post-hoc classifications, overall however, the evaluations</w:t>
      </w:r>
      <w:r w:rsidR="007873EC">
        <w:t xml:space="preserve"> </w:t>
      </w:r>
      <w:r w:rsidRPr="00895A62">
        <w:t>showed a similar frequency of malformations in both treatment groups.</w:t>
      </w:r>
    </w:p>
    <w:p w:rsidR="00673FB8" w:rsidRDefault="00673FB8" w:rsidP="005A6C42">
      <w:pPr>
        <w:pStyle w:val="TableTitle"/>
        <w:keepLines/>
      </w:pPr>
      <w:r>
        <w:t xml:space="preserve">Table </w:t>
      </w:r>
      <w:r w:rsidR="000F4B83">
        <w:t>1</w:t>
      </w:r>
      <w:r w:rsidR="005A6C42">
        <w:t>2:</w:t>
      </w:r>
      <w:r>
        <w:t xml:space="preserve"> Summary of congenital malformations by randomised treatment and treatment during organogenesis</w:t>
      </w:r>
      <w:r w:rsidR="000F4B83">
        <w:t xml:space="preserve"> for children delivered during T</w:t>
      </w:r>
      <w:r>
        <w:t>rial 1687</w:t>
      </w:r>
    </w:p>
    <w:p w:rsidR="00673FB8" w:rsidRPr="00895A62" w:rsidRDefault="00673FB8" w:rsidP="005A6C42">
      <w:pPr>
        <w:keepNext/>
        <w:keepLines/>
      </w:pPr>
      <w:r>
        <w:rPr>
          <w:noProof/>
          <w:lang w:eastAsia="en-AU"/>
        </w:rPr>
        <w:drawing>
          <wp:inline distT="0" distB="0" distL="0" distR="0" wp14:anchorId="21B34C27" wp14:editId="767D32BB">
            <wp:extent cx="5399433" cy="2305050"/>
            <wp:effectExtent l="19050" t="0" r="0" b="0"/>
            <wp:docPr id="2" name="Picture 2" descr="Table 12: Summary of congenital malformations by randomised treatment and treatment during organogenesis for children delivered during Trial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305309"/>
                    </a:xfrm>
                    <a:prstGeom prst="rect">
                      <a:avLst/>
                    </a:prstGeom>
                    <a:noFill/>
                    <a:ln>
                      <a:noFill/>
                    </a:ln>
                  </pic:spPr>
                </pic:pic>
              </a:graphicData>
            </a:graphic>
          </wp:inline>
        </w:drawing>
      </w:r>
    </w:p>
    <w:p w:rsidR="00673FB8" w:rsidRPr="00673FB8" w:rsidRDefault="00673FB8" w:rsidP="00673FB8">
      <w:r w:rsidRPr="00673FB8">
        <w:t xml:space="preserve">T1DM and T2DM during pregnancy are associated with a </w:t>
      </w:r>
      <w:r>
        <w:t>two to five f</w:t>
      </w:r>
      <w:r w:rsidRPr="00673FB8">
        <w:t>old increase in congenital anomalies</w:t>
      </w:r>
      <w:r>
        <w:t xml:space="preserve"> </w:t>
      </w:r>
      <w:r w:rsidRPr="00673FB8">
        <w:t>compared to the general population</w:t>
      </w:r>
      <w:r>
        <w:rPr>
          <w:rStyle w:val="FootnoteReference"/>
        </w:rPr>
        <w:footnoteReference w:id="17"/>
      </w:r>
      <w:r w:rsidRPr="00673FB8">
        <w:t xml:space="preserve">. The types of malformations reported in </w:t>
      </w:r>
      <w:r w:rsidR="000F4B83">
        <w:t>T</w:t>
      </w:r>
      <w:r w:rsidRPr="00673FB8">
        <w:t>rial 1687 reflect those</w:t>
      </w:r>
      <w:r>
        <w:t xml:space="preserve"> </w:t>
      </w:r>
      <w:r w:rsidRPr="00673FB8">
        <w:t>previously observed in the diabetic population, and also in the general population</w:t>
      </w:r>
      <w:r>
        <w:rPr>
          <w:rStyle w:val="FootnoteReference"/>
        </w:rPr>
        <w:footnoteReference w:id="18"/>
      </w:r>
      <w:r w:rsidRPr="00673FB8">
        <w:t>. There were few</w:t>
      </w:r>
      <w:r>
        <w:t xml:space="preserve"> </w:t>
      </w:r>
      <w:r w:rsidRPr="00673FB8">
        <w:t xml:space="preserve">major malformations in </w:t>
      </w:r>
      <w:r>
        <w:t>T</w:t>
      </w:r>
      <w:r w:rsidRPr="00673FB8">
        <w:t>rial 1687 and the incidence based on treatment during organogenesis was</w:t>
      </w:r>
      <w:r>
        <w:t xml:space="preserve"> </w:t>
      </w:r>
      <w:r w:rsidRPr="00673FB8">
        <w:t>within the reported incidence for the background population of pregnant women with diabetes for both</w:t>
      </w:r>
      <w:r>
        <w:t xml:space="preserve"> </w:t>
      </w:r>
      <w:r w:rsidR="005D2126">
        <w:t>detemir</w:t>
      </w:r>
      <w:r w:rsidRPr="00673FB8">
        <w:t xml:space="preserve"> and NPH. Furthermore, the malformations were not clustered to specific organ systems which</w:t>
      </w:r>
      <w:r>
        <w:t xml:space="preserve"> </w:t>
      </w:r>
      <w:r w:rsidRPr="00673FB8">
        <w:t>could be indicative of a drug-induced teratogenic effect. Therefore, NN does not consider the</w:t>
      </w:r>
      <w:r>
        <w:t xml:space="preserve"> </w:t>
      </w:r>
      <w:r w:rsidRPr="00673FB8">
        <w:t>incidence</w:t>
      </w:r>
      <w:r>
        <w:t xml:space="preserve"> </w:t>
      </w:r>
      <w:r w:rsidRPr="00673FB8">
        <w:t xml:space="preserve">of malformations in </w:t>
      </w:r>
      <w:r>
        <w:t>T</w:t>
      </w:r>
      <w:r w:rsidRPr="00673FB8">
        <w:t xml:space="preserve">rial 1687 to indicate an increased risk associated with the use of </w:t>
      </w:r>
      <w:r w:rsidR="005D2126">
        <w:t>detemir</w:t>
      </w:r>
      <w:r w:rsidRPr="00673FB8">
        <w:t xml:space="preserve"> during</w:t>
      </w:r>
      <w:r>
        <w:t xml:space="preserve"> </w:t>
      </w:r>
      <w:r w:rsidR="000F4B83">
        <w:t>pregnancy compared to NPH. The c</w:t>
      </w:r>
      <w:r w:rsidRPr="00673FB8">
        <w:t xml:space="preserve">linical </w:t>
      </w:r>
      <w:r w:rsidR="000F4B83">
        <w:t>e</w:t>
      </w:r>
      <w:r w:rsidRPr="00673FB8">
        <w:t>valuator concluded that the “rates and patterns of</w:t>
      </w:r>
      <w:r>
        <w:t xml:space="preserve"> </w:t>
      </w:r>
      <w:r w:rsidRPr="00673FB8">
        <w:t>congenital malformations for both populations were consistent with the known patterns of</w:t>
      </w:r>
      <w:r>
        <w:t xml:space="preserve"> </w:t>
      </w:r>
      <w:r w:rsidRPr="00673FB8">
        <w:t xml:space="preserve">malformations </w:t>
      </w:r>
      <w:r>
        <w:t>in infants of diabetic mothers”</w:t>
      </w:r>
      <w:r w:rsidRPr="00673FB8">
        <w:t>.</w:t>
      </w:r>
    </w:p>
    <w:p w:rsidR="008E7846" w:rsidRDefault="008E7846" w:rsidP="005C1D9B">
      <w:pPr>
        <w:pStyle w:val="Heading3"/>
      </w:pPr>
      <w:bookmarkStart w:id="198" w:name="_Toc383771060"/>
      <w:r>
        <w:t>Advisory Committee Considerations</w:t>
      </w:r>
      <w:bookmarkEnd w:id="198"/>
    </w:p>
    <w:p w:rsidR="008E7846" w:rsidRDefault="008E7846" w:rsidP="00EB45F4">
      <w:r>
        <w:t>The Advisory Committee on Prescription Medicines</w:t>
      </w:r>
      <w:r w:rsidR="00C26A70">
        <w:t xml:space="preserve"> (ACPM)</w:t>
      </w:r>
      <w:r>
        <w:t>, having considered the evaluations and the Delegate’s overview,</w:t>
      </w:r>
      <w:r w:rsidRPr="001C5DFC">
        <w:t xml:space="preserve"> </w:t>
      </w:r>
      <w:r>
        <w:t>as well as the sponsor’s response to these documents, advised the following:</w:t>
      </w:r>
    </w:p>
    <w:p w:rsidR="00744764" w:rsidRPr="00744764" w:rsidRDefault="00744764" w:rsidP="00EB45F4">
      <w:pPr>
        <w:rPr>
          <w:b/>
          <w:lang w:val="en-GB" w:eastAsia="ja-JP"/>
        </w:rPr>
      </w:pPr>
      <w:r w:rsidRPr="00744764">
        <w:rPr>
          <w:lang w:val="en-GB" w:eastAsia="ja-JP"/>
        </w:rPr>
        <w:t xml:space="preserve">The ACPM, taking into account the submitted evidence of efficacy, safety and quality, considered </w:t>
      </w:r>
      <w:r w:rsidRPr="00744764">
        <w:rPr>
          <w:bCs/>
          <w:lang w:val="en-GB" w:eastAsia="ja-JP"/>
        </w:rPr>
        <w:t>L</w:t>
      </w:r>
      <w:r w:rsidR="00110C52">
        <w:rPr>
          <w:bCs/>
          <w:lang w:val="en-GB" w:eastAsia="ja-JP"/>
        </w:rPr>
        <w:t>evemir</w:t>
      </w:r>
      <w:r w:rsidRPr="00744764">
        <w:rPr>
          <w:bCs/>
          <w:lang w:val="en-GB" w:eastAsia="ja-JP"/>
        </w:rPr>
        <w:t xml:space="preserve"> F</w:t>
      </w:r>
      <w:r w:rsidR="00110C52">
        <w:rPr>
          <w:bCs/>
          <w:lang w:val="en-GB" w:eastAsia="ja-JP"/>
        </w:rPr>
        <w:t>lexpen</w:t>
      </w:r>
      <w:r w:rsidRPr="00744764">
        <w:rPr>
          <w:bCs/>
          <w:lang w:val="en-GB" w:eastAsia="ja-JP"/>
        </w:rPr>
        <w:t xml:space="preserve"> / L</w:t>
      </w:r>
      <w:r w:rsidR="00110C52">
        <w:rPr>
          <w:bCs/>
          <w:lang w:val="en-GB" w:eastAsia="ja-JP"/>
        </w:rPr>
        <w:t>evemir</w:t>
      </w:r>
      <w:r w:rsidRPr="00744764">
        <w:rPr>
          <w:bCs/>
          <w:lang w:val="en-GB" w:eastAsia="ja-JP"/>
        </w:rPr>
        <w:t xml:space="preserve"> P</w:t>
      </w:r>
      <w:r w:rsidR="00110C52">
        <w:rPr>
          <w:bCs/>
          <w:lang w:val="en-GB" w:eastAsia="ja-JP"/>
        </w:rPr>
        <w:t>enfill</w:t>
      </w:r>
      <w:r w:rsidRPr="00744764">
        <w:rPr>
          <w:bCs/>
          <w:lang w:val="en-GB" w:eastAsia="ja-JP"/>
        </w:rPr>
        <w:t xml:space="preserve"> / L</w:t>
      </w:r>
      <w:r w:rsidR="00110C52">
        <w:rPr>
          <w:bCs/>
          <w:lang w:val="en-GB" w:eastAsia="ja-JP"/>
        </w:rPr>
        <w:t>evemir</w:t>
      </w:r>
      <w:r w:rsidRPr="00744764">
        <w:rPr>
          <w:bCs/>
          <w:lang w:val="en-GB" w:eastAsia="ja-JP"/>
        </w:rPr>
        <w:t xml:space="preserve"> I</w:t>
      </w:r>
      <w:r w:rsidR="00110C52">
        <w:rPr>
          <w:bCs/>
          <w:lang w:val="en-GB" w:eastAsia="ja-JP"/>
        </w:rPr>
        <w:t>nnolet</w:t>
      </w:r>
      <w:r w:rsidRPr="00744764">
        <w:rPr>
          <w:lang w:val="en-GB" w:eastAsia="ja-JP"/>
        </w:rPr>
        <w:t xml:space="preserve"> </w:t>
      </w:r>
      <w:r w:rsidRPr="00744764">
        <w:rPr>
          <w:bCs/>
          <w:lang w:val="en-GB" w:eastAsia="ja-JP"/>
        </w:rPr>
        <w:t>solution for injection containing 100 U/mL of insulin detemir (rys)</w:t>
      </w:r>
      <w:r w:rsidRPr="00744764">
        <w:rPr>
          <w:b/>
          <w:bCs/>
          <w:lang w:val="en-GB" w:eastAsia="ja-JP"/>
        </w:rPr>
        <w:t xml:space="preserve"> </w:t>
      </w:r>
      <w:r w:rsidRPr="00744764">
        <w:rPr>
          <w:lang w:val="en-GB" w:eastAsia="ja-JP"/>
        </w:rPr>
        <w:t>to have an overall positive benefit–risk profile for the proposed Pregnancy Category A</w:t>
      </w:r>
      <w:r w:rsidRPr="00744764">
        <w:rPr>
          <w:b/>
          <w:lang w:val="en-GB" w:eastAsia="ja-JP"/>
        </w:rPr>
        <w:t xml:space="preserve">. </w:t>
      </w:r>
    </w:p>
    <w:p w:rsidR="00744764" w:rsidRPr="00744764" w:rsidRDefault="00744764" w:rsidP="00744764">
      <w:pPr>
        <w:adjustRightInd w:val="0"/>
        <w:snapToGrid w:val="0"/>
        <w:spacing w:before="0" w:after="240"/>
        <w:rPr>
          <w:rFonts w:eastAsia="MS Mincho"/>
          <w:bCs/>
          <w:iCs/>
          <w:lang w:val="en-GB" w:eastAsia="ja-JP"/>
        </w:rPr>
      </w:pPr>
      <w:r w:rsidRPr="00744764">
        <w:rPr>
          <w:rFonts w:eastAsia="MS Mincho"/>
          <w:bCs/>
          <w:iCs/>
          <w:lang w:val="en-GB" w:eastAsia="ja-JP"/>
        </w:rPr>
        <w:lastRenderedPageBreak/>
        <w:t>In making this recommendation the ACPM expressed concern that the animal studies were inadequate to provide reassurance, including that the specie</w:t>
      </w:r>
      <w:r w:rsidR="00970F26">
        <w:rPr>
          <w:rFonts w:eastAsia="MS Mincho"/>
          <w:bCs/>
          <w:iCs/>
          <w:lang w:val="en-GB" w:eastAsia="ja-JP"/>
        </w:rPr>
        <w:t xml:space="preserve">s was an inappropriate choice. </w:t>
      </w:r>
      <w:r w:rsidRPr="00744764">
        <w:rPr>
          <w:rFonts w:eastAsia="MS Mincho"/>
          <w:bCs/>
          <w:iCs/>
          <w:lang w:val="en-GB" w:eastAsia="ja-JP"/>
        </w:rPr>
        <w:t xml:space="preserve">The studies were considered to be inadequate to provide data to fulfil the Pregnancy Category B3 and suggested that B2 may have been a more appropriate initial classification. </w:t>
      </w:r>
    </w:p>
    <w:p w:rsidR="00744764" w:rsidRPr="00744764" w:rsidRDefault="00744764" w:rsidP="00EB45F4">
      <w:pPr>
        <w:rPr>
          <w:lang w:val="en-GB" w:eastAsia="ja-JP"/>
        </w:rPr>
      </w:pPr>
      <w:r w:rsidRPr="00744764">
        <w:rPr>
          <w:lang w:val="en-GB" w:eastAsia="ja-JP"/>
        </w:rPr>
        <w:t>The committee was requested to provide advice on the following specific issues:</w:t>
      </w:r>
    </w:p>
    <w:p w:rsidR="00744764" w:rsidRPr="00744764" w:rsidRDefault="00744764" w:rsidP="00EB45F4">
      <w:pPr>
        <w:pStyle w:val="ListBullet"/>
        <w:rPr>
          <w:lang w:val="en-GB" w:eastAsia="ja-JP"/>
        </w:rPr>
      </w:pPr>
      <w:r w:rsidRPr="00744764">
        <w:rPr>
          <w:lang w:val="en-GB" w:eastAsia="ja-JP"/>
        </w:rPr>
        <w:t>Advice on suitability of change from the current Pregnancy category B3 to Pregnancy category A for this long-acting (basal) insulin analogue, in particular whether sufficiently large data is considered to be available supporting this change.</w:t>
      </w:r>
    </w:p>
    <w:p w:rsidR="00744764" w:rsidRPr="00744764" w:rsidRDefault="00744764" w:rsidP="00EB45F4">
      <w:pPr>
        <w:adjustRightInd w:val="0"/>
        <w:snapToGrid w:val="0"/>
        <w:spacing w:before="0" w:after="0"/>
        <w:ind w:firstLine="360"/>
        <w:rPr>
          <w:rFonts w:eastAsia="MS Mincho" w:cs="Arial"/>
          <w:lang w:val="en-GB"/>
        </w:rPr>
      </w:pPr>
      <w:r w:rsidRPr="00744764">
        <w:rPr>
          <w:rFonts w:eastAsia="MS Mincho" w:cs="Arial"/>
          <w:lang w:val="en-GB"/>
        </w:rPr>
        <w:t>The ACPM advised that in light of;</w:t>
      </w:r>
    </w:p>
    <w:p w:rsidR="00744764" w:rsidRPr="00744764" w:rsidRDefault="00744764" w:rsidP="00EB45F4">
      <w:pPr>
        <w:pStyle w:val="ListBullet2"/>
        <w:rPr>
          <w:bCs/>
          <w:iCs/>
          <w:lang w:val="en-GB" w:eastAsia="ja-JP"/>
        </w:rPr>
      </w:pPr>
      <w:r w:rsidRPr="00744764">
        <w:rPr>
          <w:lang w:val="en-GB"/>
        </w:rPr>
        <w:t xml:space="preserve">The evidence from the trial with insulin detemir during pregnancy submitted </w:t>
      </w:r>
    </w:p>
    <w:p w:rsidR="00744764" w:rsidRPr="00744764" w:rsidRDefault="00744764" w:rsidP="00EB45F4">
      <w:pPr>
        <w:pStyle w:val="ListBullet2"/>
        <w:rPr>
          <w:rFonts w:eastAsia="MS Mincho"/>
          <w:bCs/>
          <w:iCs/>
          <w:lang w:val="en-GB" w:eastAsia="ja-JP"/>
        </w:rPr>
      </w:pPr>
      <w:r w:rsidRPr="00744764">
        <w:rPr>
          <w:rFonts w:eastAsia="MS Mincho" w:cs="Arial"/>
          <w:lang w:val="en-GB"/>
        </w:rPr>
        <w:t>The clinical experience reported,</w:t>
      </w:r>
    </w:p>
    <w:p w:rsidR="00744764" w:rsidRPr="00744764" w:rsidRDefault="00744764" w:rsidP="00EB45F4">
      <w:pPr>
        <w:pStyle w:val="ListBullet2"/>
        <w:rPr>
          <w:rFonts w:eastAsia="MS Mincho"/>
          <w:bCs/>
          <w:iCs/>
          <w:lang w:val="en-GB" w:eastAsia="ja-JP"/>
        </w:rPr>
      </w:pPr>
      <w:r w:rsidRPr="00744764">
        <w:rPr>
          <w:rFonts w:eastAsia="MS Mincho"/>
          <w:bCs/>
          <w:iCs/>
          <w:lang w:val="en-GB" w:eastAsia="ja-JP"/>
        </w:rPr>
        <w:t>The more extensive prospective cohort study planned in Europe.</w:t>
      </w:r>
    </w:p>
    <w:p w:rsidR="00744764" w:rsidRPr="00744764" w:rsidRDefault="00744764" w:rsidP="00EB45F4">
      <w:pPr>
        <w:adjustRightInd w:val="0"/>
        <w:snapToGrid w:val="0"/>
        <w:spacing w:before="0" w:after="240"/>
        <w:ind w:left="360"/>
        <w:rPr>
          <w:rFonts w:eastAsia="MS Mincho"/>
          <w:bCs/>
          <w:iCs/>
          <w:lang w:val="en-GB" w:eastAsia="ja-JP"/>
        </w:rPr>
      </w:pPr>
      <w:r w:rsidRPr="00744764">
        <w:rPr>
          <w:rFonts w:eastAsia="MS Mincho"/>
          <w:bCs/>
          <w:iCs/>
          <w:lang w:val="en-GB" w:eastAsia="ja-JP"/>
        </w:rPr>
        <w:t>The ACPM advised that a there is sufficient evidence for the change in pregnancy classification applied for.</w:t>
      </w:r>
    </w:p>
    <w:p w:rsidR="00744764" w:rsidRPr="00744764" w:rsidRDefault="00744764" w:rsidP="00744764">
      <w:pPr>
        <w:adjustRightInd w:val="0"/>
        <w:snapToGrid w:val="0"/>
        <w:spacing w:before="0" w:after="60"/>
        <w:rPr>
          <w:rFonts w:eastAsia="MS Mincho"/>
          <w:b/>
          <w:bCs/>
          <w:lang w:val="en-GB" w:eastAsia="ja-JP"/>
        </w:rPr>
      </w:pPr>
      <w:r w:rsidRPr="00744764">
        <w:rPr>
          <w:rFonts w:eastAsia="MS Mincho"/>
          <w:b/>
          <w:bCs/>
          <w:lang w:val="en-GB" w:eastAsia="ja-JP"/>
        </w:rPr>
        <w:t>Proposed conditions of registration:</w:t>
      </w:r>
    </w:p>
    <w:p w:rsidR="00744764" w:rsidRPr="00744764" w:rsidRDefault="00744764" w:rsidP="00EB45F4">
      <w:pPr>
        <w:rPr>
          <w:highlight w:val="yellow"/>
          <w:lang w:val="en-GB" w:eastAsia="ja-JP"/>
        </w:rPr>
      </w:pPr>
      <w:r w:rsidRPr="00744764">
        <w:rPr>
          <w:rFonts w:cs="Calibri"/>
          <w:color w:val="000000" w:themeColor="text1"/>
          <w:lang w:val="en-GB" w:eastAsia="ja-JP"/>
        </w:rPr>
        <w:t>T</w:t>
      </w:r>
      <w:r w:rsidRPr="00744764">
        <w:rPr>
          <w:lang w:val="en-GB" w:eastAsia="ja-JP"/>
        </w:rPr>
        <w:t xml:space="preserve">he ACPM agreed with the delegate on the proposed conditions of registration and specifically advised on the inclusion of the following: </w:t>
      </w:r>
    </w:p>
    <w:p w:rsidR="00744764" w:rsidRPr="00744764" w:rsidRDefault="00744764" w:rsidP="00EB45F4">
      <w:pPr>
        <w:pStyle w:val="ListBullet"/>
        <w:rPr>
          <w:rFonts w:cs="Arial"/>
          <w:bCs/>
          <w:iCs/>
          <w:lang w:val="en-GB" w:eastAsia="ja-JP"/>
        </w:rPr>
      </w:pPr>
      <w:r w:rsidRPr="00744764">
        <w:rPr>
          <w:lang w:val="en-GB" w:eastAsia="ja-JP"/>
        </w:rPr>
        <w:t>Subject to satisfactory implementation of the Risk Management Plan most recently negotiated by the TGA</w:t>
      </w:r>
      <w:r w:rsidRPr="00744764">
        <w:rPr>
          <w:rFonts w:cs="Arial"/>
          <w:bCs/>
          <w:iCs/>
          <w:lang w:val="en-GB" w:eastAsia="ja-JP"/>
        </w:rPr>
        <w:t xml:space="preserve">, </w:t>
      </w:r>
    </w:p>
    <w:p w:rsidR="00744764" w:rsidRPr="00744764" w:rsidRDefault="00744764" w:rsidP="00EB45F4">
      <w:pPr>
        <w:pStyle w:val="ListBullet"/>
        <w:rPr>
          <w:bCs/>
          <w:lang w:val="en-GB" w:eastAsia="ja-JP"/>
        </w:rPr>
      </w:pPr>
      <w:r w:rsidRPr="00744764">
        <w:rPr>
          <w:rFonts w:cs="Arial"/>
          <w:bCs/>
          <w:iCs/>
          <w:lang w:val="en-GB" w:eastAsia="ja-JP"/>
        </w:rPr>
        <w:t>Negotiation of Product Information and Consumer Medicines Information to the satisfaction of the TGA</w:t>
      </w:r>
      <w:r w:rsidRPr="00744764">
        <w:rPr>
          <w:bCs/>
          <w:lang w:val="en-GB" w:eastAsia="ja-JP"/>
        </w:rPr>
        <w:t xml:space="preserve">. </w:t>
      </w:r>
    </w:p>
    <w:p w:rsidR="00744764" w:rsidRPr="00744764" w:rsidRDefault="00744764" w:rsidP="00744764">
      <w:pPr>
        <w:adjustRightInd w:val="0"/>
        <w:snapToGrid w:val="0"/>
        <w:spacing w:before="0" w:after="60"/>
        <w:rPr>
          <w:rFonts w:eastAsia="MS Mincho"/>
          <w:b/>
          <w:bCs/>
          <w:u w:val="single"/>
          <w:lang w:val="en-GB" w:eastAsia="ja-JP"/>
        </w:rPr>
      </w:pPr>
      <w:r w:rsidRPr="00744764">
        <w:rPr>
          <w:rFonts w:eastAsia="MS Mincho"/>
          <w:b/>
          <w:bCs/>
          <w:lang w:val="en-GB" w:eastAsia="ja-JP"/>
        </w:rPr>
        <w:t>Proposed Product Information (PI)/Consumer Medicine Information (CMI) amendments:</w:t>
      </w:r>
      <w:r w:rsidRPr="00744764">
        <w:rPr>
          <w:rFonts w:eastAsia="MS Mincho"/>
          <w:b/>
          <w:bCs/>
          <w:highlight w:val="yellow"/>
          <w:lang w:val="en-GB" w:eastAsia="ja-JP"/>
        </w:rPr>
        <w:t xml:space="preserve"> </w:t>
      </w:r>
    </w:p>
    <w:p w:rsidR="00744764" w:rsidRPr="00744764" w:rsidRDefault="00744764" w:rsidP="00EB45F4">
      <w:pPr>
        <w:rPr>
          <w:highlight w:val="yellow"/>
          <w:lang w:val="en-GB" w:eastAsia="ja-JP"/>
        </w:rPr>
      </w:pPr>
      <w:r w:rsidRPr="00744764">
        <w:rPr>
          <w:lang w:val="en-GB" w:eastAsia="ja-JP"/>
        </w:rPr>
        <w:t>The ACPM advised that the amendments to the Product Information (PI) and Consumer Medicine Information (CMI) should include the following:</w:t>
      </w:r>
    </w:p>
    <w:p w:rsidR="00744764" w:rsidRPr="00744764" w:rsidRDefault="00744764" w:rsidP="00EB45F4">
      <w:pPr>
        <w:pStyle w:val="ListBullet"/>
        <w:rPr>
          <w:lang w:val="en-GB" w:eastAsia="ja-JP"/>
        </w:rPr>
      </w:pPr>
      <w:r w:rsidRPr="00744764">
        <w:rPr>
          <w:lang w:val="en-GB" w:eastAsia="ja-JP"/>
        </w:rPr>
        <w:t>The required change in Pregnancy Category from the current B3 to A.</w:t>
      </w:r>
    </w:p>
    <w:p w:rsidR="00744764" w:rsidRPr="00744764" w:rsidRDefault="00744764" w:rsidP="00EB45F4">
      <w:pPr>
        <w:rPr>
          <w:lang w:val="en-GB" w:eastAsia="ja-JP"/>
        </w:rPr>
      </w:pPr>
      <w:r w:rsidRPr="00744764">
        <w:rPr>
          <w:lang w:val="en-GB" w:eastAsia="ja-JP"/>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8E7846">
      <w:pPr>
        <w:pStyle w:val="Heading3"/>
      </w:pPr>
      <w:bookmarkStart w:id="199" w:name="_Toc247691532"/>
      <w:bookmarkStart w:id="200" w:name="_Toc314842516"/>
      <w:bookmarkStart w:id="201" w:name="_Toc383771061"/>
      <w:bookmarkEnd w:id="160"/>
      <w:bookmarkEnd w:id="192"/>
      <w:bookmarkEnd w:id="193"/>
      <w:r>
        <w:t>Outcome</w:t>
      </w:r>
      <w:bookmarkEnd w:id="199"/>
      <w:bookmarkEnd w:id="200"/>
      <w:bookmarkEnd w:id="201"/>
    </w:p>
    <w:p w:rsidR="00877FB0" w:rsidRDefault="008E7846" w:rsidP="00EB45F4">
      <w:r>
        <w:t xml:space="preserve">Based on a review of quality, safety and efficacy, TGA approved the </w:t>
      </w:r>
      <w:r w:rsidR="00877FB0">
        <w:t xml:space="preserve">variation to the </w:t>
      </w:r>
      <w:r>
        <w:t>registration of</w:t>
      </w:r>
      <w:r w:rsidR="00877FB0">
        <w:t xml:space="preserve">: </w:t>
      </w:r>
    </w:p>
    <w:p w:rsidR="00877FB0" w:rsidRPr="00877FB0" w:rsidRDefault="00877FB0" w:rsidP="00877FB0">
      <w:pPr>
        <w:pStyle w:val="ListBullet"/>
      </w:pPr>
      <w:r w:rsidRPr="00877FB0">
        <w:t>L</w:t>
      </w:r>
      <w:r>
        <w:t xml:space="preserve">evemir </w:t>
      </w:r>
      <w:r w:rsidRPr="00877FB0">
        <w:t>P</w:t>
      </w:r>
      <w:r>
        <w:t xml:space="preserve">enfill </w:t>
      </w:r>
      <w:r w:rsidRPr="00877FB0">
        <w:t>i</w:t>
      </w:r>
      <w:r>
        <w:t xml:space="preserve">nsulin </w:t>
      </w:r>
      <w:r w:rsidRPr="00877FB0">
        <w:t>detemir (rys) 100 U/</w:t>
      </w:r>
      <w:r>
        <w:t>m</w:t>
      </w:r>
      <w:r w:rsidRPr="00877FB0">
        <w:t>nL solution for injection cartridge</w:t>
      </w:r>
      <w:r>
        <w:t xml:space="preserve"> </w:t>
      </w:r>
      <w:r w:rsidRPr="00877FB0">
        <w:t>AUST</w:t>
      </w:r>
      <w:r>
        <w:t> </w:t>
      </w:r>
      <w:r w:rsidRPr="00877FB0">
        <w:t>R 1722</w:t>
      </w:r>
      <w:r w:rsidR="005B35CE">
        <w:t>1</w:t>
      </w:r>
      <w:r w:rsidRPr="00877FB0">
        <w:t>3</w:t>
      </w:r>
    </w:p>
    <w:p w:rsidR="00877FB0" w:rsidRPr="00877FB0" w:rsidRDefault="00877FB0" w:rsidP="00877FB0">
      <w:pPr>
        <w:pStyle w:val="ListBullet"/>
      </w:pPr>
      <w:r w:rsidRPr="00877FB0">
        <w:t>L</w:t>
      </w:r>
      <w:r>
        <w:t>evemir</w:t>
      </w:r>
      <w:r w:rsidRPr="00877FB0">
        <w:t xml:space="preserve"> F</w:t>
      </w:r>
      <w:r>
        <w:t>lexpen</w:t>
      </w:r>
      <w:r w:rsidRPr="00877FB0">
        <w:t xml:space="preserve"> insulin detemir </w:t>
      </w:r>
      <w:r>
        <w:t>(</w:t>
      </w:r>
      <w:r w:rsidRPr="00877FB0">
        <w:t>rys) 100 U/i</w:t>
      </w:r>
      <w:r>
        <w:t>m</w:t>
      </w:r>
      <w:r w:rsidRPr="00877FB0">
        <w:t>L solution for injection cartridge</w:t>
      </w:r>
      <w:r>
        <w:t xml:space="preserve"> </w:t>
      </w:r>
      <w:r w:rsidRPr="00877FB0">
        <w:t>AUST</w:t>
      </w:r>
      <w:r>
        <w:t> </w:t>
      </w:r>
      <w:r w:rsidRPr="00877FB0">
        <w:t>R 172234</w:t>
      </w:r>
    </w:p>
    <w:p w:rsidR="00877FB0" w:rsidRPr="00877FB0" w:rsidRDefault="00877FB0" w:rsidP="00877FB0">
      <w:pPr>
        <w:pStyle w:val="ListBullet"/>
      </w:pPr>
      <w:r w:rsidRPr="00877FB0">
        <w:t>L</w:t>
      </w:r>
      <w:r>
        <w:t xml:space="preserve">evemir </w:t>
      </w:r>
      <w:r w:rsidRPr="00877FB0">
        <w:t>I</w:t>
      </w:r>
      <w:r>
        <w:t>nnolet i</w:t>
      </w:r>
      <w:r w:rsidRPr="00877FB0">
        <w:t xml:space="preserve">nsulin detemir </w:t>
      </w:r>
      <w:r>
        <w:t>(</w:t>
      </w:r>
      <w:r w:rsidRPr="00877FB0">
        <w:t>rys) 100 U</w:t>
      </w:r>
      <w:r>
        <w:t>/m</w:t>
      </w:r>
      <w:r w:rsidRPr="00877FB0">
        <w:t>L solution for injecti</w:t>
      </w:r>
      <w:r>
        <w:t>o</w:t>
      </w:r>
      <w:r w:rsidRPr="00877FB0">
        <w:t>n cartridge</w:t>
      </w:r>
      <w:r>
        <w:t xml:space="preserve"> </w:t>
      </w:r>
      <w:r w:rsidRPr="00877FB0">
        <w:t>AUST</w:t>
      </w:r>
      <w:r>
        <w:t> </w:t>
      </w:r>
      <w:r w:rsidRPr="00877FB0">
        <w:t>R 172235</w:t>
      </w:r>
    </w:p>
    <w:p w:rsidR="00877FB0" w:rsidRDefault="00877FB0" w:rsidP="00877FB0">
      <w:pPr>
        <w:rPr>
          <w:rFonts w:ascii="Arial" w:eastAsiaTheme="minorHAnsi" w:hAnsi="Arial" w:cs="Arial"/>
        </w:rPr>
      </w:pPr>
      <w:r>
        <w:t>With these PI updates:</w:t>
      </w:r>
      <w:bookmarkStart w:id="202" w:name="_Toc247691533"/>
      <w:bookmarkStart w:id="203" w:name="_Toc314842517"/>
    </w:p>
    <w:p w:rsidR="00877FB0" w:rsidRPr="00877FB0" w:rsidRDefault="00877FB0" w:rsidP="00877FB0">
      <w:pPr>
        <w:pStyle w:val="ListBullet"/>
      </w:pPr>
      <w:r w:rsidRPr="00877FB0">
        <w:t>Inclusion of clinical trials information on co-administration with liraglut</w:t>
      </w:r>
      <w:r>
        <w:t>i</w:t>
      </w:r>
      <w:r w:rsidRPr="00877FB0">
        <w:t>de</w:t>
      </w:r>
      <w:r>
        <w:t xml:space="preserve"> (V</w:t>
      </w:r>
      <w:r w:rsidR="00C26A70">
        <w:t>ictoza</w:t>
      </w:r>
      <w:r w:rsidRPr="00877FB0">
        <w:t>).</w:t>
      </w:r>
    </w:p>
    <w:p w:rsidR="00877FB0" w:rsidRPr="00877FB0" w:rsidRDefault="00877FB0" w:rsidP="00877FB0">
      <w:pPr>
        <w:pStyle w:val="ListBullet"/>
      </w:pPr>
      <w:r w:rsidRPr="00877FB0">
        <w:lastRenderedPageBreak/>
        <w:t>Inclusion of longer term (24 months) safety data (antibody formation and glycaemic</w:t>
      </w:r>
      <w:r>
        <w:t xml:space="preserve"> </w:t>
      </w:r>
      <w:r w:rsidRPr="00877FB0">
        <w:t>control) for the use of L</w:t>
      </w:r>
      <w:r>
        <w:t>evemir</w:t>
      </w:r>
      <w:r w:rsidRPr="00877FB0">
        <w:t xml:space="preserve"> in adolescents and ch</w:t>
      </w:r>
      <w:r>
        <w:t>ild</w:t>
      </w:r>
      <w:r w:rsidRPr="00877FB0">
        <w:t>ren (</w:t>
      </w:r>
      <w:r w:rsidR="00C26A70">
        <w:t>two to 16</w:t>
      </w:r>
      <w:r w:rsidRPr="00877FB0">
        <w:t xml:space="preserve"> years) with T</w:t>
      </w:r>
      <w:r>
        <w:t>1</w:t>
      </w:r>
      <w:r w:rsidR="001C211C">
        <w:t>DM</w:t>
      </w:r>
      <w:r w:rsidRPr="00877FB0">
        <w:t>.</w:t>
      </w:r>
    </w:p>
    <w:p w:rsidR="00877FB0" w:rsidRPr="00877FB0" w:rsidRDefault="00877FB0" w:rsidP="00877FB0">
      <w:pPr>
        <w:pStyle w:val="ListBullet"/>
      </w:pPr>
      <w:r w:rsidRPr="00877FB0">
        <w:t>Allow use of L</w:t>
      </w:r>
      <w:r>
        <w:t>evemir</w:t>
      </w:r>
      <w:r w:rsidRPr="00877FB0">
        <w:t xml:space="preserve"> in pregnancy</w:t>
      </w:r>
      <w:r>
        <w:t xml:space="preserve">, that is, </w:t>
      </w:r>
      <w:r w:rsidRPr="00877FB0">
        <w:t>change in Pregnancy category from current B3</w:t>
      </w:r>
      <w:r>
        <w:t xml:space="preserve"> </w:t>
      </w:r>
      <w:r w:rsidRPr="00877FB0">
        <w:t>to Pregnancy category A.</w:t>
      </w:r>
    </w:p>
    <w:p w:rsidR="00877FB0" w:rsidRPr="00877FB0" w:rsidRDefault="00B34E99" w:rsidP="00877FB0">
      <w:pPr>
        <w:pStyle w:val="ListBullet"/>
      </w:pPr>
      <w:r>
        <w:t>Align with the CCDS</w:t>
      </w:r>
      <w:r w:rsidR="00877FB0" w:rsidRPr="00877FB0">
        <w:t>, as well as various editorial changes.</w:t>
      </w:r>
    </w:p>
    <w:p w:rsidR="008E7846" w:rsidRDefault="008E7846" w:rsidP="00877FB0">
      <w:pPr>
        <w:pStyle w:val="Heading2"/>
      </w:pPr>
      <w:bookmarkStart w:id="204" w:name="_Toc383771062"/>
      <w:r>
        <w:t>Attachment 1</w:t>
      </w:r>
      <w:r w:rsidR="00744764">
        <w:t xml:space="preserve">: </w:t>
      </w:r>
      <w:r>
        <w:t xml:space="preserve">Product </w:t>
      </w:r>
      <w:r w:rsidR="00AA0ED0">
        <w:t>I</w:t>
      </w:r>
      <w:r>
        <w:t>nformation</w:t>
      </w:r>
      <w:bookmarkEnd w:id="202"/>
      <w:bookmarkEnd w:id="203"/>
      <w:bookmarkEnd w:id="204"/>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7" w:history="1">
        <w:r w:rsidR="00970F26" w:rsidRPr="002668ED">
          <w:rPr>
            <w:rStyle w:val="Hyperlink"/>
          </w:rPr>
          <w:t>http://www.tga.gov.au/hp/information-medicines-pi.htm</w:t>
        </w:r>
      </w:hyperlink>
      <w:hyperlink w:history="1"/>
      <w:r w:rsidR="008F6943">
        <w:rPr>
          <w:color w:val="000000"/>
          <w:lang w:eastAsia="en-AU"/>
        </w:rPr>
        <w:t>&gt;.</w:t>
      </w:r>
    </w:p>
    <w:p w:rsidR="001C32CD" w:rsidRDefault="00C80137" w:rsidP="00EB45F4">
      <w:pPr>
        <w:pStyle w:val="Heading2"/>
        <w:rPr>
          <w:lang w:eastAsia="en-AU"/>
        </w:rPr>
      </w:pPr>
      <w:bookmarkStart w:id="205" w:name="_Toc383771063"/>
      <w:r>
        <w:rPr>
          <w:lang w:eastAsia="en-AU"/>
        </w:rPr>
        <w:t>Attachment 2</w:t>
      </w:r>
      <w:r w:rsidR="00744764">
        <w:rPr>
          <w:lang w:eastAsia="en-AU"/>
        </w:rPr>
        <w:t xml:space="preserve">: </w:t>
      </w:r>
      <w:r>
        <w:rPr>
          <w:lang w:eastAsia="en-AU"/>
        </w:rPr>
        <w:t>Extract from the Clinical Evaluation Report</w:t>
      </w:r>
      <w:bookmarkStart w:id="206" w:name="_GoBack"/>
      <w:bookmarkEnd w:id="205"/>
      <w:bookmarkEnd w:id="206"/>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8"/>
          <w:headerReference w:type="default" r:id="rId29"/>
          <w:foot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F67185">
        <w:trPr>
          <w:trHeight w:hRule="exact" w:val="704"/>
        </w:trPr>
        <w:tc>
          <w:tcPr>
            <w:tcW w:w="9175" w:type="dxa"/>
          </w:tcPr>
          <w:p w:rsidR="001C32CD" w:rsidRPr="00487162" w:rsidRDefault="001C32CD" w:rsidP="00F67185">
            <w:pPr>
              <w:pStyle w:val="TGASignoff"/>
            </w:pPr>
            <w:r w:rsidRPr="00487162">
              <w:lastRenderedPageBreak/>
              <w:t>Therapeutic Goods Administration</w:t>
            </w:r>
          </w:p>
        </w:tc>
      </w:tr>
      <w:tr w:rsidR="001C32CD" w:rsidRPr="004C239D" w:rsidTr="00F67185">
        <w:trPr>
          <w:trHeight w:val="1221"/>
        </w:trPr>
        <w:tc>
          <w:tcPr>
            <w:tcW w:w="9175" w:type="dxa"/>
            <w:tcMar>
              <w:top w:w="28" w:type="dxa"/>
            </w:tcMar>
          </w:tcPr>
          <w:p w:rsidR="001C32CD" w:rsidRPr="00487162" w:rsidRDefault="001C32CD" w:rsidP="00F67185">
            <w:pPr>
              <w:pStyle w:val="Address"/>
            </w:pPr>
            <w:r w:rsidRPr="00487162">
              <w:t>PO Box 100 Woden ACT 2606 Australia</w:t>
            </w:r>
          </w:p>
          <w:p w:rsidR="001C32CD" w:rsidRPr="00487162" w:rsidRDefault="001C32CD" w:rsidP="00F67185">
            <w:pPr>
              <w:pStyle w:val="Address"/>
            </w:pPr>
            <w:r w:rsidRPr="00487162">
              <w:t xml:space="preserve">Email: </w:t>
            </w:r>
            <w:hyperlink r:id="rId33" w:history="1">
              <w:r w:rsidRPr="004C239D">
                <w:rPr>
                  <w:rStyle w:val="Hyperlink"/>
                </w:rPr>
                <w:t>info@tga.gov.au</w:t>
              </w:r>
            </w:hyperlink>
            <w:r w:rsidRPr="00487162">
              <w:t xml:space="preserve">  Phone: 1800 020 653  Fax: 02 6232 8605</w:t>
            </w:r>
          </w:p>
          <w:p w:rsidR="001C32CD" w:rsidRPr="004C239D" w:rsidRDefault="00CE17F6" w:rsidP="00F67185">
            <w:pPr>
              <w:pStyle w:val="Address"/>
              <w:spacing w:line="260" w:lineRule="atLeast"/>
              <w:rPr>
                <w:b/>
                <w:color w:val="0000FF"/>
                <w:u w:val="single"/>
              </w:rPr>
            </w:pPr>
            <w:hyperlink r:id="rId34"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7F6" w:rsidRDefault="00CE17F6" w:rsidP="00C40A36">
      <w:pPr>
        <w:spacing w:after="0"/>
      </w:pPr>
      <w:r>
        <w:separator/>
      </w:r>
    </w:p>
  </w:endnote>
  <w:endnote w:type="continuationSeparator" w:id="0">
    <w:p w:rsidR="00CE17F6" w:rsidRDefault="00CE17F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D91" w:rsidRDefault="00B60D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5D2126" w:rsidRPr="00487162" w:rsidTr="0053625B">
      <w:trPr>
        <w:trHeight w:val="269"/>
      </w:trPr>
      <w:tc>
        <w:tcPr>
          <w:tcW w:w="7938" w:type="dxa"/>
          <w:tcMar>
            <w:top w:w="142" w:type="dxa"/>
            <w:bottom w:w="0" w:type="dxa"/>
          </w:tcMar>
        </w:tcPr>
        <w:p w:rsidR="005D2126" w:rsidRDefault="005D2126" w:rsidP="00797197">
          <w:pPr>
            <w:pStyle w:val="Footer"/>
          </w:pPr>
          <w:r w:rsidRPr="00487162">
            <w:t xml:space="preserve">AusPAR </w:t>
          </w:r>
          <w:r>
            <w:t>Levemir</w:t>
          </w:r>
          <w:r w:rsidRPr="00487162">
            <w:t xml:space="preserve"> </w:t>
          </w:r>
          <w:r>
            <w:t>Insulin detemir (rys) Novo Nordisk Pharmaceuticals</w:t>
          </w:r>
        </w:p>
        <w:p w:rsidR="005D2126" w:rsidRPr="00487162" w:rsidRDefault="005D2126" w:rsidP="006F43B7">
          <w:pPr>
            <w:pStyle w:val="Footer"/>
          </w:pPr>
          <w:r w:rsidRPr="00487162">
            <w:t>PM-20</w:t>
          </w:r>
          <w:r>
            <w:t>12</w:t>
          </w:r>
          <w:r w:rsidRPr="00487162">
            <w:t>-</w:t>
          </w:r>
          <w:r>
            <w:t>02256</w:t>
          </w:r>
          <w:r w:rsidRPr="00487162">
            <w:t>-</w:t>
          </w:r>
          <w:r>
            <w:t>3</w:t>
          </w:r>
          <w:r w:rsidRPr="00487162">
            <w:t>-</w:t>
          </w:r>
          <w:r>
            <w:t xml:space="preserve">5 </w:t>
          </w:r>
          <w:r w:rsidR="006F43B7">
            <w:t>Final 28 March 2014</w:t>
          </w:r>
        </w:p>
      </w:tc>
      <w:tc>
        <w:tcPr>
          <w:tcW w:w="923" w:type="dxa"/>
          <w:tcMar>
            <w:top w:w="142" w:type="dxa"/>
            <w:bottom w:w="0" w:type="dxa"/>
          </w:tcMar>
        </w:tcPr>
        <w:p w:rsidR="005D2126" w:rsidRPr="00487162" w:rsidRDefault="005D2126" w:rsidP="00D855D4">
          <w:pPr>
            <w:pStyle w:val="Footer"/>
            <w:jc w:val="right"/>
          </w:pPr>
          <w:r w:rsidRPr="00487162">
            <w:t xml:space="preserve">Page </w:t>
          </w:r>
          <w:r>
            <w:t>2</w:t>
          </w:r>
          <w:r w:rsidRPr="00487162">
            <w:t xml:space="preserve"> of </w:t>
          </w:r>
          <w:r w:rsidR="00CE17F6">
            <w:fldChar w:fldCharType="begin"/>
          </w:r>
          <w:r w:rsidR="00CE17F6">
            <w:instrText xml:space="preserve"> NUMPAGES  \* Arabic </w:instrText>
          </w:r>
          <w:r w:rsidR="00CE17F6">
            <w:fldChar w:fldCharType="separate"/>
          </w:r>
          <w:r w:rsidR="002A0637">
            <w:rPr>
              <w:noProof/>
            </w:rPr>
            <w:t>40</w:t>
          </w:r>
          <w:r w:rsidR="00CE17F6">
            <w:rPr>
              <w:noProof/>
            </w:rPr>
            <w:fldChar w:fldCharType="end"/>
          </w:r>
        </w:p>
      </w:tc>
    </w:tr>
  </w:tbl>
  <w:p w:rsidR="005D2126" w:rsidRDefault="005D2126"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D91" w:rsidRDefault="00B60D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237"/>
      <w:gridCol w:w="2624"/>
    </w:tblGrid>
    <w:tr w:rsidR="005D2126" w:rsidRPr="00487162" w:rsidTr="00B855F8">
      <w:trPr>
        <w:trHeight w:val="269"/>
      </w:trPr>
      <w:tc>
        <w:tcPr>
          <w:tcW w:w="6237" w:type="dxa"/>
          <w:tcMar>
            <w:top w:w="142" w:type="dxa"/>
            <w:bottom w:w="0" w:type="dxa"/>
          </w:tcMar>
        </w:tcPr>
        <w:p w:rsidR="005D2126" w:rsidRPr="00B855F8" w:rsidRDefault="005D2126" w:rsidP="00B855F8">
          <w:pPr>
            <w:pStyle w:val="Footer"/>
          </w:pPr>
          <w:r w:rsidRPr="00B855F8">
            <w:t xml:space="preserve">AusPAR Levemir Insulin </w:t>
          </w:r>
          <w:r>
            <w:t>detemir</w:t>
          </w:r>
          <w:r w:rsidRPr="00B855F8">
            <w:t xml:space="preserve"> (rys) Novo Nordisk Pharmaceuticals</w:t>
          </w:r>
        </w:p>
        <w:p w:rsidR="005D2126" w:rsidRPr="00487162" w:rsidRDefault="005D2126" w:rsidP="00B60D91">
          <w:pPr>
            <w:pStyle w:val="Footer"/>
          </w:pPr>
          <w:r w:rsidRPr="00B855F8">
            <w:t xml:space="preserve">PM-2012-02256-3-5 </w:t>
          </w:r>
          <w:r w:rsidR="00B60D91">
            <w:t>Final 28 March 2014</w:t>
          </w:r>
        </w:p>
      </w:tc>
      <w:tc>
        <w:tcPr>
          <w:tcW w:w="2624" w:type="dxa"/>
          <w:tcMar>
            <w:top w:w="142" w:type="dxa"/>
            <w:bottom w:w="0" w:type="dxa"/>
          </w:tcMar>
        </w:tcPr>
        <w:p w:rsidR="005D2126" w:rsidRPr="00487162" w:rsidRDefault="005D2126" w:rsidP="00FF1E7C">
          <w:pPr>
            <w:pStyle w:val="Footer"/>
            <w:jc w:val="center"/>
          </w:pPr>
          <w:r w:rsidRPr="00487162">
            <w:t xml:space="preserve">Page </w:t>
          </w:r>
          <w:r>
            <w:fldChar w:fldCharType="begin"/>
          </w:r>
          <w:r>
            <w:instrText>PAGE</w:instrText>
          </w:r>
          <w:r>
            <w:fldChar w:fldCharType="separate"/>
          </w:r>
          <w:r w:rsidR="00EB45F4">
            <w:rPr>
              <w:noProof/>
            </w:rPr>
            <w:t>39</w:t>
          </w:r>
          <w:r>
            <w:rPr>
              <w:noProof/>
            </w:rPr>
            <w:fldChar w:fldCharType="end"/>
          </w:r>
          <w:r w:rsidRPr="00487162">
            <w:t xml:space="preserve"> of </w:t>
          </w:r>
          <w:r w:rsidR="00CE17F6">
            <w:fldChar w:fldCharType="begin"/>
          </w:r>
          <w:r w:rsidR="00CE17F6">
            <w:instrText xml:space="preserve"> NUMPAGES  \* Arabic </w:instrText>
          </w:r>
          <w:r w:rsidR="00CE17F6">
            <w:fldChar w:fldCharType="separate"/>
          </w:r>
          <w:r w:rsidR="00EB45F4">
            <w:rPr>
              <w:noProof/>
            </w:rPr>
            <w:t>40</w:t>
          </w:r>
          <w:r w:rsidR="00CE17F6">
            <w:rPr>
              <w:noProof/>
            </w:rPr>
            <w:fldChar w:fldCharType="end"/>
          </w:r>
        </w:p>
      </w:tc>
    </w:tr>
  </w:tbl>
  <w:p w:rsidR="005D2126" w:rsidRDefault="005D2126"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D2126" w:rsidRPr="00487162" w:rsidTr="00E45619">
      <w:trPr>
        <w:trHeight w:val="269"/>
      </w:trPr>
      <w:tc>
        <w:tcPr>
          <w:tcW w:w="4519" w:type="dxa"/>
          <w:tcBorders>
            <w:top w:val="single" w:sz="4" w:space="0" w:color="auto"/>
          </w:tcBorders>
          <w:tcMar>
            <w:top w:w="142" w:type="dxa"/>
            <w:bottom w:w="0" w:type="dxa"/>
          </w:tcMar>
        </w:tcPr>
        <w:p w:rsidR="005D2126" w:rsidRPr="00487162" w:rsidRDefault="005D2126" w:rsidP="00FE1DEE">
          <w:pPr>
            <w:pStyle w:val="Footer"/>
          </w:pPr>
          <w:r w:rsidRPr="00487162">
            <w:t>Document title, Part #, Section # - Section title</w:t>
          </w:r>
        </w:p>
        <w:p w:rsidR="005D2126" w:rsidRPr="00487162" w:rsidRDefault="005D2126" w:rsidP="00FE1DEE">
          <w:pPr>
            <w:pStyle w:val="Footer"/>
          </w:pPr>
          <w:r w:rsidRPr="00487162">
            <w:t>V1.0 October 2010</w:t>
          </w:r>
        </w:p>
      </w:tc>
      <w:tc>
        <w:tcPr>
          <w:tcW w:w="4342" w:type="dxa"/>
          <w:tcBorders>
            <w:top w:val="single" w:sz="4" w:space="0" w:color="auto"/>
          </w:tcBorders>
          <w:tcMar>
            <w:top w:w="142" w:type="dxa"/>
            <w:bottom w:w="0" w:type="dxa"/>
          </w:tcMar>
        </w:tcPr>
        <w:p w:rsidR="005D2126" w:rsidRPr="00487162" w:rsidRDefault="005D212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E17F6">
            <w:fldChar w:fldCharType="begin"/>
          </w:r>
          <w:r w:rsidR="00CE17F6">
            <w:instrText xml:space="preserve"> NUMPAGES  </w:instrText>
          </w:r>
          <w:r w:rsidR="00CE17F6">
            <w:fldChar w:fldCharType="separate"/>
          </w:r>
          <w:r>
            <w:rPr>
              <w:noProof/>
            </w:rPr>
            <w:t>42</w:t>
          </w:r>
          <w:r w:rsidR="00CE17F6">
            <w:rPr>
              <w:noProof/>
            </w:rPr>
            <w:fldChar w:fldCharType="end"/>
          </w:r>
        </w:p>
      </w:tc>
    </w:tr>
  </w:tbl>
  <w:p w:rsidR="005D2126" w:rsidRDefault="005D21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Pr="001C32CD" w:rsidRDefault="005D2126" w:rsidP="001C32C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D2126" w:rsidTr="0010601F">
      <w:trPr>
        <w:trHeight w:val="108"/>
      </w:trPr>
      <w:tc>
        <w:tcPr>
          <w:tcW w:w="8875" w:type="dxa"/>
          <w:gridSpan w:val="2"/>
          <w:tcBorders>
            <w:bottom w:val="single" w:sz="4" w:space="0" w:color="auto"/>
          </w:tcBorders>
          <w:tcMar>
            <w:right w:w="284" w:type="dxa"/>
          </w:tcMar>
        </w:tcPr>
        <w:p w:rsidR="005D2126" w:rsidRDefault="005D2126" w:rsidP="006E08B3">
          <w:pPr>
            <w:pStyle w:val="Heading3"/>
          </w:pPr>
          <w:r>
            <w:t>Copyright</w:t>
          </w:r>
        </w:p>
        <w:p w:rsidR="005D2126" w:rsidRDefault="005D2126" w:rsidP="006E08B3">
          <w:r>
            <w:rPr>
              <w:rFonts w:cs="Arial"/>
            </w:rPr>
            <w:t>©</w:t>
          </w:r>
          <w:r>
            <w:t xml:space="preserve"> Commonwealth of Australia [add year]</w:t>
          </w:r>
        </w:p>
        <w:p w:rsidR="005D2126" w:rsidRDefault="005D2126" w:rsidP="006E08B3"/>
        <w:p w:rsidR="005D2126" w:rsidRDefault="005D212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D2126" w:rsidRDefault="005D2126" w:rsidP="006E08B3"/>
        <w:p w:rsidR="005D2126" w:rsidRDefault="005D2126" w:rsidP="006E08B3">
          <w:pPr>
            <w:pStyle w:val="Heading3"/>
          </w:pPr>
          <w:r>
            <w:t>Confidentiality</w:t>
          </w:r>
        </w:p>
        <w:p w:rsidR="005D2126" w:rsidRDefault="005D212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D2126" w:rsidRDefault="005D2126" w:rsidP="006E08B3"/>
        <w:p w:rsidR="005D2126" w:rsidRDefault="005D2126" w:rsidP="006E08B3">
          <w:r>
            <w:t>For submission made by individuals, all personal details, other than your name, will be removed from your submission before it is published on the TGA’s Internet site.</w:t>
          </w:r>
        </w:p>
        <w:p w:rsidR="005D2126" w:rsidRDefault="005D2126" w:rsidP="006E08B3"/>
        <w:p w:rsidR="005D2126" w:rsidRDefault="005D2126" w:rsidP="006E08B3">
          <w:r>
            <w:t>In addition, a list of parties making submissions will be published. If you do not wish to be identified with your submission you must specifically request this in the space provided ib the submission coversheet.</w:t>
          </w:r>
        </w:p>
      </w:tc>
    </w:tr>
    <w:tr w:rsidR="005D2126" w:rsidTr="0010601F">
      <w:trPr>
        <w:trHeight w:val="417"/>
      </w:trPr>
      <w:tc>
        <w:tcPr>
          <w:tcW w:w="4519" w:type="dxa"/>
          <w:tcBorders>
            <w:top w:val="single" w:sz="4" w:space="0" w:color="auto"/>
          </w:tcBorders>
          <w:tcMar>
            <w:top w:w="142" w:type="dxa"/>
            <w:bottom w:w="0" w:type="dxa"/>
          </w:tcMar>
        </w:tcPr>
        <w:p w:rsidR="005D2126" w:rsidRDefault="005D2126" w:rsidP="006E08B3">
          <w:r>
            <w:t>Document title, Part #, Section # - Section title</w:t>
          </w:r>
        </w:p>
        <w:p w:rsidR="005D2126" w:rsidRDefault="005D2126" w:rsidP="006E08B3">
          <w:r>
            <w:t>V1.0 October 2010</w:t>
          </w:r>
        </w:p>
      </w:tc>
      <w:tc>
        <w:tcPr>
          <w:tcW w:w="4356" w:type="dxa"/>
          <w:tcBorders>
            <w:top w:val="single" w:sz="4" w:space="0" w:color="auto"/>
          </w:tcBorders>
          <w:tcMar>
            <w:top w:w="142" w:type="dxa"/>
            <w:bottom w:w="0" w:type="dxa"/>
          </w:tcMar>
        </w:tcPr>
        <w:p w:rsidR="005D2126" w:rsidRDefault="005D212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E17F6">
            <w:fldChar w:fldCharType="begin"/>
          </w:r>
          <w:r w:rsidR="00CE17F6">
            <w:instrText xml:space="preserve"> NUMPAGES  \* Arabic </w:instrText>
          </w:r>
          <w:r w:rsidR="00CE17F6">
            <w:fldChar w:fldCharType="separate"/>
          </w:r>
          <w:r>
            <w:rPr>
              <w:noProof/>
            </w:rPr>
            <w:t>42</w:t>
          </w:r>
          <w:r w:rsidR="00CE17F6">
            <w:rPr>
              <w:noProof/>
            </w:rPr>
            <w:fldChar w:fldCharType="end"/>
          </w:r>
          <w:r>
            <w:t xml:space="preserve">  </w:t>
          </w:r>
        </w:p>
      </w:tc>
    </w:tr>
  </w:tbl>
  <w:p w:rsidR="005D2126" w:rsidRDefault="005D21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7F6" w:rsidRDefault="00CE17F6" w:rsidP="00C40A36">
      <w:pPr>
        <w:spacing w:after="0"/>
      </w:pPr>
      <w:r>
        <w:separator/>
      </w:r>
    </w:p>
  </w:footnote>
  <w:footnote w:type="continuationSeparator" w:id="0">
    <w:p w:rsidR="00CE17F6" w:rsidRDefault="00CE17F6" w:rsidP="00C40A36">
      <w:pPr>
        <w:spacing w:after="0"/>
      </w:pPr>
      <w:r>
        <w:continuationSeparator/>
      </w:r>
    </w:p>
  </w:footnote>
  <w:footnote w:id="1">
    <w:p w:rsidR="005D2126" w:rsidRDefault="005D2126" w:rsidP="0051221B">
      <w:pPr>
        <w:pStyle w:val="FootnoteText"/>
      </w:pPr>
      <w:r>
        <w:rPr>
          <w:rStyle w:val="FootnoteReference"/>
        </w:rPr>
        <w:footnoteRef/>
      </w:r>
      <w:r>
        <w:t xml:space="preserve"> </w:t>
      </w:r>
      <w:r w:rsidRPr="00766AFD">
        <w:t>Australian Bureau of Statistics</w:t>
      </w:r>
      <w:r>
        <w:t>,</w:t>
      </w:r>
      <w:r w:rsidRPr="00766AFD">
        <w:t xml:space="preserve"> 2011</w:t>
      </w:r>
      <w:r>
        <w:t>.</w:t>
      </w:r>
      <w:r w:rsidRPr="00766AFD">
        <w:rPr>
          <w:i/>
        </w:rPr>
        <w:t xml:space="preserve"> Diabetes in Australia: A Snapshot, 2007-08</w:t>
      </w:r>
      <w:r w:rsidRPr="00766AFD">
        <w:t xml:space="preserve">. Cat. no. 4820.0. Canberra: </w:t>
      </w:r>
      <w:r>
        <w:t>A</w:t>
      </w:r>
      <w:r w:rsidRPr="00766AFD">
        <w:t>BS</w:t>
      </w:r>
    </w:p>
  </w:footnote>
  <w:footnote w:id="2">
    <w:p w:rsidR="005D2126" w:rsidRDefault="005D2126" w:rsidP="009C6F5C">
      <w:pPr>
        <w:pStyle w:val="FootnoteText"/>
      </w:pPr>
      <w:r>
        <w:rPr>
          <w:rStyle w:val="FootnoteReference"/>
        </w:rPr>
        <w:footnoteRef/>
      </w:r>
      <w:r>
        <w:t xml:space="preserve"> </w:t>
      </w:r>
      <w:r w:rsidRPr="009C6F5C">
        <w:rPr>
          <w:b/>
        </w:rPr>
        <w:t>Category B3</w:t>
      </w:r>
      <w:r>
        <w:t xml:space="preserve">: Drugs which have been taken by only a limited number of pregnant women and women of childbearing age, without an increase in the frequency of malformation or other direct or indirect harmful effects on the human fetus having been observed. </w:t>
      </w:r>
    </w:p>
    <w:p w:rsidR="005D2126" w:rsidRDefault="005D2126" w:rsidP="009C6F5C">
      <w:pPr>
        <w:pStyle w:val="FootnoteText"/>
      </w:pPr>
      <w:r>
        <w:t>Studies in animals have shown evidence of an increased occurrence of fetal damage, the significance of which is considered uncertain in humans</w:t>
      </w:r>
    </w:p>
  </w:footnote>
  <w:footnote w:id="3">
    <w:p w:rsidR="005D2126" w:rsidRDefault="005D2126" w:rsidP="009C6F5C">
      <w:pPr>
        <w:pStyle w:val="FootnoteText"/>
      </w:pPr>
      <w:r>
        <w:rPr>
          <w:rStyle w:val="FootnoteReference"/>
        </w:rPr>
        <w:footnoteRef/>
      </w:r>
      <w:r>
        <w:t xml:space="preserve"> </w:t>
      </w:r>
      <w:r w:rsidRPr="009C6F5C">
        <w:rPr>
          <w:b/>
        </w:rPr>
        <w:t>Category A</w:t>
      </w:r>
      <w:r>
        <w:t>: Drugs which have been taken by a large number of pregnant women and women of childbearing age without any proven increase in the frequency of malformations or other direct or indirect harmful effects on the fetus having been observed.</w:t>
      </w:r>
    </w:p>
  </w:footnote>
  <w:footnote w:id="4">
    <w:p w:rsidR="005D2126" w:rsidRDefault="005D2126" w:rsidP="00B23B86">
      <w:pPr>
        <w:pStyle w:val="FootnoteText"/>
      </w:pPr>
      <w:r>
        <w:rPr>
          <w:rStyle w:val="FootnoteReference"/>
        </w:rPr>
        <w:footnoteRef/>
      </w:r>
      <w:r>
        <w:t xml:space="preserve"> Le Flem G., Pecher J., Le Flem-Bonhomme V., Rochette J., Pujol J.P. and Bogdanowicz P.</w:t>
      </w:r>
      <w:r w:rsidRPr="00D31813">
        <w:t xml:space="preserve"> </w:t>
      </w:r>
      <w:r>
        <w:t>2009. Human insulin A</w:t>
      </w:r>
      <w:r>
        <w:noBreakHyphen/>
        <w:t xml:space="preserve">chain peptide analog(s) with </w:t>
      </w:r>
      <w:r w:rsidRPr="00D31813">
        <w:rPr>
          <w:i/>
        </w:rPr>
        <w:t>in vitro</w:t>
      </w:r>
      <w:r>
        <w:t xml:space="preserve"> biological activity. </w:t>
      </w:r>
      <w:r w:rsidRPr="00D31813">
        <w:rPr>
          <w:i/>
        </w:rPr>
        <w:t xml:space="preserve">Cell Biochem. Funct. </w:t>
      </w:r>
      <w:r w:rsidRPr="00D31813">
        <w:rPr>
          <w:b/>
        </w:rPr>
        <w:t>27:</w:t>
      </w:r>
      <w:r w:rsidRPr="00DE5E08">
        <w:rPr>
          <w:w w:val="50"/>
        </w:rPr>
        <w:t> </w:t>
      </w:r>
      <w:r>
        <w:t>370–377.</w:t>
      </w:r>
    </w:p>
  </w:footnote>
  <w:footnote w:id="5">
    <w:p w:rsidR="005D2126" w:rsidRDefault="005D2126">
      <w:pPr>
        <w:pStyle w:val="FootnoteText"/>
      </w:pPr>
      <w:r>
        <w:rPr>
          <w:rStyle w:val="FootnoteReference"/>
        </w:rPr>
        <w:footnoteRef/>
      </w:r>
      <w:r>
        <w:t xml:space="preserve"> Ferner RE &amp; Aronson JK. 2006. Clarification of terminology in medication errors: definitions and classification. </w:t>
      </w:r>
      <w:r w:rsidRPr="00994E17">
        <w:rPr>
          <w:i/>
        </w:rPr>
        <w:t>Drug Saf</w:t>
      </w:r>
      <w:r>
        <w:t xml:space="preserve"> 29:1011-1022</w:t>
      </w:r>
    </w:p>
  </w:footnote>
  <w:footnote w:id="6">
    <w:p w:rsidR="005D2126" w:rsidRDefault="005D2126">
      <w:pPr>
        <w:pStyle w:val="FootnoteText"/>
      </w:pPr>
      <w:r>
        <w:rPr>
          <w:rStyle w:val="FootnoteReference"/>
        </w:rPr>
        <w:footnoteRef/>
      </w:r>
      <w:r>
        <w:t xml:space="preserve"> </w:t>
      </w:r>
      <w:r w:rsidRPr="00042457">
        <w:t xml:space="preserve">Hod </w:t>
      </w:r>
      <w:r w:rsidRPr="00042457">
        <w:rPr>
          <w:i/>
        </w:rPr>
        <w:t>et al</w:t>
      </w:r>
      <w:r w:rsidRPr="00042457">
        <w:t xml:space="preserve"> (2013) in the </w:t>
      </w:r>
      <w:r w:rsidRPr="00042457">
        <w:rPr>
          <w:i/>
        </w:rPr>
        <w:t>Journal of Maternal-Fetal &amp; Neonatal Medicine</w:t>
      </w:r>
      <w:r w:rsidRPr="00042457">
        <w:t>, published online [DOI: 10.3109/14767058.2013.799650] (</w:t>
      </w:r>
      <w:hyperlink r:id="rId1" w:history="1">
        <w:r w:rsidRPr="00042457">
          <w:rPr>
            <w:rStyle w:val="Hyperlink"/>
          </w:rPr>
          <w:t>accessed online 12 August 2013</w:t>
        </w:r>
      </w:hyperlink>
      <w:r w:rsidRPr="00042457">
        <w:t>)]:</w:t>
      </w:r>
    </w:p>
  </w:footnote>
  <w:footnote w:id="7">
    <w:p w:rsidR="005D2126" w:rsidRDefault="005D2126" w:rsidP="00B85BA6">
      <w:pPr>
        <w:pStyle w:val="FootnoteText"/>
      </w:pPr>
      <w:r>
        <w:rPr>
          <w:rStyle w:val="FootnoteReference"/>
        </w:rPr>
        <w:footnoteRef/>
      </w:r>
      <w:r>
        <w:t xml:space="preserve"> </w:t>
      </w:r>
      <w:r w:rsidRPr="00B85BA6">
        <w:t xml:space="preserve">Callesen NF, Damm J, Mathiesen JM, Ringholm L, Damm P, Mathiesen ER. </w:t>
      </w:r>
      <w:r>
        <w:t xml:space="preserve">2013. </w:t>
      </w:r>
      <w:r w:rsidRPr="00B85BA6">
        <w:t>Treatment</w:t>
      </w:r>
      <w:r>
        <w:t xml:space="preserve"> </w:t>
      </w:r>
      <w:r w:rsidRPr="00B85BA6">
        <w:t>with the long-acting insulin analogues detemir or glargine during pregnancy in women with</w:t>
      </w:r>
      <w:r>
        <w:t xml:space="preserve"> </w:t>
      </w:r>
      <w:r w:rsidRPr="00B85BA6">
        <w:t xml:space="preserve">type 1 diabetes: comparison of glycaemic control and pregnancy outcome. </w:t>
      </w:r>
      <w:r w:rsidRPr="00B85BA6">
        <w:rPr>
          <w:i/>
        </w:rPr>
        <w:t>J Matern Fetal Neonatal Med</w:t>
      </w:r>
      <w:r w:rsidRPr="00B85BA6">
        <w:t xml:space="preserve">. </w:t>
      </w:r>
      <w:r>
        <w:t>26</w:t>
      </w:r>
      <w:r w:rsidRPr="00B85BA6">
        <w:t>(6):588-92. doi: 10.3109/14767058.2012.743523.</w:t>
      </w:r>
    </w:p>
  </w:footnote>
  <w:footnote w:id="8">
    <w:p w:rsidR="005D2126" w:rsidRDefault="005D2126" w:rsidP="00B85BA6">
      <w:pPr>
        <w:pStyle w:val="FootnoteText"/>
      </w:pPr>
      <w:r>
        <w:rPr>
          <w:rStyle w:val="FootnoteReference"/>
        </w:rPr>
        <w:footnoteRef/>
      </w:r>
      <w:r>
        <w:t xml:space="preserve"> </w:t>
      </w:r>
      <w:r w:rsidRPr="00B85BA6">
        <w:t xml:space="preserve">Lambert K, Holt RI. </w:t>
      </w:r>
      <w:r>
        <w:t xml:space="preserve">2013. </w:t>
      </w:r>
      <w:r w:rsidRPr="00B85BA6">
        <w:t xml:space="preserve">The use of insulin analogues in pregnancy. </w:t>
      </w:r>
      <w:r w:rsidRPr="00B85BA6">
        <w:rPr>
          <w:i/>
        </w:rPr>
        <w:t>Diabetes Obes Metab</w:t>
      </w:r>
      <w:r w:rsidRPr="00B85BA6">
        <w:t>. doi: 10.1111/dom.12098</w:t>
      </w:r>
    </w:p>
  </w:footnote>
  <w:footnote w:id="9">
    <w:p w:rsidR="005D2126" w:rsidRDefault="005D2126" w:rsidP="00B85BA6">
      <w:pPr>
        <w:pStyle w:val="FootnoteText"/>
      </w:pPr>
      <w:r>
        <w:rPr>
          <w:rStyle w:val="FootnoteReference"/>
        </w:rPr>
        <w:footnoteRef/>
      </w:r>
      <w:r>
        <w:t xml:space="preserve"> </w:t>
      </w:r>
      <w:r w:rsidRPr="00B85BA6">
        <w:t>Mathiesen ER, Hod M, Ivanisevic M, Duran Garcia S, Brøndsted L, Jovanovic L, Damm P,</w:t>
      </w:r>
      <w:r>
        <w:t xml:space="preserve"> </w:t>
      </w:r>
      <w:r w:rsidRPr="00B85BA6">
        <w:t>McCance DR;</w:t>
      </w:r>
      <w:r w:rsidRPr="00B85BA6">
        <w:rPr>
          <w:sz w:val="22"/>
          <w:szCs w:val="22"/>
        </w:rPr>
        <w:t xml:space="preserve"> </w:t>
      </w:r>
      <w:r w:rsidRPr="00B85BA6">
        <w:t>2012</w:t>
      </w:r>
      <w:r>
        <w:t>.</w:t>
      </w:r>
      <w:r w:rsidRPr="00B85BA6">
        <w:t xml:space="preserve"> Detemir in Pregnancy Study Group. Maternal efficacy and safety outcomes</w:t>
      </w:r>
      <w:r>
        <w:t xml:space="preserve"> </w:t>
      </w:r>
      <w:r w:rsidRPr="00B85BA6">
        <w:t>in a randomized, controlled trial comparing insulin detemir with NPH insulin in 310</w:t>
      </w:r>
      <w:r>
        <w:t xml:space="preserve"> </w:t>
      </w:r>
      <w:r w:rsidRPr="00B85BA6">
        <w:t xml:space="preserve">pregnant women with type 1 diabetes. </w:t>
      </w:r>
      <w:r w:rsidRPr="00B85BA6">
        <w:rPr>
          <w:i/>
        </w:rPr>
        <w:t>Diabetes Care.</w:t>
      </w:r>
      <w:r w:rsidRPr="00B85BA6">
        <w:t>;35(10):2012-7.</w:t>
      </w:r>
    </w:p>
  </w:footnote>
  <w:footnote w:id="10">
    <w:p w:rsidR="005D2126" w:rsidRDefault="005D2126" w:rsidP="00B85BA6">
      <w:pPr>
        <w:pStyle w:val="FootnoteText"/>
      </w:pPr>
      <w:r>
        <w:rPr>
          <w:rStyle w:val="FootnoteReference"/>
        </w:rPr>
        <w:footnoteRef/>
      </w:r>
      <w:r>
        <w:t xml:space="preserve"> </w:t>
      </w:r>
      <w:r w:rsidRPr="00B85BA6">
        <w:t xml:space="preserve">McElduff A, Moses RG. </w:t>
      </w:r>
      <w:r>
        <w:t xml:space="preserve">2012. </w:t>
      </w:r>
      <w:r w:rsidRPr="00B85BA6">
        <w:t xml:space="preserve">Insulin therapy in pregnancy. </w:t>
      </w:r>
      <w:r w:rsidRPr="00B85BA6">
        <w:rPr>
          <w:i/>
        </w:rPr>
        <w:t>Endocrinol Metab Clin North Am</w:t>
      </w:r>
      <w:r>
        <w:t xml:space="preserve"> </w:t>
      </w:r>
      <w:r w:rsidRPr="00B85BA6">
        <w:t>;41(1):161-73. doi: 10.1016/j.ecl.2011.12.002.</w:t>
      </w:r>
    </w:p>
  </w:footnote>
  <w:footnote w:id="11">
    <w:p w:rsidR="005D2126" w:rsidRDefault="005D2126" w:rsidP="003823F9">
      <w:pPr>
        <w:pStyle w:val="FootnoteText"/>
      </w:pPr>
      <w:r>
        <w:rPr>
          <w:rStyle w:val="FootnoteReference"/>
        </w:rPr>
        <w:footnoteRef/>
      </w:r>
      <w:r>
        <w:t xml:space="preserve"> </w:t>
      </w:r>
      <w:r w:rsidRPr="003823F9">
        <w:t xml:space="preserve">McElduff, A. </w:t>
      </w:r>
      <w:r>
        <w:t xml:space="preserve">2012. </w:t>
      </w:r>
      <w:r w:rsidRPr="003823F9">
        <w:t xml:space="preserve">Insulin Detemir in Pregnancy: A Small but Significant Step Forward? doi:10.2337/dc12-0971 </w:t>
      </w:r>
      <w:r w:rsidRPr="003823F9">
        <w:rPr>
          <w:i/>
        </w:rPr>
        <w:t>Diabetes Care</w:t>
      </w:r>
      <w:r w:rsidRPr="003823F9">
        <w:t xml:space="preserve"> vol. 35 no. 10 1968-1969</w:t>
      </w:r>
    </w:p>
  </w:footnote>
  <w:footnote w:id="12">
    <w:p w:rsidR="005D2126" w:rsidRDefault="005D2126">
      <w:pPr>
        <w:pStyle w:val="FootnoteText"/>
      </w:pPr>
      <w:r>
        <w:rPr>
          <w:rStyle w:val="FootnoteReference"/>
        </w:rPr>
        <w:footnoteRef/>
      </w:r>
      <w:r>
        <w:t xml:space="preserve"> National Health and Medical Research Council. 1998. A guide to the development, implementation and evaluation of clinical practice guidelines. Canberra: Commonwealth of Australia. P 56. ISBM 1-86496-048-5. Retrieved 28 March 2010.</w:t>
      </w:r>
    </w:p>
  </w:footnote>
  <w:footnote w:id="13">
    <w:p w:rsidR="005D2126" w:rsidRDefault="005D2126">
      <w:pPr>
        <w:pStyle w:val="FootnoteText"/>
      </w:pPr>
      <w:r>
        <w:rPr>
          <w:rStyle w:val="FootnoteReference"/>
        </w:rPr>
        <w:footnoteRef/>
      </w:r>
      <w:r>
        <w:t xml:space="preserve"> Webster LM, Shennan AH. 2013. The challenges of licencing drugs for use in pregnancy. Expert Opin Pharmacother. 14(13):1707-10. Doi:10.1517/14656566.2013.813019.</w:t>
      </w:r>
    </w:p>
  </w:footnote>
  <w:footnote w:id="14">
    <w:p w:rsidR="005D2126" w:rsidRPr="001A51CF" w:rsidRDefault="005D2126" w:rsidP="001A51CF">
      <w:pPr>
        <w:spacing w:before="0" w:after="0"/>
      </w:pPr>
      <w:r>
        <w:rPr>
          <w:rStyle w:val="FootnoteReference"/>
        </w:rPr>
        <w:footnoteRef/>
      </w:r>
      <w:r>
        <w:t xml:space="preserve"> </w:t>
      </w:r>
      <w:r w:rsidRPr="001A51CF">
        <w:rPr>
          <w:sz w:val="18"/>
          <w:szCs w:val="18"/>
        </w:rPr>
        <w:t>Code of Federal Regulations</w:t>
      </w:r>
      <w:r>
        <w:rPr>
          <w:sz w:val="18"/>
          <w:szCs w:val="18"/>
        </w:rPr>
        <w:t xml:space="preserve">. </w:t>
      </w:r>
      <w:r w:rsidRPr="001A51CF">
        <w:rPr>
          <w:sz w:val="18"/>
          <w:szCs w:val="18"/>
        </w:rPr>
        <w:t>2013</w:t>
      </w:r>
      <w:r>
        <w:rPr>
          <w:sz w:val="18"/>
          <w:szCs w:val="18"/>
        </w:rPr>
        <w:t>.</w:t>
      </w:r>
      <w:r w:rsidRPr="001A51CF">
        <w:rPr>
          <w:sz w:val="18"/>
          <w:szCs w:val="18"/>
        </w:rPr>
        <w:t xml:space="preserve"> 21CFR201.57, available at: </w:t>
      </w:r>
      <w:hyperlink r:id="rId2" w:history="1">
        <w:r w:rsidRPr="002668ED">
          <w:rPr>
            <w:rStyle w:val="Hyperlink"/>
            <w:sz w:val="18"/>
            <w:szCs w:val="18"/>
          </w:rPr>
          <w:t>http://www.accessdata.fda.gov/scripts/cdrh/cfdocs/cfcfr/cfrsearch.cfm?fr=201.57</w:t>
        </w:r>
      </w:hyperlink>
    </w:p>
  </w:footnote>
  <w:footnote w:id="15">
    <w:p w:rsidR="005D2126" w:rsidRDefault="005D2126" w:rsidP="001A51CF">
      <w:pPr>
        <w:autoSpaceDE w:val="0"/>
        <w:autoSpaceDN w:val="0"/>
        <w:adjustRightInd w:val="0"/>
        <w:spacing w:before="0" w:after="0" w:line="240" w:lineRule="auto"/>
      </w:pPr>
      <w:r>
        <w:rPr>
          <w:rStyle w:val="FootnoteReference"/>
        </w:rPr>
        <w:footnoteRef/>
      </w:r>
      <w:r>
        <w:t xml:space="preserve"> </w:t>
      </w:r>
      <w:r w:rsidRPr="007873EC">
        <w:rPr>
          <w:rFonts w:asciiTheme="minorHAnsi" w:eastAsiaTheme="minorHAnsi" w:hAnsiTheme="minorHAnsi" w:cs="TimesNewRomanPSMT"/>
          <w:sz w:val="18"/>
          <w:szCs w:val="18"/>
        </w:rPr>
        <w:t xml:space="preserve">Definitions of the Australian categories for prescribing medicines in pregnancy, available at: </w:t>
      </w:r>
      <w:hyperlink r:id="rId3" w:history="1">
        <w:r w:rsidRPr="007873EC">
          <w:rPr>
            <w:rStyle w:val="Hyperlink"/>
            <w:rFonts w:asciiTheme="minorHAnsi" w:eastAsiaTheme="minorHAnsi" w:hAnsiTheme="minorHAnsi" w:cs="TimesNewRomanPSMT"/>
            <w:sz w:val="18"/>
            <w:szCs w:val="18"/>
          </w:rPr>
          <w:t>http://www.tga.gov.au/hp/medicines-pregnancy.htm</w:t>
        </w:r>
      </w:hyperlink>
    </w:p>
  </w:footnote>
  <w:footnote w:id="16">
    <w:p w:rsidR="005D2126" w:rsidRDefault="005D2126" w:rsidP="000F4B83">
      <w:pPr>
        <w:spacing w:before="0" w:after="0"/>
      </w:pPr>
      <w:r>
        <w:rPr>
          <w:rStyle w:val="FootnoteReference"/>
        </w:rPr>
        <w:footnoteRef/>
      </w:r>
      <w:r>
        <w:t xml:space="preserve"> </w:t>
      </w:r>
      <w:r w:rsidRPr="007873EC">
        <w:rPr>
          <w:sz w:val="18"/>
          <w:szCs w:val="18"/>
        </w:rPr>
        <w:t xml:space="preserve">Hod M, Mathiesen ER, Jovanovič L, McCance DR, Ivanisevic M, Durán-Garcia S, Brøndsted L, Nazeri A, Damm P. 2013. A randomized trial comparing perinatal outcomes using insulin detemir or neutral protamine Hagedorn in type 1 diabetes. </w:t>
      </w:r>
      <w:r w:rsidRPr="007873EC">
        <w:rPr>
          <w:i/>
          <w:sz w:val="18"/>
          <w:szCs w:val="18"/>
        </w:rPr>
        <w:t>J Matern Fetal Neonatal Med.</w:t>
      </w:r>
      <w:r w:rsidRPr="007873EC">
        <w:rPr>
          <w:sz w:val="18"/>
          <w:szCs w:val="18"/>
        </w:rPr>
        <w:t xml:space="preserve"> 2013 Jun 5.</w:t>
      </w:r>
    </w:p>
  </w:footnote>
  <w:footnote w:id="17">
    <w:p w:rsidR="005D2126" w:rsidRDefault="005D2126" w:rsidP="000F4B83">
      <w:pPr>
        <w:autoSpaceDE w:val="0"/>
        <w:autoSpaceDN w:val="0"/>
        <w:adjustRightInd w:val="0"/>
        <w:spacing w:before="0" w:after="0" w:line="240" w:lineRule="auto"/>
      </w:pPr>
      <w:r>
        <w:rPr>
          <w:rStyle w:val="FootnoteReference"/>
        </w:rPr>
        <w:footnoteRef/>
      </w:r>
      <w:r>
        <w:t xml:space="preserve"> </w:t>
      </w:r>
      <w:r w:rsidRPr="00673FB8">
        <w:rPr>
          <w:rFonts w:asciiTheme="minorHAnsi" w:eastAsiaTheme="minorHAnsi" w:hAnsiTheme="minorHAnsi" w:cs="TimesNewRomanPSMT"/>
          <w:sz w:val="18"/>
          <w:szCs w:val="18"/>
        </w:rPr>
        <w:t xml:space="preserve">Zabihi S, Loeken MR. 2010. Understanding diabetic teratogenesis: where are we now and where are we going? </w:t>
      </w:r>
      <w:r w:rsidRPr="00673FB8">
        <w:rPr>
          <w:rFonts w:asciiTheme="minorHAnsi" w:eastAsiaTheme="minorHAnsi" w:hAnsiTheme="minorHAnsi" w:cs="TimesNewRomanPSMT"/>
          <w:i/>
          <w:sz w:val="18"/>
          <w:szCs w:val="18"/>
        </w:rPr>
        <w:t>Birth Defects Res A Clin Mol Teratol</w:t>
      </w:r>
      <w:r w:rsidRPr="00673FB8">
        <w:rPr>
          <w:rFonts w:asciiTheme="minorHAnsi" w:eastAsiaTheme="minorHAnsi" w:hAnsiTheme="minorHAnsi" w:cs="TimesNewRomanPSMT"/>
          <w:sz w:val="18"/>
          <w:szCs w:val="18"/>
        </w:rPr>
        <w:t>; 88(10):779-790.</w:t>
      </w:r>
    </w:p>
  </w:footnote>
  <w:footnote w:id="18">
    <w:p w:rsidR="005D2126" w:rsidRDefault="005D2126" w:rsidP="000F4B83">
      <w:pPr>
        <w:autoSpaceDE w:val="0"/>
        <w:autoSpaceDN w:val="0"/>
        <w:adjustRightInd w:val="0"/>
        <w:spacing w:before="0" w:after="0" w:line="240" w:lineRule="auto"/>
      </w:pPr>
      <w:r>
        <w:rPr>
          <w:rStyle w:val="FootnoteReference"/>
        </w:rPr>
        <w:footnoteRef/>
      </w:r>
      <w:r>
        <w:t xml:space="preserve"> </w:t>
      </w:r>
      <w:r w:rsidRPr="00673FB8">
        <w:rPr>
          <w:rFonts w:asciiTheme="minorHAnsi" w:eastAsiaTheme="minorHAnsi" w:hAnsiTheme="minorHAnsi" w:cs="TimesNewRomanPSMT"/>
          <w:sz w:val="18"/>
          <w:szCs w:val="18"/>
        </w:rPr>
        <w:t>Department of Health FC. Reviewer. 2005. Guidance Evaluating the Risks of Drug Exposure in Human Pregnancies.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D91" w:rsidRDefault="00B60D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D2126" w:rsidRDefault="005D2126" w:rsidP="00593AD1">
    <w:pPr>
      <w:pStyle w:val="HeaderNoLine"/>
    </w:pPr>
    <w:r>
      <w:rPr>
        <w:noProof/>
        <w:lang w:eastAsia="en-AU"/>
      </w:rPr>
      <w:drawing>
        <wp:inline distT="0" distB="0" distL="0" distR="0">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26" w:rsidRDefault="005D2126" w:rsidP="006E08B3">
    <w:r>
      <w:t>Therapeutic Goods Administration</w:t>
    </w:r>
  </w:p>
  <w:p w:rsidR="005D2126" w:rsidRDefault="005D212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7B5127"/>
    <w:multiLevelType w:val="hybridMultilevel"/>
    <w:tmpl w:val="16C4C8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21E43E2"/>
    <w:multiLevelType w:val="hybridMultilevel"/>
    <w:tmpl w:val="E638A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6B54B8C"/>
    <w:multiLevelType w:val="hybridMultilevel"/>
    <w:tmpl w:val="77B84F8C"/>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nsid w:val="3B3060A3"/>
    <w:multiLevelType w:val="hybridMultilevel"/>
    <w:tmpl w:val="2DEE8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BB75A5"/>
    <w:multiLevelType w:val="hybridMultilevel"/>
    <w:tmpl w:val="26E8EEE8"/>
    <w:lvl w:ilvl="0" w:tplc="6F740F74">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9A719F"/>
    <w:multiLevelType w:val="hybridMultilevel"/>
    <w:tmpl w:val="9D0EA89A"/>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51706F0A"/>
    <w:multiLevelType w:val="hybridMultilevel"/>
    <w:tmpl w:val="DF16F752"/>
    <w:lvl w:ilvl="0" w:tplc="0C090001">
      <w:start w:val="1"/>
      <w:numFmt w:val="bullet"/>
      <w:lvlText w:val=""/>
      <w:lvlJc w:val="left"/>
      <w:pPr>
        <w:ind w:left="720" w:hanging="360"/>
      </w:pPr>
      <w:rPr>
        <w:rFonts w:ascii="Symbol" w:hAnsi="Symbol" w:hint="default"/>
      </w:rPr>
    </w:lvl>
    <w:lvl w:ilvl="1" w:tplc="CA8A9AF0">
      <w:numFmt w:val="bullet"/>
      <w:lvlText w:val="•"/>
      <w:lvlJc w:val="left"/>
      <w:pPr>
        <w:ind w:left="4188" w:hanging="360"/>
      </w:pPr>
      <w:rPr>
        <w:rFonts w:ascii="Cambria" w:eastAsia="MS Mincho" w:hAnsi="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0827DA1"/>
    <w:multiLevelType w:val="hybridMultilevel"/>
    <w:tmpl w:val="AB6CD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062" w:hanging="360"/>
      </w:pPr>
      <w:rPr>
        <w:rFonts w:ascii="Symbol" w:hAnsi="Symbol" w:hint="default"/>
      </w:rPr>
    </w:lvl>
    <w:lvl w:ilvl="3" w:tplc="2CA40890">
      <w:numFmt w:val="bullet"/>
      <w:lvlText w:val="•"/>
      <w:lvlJc w:val="left"/>
      <w:pPr>
        <w:ind w:left="3090" w:hanging="570"/>
      </w:pPr>
      <w:rPr>
        <w:rFonts w:ascii="Cambria" w:eastAsia="MS Mincho" w:hAnsi="Cambria"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4"/>
  </w:num>
  <w:num w:numId="17">
    <w:abstractNumId w:val="4"/>
  </w:num>
  <w:num w:numId="18">
    <w:abstractNumId w:val="4"/>
  </w:num>
  <w:num w:numId="19">
    <w:abstractNumId w:val="8"/>
  </w:num>
  <w:num w:numId="20">
    <w:abstractNumId w:val="8"/>
  </w:num>
  <w:num w:numId="21">
    <w:abstractNumId w:val="8"/>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5"/>
  </w:num>
  <w:num w:numId="29">
    <w:abstractNumId w:val="9"/>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7"/>
  </w:num>
  <w:num w:numId="37">
    <w:abstractNumId w:val="1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B42"/>
    <w:rsid w:val="00002031"/>
    <w:rsid w:val="00004734"/>
    <w:rsid w:val="00006B22"/>
    <w:rsid w:val="0001276A"/>
    <w:rsid w:val="000246AE"/>
    <w:rsid w:val="00025C67"/>
    <w:rsid w:val="00042457"/>
    <w:rsid w:val="0005559E"/>
    <w:rsid w:val="00056013"/>
    <w:rsid w:val="0006071B"/>
    <w:rsid w:val="000706FA"/>
    <w:rsid w:val="00077775"/>
    <w:rsid w:val="00090471"/>
    <w:rsid w:val="00096AA7"/>
    <w:rsid w:val="000A3AED"/>
    <w:rsid w:val="000B3532"/>
    <w:rsid w:val="000B3A75"/>
    <w:rsid w:val="000C690F"/>
    <w:rsid w:val="000D1295"/>
    <w:rsid w:val="000D391B"/>
    <w:rsid w:val="000D3D6D"/>
    <w:rsid w:val="000D4FC7"/>
    <w:rsid w:val="000F4869"/>
    <w:rsid w:val="000F4B83"/>
    <w:rsid w:val="000F5B42"/>
    <w:rsid w:val="000F6E6F"/>
    <w:rsid w:val="0010601F"/>
    <w:rsid w:val="0010788A"/>
    <w:rsid w:val="00107A31"/>
    <w:rsid w:val="00110C52"/>
    <w:rsid w:val="00110EA5"/>
    <w:rsid w:val="00112F56"/>
    <w:rsid w:val="00122FF9"/>
    <w:rsid w:val="00125318"/>
    <w:rsid w:val="001305A2"/>
    <w:rsid w:val="00133238"/>
    <w:rsid w:val="0014197B"/>
    <w:rsid w:val="001447CD"/>
    <w:rsid w:val="001516B1"/>
    <w:rsid w:val="00154EBB"/>
    <w:rsid w:val="00156316"/>
    <w:rsid w:val="00162D14"/>
    <w:rsid w:val="00165389"/>
    <w:rsid w:val="00174D1C"/>
    <w:rsid w:val="0017693F"/>
    <w:rsid w:val="0018110E"/>
    <w:rsid w:val="00181684"/>
    <w:rsid w:val="001843C6"/>
    <w:rsid w:val="001850E0"/>
    <w:rsid w:val="00192C6D"/>
    <w:rsid w:val="001A2158"/>
    <w:rsid w:val="001A51CF"/>
    <w:rsid w:val="001A525F"/>
    <w:rsid w:val="001B09F9"/>
    <w:rsid w:val="001B5C90"/>
    <w:rsid w:val="001B6448"/>
    <w:rsid w:val="001C211C"/>
    <w:rsid w:val="001C32CD"/>
    <w:rsid w:val="001D7BC3"/>
    <w:rsid w:val="001E07CF"/>
    <w:rsid w:val="001E1B9F"/>
    <w:rsid w:val="001E59F1"/>
    <w:rsid w:val="001E64DA"/>
    <w:rsid w:val="001F2C4B"/>
    <w:rsid w:val="001F49EB"/>
    <w:rsid w:val="001F5D82"/>
    <w:rsid w:val="001F6CBA"/>
    <w:rsid w:val="00201D4E"/>
    <w:rsid w:val="002076C9"/>
    <w:rsid w:val="00220B8A"/>
    <w:rsid w:val="002257F3"/>
    <w:rsid w:val="00227614"/>
    <w:rsid w:val="00227EBE"/>
    <w:rsid w:val="00233456"/>
    <w:rsid w:val="002339A5"/>
    <w:rsid w:val="0023768E"/>
    <w:rsid w:val="00257848"/>
    <w:rsid w:val="0027084A"/>
    <w:rsid w:val="00273C49"/>
    <w:rsid w:val="002801FB"/>
    <w:rsid w:val="00286434"/>
    <w:rsid w:val="00286C59"/>
    <w:rsid w:val="00291957"/>
    <w:rsid w:val="002942D1"/>
    <w:rsid w:val="0029501A"/>
    <w:rsid w:val="002A0637"/>
    <w:rsid w:val="002A6243"/>
    <w:rsid w:val="002B1638"/>
    <w:rsid w:val="002E4C9A"/>
    <w:rsid w:val="002E4CB8"/>
    <w:rsid w:val="002F01E8"/>
    <w:rsid w:val="002F11F8"/>
    <w:rsid w:val="002F3F56"/>
    <w:rsid w:val="002F44B5"/>
    <w:rsid w:val="00306F23"/>
    <w:rsid w:val="00311AC0"/>
    <w:rsid w:val="0032583B"/>
    <w:rsid w:val="00327883"/>
    <w:rsid w:val="00335504"/>
    <w:rsid w:val="00347824"/>
    <w:rsid w:val="00350567"/>
    <w:rsid w:val="003521E8"/>
    <w:rsid w:val="003728F3"/>
    <w:rsid w:val="0037496E"/>
    <w:rsid w:val="003823F9"/>
    <w:rsid w:val="00386150"/>
    <w:rsid w:val="003874CE"/>
    <w:rsid w:val="00390900"/>
    <w:rsid w:val="003A7F6C"/>
    <w:rsid w:val="003B4D60"/>
    <w:rsid w:val="003B7E39"/>
    <w:rsid w:val="003C58DC"/>
    <w:rsid w:val="003D1E62"/>
    <w:rsid w:val="003E2486"/>
    <w:rsid w:val="003E3208"/>
    <w:rsid w:val="003E74FF"/>
    <w:rsid w:val="003F0B04"/>
    <w:rsid w:val="0040134E"/>
    <w:rsid w:val="00425637"/>
    <w:rsid w:val="00440A2D"/>
    <w:rsid w:val="00455A70"/>
    <w:rsid w:val="004564A7"/>
    <w:rsid w:val="004617BF"/>
    <w:rsid w:val="00463658"/>
    <w:rsid w:val="004722CC"/>
    <w:rsid w:val="004936E4"/>
    <w:rsid w:val="00494E60"/>
    <w:rsid w:val="00497487"/>
    <w:rsid w:val="004A7AEC"/>
    <w:rsid w:val="004B7B76"/>
    <w:rsid w:val="004C239D"/>
    <w:rsid w:val="004C2DCA"/>
    <w:rsid w:val="004F0F38"/>
    <w:rsid w:val="00501921"/>
    <w:rsid w:val="0051221B"/>
    <w:rsid w:val="00516CD9"/>
    <w:rsid w:val="00530354"/>
    <w:rsid w:val="00534755"/>
    <w:rsid w:val="0053625B"/>
    <w:rsid w:val="005434C6"/>
    <w:rsid w:val="00543B39"/>
    <w:rsid w:val="00550096"/>
    <w:rsid w:val="005535BD"/>
    <w:rsid w:val="00557FF9"/>
    <w:rsid w:val="00576378"/>
    <w:rsid w:val="00577130"/>
    <w:rsid w:val="00577945"/>
    <w:rsid w:val="00577E38"/>
    <w:rsid w:val="00585322"/>
    <w:rsid w:val="005857C6"/>
    <w:rsid w:val="00592F6E"/>
    <w:rsid w:val="00593AD1"/>
    <w:rsid w:val="005A68B6"/>
    <w:rsid w:val="005A6C42"/>
    <w:rsid w:val="005B35CE"/>
    <w:rsid w:val="005C1D9B"/>
    <w:rsid w:val="005C4245"/>
    <w:rsid w:val="005C5570"/>
    <w:rsid w:val="005C79A4"/>
    <w:rsid w:val="005D2126"/>
    <w:rsid w:val="005D3425"/>
    <w:rsid w:val="005D5442"/>
    <w:rsid w:val="005E43D2"/>
    <w:rsid w:val="005F4A37"/>
    <w:rsid w:val="00603F32"/>
    <w:rsid w:val="00615A50"/>
    <w:rsid w:val="00625A6E"/>
    <w:rsid w:val="00632398"/>
    <w:rsid w:val="00640423"/>
    <w:rsid w:val="00640FC3"/>
    <w:rsid w:val="00642020"/>
    <w:rsid w:val="0065337B"/>
    <w:rsid w:val="0065419D"/>
    <w:rsid w:val="0065548D"/>
    <w:rsid w:val="006604D8"/>
    <w:rsid w:val="00664A5B"/>
    <w:rsid w:val="006679B4"/>
    <w:rsid w:val="00673FB8"/>
    <w:rsid w:val="006763D2"/>
    <w:rsid w:val="00680C08"/>
    <w:rsid w:val="006827B3"/>
    <w:rsid w:val="00685B42"/>
    <w:rsid w:val="006931B1"/>
    <w:rsid w:val="006A15C0"/>
    <w:rsid w:val="006C3E2A"/>
    <w:rsid w:val="006C50AB"/>
    <w:rsid w:val="006C642F"/>
    <w:rsid w:val="006D03E5"/>
    <w:rsid w:val="006D5D3E"/>
    <w:rsid w:val="006D776D"/>
    <w:rsid w:val="006E08B3"/>
    <w:rsid w:val="006F17AC"/>
    <w:rsid w:val="006F43B7"/>
    <w:rsid w:val="006F572E"/>
    <w:rsid w:val="00703626"/>
    <w:rsid w:val="007046D6"/>
    <w:rsid w:val="00705DB0"/>
    <w:rsid w:val="00722B57"/>
    <w:rsid w:val="0072481F"/>
    <w:rsid w:val="0074253D"/>
    <w:rsid w:val="0074429B"/>
    <w:rsid w:val="00744764"/>
    <w:rsid w:val="00750EC4"/>
    <w:rsid w:val="007615BC"/>
    <w:rsid w:val="00762F05"/>
    <w:rsid w:val="007652FF"/>
    <w:rsid w:val="00766AFD"/>
    <w:rsid w:val="00770EF1"/>
    <w:rsid w:val="00773EF7"/>
    <w:rsid w:val="00774E1D"/>
    <w:rsid w:val="0077675A"/>
    <w:rsid w:val="00780355"/>
    <w:rsid w:val="00785721"/>
    <w:rsid w:val="007873EC"/>
    <w:rsid w:val="00787B34"/>
    <w:rsid w:val="00793A59"/>
    <w:rsid w:val="007951FB"/>
    <w:rsid w:val="00797197"/>
    <w:rsid w:val="007B6E9F"/>
    <w:rsid w:val="007B74CF"/>
    <w:rsid w:val="007C1216"/>
    <w:rsid w:val="007C1AF7"/>
    <w:rsid w:val="007E2846"/>
    <w:rsid w:val="00805D27"/>
    <w:rsid w:val="00817BB1"/>
    <w:rsid w:val="00821776"/>
    <w:rsid w:val="008321F5"/>
    <w:rsid w:val="00832369"/>
    <w:rsid w:val="00834660"/>
    <w:rsid w:val="00836BC2"/>
    <w:rsid w:val="0085641B"/>
    <w:rsid w:val="00857136"/>
    <w:rsid w:val="0087276E"/>
    <w:rsid w:val="00877FB0"/>
    <w:rsid w:val="00885B11"/>
    <w:rsid w:val="00886D15"/>
    <w:rsid w:val="00887DD8"/>
    <w:rsid w:val="00895A62"/>
    <w:rsid w:val="00896018"/>
    <w:rsid w:val="008960DD"/>
    <w:rsid w:val="0089635C"/>
    <w:rsid w:val="008A2B9D"/>
    <w:rsid w:val="008A5E0B"/>
    <w:rsid w:val="008A6D59"/>
    <w:rsid w:val="008B4B03"/>
    <w:rsid w:val="008B596F"/>
    <w:rsid w:val="008B75A4"/>
    <w:rsid w:val="008C159F"/>
    <w:rsid w:val="008C1623"/>
    <w:rsid w:val="008C1850"/>
    <w:rsid w:val="008C51A9"/>
    <w:rsid w:val="008C649D"/>
    <w:rsid w:val="008E7846"/>
    <w:rsid w:val="008F1CCC"/>
    <w:rsid w:val="008F2967"/>
    <w:rsid w:val="008F6943"/>
    <w:rsid w:val="00902A21"/>
    <w:rsid w:val="009046FD"/>
    <w:rsid w:val="00905AF0"/>
    <w:rsid w:val="0090752A"/>
    <w:rsid w:val="00920330"/>
    <w:rsid w:val="009219D7"/>
    <w:rsid w:val="00922D53"/>
    <w:rsid w:val="00923B70"/>
    <w:rsid w:val="00924482"/>
    <w:rsid w:val="00930237"/>
    <w:rsid w:val="009437B7"/>
    <w:rsid w:val="00946EA5"/>
    <w:rsid w:val="00963C08"/>
    <w:rsid w:val="00970F26"/>
    <w:rsid w:val="0098585A"/>
    <w:rsid w:val="00994E17"/>
    <w:rsid w:val="009A4CED"/>
    <w:rsid w:val="009A690D"/>
    <w:rsid w:val="009B1D12"/>
    <w:rsid w:val="009B416B"/>
    <w:rsid w:val="009B4A39"/>
    <w:rsid w:val="009C1D21"/>
    <w:rsid w:val="009C4BD5"/>
    <w:rsid w:val="009C6F5C"/>
    <w:rsid w:val="009D7B77"/>
    <w:rsid w:val="009E0BB0"/>
    <w:rsid w:val="009E3FBB"/>
    <w:rsid w:val="009E4FA4"/>
    <w:rsid w:val="00A102E4"/>
    <w:rsid w:val="00A12C42"/>
    <w:rsid w:val="00A14DF7"/>
    <w:rsid w:val="00A3246D"/>
    <w:rsid w:val="00A36FA7"/>
    <w:rsid w:val="00A41874"/>
    <w:rsid w:val="00A44D84"/>
    <w:rsid w:val="00A475B7"/>
    <w:rsid w:val="00A47AF7"/>
    <w:rsid w:val="00A47C3E"/>
    <w:rsid w:val="00A50226"/>
    <w:rsid w:val="00A60BAD"/>
    <w:rsid w:val="00A76EC3"/>
    <w:rsid w:val="00A84E36"/>
    <w:rsid w:val="00A964D1"/>
    <w:rsid w:val="00AA0ED0"/>
    <w:rsid w:val="00AA64A0"/>
    <w:rsid w:val="00AC2B40"/>
    <w:rsid w:val="00AC2BB2"/>
    <w:rsid w:val="00AC2C3C"/>
    <w:rsid w:val="00AC512D"/>
    <w:rsid w:val="00AD0083"/>
    <w:rsid w:val="00AE65EB"/>
    <w:rsid w:val="00AE67A7"/>
    <w:rsid w:val="00AF1D94"/>
    <w:rsid w:val="00AF60C5"/>
    <w:rsid w:val="00B009C6"/>
    <w:rsid w:val="00B01548"/>
    <w:rsid w:val="00B21D29"/>
    <w:rsid w:val="00B23B86"/>
    <w:rsid w:val="00B25034"/>
    <w:rsid w:val="00B33588"/>
    <w:rsid w:val="00B33863"/>
    <w:rsid w:val="00B34E99"/>
    <w:rsid w:val="00B37D17"/>
    <w:rsid w:val="00B4175E"/>
    <w:rsid w:val="00B452CE"/>
    <w:rsid w:val="00B5074E"/>
    <w:rsid w:val="00B54C25"/>
    <w:rsid w:val="00B60D91"/>
    <w:rsid w:val="00B76B91"/>
    <w:rsid w:val="00B77EB1"/>
    <w:rsid w:val="00B811C6"/>
    <w:rsid w:val="00B855B0"/>
    <w:rsid w:val="00B855F8"/>
    <w:rsid w:val="00B85BA6"/>
    <w:rsid w:val="00B87649"/>
    <w:rsid w:val="00B87BF8"/>
    <w:rsid w:val="00B92E08"/>
    <w:rsid w:val="00B9306D"/>
    <w:rsid w:val="00B94CAF"/>
    <w:rsid w:val="00BC2CA1"/>
    <w:rsid w:val="00BC622A"/>
    <w:rsid w:val="00BE0A78"/>
    <w:rsid w:val="00BE79F0"/>
    <w:rsid w:val="00BF046D"/>
    <w:rsid w:val="00BF1190"/>
    <w:rsid w:val="00BF5D04"/>
    <w:rsid w:val="00C01AE6"/>
    <w:rsid w:val="00C01C42"/>
    <w:rsid w:val="00C1164D"/>
    <w:rsid w:val="00C16861"/>
    <w:rsid w:val="00C26A70"/>
    <w:rsid w:val="00C35BED"/>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16DC"/>
    <w:rsid w:val="00CA0356"/>
    <w:rsid w:val="00CB6BC0"/>
    <w:rsid w:val="00CC1B7C"/>
    <w:rsid w:val="00CC727F"/>
    <w:rsid w:val="00CE11EA"/>
    <w:rsid w:val="00CE17F6"/>
    <w:rsid w:val="00CF15C3"/>
    <w:rsid w:val="00CF2B6F"/>
    <w:rsid w:val="00CF58B6"/>
    <w:rsid w:val="00D017ED"/>
    <w:rsid w:val="00D01B66"/>
    <w:rsid w:val="00D040D3"/>
    <w:rsid w:val="00D04C65"/>
    <w:rsid w:val="00D224FE"/>
    <w:rsid w:val="00D26CBC"/>
    <w:rsid w:val="00D275F8"/>
    <w:rsid w:val="00D6493E"/>
    <w:rsid w:val="00D7195D"/>
    <w:rsid w:val="00D7301E"/>
    <w:rsid w:val="00D83AE1"/>
    <w:rsid w:val="00D855D4"/>
    <w:rsid w:val="00D93466"/>
    <w:rsid w:val="00DA1124"/>
    <w:rsid w:val="00DB6124"/>
    <w:rsid w:val="00DB75B7"/>
    <w:rsid w:val="00DC26B4"/>
    <w:rsid w:val="00DC6E02"/>
    <w:rsid w:val="00DC709B"/>
    <w:rsid w:val="00DD2A8A"/>
    <w:rsid w:val="00DE02AE"/>
    <w:rsid w:val="00DF1D7F"/>
    <w:rsid w:val="00DF4BE4"/>
    <w:rsid w:val="00E02FB4"/>
    <w:rsid w:val="00E20571"/>
    <w:rsid w:val="00E235F7"/>
    <w:rsid w:val="00E23659"/>
    <w:rsid w:val="00E239D4"/>
    <w:rsid w:val="00E26130"/>
    <w:rsid w:val="00E40B22"/>
    <w:rsid w:val="00E41670"/>
    <w:rsid w:val="00E45619"/>
    <w:rsid w:val="00E4588F"/>
    <w:rsid w:val="00E46DA3"/>
    <w:rsid w:val="00E51BB1"/>
    <w:rsid w:val="00E624A5"/>
    <w:rsid w:val="00E7344E"/>
    <w:rsid w:val="00E83981"/>
    <w:rsid w:val="00EB0798"/>
    <w:rsid w:val="00EB40AD"/>
    <w:rsid w:val="00EB45F4"/>
    <w:rsid w:val="00EB586E"/>
    <w:rsid w:val="00EB5FC8"/>
    <w:rsid w:val="00EB719B"/>
    <w:rsid w:val="00EC7A85"/>
    <w:rsid w:val="00ED3CAD"/>
    <w:rsid w:val="00ED5A41"/>
    <w:rsid w:val="00EE1DE8"/>
    <w:rsid w:val="00EF36C8"/>
    <w:rsid w:val="00F033EC"/>
    <w:rsid w:val="00F04F68"/>
    <w:rsid w:val="00F10515"/>
    <w:rsid w:val="00F12670"/>
    <w:rsid w:val="00F14B27"/>
    <w:rsid w:val="00F17B44"/>
    <w:rsid w:val="00F24603"/>
    <w:rsid w:val="00F3148D"/>
    <w:rsid w:val="00F325C5"/>
    <w:rsid w:val="00F32FE0"/>
    <w:rsid w:val="00F35298"/>
    <w:rsid w:val="00F44B1A"/>
    <w:rsid w:val="00F47333"/>
    <w:rsid w:val="00F47E37"/>
    <w:rsid w:val="00F53C07"/>
    <w:rsid w:val="00F54B65"/>
    <w:rsid w:val="00F640B6"/>
    <w:rsid w:val="00F67185"/>
    <w:rsid w:val="00F80E40"/>
    <w:rsid w:val="00F848D9"/>
    <w:rsid w:val="00F96D60"/>
    <w:rsid w:val="00FA5B82"/>
    <w:rsid w:val="00FA639E"/>
    <w:rsid w:val="00FC0C49"/>
    <w:rsid w:val="00FC25E4"/>
    <w:rsid w:val="00FC4EF7"/>
    <w:rsid w:val="00FD7D76"/>
    <w:rsid w:val="00FE1DEE"/>
    <w:rsid w:val="00FF1E7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styleId="DocumentMap">
    <w:name w:val="Document Map"/>
    <w:basedOn w:val="Normal"/>
    <w:link w:val="DocumentMapChar"/>
    <w:uiPriority w:val="99"/>
    <w:semiHidden/>
    <w:unhideWhenUsed/>
    <w:rsid w:val="005F4A3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F4A37"/>
    <w:rPr>
      <w:rFonts w:ascii="Tahoma" w:eastAsia="Cambria" w:hAnsi="Tahoma" w:cs="Tahoma"/>
      <w:sz w:val="16"/>
      <w:szCs w:val="16"/>
    </w:rPr>
  </w:style>
  <w:style w:type="character" w:styleId="CommentReference">
    <w:name w:val="annotation reference"/>
    <w:basedOn w:val="DefaultParagraphFont"/>
    <w:uiPriority w:val="99"/>
    <w:semiHidden/>
    <w:unhideWhenUsed/>
    <w:rsid w:val="004A7AEC"/>
    <w:rPr>
      <w:sz w:val="16"/>
      <w:szCs w:val="16"/>
    </w:rPr>
  </w:style>
  <w:style w:type="paragraph" w:styleId="CommentText">
    <w:name w:val="annotation text"/>
    <w:basedOn w:val="Normal"/>
    <w:link w:val="CommentTextChar"/>
    <w:uiPriority w:val="99"/>
    <w:semiHidden/>
    <w:unhideWhenUsed/>
    <w:rsid w:val="004A7AEC"/>
    <w:pPr>
      <w:spacing w:line="240" w:lineRule="auto"/>
    </w:pPr>
    <w:rPr>
      <w:sz w:val="20"/>
      <w:szCs w:val="20"/>
    </w:rPr>
  </w:style>
  <w:style w:type="character" w:customStyle="1" w:styleId="CommentTextChar">
    <w:name w:val="Comment Text Char"/>
    <w:basedOn w:val="DefaultParagraphFont"/>
    <w:link w:val="CommentText"/>
    <w:uiPriority w:val="99"/>
    <w:semiHidden/>
    <w:rsid w:val="004A7AE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A7AEC"/>
    <w:rPr>
      <w:b/>
      <w:bCs/>
    </w:rPr>
  </w:style>
  <w:style w:type="character" w:customStyle="1" w:styleId="CommentSubjectChar">
    <w:name w:val="Comment Subject Char"/>
    <w:basedOn w:val="CommentTextChar"/>
    <w:link w:val="CommentSubject"/>
    <w:uiPriority w:val="99"/>
    <w:semiHidden/>
    <w:rsid w:val="004A7AEC"/>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styleId="DocumentMap">
    <w:name w:val="Document Map"/>
    <w:basedOn w:val="Normal"/>
    <w:link w:val="DocumentMapChar"/>
    <w:uiPriority w:val="99"/>
    <w:semiHidden/>
    <w:unhideWhenUsed/>
    <w:rsid w:val="005F4A3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F4A37"/>
    <w:rPr>
      <w:rFonts w:ascii="Tahoma" w:eastAsia="Cambria" w:hAnsi="Tahoma" w:cs="Tahoma"/>
      <w:sz w:val="16"/>
      <w:szCs w:val="16"/>
    </w:rPr>
  </w:style>
  <w:style w:type="character" w:styleId="CommentReference">
    <w:name w:val="annotation reference"/>
    <w:basedOn w:val="DefaultParagraphFont"/>
    <w:uiPriority w:val="99"/>
    <w:semiHidden/>
    <w:unhideWhenUsed/>
    <w:rsid w:val="004A7AEC"/>
    <w:rPr>
      <w:sz w:val="16"/>
      <w:szCs w:val="16"/>
    </w:rPr>
  </w:style>
  <w:style w:type="paragraph" w:styleId="CommentText">
    <w:name w:val="annotation text"/>
    <w:basedOn w:val="Normal"/>
    <w:link w:val="CommentTextChar"/>
    <w:uiPriority w:val="99"/>
    <w:semiHidden/>
    <w:unhideWhenUsed/>
    <w:rsid w:val="004A7AEC"/>
    <w:pPr>
      <w:spacing w:line="240" w:lineRule="auto"/>
    </w:pPr>
    <w:rPr>
      <w:sz w:val="20"/>
      <w:szCs w:val="20"/>
    </w:rPr>
  </w:style>
  <w:style w:type="character" w:customStyle="1" w:styleId="CommentTextChar">
    <w:name w:val="Comment Text Char"/>
    <w:basedOn w:val="DefaultParagraphFont"/>
    <w:link w:val="CommentText"/>
    <w:uiPriority w:val="99"/>
    <w:semiHidden/>
    <w:rsid w:val="004A7AE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A7AEC"/>
    <w:rPr>
      <w:b/>
      <w:bCs/>
    </w:rPr>
  </w:style>
  <w:style w:type="character" w:customStyle="1" w:styleId="CommentSubjectChar">
    <w:name w:val="Comment Subject Char"/>
    <w:basedOn w:val="CommentTextChar"/>
    <w:link w:val="CommentSubject"/>
    <w:uiPriority w:val="99"/>
    <w:semiHidden/>
    <w:rsid w:val="004A7AEC"/>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hyperlink" Target="http://www.tga.gov.au"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hyperlink" Target="mailto:info@tga.gov.au" TargetMode="Externa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http://www.tga.gov.au" TargetMode="External"/><Relationship Id="rId19" Type="http://schemas.openxmlformats.org/officeDocument/2006/relationships/image" Target="media/image4.emf"/><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www.tga.gov.au/hp/information-medicines-pi.htm" TargetMode="External"/><Relationship Id="rId30" Type="http://schemas.openxmlformats.org/officeDocument/2006/relationships/footer" Target="footer4.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www.tga.gov.au/hp/medicines-pregnancy.htm" TargetMode="External"/><Relationship Id="rId2" Type="http://schemas.openxmlformats.org/officeDocument/2006/relationships/hyperlink" Target="http://www.accessdata.fda.gov/scripts/cdrh/cfdocs/cfcfr/cfrsearch.cfm?fr=201.57" TargetMode="External"/><Relationship Id="rId1" Type="http://schemas.openxmlformats.org/officeDocument/2006/relationships/hyperlink" Target="http://informahealthcare.com/doi/pdfplus/10.3109/14767058.2013.79965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B8553-71A0-424D-954C-CA44A44C93BA}">
  <ds:schemaRefs>
    <ds:schemaRef ds:uri="http://schemas.microsoft.com/office/2006/customDocumentInformationPanel"/>
  </ds:schemaRefs>
</ds:datastoreItem>
</file>

<file path=customXml/itemProps2.xml><?xml version="1.0" encoding="utf-8"?>
<ds:datastoreItem xmlns:ds="http://schemas.openxmlformats.org/officeDocument/2006/customXml" ds:itemID="{3764643B-D1D3-4CED-ABC4-9A76736A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10</TotalTime>
  <Pages>40</Pages>
  <Words>13048</Words>
  <Characters>71769</Characters>
  <Application>Microsoft Office Word</Application>
  <DocSecurity>0</DocSecurity>
  <Lines>1304</Lines>
  <Paragraphs>673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84144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insulin detemir (rys)</dc:title>
  <dc:subject>prescription medicine regulation</dc:subject>
  <dc:creator>Therapeutic Goods Administration</dc:creator>
  <cp:keywords>auspar, prescription, medicine, assessment, regulation, australia, insulin detemir (rys), levemir</cp:keywords>
  <cp:lastModifiedBy>Bird, Gail</cp:lastModifiedBy>
  <cp:revision>5</cp:revision>
  <cp:lastPrinted>2014-03-07T00:52:00Z</cp:lastPrinted>
  <dcterms:created xsi:type="dcterms:W3CDTF">2014-05-31T01:38:00Z</dcterms:created>
  <dcterms:modified xsi:type="dcterms:W3CDTF">2014-05-31T01:47:00Z</dcterms:modified>
</cp:coreProperties>
</file>