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5B6EE" w14:textId="77777777" w:rsidR="001B519B" w:rsidRPr="0085534E" w:rsidRDefault="001B519B" w:rsidP="001B519B">
      <w:pPr>
        <w:tabs>
          <w:tab w:val="left" w:pos="284"/>
        </w:tabs>
        <w:spacing w:before="0" w:after="480"/>
        <w:rPr>
          <w:color w:val="auto"/>
        </w:rPr>
      </w:pPr>
      <w:bookmarkStart w:id="0" w:name="_GoBack"/>
      <w:bookmarkEnd w:id="0"/>
      <w:r w:rsidRPr="0085534E">
        <w:rPr>
          <w:noProof/>
          <w:color w:val="auto"/>
          <w:lang w:val="en-AU" w:eastAsia="en-AU"/>
        </w:rPr>
        <mc:AlternateContent>
          <mc:Choice Requires="wps">
            <w:drawing>
              <wp:inline distT="0" distB="0" distL="0" distR="0" wp14:anchorId="157B1183" wp14:editId="2D5B898F">
                <wp:extent cx="252095" cy="414020"/>
                <wp:effectExtent l="0" t="0" r="0" b="508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414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CD97B" w14:textId="77777777" w:rsidR="00EE5260" w:rsidRPr="00BE2A26" w:rsidRDefault="00EE5260" w:rsidP="001B519B">
                            <w:pPr>
                              <w:rPr>
                                <w:rFonts w:ascii="Wingdings 3" w:hAnsi="Wingdings 3"/>
                              </w:rPr>
                            </w:pPr>
                            <w:r w:rsidRPr="00BE2A26">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157B1183" id="_x0000_t202" coordsize="21600,21600" o:spt="202" path="m,l,21600r21600,l21600,xe">
                <v:stroke joinstyle="miter"/>
                <v:path gradientshapeok="t" o:connecttype="rect"/>
              </v:shapetype>
              <v:shape id="Text Box 1" o:spid="_x0000_s1026" type="#_x0000_t202" style="width:19.85pt;height:3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" stroked="f">
                <v:textbox inset="0,0,0,0">
                  <w:txbxContent>
                    <w:p w14:paraId="03BCD97B" w14:textId="77777777" w:rsidR="00EE5260" w:rsidRPr="00BE2A26" w:rsidRDefault="00EE5260" w:rsidP="001B519B">
                      <w:pPr>
                        <w:rPr>
                          <w:rFonts w:ascii="Wingdings 3" w:hAnsi="Wingdings 3"/>
                        </w:rPr>
                      </w:pPr>
                      <w:r w:rsidRPr="00BE2A26">
                        <w:rPr>
                          <w:rFonts w:ascii="SimSun" w:eastAsia="SimSun" w:hAnsi="SimSun" w:cs="Arial" w:hint="eastAsia"/>
                          <w:sz w:val="40"/>
                        </w:rPr>
                        <w:t>▼</w:t>
                      </w:r>
                    </w:p>
                  </w:txbxContent>
                </v:textbox>
                <w10:anchorlock/>
              </v:shape>
            </w:pict>
          </mc:Fallback>
        </mc:AlternateContent>
      </w:r>
      <w:r w:rsidRPr="0085534E">
        <w:rPr>
          <w:color w:val="auto"/>
        </w:rPr>
        <w:t>This medicinal product is subject to additional monitoring in Australia. This will allow quick identification of new safety information. Healthcare professionals are asked to report any suspected adverse events at www.tga.gov.au/reporting-problems.</w:t>
      </w:r>
    </w:p>
    <w:p w14:paraId="1577B137" w14:textId="7C138C4F" w:rsidR="004032BD" w:rsidRPr="0085534E" w:rsidRDefault="00D86276" w:rsidP="00024098">
      <w:pPr>
        <w:pStyle w:val="Heading1"/>
        <w:keepNext w:val="0"/>
        <w:pageBreakBefore w:val="0"/>
        <w:numPr>
          <w:ilvl w:val="0"/>
          <w:numId w:val="0"/>
        </w:numPr>
        <w:spacing w:after="240"/>
        <w:rPr>
          <w:rFonts w:eastAsia="SimSun"/>
          <w:lang w:val="en-AU"/>
        </w:rPr>
      </w:pPr>
      <w:r w:rsidRPr="0085534E">
        <w:rPr>
          <w:rFonts w:eastAsia="SimSun"/>
          <w:lang w:val="en-AU"/>
        </w:rPr>
        <w:t xml:space="preserve">Australian product </w:t>
      </w:r>
      <w:r w:rsidR="004032BD" w:rsidRPr="0085534E">
        <w:rPr>
          <w:rFonts w:eastAsia="SimSun"/>
          <w:lang w:val="en-AU"/>
        </w:rPr>
        <w:t>I</w:t>
      </w:r>
      <w:r w:rsidRPr="0085534E">
        <w:rPr>
          <w:rFonts w:eastAsia="SimSun"/>
          <w:lang w:val="en-AU"/>
        </w:rPr>
        <w:t>nformation</w:t>
      </w:r>
      <w:r w:rsidR="004032BD" w:rsidRPr="0085534E">
        <w:rPr>
          <w:rFonts w:eastAsia="SimSun"/>
          <w:lang w:val="en-AU"/>
        </w:rPr>
        <w:t xml:space="preserve"> –</w:t>
      </w:r>
      <w:r w:rsidR="00E53688" w:rsidRPr="0085534E">
        <w:rPr>
          <w:rFonts w:eastAsia="SimSun"/>
          <w:lang w:val="en-AU"/>
        </w:rPr>
        <w:t xml:space="preserve"> </w:t>
      </w:r>
      <w:r w:rsidR="00A43393" w:rsidRPr="0085534E">
        <w:rPr>
          <w:rFonts w:eastAsia="SimSun"/>
          <w:lang w:val="en-AU"/>
        </w:rPr>
        <w:t>Sarclisa</w:t>
      </w:r>
      <w:r w:rsidR="00D31662" w:rsidRPr="0085534E">
        <w:rPr>
          <w:rFonts w:eastAsia="SimSun"/>
          <w:vertAlign w:val="superscript"/>
          <w:lang w:val="en-AU"/>
        </w:rPr>
        <w:t xml:space="preserve">® </w:t>
      </w:r>
      <w:r w:rsidR="00E53688" w:rsidRPr="0085534E">
        <w:rPr>
          <w:rFonts w:eastAsia="SimSun"/>
          <w:lang w:val="en-AU"/>
        </w:rPr>
        <w:t>(</w:t>
      </w:r>
      <w:r w:rsidR="00763D3F" w:rsidRPr="0085534E">
        <w:rPr>
          <w:rFonts w:eastAsia="SimSun"/>
          <w:lang w:val="en-AU"/>
        </w:rPr>
        <w:t>isatuximab</w:t>
      </w:r>
      <w:r w:rsidR="00E53688" w:rsidRPr="0085534E">
        <w:rPr>
          <w:rFonts w:eastAsia="SimSun"/>
          <w:lang w:val="en-AU"/>
        </w:rPr>
        <w:t>)</w:t>
      </w:r>
    </w:p>
    <w:p w14:paraId="54C52492" w14:textId="77777777" w:rsidR="001A3992" w:rsidRPr="0085534E" w:rsidRDefault="001A3992" w:rsidP="00E71F4B">
      <w:pPr>
        <w:pStyle w:val="Heading1"/>
        <w:keepNext w:val="0"/>
        <w:pageBreakBefore w:val="0"/>
        <w:spacing w:before="0" w:after="120"/>
        <w:rPr>
          <w:lang w:val="en-AU"/>
        </w:rPr>
      </w:pPr>
      <w:r w:rsidRPr="0085534E">
        <w:rPr>
          <w:lang w:val="en-AU"/>
        </w:rPr>
        <w:t>Name of the medicine</w:t>
      </w:r>
    </w:p>
    <w:p w14:paraId="2A18E775" w14:textId="00E9A1FA" w:rsidR="00763D3F" w:rsidRPr="0085534E" w:rsidRDefault="00A62078" w:rsidP="00763D3F">
      <w:pPr>
        <w:widowControl w:val="0"/>
        <w:rPr>
          <w:noProof/>
          <w:color w:val="auto"/>
          <w:szCs w:val="22"/>
        </w:rPr>
      </w:pPr>
      <w:r w:rsidRPr="0085534E">
        <w:rPr>
          <w:noProof/>
          <w:color w:val="auto"/>
          <w:szCs w:val="22"/>
        </w:rPr>
        <w:t>Sarclisa</w:t>
      </w:r>
      <w:r w:rsidR="00763D3F" w:rsidRPr="0085534E">
        <w:rPr>
          <w:noProof/>
          <w:color w:val="auto"/>
          <w:szCs w:val="22"/>
        </w:rPr>
        <w:t xml:space="preserve"> (isatuximab) 20mg/mL concentrate</w:t>
      </w:r>
      <w:r w:rsidR="00F46037" w:rsidRPr="0085534E">
        <w:rPr>
          <w:noProof/>
          <w:color w:val="auto"/>
          <w:szCs w:val="22"/>
        </w:rPr>
        <w:t>d</w:t>
      </w:r>
      <w:r w:rsidR="00763D3F" w:rsidRPr="0085534E">
        <w:rPr>
          <w:noProof/>
          <w:color w:val="auto"/>
          <w:szCs w:val="22"/>
        </w:rPr>
        <w:t xml:space="preserve"> </w:t>
      </w:r>
      <w:r w:rsidR="00F46037" w:rsidRPr="0085534E">
        <w:rPr>
          <w:noProof/>
          <w:color w:val="auto"/>
          <w:szCs w:val="22"/>
        </w:rPr>
        <w:t xml:space="preserve">injection for </w:t>
      </w:r>
      <w:r w:rsidR="00763D3F" w:rsidRPr="0085534E">
        <w:rPr>
          <w:noProof/>
          <w:color w:val="auto"/>
          <w:szCs w:val="22"/>
        </w:rPr>
        <w:t>infusion</w:t>
      </w:r>
    </w:p>
    <w:p w14:paraId="187434FE" w14:textId="77777777" w:rsidR="00292D82" w:rsidRPr="0085534E" w:rsidRDefault="00C301BA" w:rsidP="00C301BA">
      <w:pPr>
        <w:spacing w:before="120"/>
        <w:jc w:val="both"/>
        <w:rPr>
          <w:color w:val="auto"/>
          <w:lang w:val="en-AU"/>
        </w:rPr>
      </w:pPr>
      <w:r w:rsidRPr="0085534E">
        <w:rPr>
          <w:color w:val="auto"/>
          <w:lang w:val="en-AU"/>
        </w:rPr>
        <w:t xml:space="preserve"> </w:t>
      </w:r>
    </w:p>
    <w:p w14:paraId="3D21C4AC" w14:textId="77777777" w:rsidR="001A3992" w:rsidRPr="0085534E" w:rsidRDefault="001A3992" w:rsidP="00024098">
      <w:pPr>
        <w:pStyle w:val="Heading1"/>
        <w:keepNext w:val="0"/>
        <w:pageBreakBefore w:val="0"/>
        <w:spacing w:before="0" w:after="120"/>
        <w:rPr>
          <w:lang w:val="en-AU"/>
        </w:rPr>
      </w:pPr>
      <w:r w:rsidRPr="0085534E">
        <w:rPr>
          <w:lang w:val="en-AU"/>
        </w:rPr>
        <w:t>Qualitative and quantitative composition</w:t>
      </w:r>
    </w:p>
    <w:p w14:paraId="0F34709F" w14:textId="054B2A6A" w:rsidR="008E4B46" w:rsidRPr="0085534E" w:rsidRDefault="008E4B46" w:rsidP="00FE779F">
      <w:pPr>
        <w:widowControl w:val="0"/>
        <w:rPr>
          <w:b/>
          <w:bCs/>
          <w:noProof/>
          <w:color w:val="auto"/>
          <w:szCs w:val="22"/>
        </w:rPr>
      </w:pPr>
      <w:r w:rsidRPr="0085534E">
        <w:rPr>
          <w:color w:val="auto"/>
          <w:spacing w:val="-4"/>
        </w:rPr>
        <w:t>One m</w:t>
      </w:r>
      <w:r w:rsidR="005F58A9" w:rsidRPr="0085534E">
        <w:rPr>
          <w:color w:val="auto"/>
          <w:spacing w:val="-4"/>
        </w:rPr>
        <w:t>L</w:t>
      </w:r>
      <w:r w:rsidRPr="0085534E">
        <w:rPr>
          <w:color w:val="auto"/>
          <w:spacing w:val="-4"/>
        </w:rPr>
        <w:t xml:space="preserve"> of </w:t>
      </w:r>
      <w:r w:rsidR="00A62078" w:rsidRPr="0085534E">
        <w:rPr>
          <w:noProof/>
          <w:color w:val="auto"/>
          <w:szCs w:val="22"/>
        </w:rPr>
        <w:t>Sarclisa</w:t>
      </w:r>
      <w:r w:rsidRPr="0085534E">
        <w:rPr>
          <w:color w:val="auto"/>
          <w:spacing w:val="-4"/>
        </w:rPr>
        <w:t xml:space="preserve"> concentrate</w:t>
      </w:r>
      <w:r w:rsidR="009D7F7B" w:rsidRPr="0085534E">
        <w:rPr>
          <w:color w:val="auto"/>
          <w:spacing w:val="-4"/>
        </w:rPr>
        <w:t>d injection</w:t>
      </w:r>
      <w:r w:rsidRPr="0085534E">
        <w:rPr>
          <w:color w:val="auto"/>
          <w:spacing w:val="-4"/>
        </w:rPr>
        <w:t xml:space="preserve"> contains 20mg isatuximab.</w:t>
      </w:r>
      <w:r w:rsidRPr="0085534E">
        <w:rPr>
          <w:b/>
          <w:bCs/>
          <w:noProof/>
          <w:color w:val="auto"/>
          <w:szCs w:val="22"/>
        </w:rPr>
        <w:t xml:space="preserve"> </w:t>
      </w:r>
      <w:r w:rsidRPr="0085534E">
        <w:rPr>
          <w:bCs/>
          <w:noProof/>
          <w:color w:val="auto"/>
          <w:szCs w:val="22"/>
        </w:rPr>
        <w:t xml:space="preserve">Each single-use vial of </w:t>
      </w:r>
      <w:r w:rsidR="00A62078" w:rsidRPr="0085534E">
        <w:rPr>
          <w:noProof/>
          <w:color w:val="auto"/>
          <w:szCs w:val="22"/>
        </w:rPr>
        <w:t>Sarclisa</w:t>
      </w:r>
      <w:r w:rsidRPr="0085534E">
        <w:rPr>
          <w:color w:val="auto"/>
          <w:spacing w:val="-4"/>
        </w:rPr>
        <w:t xml:space="preserve"> </w:t>
      </w:r>
      <w:r w:rsidRPr="0085534E">
        <w:rPr>
          <w:bCs/>
          <w:noProof/>
          <w:color w:val="auto"/>
          <w:szCs w:val="22"/>
        </w:rPr>
        <w:t>concentrate</w:t>
      </w:r>
      <w:r w:rsidR="009D7F7B" w:rsidRPr="0085534E">
        <w:rPr>
          <w:bCs/>
          <w:noProof/>
          <w:color w:val="auto"/>
          <w:szCs w:val="22"/>
        </w:rPr>
        <w:t>d injection</w:t>
      </w:r>
      <w:r w:rsidRPr="0085534E">
        <w:rPr>
          <w:bCs/>
          <w:noProof/>
          <w:color w:val="auto"/>
          <w:szCs w:val="22"/>
        </w:rPr>
        <w:t xml:space="preserve"> </w:t>
      </w:r>
      <w:r w:rsidR="00A43393" w:rsidRPr="0085534E">
        <w:rPr>
          <w:bCs/>
          <w:noProof/>
          <w:color w:val="auto"/>
          <w:szCs w:val="22"/>
        </w:rPr>
        <w:t>contains 100</w:t>
      </w:r>
      <w:r w:rsidRPr="0085534E">
        <w:rPr>
          <w:bCs/>
          <w:noProof/>
          <w:color w:val="auto"/>
          <w:szCs w:val="22"/>
        </w:rPr>
        <w:t>mg or 500mg isatuximab</w:t>
      </w:r>
      <w:r w:rsidR="00FE779F" w:rsidRPr="0085534E">
        <w:rPr>
          <w:bCs/>
          <w:noProof/>
          <w:color w:val="auto"/>
          <w:szCs w:val="22"/>
        </w:rPr>
        <w:t>.</w:t>
      </w:r>
    </w:p>
    <w:p w14:paraId="69D13EE1" w14:textId="0D4368FB" w:rsidR="00763D3F" w:rsidRPr="0085534E" w:rsidRDefault="008E4B46" w:rsidP="00957ADE">
      <w:pPr>
        <w:rPr>
          <w:color w:val="auto"/>
        </w:rPr>
      </w:pPr>
      <w:r w:rsidRPr="0085534E">
        <w:rPr>
          <w:color w:val="auto"/>
        </w:rPr>
        <w:t xml:space="preserve">Isatuximab </w:t>
      </w:r>
      <w:r w:rsidR="00D31662" w:rsidRPr="0085534E">
        <w:rPr>
          <w:color w:val="auto"/>
        </w:rPr>
        <w:t xml:space="preserve">is an immunoglobulin G1 (IgG1) monoclonal antibody (mAb) that binds to a specific extracellular epitope of cluster of differentiation 38 (CD38) receptor and triggers several mechanisms leading to the death of CD38 expressing tumor cells. </w:t>
      </w:r>
    </w:p>
    <w:p w14:paraId="1B6623A5" w14:textId="77777777" w:rsidR="000E1A58" w:rsidRPr="0085534E" w:rsidRDefault="00763D3F" w:rsidP="00957ADE">
      <w:pPr>
        <w:rPr>
          <w:color w:val="auto"/>
        </w:rPr>
      </w:pPr>
      <w:r w:rsidRPr="0085534E">
        <w:rPr>
          <w:color w:val="auto"/>
        </w:rPr>
        <w:t>For the full list of excipients, see section 6.1.</w:t>
      </w:r>
    </w:p>
    <w:p w14:paraId="3872259E" w14:textId="77777777" w:rsidR="00763D3F" w:rsidRPr="0085534E" w:rsidRDefault="00763D3F" w:rsidP="00763D3F">
      <w:pPr>
        <w:pStyle w:val="wcpTableContent"/>
        <w:spacing w:before="120" w:after="0"/>
        <w:jc w:val="both"/>
        <w:rPr>
          <w:color w:val="auto"/>
        </w:rPr>
      </w:pPr>
    </w:p>
    <w:p w14:paraId="0E19EC7A" w14:textId="77777777" w:rsidR="001A3992" w:rsidRPr="0085534E" w:rsidRDefault="001A3992" w:rsidP="00024098">
      <w:pPr>
        <w:pStyle w:val="Heading1"/>
        <w:keepNext w:val="0"/>
        <w:pageBreakBefore w:val="0"/>
        <w:spacing w:before="0" w:after="120"/>
        <w:rPr>
          <w:lang w:val="en-AU"/>
        </w:rPr>
      </w:pPr>
      <w:r w:rsidRPr="0085534E">
        <w:rPr>
          <w:lang w:val="en-AU"/>
        </w:rPr>
        <w:t>Pharmaceutical form</w:t>
      </w:r>
    </w:p>
    <w:p w14:paraId="1391C224" w14:textId="05D2C62F" w:rsidR="00763D3F" w:rsidRPr="0085534E" w:rsidRDefault="00763D3F" w:rsidP="00763D3F">
      <w:pPr>
        <w:rPr>
          <w:color w:val="auto"/>
          <w:lang w:val="en-AU"/>
        </w:rPr>
      </w:pPr>
      <w:r w:rsidRPr="0085534E">
        <w:rPr>
          <w:color w:val="auto"/>
          <w:lang w:val="en-AU"/>
        </w:rPr>
        <w:t>Concentrate</w:t>
      </w:r>
      <w:r w:rsidR="009D7F7B" w:rsidRPr="0085534E">
        <w:rPr>
          <w:color w:val="auto"/>
          <w:lang w:val="en-AU"/>
        </w:rPr>
        <w:t xml:space="preserve">d injection </w:t>
      </w:r>
      <w:r w:rsidRPr="0085534E">
        <w:rPr>
          <w:color w:val="auto"/>
          <w:lang w:val="en-AU"/>
        </w:rPr>
        <w:t>for infusion.</w:t>
      </w:r>
    </w:p>
    <w:p w14:paraId="59D18CEF" w14:textId="7F119CE2" w:rsidR="00AE5799" w:rsidRPr="0085534E" w:rsidRDefault="00A43393" w:rsidP="00763D3F">
      <w:pPr>
        <w:rPr>
          <w:color w:val="auto"/>
          <w:lang w:val="en-AU"/>
        </w:rPr>
      </w:pPr>
      <w:r w:rsidRPr="0085534E">
        <w:rPr>
          <w:color w:val="auto"/>
          <w:lang w:val="en-AU"/>
        </w:rPr>
        <w:t>S</w:t>
      </w:r>
      <w:r w:rsidR="00957ADE" w:rsidRPr="0085534E">
        <w:rPr>
          <w:color w:val="auto"/>
          <w:lang w:val="en-AU"/>
        </w:rPr>
        <w:t>arclisa</w:t>
      </w:r>
      <w:r w:rsidR="008E4B46" w:rsidRPr="0085534E">
        <w:rPr>
          <w:color w:val="auto"/>
          <w:lang w:val="en-AU"/>
        </w:rPr>
        <w:t xml:space="preserve"> </w:t>
      </w:r>
      <w:r w:rsidR="00763D3F" w:rsidRPr="0085534E">
        <w:rPr>
          <w:color w:val="auto"/>
          <w:lang w:val="en-AU"/>
        </w:rPr>
        <w:t xml:space="preserve">is a </w:t>
      </w:r>
      <w:r w:rsidR="00F46037" w:rsidRPr="0085534E">
        <w:rPr>
          <w:color w:val="auto"/>
          <w:lang w:val="en-AU"/>
        </w:rPr>
        <w:t>colourless</w:t>
      </w:r>
      <w:r w:rsidR="00763D3F" w:rsidRPr="0085534E">
        <w:rPr>
          <w:color w:val="auto"/>
          <w:lang w:val="en-AU"/>
        </w:rPr>
        <w:t xml:space="preserve"> to slightly yellow solution, essential</w:t>
      </w:r>
      <w:r w:rsidR="005449E9" w:rsidRPr="0085534E">
        <w:rPr>
          <w:color w:val="auto"/>
          <w:lang w:val="en-AU"/>
        </w:rPr>
        <w:t xml:space="preserve">ly free of visible particulates, containing no antimicrobial preservatives. </w:t>
      </w:r>
    </w:p>
    <w:p w14:paraId="57188CF5" w14:textId="77777777" w:rsidR="00763D3F" w:rsidRPr="0085534E" w:rsidRDefault="00763D3F" w:rsidP="00763D3F">
      <w:pPr>
        <w:rPr>
          <w:color w:val="auto"/>
          <w:lang w:val="en-AU"/>
        </w:rPr>
      </w:pPr>
    </w:p>
    <w:p w14:paraId="63E46E90" w14:textId="77777777" w:rsidR="001A3992" w:rsidRPr="0085534E" w:rsidRDefault="001A3992" w:rsidP="00292D82">
      <w:pPr>
        <w:pStyle w:val="Heading1"/>
        <w:keepNext w:val="0"/>
        <w:pageBreakBefore w:val="0"/>
        <w:spacing w:before="0" w:after="120"/>
        <w:rPr>
          <w:lang w:val="en-AU"/>
        </w:rPr>
      </w:pPr>
      <w:r w:rsidRPr="0085534E">
        <w:rPr>
          <w:lang w:val="en-AU"/>
        </w:rPr>
        <w:t>Clinical particulars</w:t>
      </w:r>
    </w:p>
    <w:p w14:paraId="4D72892A" w14:textId="77777777" w:rsidR="001A3992" w:rsidRPr="0085534E" w:rsidRDefault="001A3992" w:rsidP="001A3992">
      <w:pPr>
        <w:pStyle w:val="Heading2"/>
        <w:spacing w:before="0" w:after="120"/>
        <w:rPr>
          <w:lang w:val="en-AU"/>
        </w:rPr>
      </w:pPr>
      <w:r w:rsidRPr="0085534E">
        <w:rPr>
          <w:lang w:val="en-AU"/>
        </w:rPr>
        <w:t xml:space="preserve">Therapeutic indications </w:t>
      </w:r>
    </w:p>
    <w:p w14:paraId="3E04FDF4" w14:textId="4A4378D2" w:rsidR="00763D3F" w:rsidRPr="0085534E" w:rsidRDefault="00957ADE" w:rsidP="00763D3F">
      <w:pPr>
        <w:rPr>
          <w:color w:val="auto"/>
          <w:lang w:val="en-AU"/>
        </w:rPr>
      </w:pPr>
      <w:r w:rsidRPr="0085534E">
        <w:rPr>
          <w:color w:val="auto"/>
          <w:lang w:val="en-AU"/>
        </w:rPr>
        <w:t>Sarclisa</w:t>
      </w:r>
      <w:r w:rsidR="00763D3F" w:rsidRPr="0085534E">
        <w:rPr>
          <w:color w:val="auto"/>
          <w:lang w:val="en-AU"/>
        </w:rPr>
        <w:t xml:space="preserve"> is indicated in combination with pomalidomide and dexamethasone</w:t>
      </w:r>
      <w:r w:rsidR="00D31662" w:rsidRPr="0085534E">
        <w:rPr>
          <w:color w:val="auto"/>
          <w:lang w:val="en-AU"/>
        </w:rPr>
        <w:t>,</w:t>
      </w:r>
      <w:r w:rsidR="00763D3F" w:rsidRPr="0085534E">
        <w:rPr>
          <w:color w:val="auto"/>
          <w:lang w:val="en-AU"/>
        </w:rPr>
        <w:t xml:space="preserve"> for the treatment of patients with multiple myeloma (MM) who have received at least two prior therapies including lenalidomide and a proteasome inhibitor (PI).</w:t>
      </w:r>
    </w:p>
    <w:p w14:paraId="608F507B" w14:textId="77777777" w:rsidR="00292D82" w:rsidRPr="0085534E" w:rsidRDefault="00292D82" w:rsidP="00292D82">
      <w:pPr>
        <w:spacing w:before="120"/>
        <w:jc w:val="both"/>
        <w:rPr>
          <w:color w:val="auto"/>
          <w:lang w:val="en-AU"/>
        </w:rPr>
      </w:pPr>
    </w:p>
    <w:p w14:paraId="750F6C87" w14:textId="77777777" w:rsidR="001A3992" w:rsidRPr="0085534E" w:rsidRDefault="001A3992" w:rsidP="001A3992">
      <w:pPr>
        <w:pStyle w:val="Heading2"/>
        <w:spacing w:before="0" w:after="120"/>
        <w:rPr>
          <w:lang w:val="en-AU"/>
        </w:rPr>
      </w:pPr>
      <w:r w:rsidRPr="0085534E">
        <w:rPr>
          <w:lang w:val="en-AU"/>
        </w:rPr>
        <w:t xml:space="preserve">Dose and method of administration </w:t>
      </w:r>
    </w:p>
    <w:p w14:paraId="6BC35BD2" w14:textId="370AED17" w:rsidR="004F0E4A" w:rsidRPr="0085534E" w:rsidRDefault="00957ADE" w:rsidP="004F0E4A">
      <w:pPr>
        <w:rPr>
          <w:color w:val="auto"/>
          <w:lang w:val="en-AU"/>
        </w:rPr>
      </w:pPr>
      <w:r w:rsidRPr="0085534E">
        <w:rPr>
          <w:color w:val="auto"/>
          <w:lang w:val="en-AU"/>
        </w:rPr>
        <w:t>Sarclisa</w:t>
      </w:r>
      <w:r w:rsidR="00763D3F" w:rsidRPr="0085534E">
        <w:rPr>
          <w:color w:val="auto"/>
          <w:lang w:val="en-AU"/>
        </w:rPr>
        <w:t xml:space="preserve"> should be administered by a healthcare professional, in an environment where resuscitation facilities are available.</w:t>
      </w:r>
    </w:p>
    <w:p w14:paraId="40A66CF8" w14:textId="592492BF" w:rsidR="00763D3F" w:rsidRPr="0085534E" w:rsidRDefault="00763D3F" w:rsidP="00FE647A">
      <w:pPr>
        <w:keepNext/>
        <w:spacing w:before="100" w:beforeAutospacing="1" w:after="100" w:afterAutospacing="1"/>
        <w:rPr>
          <w:color w:val="auto"/>
        </w:rPr>
      </w:pPr>
      <w:r w:rsidRPr="0085534E">
        <w:rPr>
          <w:b/>
          <w:color w:val="auto"/>
          <w:szCs w:val="22"/>
        </w:rPr>
        <w:lastRenderedPageBreak/>
        <w:t>Premedication</w:t>
      </w:r>
      <w:r w:rsidRPr="0085534E">
        <w:rPr>
          <w:color w:val="auto"/>
          <w:szCs w:val="22"/>
        </w:rPr>
        <w:br/>
      </w:r>
      <w:r w:rsidRPr="0085534E">
        <w:rPr>
          <w:color w:val="auto"/>
        </w:rPr>
        <w:t xml:space="preserve">Premedication should be used prior to each </w:t>
      </w:r>
      <w:r w:rsidR="00957ADE" w:rsidRPr="0085534E">
        <w:rPr>
          <w:color w:val="auto"/>
          <w:lang w:val="en-AU"/>
        </w:rPr>
        <w:t>Sarclisa</w:t>
      </w:r>
      <w:r w:rsidRPr="0085534E">
        <w:rPr>
          <w:color w:val="auto"/>
        </w:rPr>
        <w:t xml:space="preserve"> infusion with the following medication</w:t>
      </w:r>
      <w:r w:rsidR="00D31662" w:rsidRPr="0085534E">
        <w:rPr>
          <w:color w:val="auto"/>
        </w:rPr>
        <w:t>s</w:t>
      </w:r>
      <w:r w:rsidRPr="0085534E">
        <w:rPr>
          <w:color w:val="auto"/>
        </w:rPr>
        <w:t xml:space="preserve"> to reduce the risk and severity of infusion reactions (IR</w:t>
      </w:r>
      <w:r w:rsidR="00D31662" w:rsidRPr="0085534E">
        <w:rPr>
          <w:color w:val="auto"/>
        </w:rPr>
        <w:t>s</w:t>
      </w:r>
      <w:r w:rsidRPr="0085534E">
        <w:rPr>
          <w:color w:val="auto"/>
        </w:rPr>
        <w:t xml:space="preserve">): </w:t>
      </w:r>
    </w:p>
    <w:p w14:paraId="4BAF2C4D" w14:textId="1D4A94AB" w:rsidR="00763D3F" w:rsidRPr="0085534E" w:rsidRDefault="00357371" w:rsidP="00357371">
      <w:pPr>
        <w:pStyle w:val="ListBulletLevel1"/>
        <w:rPr>
          <w:color w:val="auto"/>
        </w:rPr>
      </w:pPr>
      <w:r w:rsidRPr="0085534E">
        <w:rPr>
          <w:color w:val="auto"/>
        </w:rPr>
        <w:t xml:space="preserve"> </w:t>
      </w:r>
      <w:r w:rsidR="00763D3F" w:rsidRPr="0085534E">
        <w:rPr>
          <w:color w:val="auto"/>
        </w:rPr>
        <w:t xml:space="preserve">Dexamethasone 40 mg </w:t>
      </w:r>
      <w:r w:rsidR="00FE779F" w:rsidRPr="0085534E">
        <w:rPr>
          <w:color w:val="auto"/>
        </w:rPr>
        <w:t>administered orally</w:t>
      </w:r>
      <w:r w:rsidR="00763D3F" w:rsidRPr="0085534E">
        <w:rPr>
          <w:color w:val="auto"/>
        </w:rPr>
        <w:t xml:space="preserve"> or</w:t>
      </w:r>
      <w:r w:rsidRPr="0085534E">
        <w:rPr>
          <w:color w:val="auto"/>
        </w:rPr>
        <w:t xml:space="preserve"> intravenously </w:t>
      </w:r>
      <w:r w:rsidR="00763D3F" w:rsidRPr="0085534E">
        <w:rPr>
          <w:color w:val="auto"/>
        </w:rPr>
        <w:t xml:space="preserve">or 20 mg </w:t>
      </w:r>
      <w:r w:rsidR="00FE779F" w:rsidRPr="0085534E">
        <w:rPr>
          <w:color w:val="auto"/>
        </w:rPr>
        <w:t>administered orally</w:t>
      </w:r>
      <w:r w:rsidRPr="0085534E">
        <w:rPr>
          <w:color w:val="auto"/>
        </w:rPr>
        <w:t xml:space="preserve"> or intravenously </w:t>
      </w:r>
      <w:r w:rsidR="00763D3F" w:rsidRPr="0085534E">
        <w:rPr>
          <w:color w:val="auto"/>
        </w:rPr>
        <w:t>for patients ≥75 years of age.</w:t>
      </w:r>
    </w:p>
    <w:p w14:paraId="1A436762" w14:textId="6E543A52" w:rsidR="00763D3F" w:rsidRPr="0085534E" w:rsidRDefault="00CB5827" w:rsidP="00357371">
      <w:pPr>
        <w:pStyle w:val="ListBulletLevel1"/>
        <w:rPr>
          <w:color w:val="auto"/>
        </w:rPr>
      </w:pPr>
      <w:r w:rsidRPr="0085534E">
        <w:rPr>
          <w:color w:val="auto"/>
        </w:rPr>
        <w:t xml:space="preserve">Paracetamol </w:t>
      </w:r>
      <w:r w:rsidR="00AF1BDA" w:rsidRPr="0085534E">
        <w:rPr>
          <w:color w:val="auto"/>
        </w:rPr>
        <w:t xml:space="preserve">500 </w:t>
      </w:r>
      <w:r w:rsidR="00763D3F" w:rsidRPr="0085534E">
        <w:rPr>
          <w:color w:val="auto"/>
        </w:rPr>
        <w:t>mg to 1000 mg (or equivalent)</w:t>
      </w:r>
      <w:r w:rsidR="00357371" w:rsidRPr="0085534E">
        <w:rPr>
          <w:color w:val="auto"/>
        </w:rPr>
        <w:t xml:space="preserve"> administered orally</w:t>
      </w:r>
      <w:r w:rsidR="00763D3F" w:rsidRPr="0085534E">
        <w:rPr>
          <w:color w:val="auto"/>
        </w:rPr>
        <w:t>.</w:t>
      </w:r>
    </w:p>
    <w:p w14:paraId="26E1D32D" w14:textId="77777777" w:rsidR="00763D3F" w:rsidRPr="0085534E" w:rsidRDefault="00763D3F" w:rsidP="00357371">
      <w:pPr>
        <w:pStyle w:val="ListBulletLevel1"/>
        <w:rPr>
          <w:color w:val="auto"/>
        </w:rPr>
      </w:pPr>
      <w:r w:rsidRPr="0085534E">
        <w:rPr>
          <w:color w:val="auto"/>
        </w:rPr>
        <w:t>H2 antagonists (ranitidine 50 mg IV or equivalent [e.g., cimetidine]), or oral proton pump inhibitors (e.g., omeprazole, esomeprazole).</w:t>
      </w:r>
    </w:p>
    <w:p w14:paraId="406F1E25" w14:textId="304E40DE" w:rsidR="00763D3F" w:rsidRPr="0085534E" w:rsidRDefault="00763D3F" w:rsidP="00357371">
      <w:pPr>
        <w:pStyle w:val="ListBulletLevel1"/>
        <w:rPr>
          <w:color w:val="auto"/>
        </w:rPr>
      </w:pPr>
      <w:r w:rsidRPr="0085534E">
        <w:rPr>
          <w:color w:val="auto"/>
        </w:rPr>
        <w:t>Diphenhydramine 25 mg to 50 mg (or equivalent [e.g., cetirizine, promethazine, dexchlorpheniramine])</w:t>
      </w:r>
      <w:r w:rsidR="00357371" w:rsidRPr="0085534E">
        <w:rPr>
          <w:color w:val="auto"/>
        </w:rPr>
        <w:t xml:space="preserve"> administered intrave</w:t>
      </w:r>
      <w:r w:rsidR="00D31662" w:rsidRPr="0085534E">
        <w:rPr>
          <w:color w:val="auto"/>
        </w:rPr>
        <w:t>n</w:t>
      </w:r>
      <w:r w:rsidR="00357371" w:rsidRPr="0085534E">
        <w:rPr>
          <w:color w:val="auto"/>
        </w:rPr>
        <w:t>ously</w:t>
      </w:r>
      <w:r w:rsidR="00D31662" w:rsidRPr="0085534E">
        <w:rPr>
          <w:color w:val="auto"/>
        </w:rPr>
        <w:t xml:space="preserve"> or orally</w:t>
      </w:r>
      <w:r w:rsidRPr="0085534E">
        <w:rPr>
          <w:color w:val="auto"/>
        </w:rPr>
        <w:t>. Intravenous route is preferred for at least the first 4 infusions.</w:t>
      </w:r>
    </w:p>
    <w:p w14:paraId="2C572FC8" w14:textId="463870C1" w:rsidR="00763D3F" w:rsidRPr="0085534E" w:rsidRDefault="00763D3F" w:rsidP="00357371">
      <w:pPr>
        <w:rPr>
          <w:color w:val="auto"/>
        </w:rPr>
      </w:pPr>
      <w:r w:rsidRPr="0085534E">
        <w:rPr>
          <w:color w:val="auto"/>
        </w:rPr>
        <w:t>Above recommended dose of dexamethasone (</w:t>
      </w:r>
      <w:r w:rsidR="00357371" w:rsidRPr="0085534E">
        <w:rPr>
          <w:color w:val="auto"/>
        </w:rPr>
        <w:t>administered orally or intravenously</w:t>
      </w:r>
      <w:r w:rsidRPr="0085534E">
        <w:rPr>
          <w:color w:val="auto"/>
        </w:rPr>
        <w:t>) corresponds to the total dose to be administered only once</w:t>
      </w:r>
      <w:r w:rsidR="0095758A" w:rsidRPr="0085534E">
        <w:rPr>
          <w:color w:val="auto"/>
        </w:rPr>
        <w:t xml:space="preserve"> before the infusion,</w:t>
      </w:r>
      <w:r w:rsidRPr="0085534E">
        <w:rPr>
          <w:color w:val="auto"/>
        </w:rPr>
        <w:t xml:space="preserve"> as part of the premedication and the backbone treatment, before isatuximab and pomalidomide administration. </w:t>
      </w:r>
    </w:p>
    <w:p w14:paraId="27D0CE1F" w14:textId="0409A78F" w:rsidR="0095758A" w:rsidRPr="0085534E" w:rsidRDefault="0095758A" w:rsidP="0095758A">
      <w:pPr>
        <w:keepNext/>
        <w:tabs>
          <w:tab w:val="left" w:pos="720"/>
        </w:tabs>
        <w:autoSpaceDE w:val="0"/>
        <w:autoSpaceDN w:val="0"/>
        <w:adjustRightInd w:val="0"/>
        <w:rPr>
          <w:rFonts w:eastAsia="Times New Roman"/>
          <w:color w:val="auto"/>
          <w:sz w:val="22"/>
          <w:szCs w:val="22"/>
          <w:lang w:val="en-GB"/>
        </w:rPr>
      </w:pPr>
      <w:r w:rsidRPr="0085534E">
        <w:rPr>
          <w:color w:val="auto"/>
          <w:szCs w:val="22"/>
        </w:rPr>
        <w:t xml:space="preserve">The recommended premedication agents should be administered 15-60 minutes prior to starting a </w:t>
      </w:r>
      <w:r w:rsidR="00957ADE" w:rsidRPr="0085534E">
        <w:rPr>
          <w:color w:val="auto"/>
          <w:lang w:val="en-AU"/>
        </w:rPr>
        <w:t>Sarclisa</w:t>
      </w:r>
      <w:r w:rsidRPr="0085534E">
        <w:rPr>
          <w:color w:val="auto"/>
          <w:szCs w:val="22"/>
        </w:rPr>
        <w:t xml:space="preserve"> infusion. Patients who do not experience an IR upon their first 4 administrations of </w:t>
      </w:r>
      <w:r w:rsidR="00957ADE" w:rsidRPr="0085534E">
        <w:rPr>
          <w:color w:val="auto"/>
          <w:lang w:val="en-AU"/>
        </w:rPr>
        <w:t>Sarclisa</w:t>
      </w:r>
      <w:r w:rsidRPr="0085534E">
        <w:rPr>
          <w:color w:val="auto"/>
          <w:szCs w:val="22"/>
        </w:rPr>
        <w:t xml:space="preserve"> may have their need for subsequent premedication reconsidered.</w:t>
      </w:r>
    </w:p>
    <w:p w14:paraId="10804A2A" w14:textId="7E4A780C" w:rsidR="00763D3F" w:rsidRPr="0085534E" w:rsidRDefault="00763D3F" w:rsidP="00FE647A">
      <w:pPr>
        <w:keepNext/>
        <w:spacing w:before="100" w:beforeAutospacing="1"/>
        <w:rPr>
          <w:strike/>
          <w:color w:val="auto"/>
        </w:rPr>
      </w:pPr>
      <w:r w:rsidRPr="0085534E">
        <w:rPr>
          <w:b/>
          <w:color w:val="auto"/>
          <w:szCs w:val="22"/>
        </w:rPr>
        <w:t>Dose</w:t>
      </w:r>
    </w:p>
    <w:p w14:paraId="24A9EB00" w14:textId="551FB918" w:rsidR="00763D3F" w:rsidRPr="0085534E" w:rsidRDefault="00763D3F" w:rsidP="00357371">
      <w:pPr>
        <w:rPr>
          <w:color w:val="auto"/>
        </w:rPr>
      </w:pPr>
      <w:r w:rsidRPr="0085534E">
        <w:rPr>
          <w:rFonts w:eastAsia="SimSun"/>
          <w:color w:val="auto"/>
          <w:szCs w:val="22"/>
        </w:rPr>
        <w:t xml:space="preserve">The recommended dose of </w:t>
      </w:r>
      <w:r w:rsidR="00A43393" w:rsidRPr="0085534E">
        <w:rPr>
          <w:color w:val="auto"/>
        </w:rPr>
        <w:t>SARCLISA</w:t>
      </w:r>
      <w:r w:rsidRPr="0085534E">
        <w:rPr>
          <w:color w:val="auto"/>
        </w:rPr>
        <w:t xml:space="preserve"> is </w:t>
      </w:r>
      <w:r w:rsidRPr="0085534E">
        <w:rPr>
          <w:rFonts w:eastAsia="SimSun"/>
          <w:color w:val="auto"/>
          <w:szCs w:val="22"/>
        </w:rPr>
        <w:t xml:space="preserve">10 mg/kg </w:t>
      </w:r>
      <w:r w:rsidRPr="0085534E">
        <w:rPr>
          <w:color w:val="auto"/>
        </w:rPr>
        <w:t>body weight administered</w:t>
      </w:r>
      <w:r w:rsidRPr="0085534E">
        <w:rPr>
          <w:rFonts w:eastAsia="SimSun"/>
          <w:color w:val="auto"/>
          <w:szCs w:val="22"/>
        </w:rPr>
        <w:t xml:space="preserve"> as an intravenous infusion (IV) </w:t>
      </w:r>
      <w:r w:rsidRPr="0085534E">
        <w:rPr>
          <w:color w:val="auto"/>
        </w:rPr>
        <w:t>in combination with pomalidomide and dexamethasone, according to the</w:t>
      </w:r>
      <w:r w:rsidR="0052457D" w:rsidRPr="0085534E">
        <w:rPr>
          <w:color w:val="auto"/>
        </w:rPr>
        <w:t xml:space="preserve"> schedule in the following </w:t>
      </w:r>
      <w:r w:rsidR="0052457D" w:rsidRPr="0085534E">
        <w:rPr>
          <w:color w:val="auto"/>
        </w:rPr>
        <w:fldChar w:fldCharType="begin"/>
      </w:r>
      <w:r w:rsidR="0052457D" w:rsidRPr="0085534E">
        <w:rPr>
          <w:color w:val="auto"/>
        </w:rPr>
        <w:instrText xml:space="preserve"> REF _Ref6310444 \h  \* MERGEFORMAT </w:instrText>
      </w:r>
      <w:r w:rsidR="0052457D" w:rsidRPr="0085534E">
        <w:rPr>
          <w:color w:val="auto"/>
        </w:rPr>
      </w:r>
      <w:r w:rsidR="0052457D" w:rsidRPr="0085534E">
        <w:rPr>
          <w:color w:val="auto"/>
        </w:rPr>
        <w:fldChar w:fldCharType="separate"/>
      </w:r>
      <w:r w:rsidR="00312638" w:rsidRPr="00312638">
        <w:rPr>
          <w:color w:val="auto"/>
        </w:rPr>
        <w:t>Table 1</w:t>
      </w:r>
      <w:r w:rsidR="0052457D" w:rsidRPr="0085534E">
        <w:rPr>
          <w:color w:val="auto"/>
        </w:rPr>
        <w:fldChar w:fldCharType="end"/>
      </w:r>
      <w:r w:rsidRPr="0085534E">
        <w:rPr>
          <w:color w:val="auto"/>
        </w:rPr>
        <w:t>:</w:t>
      </w:r>
    </w:p>
    <w:p w14:paraId="25A92C41" w14:textId="1B959BBF" w:rsidR="00763D3F" w:rsidRPr="0085534E" w:rsidRDefault="0052457D" w:rsidP="0052457D">
      <w:pPr>
        <w:pStyle w:val="Caption"/>
      </w:pPr>
      <w:bookmarkStart w:id="1" w:name="_Ref6310444"/>
      <w:r w:rsidRPr="0085534E">
        <w:t>Table </w:t>
      </w:r>
      <w:r w:rsidRPr="0085534E">
        <w:fldChar w:fldCharType="begin"/>
      </w:r>
      <w:r w:rsidRPr="0085534E">
        <w:instrText xml:space="preserve"> SEQ Table \* ARABIC </w:instrText>
      </w:r>
      <w:r w:rsidRPr="0085534E">
        <w:fldChar w:fldCharType="separate"/>
      </w:r>
      <w:r w:rsidR="00312638">
        <w:rPr>
          <w:noProof/>
        </w:rPr>
        <w:t>1</w:t>
      </w:r>
      <w:r w:rsidRPr="0085534E">
        <w:fldChar w:fldCharType="end"/>
      </w:r>
      <w:bookmarkEnd w:id="1"/>
      <w:r w:rsidRPr="0085534E">
        <w:t xml:space="preserve"> ­ </w:t>
      </w:r>
      <w:r w:rsidR="00A43393" w:rsidRPr="0085534E">
        <w:t>SARCLISA</w:t>
      </w:r>
      <w:r w:rsidRPr="0085534E">
        <w:t xml:space="preserve"> dosing schedule in combination with pomalidomide and dexamethasone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4510"/>
      </w:tblGrid>
      <w:tr w:rsidR="00FE779F" w:rsidRPr="0085534E" w14:paraId="0A03ADBD" w14:textId="77777777" w:rsidTr="0095758A">
        <w:tc>
          <w:tcPr>
            <w:tcW w:w="4645" w:type="dxa"/>
            <w:shd w:val="clear" w:color="auto" w:fill="auto"/>
            <w:vAlign w:val="center"/>
          </w:tcPr>
          <w:p w14:paraId="66137781" w14:textId="77777777" w:rsidR="00763D3F" w:rsidRPr="0085534E" w:rsidRDefault="00763D3F" w:rsidP="00357371">
            <w:pPr>
              <w:pStyle w:val="TblTextLeft"/>
              <w:rPr>
                <w:b/>
              </w:rPr>
            </w:pPr>
            <w:r w:rsidRPr="0085534E">
              <w:rPr>
                <w:b/>
              </w:rPr>
              <w:t>Cycles</w:t>
            </w:r>
          </w:p>
        </w:tc>
        <w:tc>
          <w:tcPr>
            <w:tcW w:w="4642" w:type="dxa"/>
            <w:shd w:val="clear" w:color="auto" w:fill="auto"/>
            <w:vAlign w:val="center"/>
          </w:tcPr>
          <w:p w14:paraId="13DC6B0E" w14:textId="77777777" w:rsidR="00763D3F" w:rsidRPr="0085534E" w:rsidRDefault="00763D3F" w:rsidP="00357371">
            <w:pPr>
              <w:pStyle w:val="TblTextLeft"/>
              <w:rPr>
                <w:b/>
              </w:rPr>
            </w:pPr>
            <w:r w:rsidRPr="0085534E">
              <w:rPr>
                <w:b/>
              </w:rPr>
              <w:t>Dosing schedule</w:t>
            </w:r>
          </w:p>
        </w:tc>
      </w:tr>
      <w:tr w:rsidR="00FE779F" w:rsidRPr="0085534E" w14:paraId="6D9D2B4A" w14:textId="77777777" w:rsidTr="0095758A">
        <w:tc>
          <w:tcPr>
            <w:tcW w:w="4645" w:type="dxa"/>
            <w:shd w:val="clear" w:color="auto" w:fill="auto"/>
          </w:tcPr>
          <w:p w14:paraId="4A2CE13C" w14:textId="77777777" w:rsidR="00763D3F" w:rsidRPr="0085534E" w:rsidRDefault="00763D3F" w:rsidP="00357371">
            <w:pPr>
              <w:pStyle w:val="TblTextLeft"/>
            </w:pPr>
            <w:r w:rsidRPr="0085534E">
              <w:t xml:space="preserve">Cycle 1 </w:t>
            </w:r>
          </w:p>
        </w:tc>
        <w:tc>
          <w:tcPr>
            <w:tcW w:w="4642" w:type="dxa"/>
            <w:shd w:val="clear" w:color="auto" w:fill="auto"/>
          </w:tcPr>
          <w:p w14:paraId="36C98FC4" w14:textId="77777777" w:rsidR="00763D3F" w:rsidRPr="0085534E" w:rsidRDefault="00763D3F" w:rsidP="00357371">
            <w:pPr>
              <w:pStyle w:val="TblTextLeft"/>
            </w:pPr>
            <w:r w:rsidRPr="0085534E">
              <w:t>Days 1, 8, 15 and 22</w:t>
            </w:r>
            <w:r w:rsidR="00F33C93" w:rsidRPr="0085534E">
              <w:t xml:space="preserve"> (weekly)</w:t>
            </w:r>
          </w:p>
        </w:tc>
      </w:tr>
      <w:tr w:rsidR="00763D3F" w:rsidRPr="0085534E" w14:paraId="74BD8DC9" w14:textId="77777777" w:rsidTr="0095758A">
        <w:tc>
          <w:tcPr>
            <w:tcW w:w="4645" w:type="dxa"/>
            <w:shd w:val="clear" w:color="auto" w:fill="auto"/>
          </w:tcPr>
          <w:p w14:paraId="4192B4F6" w14:textId="43C4CB00" w:rsidR="00763D3F" w:rsidRPr="0085534E" w:rsidRDefault="00763D3F" w:rsidP="00357371">
            <w:pPr>
              <w:pStyle w:val="TblTextLeft"/>
            </w:pPr>
            <w:r w:rsidRPr="0085534E">
              <w:t xml:space="preserve">Cycle 2 and beyond </w:t>
            </w:r>
          </w:p>
        </w:tc>
        <w:tc>
          <w:tcPr>
            <w:tcW w:w="4642" w:type="dxa"/>
            <w:shd w:val="clear" w:color="auto" w:fill="auto"/>
          </w:tcPr>
          <w:p w14:paraId="34351D9B" w14:textId="77777777" w:rsidR="00763D3F" w:rsidRPr="0085534E" w:rsidRDefault="00763D3F" w:rsidP="00357371">
            <w:pPr>
              <w:pStyle w:val="TblTextLeft"/>
            </w:pPr>
            <w:r w:rsidRPr="0085534E">
              <w:t>Days 1, 15</w:t>
            </w:r>
            <w:r w:rsidR="00F33C93" w:rsidRPr="0085534E">
              <w:t xml:space="preserve"> (every 2 weeks)</w:t>
            </w:r>
          </w:p>
        </w:tc>
      </w:tr>
    </w:tbl>
    <w:p w14:paraId="2AB13233" w14:textId="77777777" w:rsidR="00F33C93" w:rsidRPr="0085534E" w:rsidRDefault="00F33C93" w:rsidP="00F33C93">
      <w:pPr>
        <w:rPr>
          <w:color w:val="auto"/>
          <w:sz w:val="22"/>
        </w:rPr>
      </w:pPr>
      <w:r w:rsidRPr="0085534E">
        <w:rPr>
          <w:color w:val="auto"/>
        </w:rPr>
        <w:t>Each treatment cycle consists of a 28-day period. Treatment is repeated until disease progression or unacceptable toxicity.</w:t>
      </w:r>
    </w:p>
    <w:p w14:paraId="6ADFA3A5" w14:textId="09EC5FB2" w:rsidR="00F33C93" w:rsidRPr="0085534E" w:rsidRDefault="00F33C93" w:rsidP="00F33C93">
      <w:pPr>
        <w:rPr>
          <w:color w:val="auto"/>
        </w:rPr>
      </w:pPr>
      <w:r w:rsidRPr="0085534E">
        <w:rPr>
          <w:color w:val="auto"/>
        </w:rPr>
        <w:t xml:space="preserve">For other medicinal products that are administered with </w:t>
      </w:r>
      <w:r w:rsidR="00957ADE" w:rsidRPr="0085534E">
        <w:rPr>
          <w:color w:val="auto"/>
          <w:lang w:val="en-AU"/>
        </w:rPr>
        <w:t>Sarclisa</w:t>
      </w:r>
      <w:r w:rsidRPr="0085534E">
        <w:rPr>
          <w:color w:val="auto"/>
        </w:rPr>
        <w:t>, refer to the respective current Product Information.</w:t>
      </w:r>
    </w:p>
    <w:p w14:paraId="2095D7F8" w14:textId="61BA3705" w:rsidR="00F33C93" w:rsidRPr="0085534E" w:rsidRDefault="00F33C93" w:rsidP="00F33C93">
      <w:pPr>
        <w:spacing w:before="100" w:beforeAutospacing="1"/>
        <w:rPr>
          <w:color w:val="auto"/>
          <w:szCs w:val="22"/>
        </w:rPr>
      </w:pPr>
      <w:r w:rsidRPr="0085534E">
        <w:rPr>
          <w:color w:val="auto"/>
          <w:szCs w:val="22"/>
        </w:rPr>
        <w:t>The administration schedule must be carefully followed.</w:t>
      </w:r>
      <w:r w:rsidRPr="0085534E">
        <w:rPr>
          <w:b/>
          <w:color w:val="auto"/>
          <w:szCs w:val="22"/>
        </w:rPr>
        <w:t xml:space="preserve"> </w:t>
      </w:r>
      <w:r w:rsidRPr="0085534E">
        <w:rPr>
          <w:color w:val="auto"/>
          <w:szCs w:val="22"/>
        </w:rPr>
        <w:t xml:space="preserve">If a planned dose of </w:t>
      </w:r>
      <w:r w:rsidR="00957ADE" w:rsidRPr="0085534E">
        <w:rPr>
          <w:color w:val="auto"/>
          <w:lang w:val="en-AU"/>
        </w:rPr>
        <w:t>Sarclisa</w:t>
      </w:r>
      <w:r w:rsidRPr="0085534E">
        <w:rPr>
          <w:color w:val="auto"/>
          <w:szCs w:val="22"/>
        </w:rPr>
        <w:t xml:space="preserve"> is missed, administer the dose as soon as possible and adjust the treatment schedule accordingly, maintaining the treatment interval.</w:t>
      </w:r>
    </w:p>
    <w:p w14:paraId="2F8B15A5" w14:textId="2FA6E1CD" w:rsidR="00763D3F" w:rsidRPr="0085534E" w:rsidRDefault="00763D3F" w:rsidP="00F33C93">
      <w:pPr>
        <w:spacing w:before="100" w:beforeAutospacing="1"/>
        <w:rPr>
          <w:b/>
          <w:color w:val="auto"/>
          <w:szCs w:val="22"/>
        </w:rPr>
      </w:pPr>
      <w:r w:rsidRPr="0085534E">
        <w:rPr>
          <w:b/>
          <w:color w:val="auto"/>
          <w:szCs w:val="22"/>
        </w:rPr>
        <w:t xml:space="preserve">Method of administration </w:t>
      </w:r>
    </w:p>
    <w:p w14:paraId="351BFF16" w14:textId="77777777" w:rsidR="0057652B" w:rsidRPr="0085534E" w:rsidRDefault="0057652B" w:rsidP="00F33C93">
      <w:pPr>
        <w:rPr>
          <w:b/>
          <w:i/>
          <w:color w:val="auto"/>
        </w:rPr>
      </w:pPr>
      <w:r w:rsidRPr="0085534E">
        <w:rPr>
          <w:i/>
          <w:color w:val="auto"/>
        </w:rPr>
        <w:t>Preparation for the intravenous administration</w:t>
      </w:r>
    </w:p>
    <w:p w14:paraId="0E15B521" w14:textId="77777777" w:rsidR="0057652B" w:rsidRPr="0085534E" w:rsidRDefault="0057652B" w:rsidP="00F33C93">
      <w:pPr>
        <w:rPr>
          <w:color w:val="auto"/>
        </w:rPr>
      </w:pPr>
      <w:r w:rsidRPr="0085534E">
        <w:rPr>
          <w:color w:val="auto"/>
        </w:rPr>
        <w:lastRenderedPageBreak/>
        <w:t>The preparation of the infusion solution must be</w:t>
      </w:r>
      <w:r w:rsidR="00F33C93" w:rsidRPr="0085534E">
        <w:rPr>
          <w:color w:val="auto"/>
        </w:rPr>
        <w:t xml:space="preserve"> done under aseptic conditions.</w:t>
      </w:r>
    </w:p>
    <w:p w14:paraId="71D26710" w14:textId="217921BC" w:rsidR="00F33C93" w:rsidRPr="0085534E" w:rsidRDefault="00F33C93" w:rsidP="00F33C93">
      <w:pPr>
        <w:pStyle w:val="ListBulletLevel1"/>
        <w:numPr>
          <w:ilvl w:val="0"/>
          <w:numId w:val="35"/>
        </w:numPr>
        <w:rPr>
          <w:color w:val="auto"/>
          <w:sz w:val="22"/>
        </w:rPr>
      </w:pPr>
      <w:r w:rsidRPr="0085534E">
        <w:rPr>
          <w:color w:val="auto"/>
        </w:rPr>
        <w:t xml:space="preserve">The dose (mg) of required </w:t>
      </w:r>
      <w:r w:rsidR="00957ADE" w:rsidRPr="0085534E">
        <w:rPr>
          <w:color w:val="auto"/>
          <w:lang w:val="en-AU"/>
        </w:rPr>
        <w:t>Sarclisa</w:t>
      </w:r>
      <w:r w:rsidRPr="0085534E">
        <w:rPr>
          <w:color w:val="auto"/>
        </w:rPr>
        <w:t xml:space="preserve"> concentrate</w:t>
      </w:r>
      <w:r w:rsidR="00957ADE" w:rsidRPr="0085534E">
        <w:rPr>
          <w:color w:val="auto"/>
        </w:rPr>
        <w:t>d injection</w:t>
      </w:r>
      <w:r w:rsidRPr="0085534E">
        <w:rPr>
          <w:color w:val="auto"/>
        </w:rPr>
        <w:t xml:space="preserve"> should be calculated based on patient weight (measured prior to each cycle to have the administered dose adjusted accordingly, see section 4.2). More than one </w:t>
      </w:r>
      <w:r w:rsidR="00A43393" w:rsidRPr="0085534E">
        <w:rPr>
          <w:color w:val="auto"/>
        </w:rPr>
        <w:t>SARCLISA</w:t>
      </w:r>
      <w:r w:rsidRPr="0085534E">
        <w:rPr>
          <w:color w:val="auto"/>
        </w:rPr>
        <w:t xml:space="preserve"> concentrate vial may be necessary to obtain the required dose for the patient.</w:t>
      </w:r>
    </w:p>
    <w:p w14:paraId="2FC8B3DE" w14:textId="27055B11" w:rsidR="00F33C93" w:rsidRPr="0085534E" w:rsidRDefault="00F33C93" w:rsidP="00F33C93">
      <w:pPr>
        <w:pStyle w:val="ListBulletLevel1"/>
        <w:numPr>
          <w:ilvl w:val="0"/>
          <w:numId w:val="35"/>
        </w:numPr>
        <w:rPr>
          <w:color w:val="auto"/>
        </w:rPr>
      </w:pPr>
      <w:r w:rsidRPr="0085534E">
        <w:rPr>
          <w:color w:val="auto"/>
        </w:rPr>
        <w:t xml:space="preserve">Vials of </w:t>
      </w:r>
      <w:r w:rsidR="00957ADE" w:rsidRPr="0085534E">
        <w:rPr>
          <w:color w:val="auto"/>
          <w:lang w:val="en-AU"/>
        </w:rPr>
        <w:t>Sarclisa</w:t>
      </w:r>
      <w:r w:rsidR="00957ADE" w:rsidRPr="0085534E">
        <w:rPr>
          <w:color w:val="auto"/>
        </w:rPr>
        <w:t xml:space="preserve"> concentrated injection </w:t>
      </w:r>
      <w:r w:rsidRPr="0085534E">
        <w:rPr>
          <w:color w:val="auto"/>
        </w:rPr>
        <w:t xml:space="preserve">should be visually inspected before dilution to ensure they don’t contain any particles and are not discolored. </w:t>
      </w:r>
    </w:p>
    <w:p w14:paraId="41A92A95" w14:textId="33440048" w:rsidR="00F33C93" w:rsidRPr="0085534E" w:rsidRDefault="00F33C93" w:rsidP="00F33C93">
      <w:pPr>
        <w:pStyle w:val="ListBulletLevel1"/>
        <w:numPr>
          <w:ilvl w:val="0"/>
          <w:numId w:val="35"/>
        </w:numPr>
        <w:rPr>
          <w:color w:val="auto"/>
        </w:rPr>
      </w:pPr>
      <w:r w:rsidRPr="0085534E">
        <w:rPr>
          <w:color w:val="auto"/>
        </w:rPr>
        <w:t xml:space="preserve">The appropriate volume of </w:t>
      </w:r>
      <w:r w:rsidR="00957ADE" w:rsidRPr="0085534E">
        <w:rPr>
          <w:color w:val="auto"/>
          <w:lang w:val="en-AU"/>
        </w:rPr>
        <w:t>Sarclisa</w:t>
      </w:r>
      <w:r w:rsidR="00957ADE" w:rsidRPr="0085534E">
        <w:rPr>
          <w:color w:val="auto"/>
        </w:rPr>
        <w:t xml:space="preserve"> concentrated injection </w:t>
      </w:r>
      <w:r w:rsidRPr="0085534E">
        <w:rPr>
          <w:color w:val="auto"/>
        </w:rPr>
        <w:t xml:space="preserve">should be withdrawn and diluted in an infusion bag with 250 mL of 9 mg/mL (0.9%) of sodium chloride or dextrose 5% solution to achieve the appropriate </w:t>
      </w:r>
      <w:r w:rsidR="00957ADE" w:rsidRPr="0085534E">
        <w:rPr>
          <w:color w:val="auto"/>
          <w:lang w:val="en-AU"/>
        </w:rPr>
        <w:t>Sarclisa</w:t>
      </w:r>
      <w:r w:rsidRPr="0085534E">
        <w:rPr>
          <w:color w:val="auto"/>
        </w:rPr>
        <w:t xml:space="preserve"> concentration for infusion.  </w:t>
      </w:r>
    </w:p>
    <w:p w14:paraId="11D3754A" w14:textId="77777777" w:rsidR="00F33C93" w:rsidRPr="0085534E" w:rsidRDefault="00F33C93" w:rsidP="00F33C93">
      <w:pPr>
        <w:pStyle w:val="ListBulletLevel1"/>
        <w:numPr>
          <w:ilvl w:val="0"/>
          <w:numId w:val="35"/>
        </w:numPr>
        <w:rPr>
          <w:color w:val="auto"/>
        </w:rPr>
      </w:pPr>
      <w:r w:rsidRPr="0085534E">
        <w:rPr>
          <w:color w:val="auto"/>
        </w:rPr>
        <w:t xml:space="preserve">The infusion bag must be made of polyolefins (PO), polyethylene (PE), polypropylene (PP), polyvinyl chloride (PVC) with di (2-ethylhexyl) phthalate (DEHP) or ethyl vinyl acetate (EVA). </w:t>
      </w:r>
    </w:p>
    <w:p w14:paraId="6610ECD4" w14:textId="32660EE5" w:rsidR="0057652B" w:rsidRPr="0085534E" w:rsidRDefault="00F33C93" w:rsidP="00611AFB">
      <w:pPr>
        <w:pStyle w:val="ListBulletLevel1"/>
        <w:numPr>
          <w:ilvl w:val="0"/>
          <w:numId w:val="35"/>
        </w:numPr>
        <w:rPr>
          <w:color w:val="auto"/>
        </w:rPr>
      </w:pPr>
      <w:r w:rsidRPr="0085534E">
        <w:rPr>
          <w:color w:val="auto"/>
        </w:rPr>
        <w:t>Gently homogenize the diluted solution by inverting the bag.  Do not shake.</w:t>
      </w:r>
    </w:p>
    <w:p w14:paraId="325A69D7" w14:textId="77777777" w:rsidR="0057652B" w:rsidRPr="0085534E" w:rsidRDefault="00F33C93" w:rsidP="00F33C93">
      <w:pPr>
        <w:rPr>
          <w:i/>
          <w:color w:val="auto"/>
        </w:rPr>
      </w:pPr>
      <w:r w:rsidRPr="0085534E">
        <w:rPr>
          <w:i/>
          <w:color w:val="auto"/>
        </w:rPr>
        <w:t>Administration</w:t>
      </w:r>
    </w:p>
    <w:p w14:paraId="519B3B5D" w14:textId="7D3A8EC1" w:rsidR="00F33C93" w:rsidRPr="0085534E" w:rsidRDefault="00F33C93" w:rsidP="00F33C93">
      <w:pPr>
        <w:pStyle w:val="ListBulletLevel1"/>
        <w:numPr>
          <w:ilvl w:val="0"/>
          <w:numId w:val="36"/>
        </w:numPr>
        <w:rPr>
          <w:color w:val="auto"/>
          <w:sz w:val="22"/>
        </w:rPr>
      </w:pPr>
      <w:r w:rsidRPr="0085534E">
        <w:rPr>
          <w:color w:val="auto"/>
        </w:rPr>
        <w:t xml:space="preserve">The infusion solution must be administered by intravenous infusion using an IV tubing infusion set (in PE, PVC with or without DEHP, polybudadiene (PBD) or polyurethane (PU)) with an in-line filter (polyethersulfone (PES), polysulfone or nylon). </w:t>
      </w:r>
    </w:p>
    <w:p w14:paraId="4B414BF5" w14:textId="57FB5CC2" w:rsidR="00F33C93" w:rsidRPr="0085534E" w:rsidRDefault="00F33C93" w:rsidP="00F33C93">
      <w:pPr>
        <w:pStyle w:val="ListBulletLevel1"/>
        <w:numPr>
          <w:ilvl w:val="0"/>
          <w:numId w:val="36"/>
        </w:numPr>
        <w:rPr>
          <w:color w:val="auto"/>
        </w:rPr>
      </w:pPr>
      <w:r w:rsidRPr="0085534E">
        <w:rPr>
          <w:color w:val="auto"/>
        </w:rPr>
        <w:t>The infusion solution should be administered for a period of time that will depend on the infusion rate (see section 4.2).</w:t>
      </w:r>
    </w:p>
    <w:p w14:paraId="230BC26F" w14:textId="65712C92" w:rsidR="00F33C93" w:rsidRPr="0085534E" w:rsidRDefault="00F33C93" w:rsidP="00F33C93">
      <w:pPr>
        <w:pStyle w:val="ListBulletLevel1"/>
        <w:numPr>
          <w:ilvl w:val="0"/>
          <w:numId w:val="36"/>
        </w:numPr>
        <w:rPr>
          <w:color w:val="auto"/>
        </w:rPr>
      </w:pPr>
      <w:r w:rsidRPr="0085534E">
        <w:rPr>
          <w:color w:val="auto"/>
        </w:rPr>
        <w:t xml:space="preserve">Prepared </w:t>
      </w:r>
      <w:r w:rsidR="00957ADE" w:rsidRPr="0085534E">
        <w:rPr>
          <w:color w:val="auto"/>
          <w:lang w:val="en-AU"/>
        </w:rPr>
        <w:t>Sarclisa</w:t>
      </w:r>
      <w:r w:rsidRPr="0085534E">
        <w:rPr>
          <w:color w:val="auto"/>
        </w:rPr>
        <w:t xml:space="preserve"> infusion solution should be used within </w:t>
      </w:r>
      <w:r w:rsidRPr="0085534E">
        <w:rPr>
          <w:noProof/>
          <w:color w:val="auto"/>
        </w:rPr>
        <w:t xml:space="preserve">48 hours when stored at </w:t>
      </w:r>
      <w:r w:rsidRPr="0085534E">
        <w:rPr>
          <w:color w:val="auto"/>
        </w:rPr>
        <w:t>2°C - 8°C, followed by 8 hours (including the infusion time) at room temperature</w:t>
      </w:r>
      <w:r w:rsidRPr="0085534E">
        <w:rPr>
          <w:noProof/>
          <w:color w:val="auto"/>
        </w:rPr>
        <w:t>.</w:t>
      </w:r>
    </w:p>
    <w:p w14:paraId="152EDA4B" w14:textId="77777777" w:rsidR="00F33C93" w:rsidRPr="0085534E" w:rsidRDefault="00F33C93" w:rsidP="00F33C93">
      <w:pPr>
        <w:pStyle w:val="ListBulletLevel1"/>
        <w:numPr>
          <w:ilvl w:val="0"/>
          <w:numId w:val="36"/>
        </w:numPr>
        <w:rPr>
          <w:color w:val="auto"/>
        </w:rPr>
      </w:pPr>
      <w:r w:rsidRPr="0085534E">
        <w:rPr>
          <w:color w:val="auto"/>
        </w:rPr>
        <w:t>No protection from light is required for the prepared infusion bag in a standard artificial light environment.</w:t>
      </w:r>
    </w:p>
    <w:p w14:paraId="41792B0A" w14:textId="291E009D" w:rsidR="00F33C93" w:rsidRPr="0085534E" w:rsidRDefault="00F33C93" w:rsidP="00F33C93">
      <w:pPr>
        <w:pStyle w:val="ListBulletLevel1"/>
        <w:numPr>
          <w:ilvl w:val="0"/>
          <w:numId w:val="36"/>
        </w:numPr>
        <w:rPr>
          <w:color w:val="auto"/>
        </w:rPr>
      </w:pPr>
      <w:r w:rsidRPr="0085534E">
        <w:rPr>
          <w:color w:val="auto"/>
        </w:rPr>
        <w:t xml:space="preserve">Do not infuse </w:t>
      </w:r>
      <w:r w:rsidR="00957ADE" w:rsidRPr="0085534E">
        <w:rPr>
          <w:color w:val="auto"/>
          <w:lang w:val="en-AU"/>
        </w:rPr>
        <w:t>Sarclisa</w:t>
      </w:r>
      <w:r w:rsidRPr="0085534E">
        <w:rPr>
          <w:color w:val="auto"/>
        </w:rPr>
        <w:t xml:space="preserve"> solution concomitantly in the same intravenous line with other agents.</w:t>
      </w:r>
    </w:p>
    <w:p w14:paraId="793D37B8" w14:textId="77777777" w:rsidR="00763D3F" w:rsidRPr="0085534E" w:rsidRDefault="00763D3F" w:rsidP="00957ADE">
      <w:pPr>
        <w:rPr>
          <w:i/>
          <w:color w:val="auto"/>
        </w:rPr>
      </w:pPr>
      <w:r w:rsidRPr="0085534E">
        <w:rPr>
          <w:i/>
          <w:color w:val="auto"/>
        </w:rPr>
        <w:t>Infusion rates</w:t>
      </w:r>
    </w:p>
    <w:p w14:paraId="3C8F78B2" w14:textId="0372DDDE" w:rsidR="00F33C93" w:rsidRPr="0085534E" w:rsidRDefault="00F33C93" w:rsidP="00957ADE">
      <w:pPr>
        <w:rPr>
          <w:color w:val="auto"/>
        </w:rPr>
      </w:pPr>
      <w:bookmarkStart w:id="2" w:name="_Ref6310501"/>
      <w:r w:rsidRPr="0085534E">
        <w:rPr>
          <w:color w:val="auto"/>
        </w:rPr>
        <w:t xml:space="preserve">Following dilution, the </w:t>
      </w:r>
      <w:r w:rsidR="00A43393" w:rsidRPr="0085534E">
        <w:rPr>
          <w:color w:val="auto"/>
          <w:szCs w:val="22"/>
        </w:rPr>
        <w:t>SARCLISA</w:t>
      </w:r>
      <w:r w:rsidRPr="0085534E">
        <w:rPr>
          <w:color w:val="auto"/>
        </w:rPr>
        <w:t xml:space="preserve"> infusion should be administered intravenously at the infusion rate presented in the </w:t>
      </w:r>
      <w:r w:rsidRPr="0085534E">
        <w:rPr>
          <w:color w:val="auto"/>
        </w:rPr>
        <w:fldChar w:fldCharType="begin"/>
      </w:r>
      <w:r w:rsidRPr="0085534E">
        <w:rPr>
          <w:color w:val="auto"/>
        </w:rPr>
        <w:instrText xml:space="preserve"> REF _Ref7419130 \h  \* MERGEFORMAT </w:instrText>
      </w:r>
      <w:r w:rsidRPr="0085534E">
        <w:rPr>
          <w:color w:val="auto"/>
        </w:rPr>
      </w:r>
      <w:r w:rsidRPr="0085534E">
        <w:rPr>
          <w:color w:val="auto"/>
        </w:rPr>
        <w:fldChar w:fldCharType="separate"/>
      </w:r>
      <w:r w:rsidR="00312638" w:rsidRPr="00312638">
        <w:rPr>
          <w:color w:val="auto"/>
        </w:rPr>
        <w:t>Table 2</w:t>
      </w:r>
      <w:r w:rsidRPr="0085534E">
        <w:rPr>
          <w:color w:val="auto"/>
        </w:rPr>
        <w:fldChar w:fldCharType="end"/>
      </w:r>
      <w:r w:rsidRPr="0085534E">
        <w:rPr>
          <w:color w:val="auto"/>
        </w:rPr>
        <w:t xml:space="preserve"> below. Incremental escalation of the infusion rate should be considered only in the absence of infusion reactions (IR). (see section 4.8)</w:t>
      </w:r>
    </w:p>
    <w:p w14:paraId="67160FF7" w14:textId="32BF705F" w:rsidR="0052457D" w:rsidRPr="0085534E" w:rsidRDefault="0052457D" w:rsidP="00E32E2F">
      <w:pPr>
        <w:pStyle w:val="Caption"/>
        <w:pageBreakBefore/>
      </w:pPr>
      <w:bookmarkStart w:id="3" w:name="_Ref7419130"/>
      <w:r w:rsidRPr="0085534E">
        <w:lastRenderedPageBreak/>
        <w:t>Table </w:t>
      </w:r>
      <w:r w:rsidRPr="0085534E">
        <w:fldChar w:fldCharType="begin"/>
      </w:r>
      <w:r w:rsidRPr="0085534E">
        <w:instrText xml:space="preserve"> SEQ Table \* ARABIC </w:instrText>
      </w:r>
      <w:r w:rsidRPr="0085534E">
        <w:fldChar w:fldCharType="separate"/>
      </w:r>
      <w:r w:rsidR="00312638">
        <w:rPr>
          <w:noProof/>
        </w:rPr>
        <w:t>2</w:t>
      </w:r>
      <w:r w:rsidRPr="0085534E">
        <w:fldChar w:fldCharType="end"/>
      </w:r>
      <w:bookmarkEnd w:id="2"/>
      <w:bookmarkEnd w:id="3"/>
      <w:r w:rsidRPr="0085534E">
        <w:t xml:space="preserve"> ­ Infusion rates of </w:t>
      </w:r>
      <w:r w:rsidR="00957ADE" w:rsidRPr="0085534E">
        <w:rPr>
          <w:lang w:val="en-AU"/>
        </w:rPr>
        <w:t>Sarclisa</w:t>
      </w:r>
      <w:r w:rsidRPr="0085534E">
        <w:t xml:space="preserve"> administration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360"/>
        <w:gridCol w:w="1192"/>
        <w:gridCol w:w="1773"/>
        <w:gridCol w:w="1984"/>
        <w:gridCol w:w="1192"/>
      </w:tblGrid>
      <w:tr w:rsidR="00FE779F" w:rsidRPr="0085534E" w14:paraId="29C971E8" w14:textId="77777777" w:rsidTr="0095758A">
        <w:tc>
          <w:tcPr>
            <w:tcW w:w="840" w:type="pct"/>
            <w:shd w:val="clear" w:color="auto" w:fill="auto"/>
          </w:tcPr>
          <w:p w14:paraId="546F65A0" w14:textId="77777777" w:rsidR="00763D3F" w:rsidRPr="0085534E" w:rsidRDefault="00763D3F" w:rsidP="00AF3556">
            <w:pPr>
              <w:pStyle w:val="TblTextLeft"/>
            </w:pPr>
          </w:p>
        </w:tc>
        <w:tc>
          <w:tcPr>
            <w:tcW w:w="754" w:type="pct"/>
            <w:shd w:val="clear" w:color="auto" w:fill="auto"/>
          </w:tcPr>
          <w:p w14:paraId="509A7E5F" w14:textId="77777777" w:rsidR="00763D3F" w:rsidRPr="0085534E" w:rsidRDefault="00763D3F" w:rsidP="00AF3556">
            <w:pPr>
              <w:pStyle w:val="TblTextLeft"/>
            </w:pPr>
            <w:r w:rsidRPr="0085534E">
              <w:t>Dilution volume</w:t>
            </w:r>
          </w:p>
        </w:tc>
        <w:tc>
          <w:tcPr>
            <w:tcW w:w="661" w:type="pct"/>
            <w:shd w:val="clear" w:color="auto" w:fill="auto"/>
          </w:tcPr>
          <w:p w14:paraId="51EED4C8" w14:textId="77777777" w:rsidR="00763D3F" w:rsidRPr="0085534E" w:rsidRDefault="00864838" w:rsidP="00AF3556">
            <w:pPr>
              <w:pStyle w:val="TblTextLeft"/>
            </w:pPr>
            <w:r w:rsidRPr="0085534E">
              <w:t xml:space="preserve">Initial rate </w:t>
            </w:r>
            <w:r w:rsidR="00763D3F" w:rsidRPr="0085534E">
              <w:t>(1</w:t>
            </w:r>
            <w:r w:rsidR="00763D3F" w:rsidRPr="0085534E">
              <w:rPr>
                <w:vertAlign w:val="superscript"/>
              </w:rPr>
              <w:t>st</w:t>
            </w:r>
            <w:r w:rsidR="00763D3F" w:rsidRPr="0085534E">
              <w:t xml:space="preserve"> hour)</w:t>
            </w:r>
          </w:p>
        </w:tc>
        <w:tc>
          <w:tcPr>
            <w:tcW w:w="983" w:type="pct"/>
          </w:tcPr>
          <w:p w14:paraId="5265E76E" w14:textId="77777777" w:rsidR="00763D3F" w:rsidRPr="0085534E" w:rsidRDefault="00763D3F" w:rsidP="00AF3556">
            <w:pPr>
              <w:pStyle w:val="TblTextLeft"/>
            </w:pPr>
            <w:r w:rsidRPr="0085534E">
              <w:t>Absence of IR</w:t>
            </w:r>
          </w:p>
        </w:tc>
        <w:tc>
          <w:tcPr>
            <w:tcW w:w="1100" w:type="pct"/>
            <w:shd w:val="clear" w:color="auto" w:fill="auto"/>
          </w:tcPr>
          <w:p w14:paraId="2A6C3A95" w14:textId="77777777" w:rsidR="00763D3F" w:rsidRPr="0085534E" w:rsidRDefault="00763D3F" w:rsidP="00AF3556">
            <w:pPr>
              <w:pStyle w:val="TblTextLeft"/>
            </w:pPr>
            <w:r w:rsidRPr="0085534E">
              <w:t>Rate increment</w:t>
            </w:r>
          </w:p>
        </w:tc>
        <w:tc>
          <w:tcPr>
            <w:tcW w:w="661" w:type="pct"/>
            <w:shd w:val="clear" w:color="auto" w:fill="auto"/>
          </w:tcPr>
          <w:p w14:paraId="151034E2" w14:textId="77777777" w:rsidR="00763D3F" w:rsidRPr="0085534E" w:rsidRDefault="00763D3F" w:rsidP="00AF3556">
            <w:pPr>
              <w:pStyle w:val="TblTextLeft"/>
            </w:pPr>
            <w:r w:rsidRPr="0085534E">
              <w:t>Maximum rate</w:t>
            </w:r>
          </w:p>
        </w:tc>
      </w:tr>
      <w:tr w:rsidR="00FE779F" w:rsidRPr="0085534E" w14:paraId="12BF6551" w14:textId="77777777" w:rsidTr="0095758A">
        <w:tc>
          <w:tcPr>
            <w:tcW w:w="840" w:type="pct"/>
            <w:shd w:val="clear" w:color="auto" w:fill="auto"/>
          </w:tcPr>
          <w:p w14:paraId="3023A6C7" w14:textId="77777777" w:rsidR="00763D3F" w:rsidRPr="0085534E" w:rsidRDefault="00763D3F" w:rsidP="00AF3556">
            <w:pPr>
              <w:pStyle w:val="TblTextLeft"/>
            </w:pPr>
            <w:r w:rsidRPr="0085534E">
              <w:t>First infusion</w:t>
            </w:r>
          </w:p>
        </w:tc>
        <w:tc>
          <w:tcPr>
            <w:tcW w:w="754" w:type="pct"/>
            <w:shd w:val="clear" w:color="auto" w:fill="auto"/>
          </w:tcPr>
          <w:p w14:paraId="62C1DD6F" w14:textId="77777777" w:rsidR="00763D3F" w:rsidRPr="0085534E" w:rsidRDefault="00763D3F" w:rsidP="00AF3556">
            <w:pPr>
              <w:pStyle w:val="TblTextLeft"/>
            </w:pPr>
            <w:r w:rsidRPr="0085534E">
              <w:t>250 mL</w:t>
            </w:r>
          </w:p>
        </w:tc>
        <w:tc>
          <w:tcPr>
            <w:tcW w:w="661" w:type="pct"/>
            <w:shd w:val="clear" w:color="auto" w:fill="auto"/>
          </w:tcPr>
          <w:p w14:paraId="4258CD8E" w14:textId="77777777" w:rsidR="00763D3F" w:rsidRPr="0085534E" w:rsidRDefault="00763D3F" w:rsidP="00AF3556">
            <w:pPr>
              <w:pStyle w:val="TblTextLeft"/>
            </w:pPr>
            <w:r w:rsidRPr="0085534E">
              <w:t>25 mL/ hour</w:t>
            </w:r>
          </w:p>
        </w:tc>
        <w:tc>
          <w:tcPr>
            <w:tcW w:w="983" w:type="pct"/>
          </w:tcPr>
          <w:p w14:paraId="63D29F71" w14:textId="77777777" w:rsidR="00763D3F" w:rsidRPr="0085534E" w:rsidDel="00341586" w:rsidRDefault="00763D3F" w:rsidP="00AF3556">
            <w:pPr>
              <w:pStyle w:val="TblTextLeft"/>
            </w:pPr>
            <w:r w:rsidRPr="0085534E">
              <w:t>For 60 minutes</w:t>
            </w:r>
          </w:p>
        </w:tc>
        <w:tc>
          <w:tcPr>
            <w:tcW w:w="1100" w:type="pct"/>
            <w:shd w:val="clear" w:color="auto" w:fill="auto"/>
          </w:tcPr>
          <w:p w14:paraId="223BB09B" w14:textId="77777777" w:rsidR="00763D3F" w:rsidRPr="0085534E" w:rsidRDefault="00763D3F" w:rsidP="00AF3556">
            <w:pPr>
              <w:pStyle w:val="TblTextLeft"/>
            </w:pPr>
            <w:r w:rsidRPr="0085534E">
              <w:t>25 mL/hour every 30 minutes</w:t>
            </w:r>
          </w:p>
        </w:tc>
        <w:tc>
          <w:tcPr>
            <w:tcW w:w="661" w:type="pct"/>
            <w:shd w:val="clear" w:color="auto" w:fill="auto"/>
          </w:tcPr>
          <w:p w14:paraId="66F2FC21" w14:textId="77777777" w:rsidR="00763D3F" w:rsidRPr="0085534E" w:rsidRDefault="00763D3F" w:rsidP="00AF3556">
            <w:pPr>
              <w:pStyle w:val="TblTextLeft"/>
            </w:pPr>
            <w:r w:rsidRPr="0085534E">
              <w:t>150 mL/ hour</w:t>
            </w:r>
          </w:p>
        </w:tc>
      </w:tr>
      <w:tr w:rsidR="00FE779F" w:rsidRPr="0085534E" w14:paraId="14C263F5" w14:textId="77777777" w:rsidTr="0095758A">
        <w:tc>
          <w:tcPr>
            <w:tcW w:w="840" w:type="pct"/>
            <w:shd w:val="clear" w:color="auto" w:fill="auto"/>
          </w:tcPr>
          <w:p w14:paraId="539E9A68" w14:textId="77777777" w:rsidR="00763D3F" w:rsidRPr="0085534E" w:rsidRDefault="00763D3F" w:rsidP="00AF3556">
            <w:pPr>
              <w:pStyle w:val="TblTextLeft"/>
            </w:pPr>
            <w:r w:rsidRPr="0085534E">
              <w:t>Second infusion</w:t>
            </w:r>
          </w:p>
        </w:tc>
        <w:tc>
          <w:tcPr>
            <w:tcW w:w="754" w:type="pct"/>
            <w:shd w:val="clear" w:color="auto" w:fill="auto"/>
          </w:tcPr>
          <w:p w14:paraId="06967AA6" w14:textId="77777777" w:rsidR="00763D3F" w:rsidRPr="0085534E" w:rsidRDefault="00763D3F" w:rsidP="00AF3556">
            <w:pPr>
              <w:pStyle w:val="TblTextLeft"/>
            </w:pPr>
            <w:r w:rsidRPr="0085534E">
              <w:t>250 mL</w:t>
            </w:r>
          </w:p>
        </w:tc>
        <w:tc>
          <w:tcPr>
            <w:tcW w:w="661" w:type="pct"/>
            <w:shd w:val="clear" w:color="auto" w:fill="auto"/>
          </w:tcPr>
          <w:p w14:paraId="55EBF73D" w14:textId="77777777" w:rsidR="00763D3F" w:rsidRPr="0085534E" w:rsidRDefault="00763D3F" w:rsidP="00AF3556">
            <w:pPr>
              <w:pStyle w:val="TblTextLeft"/>
            </w:pPr>
            <w:r w:rsidRPr="0085534E">
              <w:t>50 mL/ hour</w:t>
            </w:r>
          </w:p>
        </w:tc>
        <w:tc>
          <w:tcPr>
            <w:tcW w:w="983" w:type="pct"/>
          </w:tcPr>
          <w:p w14:paraId="5878BD32" w14:textId="77777777" w:rsidR="00763D3F" w:rsidRPr="0085534E" w:rsidDel="00341586" w:rsidRDefault="00763D3F" w:rsidP="00AF3556">
            <w:pPr>
              <w:pStyle w:val="TblTextLeft"/>
            </w:pPr>
            <w:r w:rsidRPr="0085534E">
              <w:t>For 30 minutes</w:t>
            </w:r>
          </w:p>
        </w:tc>
        <w:tc>
          <w:tcPr>
            <w:tcW w:w="1100" w:type="pct"/>
            <w:shd w:val="clear" w:color="auto" w:fill="auto"/>
          </w:tcPr>
          <w:p w14:paraId="2AFEFF6E" w14:textId="7BA340E5" w:rsidR="00763D3F" w:rsidRPr="0085534E" w:rsidRDefault="00763D3F" w:rsidP="00AF3556">
            <w:pPr>
              <w:pStyle w:val="TblTextLeft"/>
            </w:pPr>
            <w:r w:rsidRPr="0085534E">
              <w:t>50 mL/ hour for 30 minutes then increase by 100 mL/ hr every 30 minutes</w:t>
            </w:r>
          </w:p>
        </w:tc>
        <w:tc>
          <w:tcPr>
            <w:tcW w:w="661" w:type="pct"/>
            <w:shd w:val="clear" w:color="auto" w:fill="auto"/>
          </w:tcPr>
          <w:p w14:paraId="1399F7C1" w14:textId="77777777" w:rsidR="00763D3F" w:rsidRPr="0085534E" w:rsidRDefault="00F33C93" w:rsidP="00AF3556">
            <w:pPr>
              <w:pStyle w:val="TblTextLeft"/>
            </w:pPr>
            <w:r w:rsidRPr="0085534E">
              <w:t>2</w:t>
            </w:r>
            <w:r w:rsidR="00763D3F" w:rsidRPr="0085534E">
              <w:t>00 mL/ hour</w:t>
            </w:r>
          </w:p>
        </w:tc>
      </w:tr>
      <w:tr w:rsidR="00FE779F" w:rsidRPr="0085534E" w14:paraId="6F6FC750" w14:textId="77777777" w:rsidTr="0095758A">
        <w:tc>
          <w:tcPr>
            <w:tcW w:w="840" w:type="pct"/>
            <w:shd w:val="clear" w:color="auto" w:fill="auto"/>
          </w:tcPr>
          <w:p w14:paraId="0081745E" w14:textId="77777777" w:rsidR="00763D3F" w:rsidRPr="0085534E" w:rsidRDefault="00763D3F" w:rsidP="00AF3556">
            <w:pPr>
              <w:pStyle w:val="TblTextLeft"/>
            </w:pPr>
            <w:r w:rsidRPr="0085534E">
              <w:t>Subsequent infusions</w:t>
            </w:r>
          </w:p>
        </w:tc>
        <w:tc>
          <w:tcPr>
            <w:tcW w:w="754" w:type="pct"/>
            <w:shd w:val="clear" w:color="auto" w:fill="auto"/>
          </w:tcPr>
          <w:p w14:paraId="0159DCC5" w14:textId="77777777" w:rsidR="00763D3F" w:rsidRPr="0085534E" w:rsidRDefault="00763D3F" w:rsidP="00AF3556">
            <w:pPr>
              <w:pStyle w:val="TblTextLeft"/>
            </w:pPr>
            <w:r w:rsidRPr="0085534E">
              <w:t>250 mL</w:t>
            </w:r>
          </w:p>
        </w:tc>
        <w:tc>
          <w:tcPr>
            <w:tcW w:w="661" w:type="pct"/>
            <w:shd w:val="clear" w:color="auto" w:fill="auto"/>
          </w:tcPr>
          <w:p w14:paraId="6F7721E5" w14:textId="77777777" w:rsidR="00763D3F" w:rsidRPr="0085534E" w:rsidRDefault="00763D3F" w:rsidP="00AF3556">
            <w:pPr>
              <w:pStyle w:val="TblTextLeft"/>
            </w:pPr>
            <w:r w:rsidRPr="0085534E">
              <w:t>200 mL/ hour</w:t>
            </w:r>
          </w:p>
        </w:tc>
        <w:tc>
          <w:tcPr>
            <w:tcW w:w="983" w:type="pct"/>
          </w:tcPr>
          <w:p w14:paraId="485C3999" w14:textId="77777777" w:rsidR="00763D3F" w:rsidRPr="0085534E" w:rsidRDefault="0052457D" w:rsidP="00AF3556">
            <w:pPr>
              <w:pStyle w:val="TblTextLeft"/>
            </w:pPr>
            <w:r w:rsidRPr="0085534E">
              <w:t>_____</w:t>
            </w:r>
          </w:p>
        </w:tc>
        <w:tc>
          <w:tcPr>
            <w:tcW w:w="1100" w:type="pct"/>
            <w:shd w:val="clear" w:color="auto" w:fill="auto"/>
          </w:tcPr>
          <w:p w14:paraId="151A875D" w14:textId="77777777" w:rsidR="00763D3F" w:rsidRPr="0085534E" w:rsidRDefault="0052457D" w:rsidP="00AF3556">
            <w:pPr>
              <w:pStyle w:val="TblTextLeft"/>
            </w:pPr>
            <w:r w:rsidRPr="0085534E">
              <w:t>____</w:t>
            </w:r>
          </w:p>
        </w:tc>
        <w:tc>
          <w:tcPr>
            <w:tcW w:w="661" w:type="pct"/>
            <w:shd w:val="clear" w:color="auto" w:fill="auto"/>
          </w:tcPr>
          <w:p w14:paraId="35C7BA07" w14:textId="77777777" w:rsidR="00763D3F" w:rsidRPr="0085534E" w:rsidRDefault="00763D3F" w:rsidP="00AF3556">
            <w:pPr>
              <w:pStyle w:val="TblTextLeft"/>
            </w:pPr>
            <w:r w:rsidRPr="0085534E">
              <w:t>200 mL/ hour</w:t>
            </w:r>
          </w:p>
          <w:p w14:paraId="4A385DB5" w14:textId="77777777" w:rsidR="0052457D" w:rsidRPr="0085534E" w:rsidRDefault="0052457D" w:rsidP="00AF3556">
            <w:pPr>
              <w:pStyle w:val="TblTextLeft"/>
            </w:pPr>
            <w:r w:rsidRPr="0085534E">
              <w:t xml:space="preserve"> </w:t>
            </w:r>
          </w:p>
        </w:tc>
      </w:tr>
    </w:tbl>
    <w:p w14:paraId="2E3E2ABF" w14:textId="276D5203" w:rsidR="00BE3C8D" w:rsidRPr="0085534E" w:rsidRDefault="00763D3F" w:rsidP="00BE3C8D">
      <w:pPr>
        <w:tabs>
          <w:tab w:val="left" w:pos="7290"/>
        </w:tabs>
        <w:autoSpaceDE w:val="0"/>
        <w:autoSpaceDN w:val="0"/>
        <w:adjustRightInd w:val="0"/>
        <w:rPr>
          <w:b/>
          <w:color w:val="auto"/>
          <w:szCs w:val="22"/>
        </w:rPr>
      </w:pPr>
      <w:r w:rsidRPr="0085534E">
        <w:rPr>
          <w:b/>
          <w:color w:val="auto"/>
          <w:szCs w:val="22"/>
        </w:rPr>
        <w:t>Dosage adjustment</w:t>
      </w:r>
    </w:p>
    <w:p w14:paraId="21FA9D68" w14:textId="3351E73D" w:rsidR="00763D3F" w:rsidRPr="0085534E" w:rsidRDefault="00763D3F" w:rsidP="00BE3C8D">
      <w:pPr>
        <w:tabs>
          <w:tab w:val="left" w:pos="7290"/>
        </w:tabs>
        <w:autoSpaceDE w:val="0"/>
        <w:autoSpaceDN w:val="0"/>
        <w:adjustRightInd w:val="0"/>
        <w:rPr>
          <w:color w:val="auto"/>
          <w:szCs w:val="22"/>
        </w:rPr>
      </w:pPr>
      <w:r w:rsidRPr="0085534E">
        <w:rPr>
          <w:color w:val="auto"/>
          <w:szCs w:val="22"/>
        </w:rPr>
        <w:t xml:space="preserve">No dose reduction of </w:t>
      </w:r>
      <w:r w:rsidR="00957ADE" w:rsidRPr="0085534E">
        <w:rPr>
          <w:color w:val="auto"/>
          <w:lang w:val="en-AU"/>
        </w:rPr>
        <w:t>Sarclisa</w:t>
      </w:r>
      <w:r w:rsidRPr="0085534E">
        <w:rPr>
          <w:color w:val="auto"/>
          <w:szCs w:val="22"/>
        </w:rPr>
        <w:t xml:space="preserve"> is recommended.</w:t>
      </w:r>
    </w:p>
    <w:p w14:paraId="26756537" w14:textId="77777777" w:rsidR="00763D3F" w:rsidRPr="0085534E" w:rsidRDefault="0052457D" w:rsidP="00AF3556">
      <w:pPr>
        <w:rPr>
          <w:noProof/>
          <w:color w:val="auto"/>
          <w:szCs w:val="22"/>
        </w:rPr>
      </w:pPr>
      <w:r w:rsidRPr="0085534E">
        <w:rPr>
          <w:noProof/>
          <w:color w:val="auto"/>
          <w:szCs w:val="22"/>
        </w:rPr>
        <w:t>Administration</w:t>
      </w:r>
      <w:r w:rsidR="00763D3F" w:rsidRPr="0085534E">
        <w:rPr>
          <w:noProof/>
          <w:color w:val="auto"/>
          <w:szCs w:val="22"/>
        </w:rPr>
        <w:t xml:space="preserve"> adjustments should be made if patients experience t</w:t>
      </w:r>
      <w:r w:rsidR="00AF3556" w:rsidRPr="0085534E">
        <w:rPr>
          <w:noProof/>
          <w:color w:val="auto"/>
          <w:szCs w:val="22"/>
        </w:rPr>
        <w:t>he following adverse reactions:</w:t>
      </w:r>
    </w:p>
    <w:p w14:paraId="00B8BEEF" w14:textId="77777777" w:rsidR="00BE3C8D" w:rsidRPr="0085534E" w:rsidRDefault="00BE3C8D" w:rsidP="00BE3C8D">
      <w:pPr>
        <w:pStyle w:val="00-Paragraph"/>
        <w:keepNext/>
        <w:rPr>
          <w:i/>
          <w:szCs w:val="22"/>
        </w:rPr>
      </w:pPr>
      <w:r w:rsidRPr="0085534E">
        <w:rPr>
          <w:i/>
          <w:szCs w:val="22"/>
        </w:rPr>
        <w:t>Infusion reactions (IRs)</w:t>
      </w:r>
    </w:p>
    <w:p w14:paraId="4A818308" w14:textId="7AC78E6E" w:rsidR="00F33C93" w:rsidRPr="0085534E" w:rsidRDefault="00F33C93" w:rsidP="00F33C93">
      <w:pPr>
        <w:numPr>
          <w:ilvl w:val="0"/>
          <w:numId w:val="37"/>
        </w:numPr>
        <w:spacing w:before="0"/>
        <w:rPr>
          <w:rFonts w:eastAsia="Times New Roman"/>
          <w:color w:val="auto"/>
          <w:sz w:val="22"/>
          <w:szCs w:val="22"/>
        </w:rPr>
      </w:pPr>
      <w:r w:rsidRPr="0085534E">
        <w:rPr>
          <w:color w:val="auto"/>
          <w:szCs w:val="22"/>
        </w:rPr>
        <w:t xml:space="preserve">In patients who experience an IR, a temporary interruption in the infusion should be considered and additional symptomatic medication can be administered. After improvement, </w:t>
      </w:r>
      <w:r w:rsidR="00957ADE" w:rsidRPr="0085534E">
        <w:rPr>
          <w:color w:val="auto"/>
          <w:lang w:val="en-AU"/>
        </w:rPr>
        <w:t>Sarclisa</w:t>
      </w:r>
      <w:r w:rsidRPr="0085534E">
        <w:rPr>
          <w:color w:val="auto"/>
          <w:szCs w:val="22"/>
        </w:rPr>
        <w:t xml:space="preserve"> infusion may be resumed at half of the initial infusion rate under close monitoring and supportive care, as needed. If symptoms do not recur after 30 minutes, the infusion rate may be increased to the initial rate, and then increased incrementally, as shown in </w:t>
      </w:r>
      <w:r w:rsidRPr="0085534E">
        <w:rPr>
          <w:color w:val="auto"/>
          <w:szCs w:val="22"/>
        </w:rPr>
        <w:fldChar w:fldCharType="begin"/>
      </w:r>
      <w:r w:rsidRPr="0085534E">
        <w:rPr>
          <w:color w:val="auto"/>
          <w:szCs w:val="22"/>
        </w:rPr>
        <w:instrText xml:space="preserve"> REF _Ref7419130 \h  \* MERGEFORMAT </w:instrText>
      </w:r>
      <w:r w:rsidRPr="0085534E">
        <w:rPr>
          <w:color w:val="auto"/>
          <w:szCs w:val="22"/>
        </w:rPr>
      </w:r>
      <w:r w:rsidRPr="0085534E">
        <w:rPr>
          <w:color w:val="auto"/>
          <w:szCs w:val="22"/>
        </w:rPr>
        <w:fldChar w:fldCharType="separate"/>
      </w:r>
      <w:r w:rsidR="00312638" w:rsidRPr="00312638">
        <w:rPr>
          <w:color w:val="auto"/>
        </w:rPr>
        <w:t>Table 2</w:t>
      </w:r>
      <w:r w:rsidRPr="0085534E">
        <w:rPr>
          <w:color w:val="auto"/>
          <w:szCs w:val="22"/>
        </w:rPr>
        <w:fldChar w:fldCharType="end"/>
      </w:r>
      <w:r w:rsidRPr="0085534E">
        <w:rPr>
          <w:color w:val="auto"/>
          <w:szCs w:val="22"/>
        </w:rPr>
        <w:t xml:space="preserve"> (see section 4.4). </w:t>
      </w:r>
    </w:p>
    <w:p w14:paraId="658CAA30" w14:textId="7A95300C" w:rsidR="00F33C93" w:rsidRPr="0085534E" w:rsidRDefault="00F33C93" w:rsidP="00F33C93">
      <w:pPr>
        <w:numPr>
          <w:ilvl w:val="0"/>
          <w:numId w:val="37"/>
        </w:numPr>
        <w:spacing w:before="0"/>
        <w:rPr>
          <w:color w:val="auto"/>
          <w:szCs w:val="22"/>
        </w:rPr>
      </w:pPr>
      <w:r w:rsidRPr="0085534E">
        <w:rPr>
          <w:color w:val="auto"/>
          <w:szCs w:val="22"/>
        </w:rPr>
        <w:t xml:space="preserve">If symptoms do not resolve rapidly or improve after interruption of </w:t>
      </w:r>
      <w:r w:rsidR="00957ADE" w:rsidRPr="0085534E">
        <w:rPr>
          <w:color w:val="auto"/>
          <w:lang w:val="en-AU"/>
        </w:rPr>
        <w:t>Sarclisa</w:t>
      </w:r>
      <w:r w:rsidR="00957ADE" w:rsidRPr="0085534E">
        <w:rPr>
          <w:color w:val="auto"/>
        </w:rPr>
        <w:t xml:space="preserve"> </w:t>
      </w:r>
      <w:r w:rsidRPr="0085534E">
        <w:rPr>
          <w:color w:val="auto"/>
          <w:szCs w:val="22"/>
        </w:rPr>
        <w:t xml:space="preserve">infusion, recur after initial improvement with appropriate medications, or require hospitalization or are life-threatening, treatment with </w:t>
      </w:r>
      <w:r w:rsidR="00957ADE" w:rsidRPr="0085534E">
        <w:rPr>
          <w:color w:val="auto"/>
          <w:lang w:val="en-AU"/>
        </w:rPr>
        <w:t>Sarclisa</w:t>
      </w:r>
      <w:r w:rsidR="00957ADE" w:rsidRPr="0085534E">
        <w:rPr>
          <w:color w:val="auto"/>
        </w:rPr>
        <w:t xml:space="preserve"> </w:t>
      </w:r>
      <w:r w:rsidRPr="0085534E">
        <w:rPr>
          <w:color w:val="auto"/>
          <w:szCs w:val="22"/>
        </w:rPr>
        <w:t>should be permanently discontinued and additional supportive therapy should be administered, as needed.</w:t>
      </w:r>
    </w:p>
    <w:p w14:paraId="6069E866" w14:textId="77777777" w:rsidR="00BE3C8D" w:rsidRPr="0085534E" w:rsidRDefault="00BE3C8D" w:rsidP="00BE3C8D">
      <w:pPr>
        <w:rPr>
          <w:i/>
          <w:noProof/>
          <w:color w:val="auto"/>
          <w:szCs w:val="22"/>
        </w:rPr>
      </w:pPr>
      <w:r w:rsidRPr="0085534E">
        <w:rPr>
          <w:i/>
          <w:noProof/>
          <w:color w:val="auto"/>
          <w:szCs w:val="22"/>
        </w:rPr>
        <w:t xml:space="preserve">Neutropenia </w:t>
      </w:r>
    </w:p>
    <w:p w14:paraId="5A057FA6" w14:textId="55463318" w:rsidR="00BE3C8D" w:rsidRPr="0085534E" w:rsidRDefault="00BE3C8D" w:rsidP="00BE3C8D">
      <w:pPr>
        <w:rPr>
          <w:color w:val="auto"/>
          <w:szCs w:val="22"/>
        </w:rPr>
      </w:pPr>
      <w:r w:rsidRPr="0085534E">
        <w:rPr>
          <w:color w:val="auto"/>
          <w:szCs w:val="22"/>
        </w:rPr>
        <w:t xml:space="preserve">In the event of grade 4 neutropenia, </w:t>
      </w:r>
      <w:r w:rsidR="00957ADE" w:rsidRPr="0085534E">
        <w:rPr>
          <w:color w:val="auto"/>
          <w:lang w:val="en-AU"/>
        </w:rPr>
        <w:t>Sarclisa</w:t>
      </w:r>
      <w:r w:rsidRPr="0085534E">
        <w:rPr>
          <w:color w:val="auto"/>
          <w:szCs w:val="22"/>
        </w:rPr>
        <w:t xml:space="preserve"> administration should be delayed until neutrophil count recovers to at least 1.0 x 10</w:t>
      </w:r>
      <w:r w:rsidRPr="0085534E">
        <w:rPr>
          <w:color w:val="auto"/>
          <w:szCs w:val="22"/>
          <w:vertAlign w:val="superscript"/>
        </w:rPr>
        <w:t>9</w:t>
      </w:r>
      <w:r w:rsidRPr="0085534E">
        <w:rPr>
          <w:color w:val="auto"/>
          <w:szCs w:val="22"/>
        </w:rPr>
        <w:t>/L. The use of growth factors (e.g. G-CSF) should be considered, according to local guidelines. (see section 4.4)</w:t>
      </w:r>
    </w:p>
    <w:p w14:paraId="1FFEE10B" w14:textId="4C1FE28A" w:rsidR="0052457D" w:rsidRPr="0085534E" w:rsidRDefault="0052457D" w:rsidP="00BE3C8D">
      <w:pPr>
        <w:rPr>
          <w:color w:val="auto"/>
          <w:szCs w:val="22"/>
        </w:rPr>
      </w:pPr>
      <w:r w:rsidRPr="0085534E">
        <w:rPr>
          <w:color w:val="auto"/>
          <w:szCs w:val="22"/>
        </w:rPr>
        <w:t xml:space="preserve">For other medicinal products that are administered with </w:t>
      </w:r>
      <w:r w:rsidR="00957ADE" w:rsidRPr="0085534E">
        <w:rPr>
          <w:color w:val="auto"/>
          <w:lang w:val="en-AU"/>
        </w:rPr>
        <w:t>Sarclisa</w:t>
      </w:r>
      <w:r w:rsidRPr="0085534E">
        <w:rPr>
          <w:color w:val="auto"/>
          <w:szCs w:val="22"/>
        </w:rPr>
        <w:t xml:space="preserve">, refer to the respective current </w:t>
      </w:r>
      <w:r w:rsidR="00F33C93" w:rsidRPr="0085534E">
        <w:rPr>
          <w:color w:val="auto"/>
          <w:szCs w:val="22"/>
        </w:rPr>
        <w:t>Product Information.</w:t>
      </w:r>
      <w:r w:rsidR="00F33C93" w:rsidRPr="0085534E">
        <w:rPr>
          <w:strike/>
          <w:color w:val="auto"/>
          <w:szCs w:val="22"/>
        </w:rPr>
        <w:t xml:space="preserve"> </w:t>
      </w:r>
    </w:p>
    <w:p w14:paraId="100C1F64" w14:textId="77777777" w:rsidR="00420E61" w:rsidRPr="0085534E" w:rsidRDefault="00BE3C8D" w:rsidP="00BE3C8D">
      <w:pPr>
        <w:rPr>
          <w:b/>
          <w:noProof/>
          <w:color w:val="auto"/>
          <w:szCs w:val="22"/>
        </w:rPr>
      </w:pPr>
      <w:r w:rsidRPr="0085534E">
        <w:rPr>
          <w:b/>
          <w:noProof/>
          <w:color w:val="auto"/>
          <w:szCs w:val="22"/>
        </w:rPr>
        <w:t>Special populations:</w:t>
      </w:r>
    </w:p>
    <w:p w14:paraId="3C1D023D" w14:textId="77777777" w:rsidR="00BE3C8D" w:rsidRPr="0085534E" w:rsidRDefault="00BE3C8D" w:rsidP="00420E61">
      <w:pPr>
        <w:tabs>
          <w:tab w:val="left" w:pos="720"/>
          <w:tab w:val="left" w:pos="1080"/>
          <w:tab w:val="left" w:pos="1350"/>
          <w:tab w:val="left" w:pos="3420"/>
          <w:tab w:val="left" w:pos="5580"/>
        </w:tabs>
        <w:suppressAutoHyphens/>
        <w:spacing w:before="0"/>
        <w:rPr>
          <w:bCs/>
          <w:i/>
          <w:color w:val="auto"/>
        </w:rPr>
      </w:pPr>
      <w:r w:rsidRPr="0085534E">
        <w:rPr>
          <w:bCs/>
          <w:i/>
          <w:color w:val="auto"/>
        </w:rPr>
        <w:t>Paediatric population</w:t>
      </w:r>
    </w:p>
    <w:p w14:paraId="3FEBBFDE" w14:textId="35F7D2AF" w:rsidR="00AF3556" w:rsidRPr="0085534E" w:rsidRDefault="00BE3C8D" w:rsidP="00420E61">
      <w:pPr>
        <w:spacing w:before="0"/>
        <w:rPr>
          <w:color w:val="auto"/>
        </w:rPr>
      </w:pPr>
      <w:r w:rsidRPr="0085534E">
        <w:rPr>
          <w:color w:val="auto"/>
        </w:rPr>
        <w:t xml:space="preserve">The safety and efficacy of </w:t>
      </w:r>
      <w:r w:rsidR="00957ADE" w:rsidRPr="0085534E">
        <w:rPr>
          <w:color w:val="auto"/>
          <w:lang w:val="en-AU"/>
        </w:rPr>
        <w:t>Sarclisa</w:t>
      </w:r>
      <w:r w:rsidRPr="0085534E">
        <w:rPr>
          <w:color w:val="auto"/>
        </w:rPr>
        <w:t xml:space="preserve"> in children below 18 years of age have not been established.</w:t>
      </w:r>
    </w:p>
    <w:p w14:paraId="522C7C18" w14:textId="77777777" w:rsidR="00BE3C8D" w:rsidRPr="0085534E" w:rsidRDefault="00BE3C8D" w:rsidP="00AF3556">
      <w:pPr>
        <w:rPr>
          <w:i/>
          <w:noProof/>
          <w:color w:val="auto"/>
          <w:szCs w:val="22"/>
        </w:rPr>
      </w:pPr>
      <w:r w:rsidRPr="0085534E">
        <w:rPr>
          <w:i/>
          <w:noProof/>
          <w:color w:val="auto"/>
          <w:szCs w:val="22"/>
        </w:rPr>
        <w:t>Elderly</w:t>
      </w:r>
    </w:p>
    <w:p w14:paraId="0FA17366" w14:textId="77777777" w:rsidR="00BE3C8D" w:rsidRPr="0085534E" w:rsidRDefault="00BE3C8D" w:rsidP="00AF3556">
      <w:pPr>
        <w:spacing w:before="0"/>
        <w:rPr>
          <w:i/>
          <w:noProof/>
          <w:color w:val="auto"/>
          <w:szCs w:val="22"/>
        </w:rPr>
      </w:pPr>
      <w:r w:rsidRPr="0085534E">
        <w:rPr>
          <w:color w:val="auto"/>
        </w:rPr>
        <w:t>Based on population pharmacokinetic analysis, no dose adjustment is recommended in elderly patients.</w:t>
      </w:r>
    </w:p>
    <w:p w14:paraId="3FD4B8E4" w14:textId="77777777" w:rsidR="00BE3C8D" w:rsidRPr="0085534E" w:rsidRDefault="00BE3C8D" w:rsidP="00BE3C8D">
      <w:pPr>
        <w:rPr>
          <w:color w:val="auto"/>
        </w:rPr>
      </w:pPr>
      <w:r w:rsidRPr="0085534E">
        <w:rPr>
          <w:i/>
          <w:noProof/>
          <w:color w:val="auto"/>
          <w:szCs w:val="22"/>
        </w:rPr>
        <w:lastRenderedPageBreak/>
        <w:t>Patients with renal impairment</w:t>
      </w:r>
      <w:r w:rsidRPr="0085534E">
        <w:rPr>
          <w:i/>
          <w:noProof/>
          <w:color w:val="auto"/>
          <w:szCs w:val="22"/>
        </w:rPr>
        <w:br/>
      </w:r>
      <w:r w:rsidR="0028528C" w:rsidRPr="0085534E">
        <w:rPr>
          <w:color w:val="auto"/>
        </w:rPr>
        <w:t xml:space="preserve">Based on population pharmacokinetic analysis </w:t>
      </w:r>
      <w:r w:rsidR="0028528C" w:rsidRPr="0085534E">
        <w:rPr>
          <w:color w:val="auto"/>
          <w:szCs w:val="22"/>
        </w:rPr>
        <w:t>and on clinical safety</w:t>
      </w:r>
      <w:r w:rsidR="0028528C" w:rsidRPr="0085534E">
        <w:rPr>
          <w:color w:val="auto"/>
        </w:rPr>
        <w:t>, no dose adjustment is recommended in patients with mild to severe renal impairment (see section 5.2).</w:t>
      </w:r>
    </w:p>
    <w:p w14:paraId="5EC5DC71" w14:textId="77777777" w:rsidR="00BE3C8D" w:rsidRPr="0085534E" w:rsidRDefault="00BE3C8D" w:rsidP="00BE3C8D">
      <w:pPr>
        <w:rPr>
          <w:i/>
          <w:noProof/>
          <w:color w:val="auto"/>
          <w:szCs w:val="22"/>
        </w:rPr>
      </w:pPr>
      <w:r w:rsidRPr="0085534E">
        <w:rPr>
          <w:i/>
          <w:noProof/>
          <w:color w:val="auto"/>
          <w:szCs w:val="22"/>
        </w:rPr>
        <w:t>Patients with hepatic impairment</w:t>
      </w:r>
      <w:r w:rsidRPr="0085534E">
        <w:rPr>
          <w:i/>
          <w:noProof/>
          <w:color w:val="auto"/>
          <w:szCs w:val="22"/>
        </w:rPr>
        <w:br/>
      </w:r>
      <w:r w:rsidR="0028528C" w:rsidRPr="0085534E">
        <w:rPr>
          <w:color w:val="auto"/>
        </w:rPr>
        <w:t>Based on population pharmacokinetic analysis, no dose adjustment is recommended in patients with mild hepatic impairment. Limited data are available in patients with moderate hepatic impairment, and no data are available in patients with severe hepatic impairment (see section 5.2).</w:t>
      </w:r>
    </w:p>
    <w:p w14:paraId="67A6BE2E" w14:textId="77777777" w:rsidR="00763D3F" w:rsidRPr="0085534E" w:rsidRDefault="00763D3F" w:rsidP="00763D3F">
      <w:pPr>
        <w:rPr>
          <w:color w:val="auto"/>
          <w:lang w:val="en-AU"/>
        </w:rPr>
      </w:pPr>
    </w:p>
    <w:p w14:paraId="02DAD078" w14:textId="77777777" w:rsidR="001A3992" w:rsidRPr="0085534E" w:rsidRDefault="001A3992" w:rsidP="001A3992">
      <w:pPr>
        <w:pStyle w:val="Heading2"/>
        <w:spacing w:before="0" w:after="120"/>
        <w:rPr>
          <w:lang w:val="en-AU"/>
        </w:rPr>
      </w:pPr>
      <w:r w:rsidRPr="0085534E">
        <w:rPr>
          <w:lang w:val="en-AU"/>
        </w:rPr>
        <w:t>Contraindications</w:t>
      </w:r>
    </w:p>
    <w:p w14:paraId="1F7C3256" w14:textId="10B20F74" w:rsidR="00BE3C8D" w:rsidRPr="0085534E" w:rsidRDefault="00BE3C8D" w:rsidP="00DE6E59">
      <w:pPr>
        <w:tabs>
          <w:tab w:val="left" w:pos="567"/>
        </w:tabs>
        <w:spacing w:before="0"/>
        <w:rPr>
          <w:noProof/>
          <w:color w:val="auto"/>
          <w:szCs w:val="22"/>
        </w:rPr>
      </w:pPr>
      <w:r w:rsidRPr="0085534E">
        <w:rPr>
          <w:noProof/>
          <w:color w:val="auto"/>
          <w:szCs w:val="22"/>
        </w:rPr>
        <w:t>Hypersensitivity to the active substance or to any of the e</w:t>
      </w:r>
      <w:r w:rsidR="00AF1BDA" w:rsidRPr="0085534E">
        <w:rPr>
          <w:noProof/>
          <w:color w:val="auto"/>
          <w:szCs w:val="22"/>
        </w:rPr>
        <w:t>xcipients listed in section 6.1.</w:t>
      </w:r>
    </w:p>
    <w:p w14:paraId="5752707B" w14:textId="77777777" w:rsidR="00AF1BDA" w:rsidRPr="0085534E" w:rsidRDefault="00AF1BDA" w:rsidP="00DE6E59">
      <w:pPr>
        <w:tabs>
          <w:tab w:val="left" w:pos="567"/>
        </w:tabs>
        <w:spacing w:before="0"/>
        <w:rPr>
          <w:noProof/>
          <w:color w:val="auto"/>
          <w:szCs w:val="22"/>
        </w:rPr>
      </w:pPr>
    </w:p>
    <w:p w14:paraId="1A0796C8" w14:textId="574CAEC7" w:rsidR="00AF1BDA" w:rsidRPr="0085534E" w:rsidRDefault="00AF1BDA" w:rsidP="00DE6E59">
      <w:pPr>
        <w:tabs>
          <w:tab w:val="left" w:pos="567"/>
        </w:tabs>
        <w:spacing w:before="0"/>
        <w:rPr>
          <w:noProof/>
          <w:color w:val="auto"/>
          <w:szCs w:val="22"/>
        </w:rPr>
      </w:pPr>
      <w:r w:rsidRPr="0085534E">
        <w:rPr>
          <w:noProof/>
          <w:color w:val="auto"/>
          <w:szCs w:val="22"/>
        </w:rPr>
        <w:t xml:space="preserve">The Product Information for all medicinal products used in combination with Sarclisa must be consulted before starting Sarclisa therapy.  </w:t>
      </w:r>
    </w:p>
    <w:p w14:paraId="7AA3BD32" w14:textId="77777777" w:rsidR="00292D82" w:rsidRPr="0085534E" w:rsidRDefault="00292D82" w:rsidP="00292D82">
      <w:pPr>
        <w:spacing w:before="120"/>
        <w:jc w:val="both"/>
        <w:rPr>
          <w:color w:val="auto"/>
          <w:lang w:val="en-AU"/>
        </w:rPr>
      </w:pPr>
    </w:p>
    <w:p w14:paraId="769E2198" w14:textId="77777777" w:rsidR="001A3992" w:rsidRPr="0085534E" w:rsidRDefault="00E74A56" w:rsidP="001A3992">
      <w:pPr>
        <w:pStyle w:val="Heading2"/>
        <w:spacing w:before="0" w:after="120"/>
        <w:rPr>
          <w:lang w:val="en-AU"/>
        </w:rPr>
      </w:pPr>
      <w:r w:rsidRPr="0085534E">
        <w:rPr>
          <w:lang w:val="en-AU"/>
        </w:rPr>
        <w:t>Special warnings and p</w:t>
      </w:r>
      <w:r w:rsidR="001A3992" w:rsidRPr="0085534E">
        <w:rPr>
          <w:lang w:val="en-AU"/>
        </w:rPr>
        <w:t xml:space="preserve">recautions </w:t>
      </w:r>
      <w:r w:rsidRPr="0085534E">
        <w:rPr>
          <w:lang w:val="en-AU"/>
        </w:rPr>
        <w:t>for use</w:t>
      </w:r>
    </w:p>
    <w:p w14:paraId="2B7BBCEE" w14:textId="77777777" w:rsidR="00BE3C8D" w:rsidRPr="0085534E" w:rsidRDefault="00BE3C8D" w:rsidP="00336DDE">
      <w:pPr>
        <w:pStyle w:val="Heading3"/>
        <w:numPr>
          <w:ilvl w:val="0"/>
          <w:numId w:val="0"/>
        </w:numPr>
      </w:pPr>
      <w:r w:rsidRPr="0085534E">
        <w:t>Infusion reactions</w:t>
      </w:r>
    </w:p>
    <w:p w14:paraId="181DF39A" w14:textId="5C82ED0F" w:rsidR="00336DDE" w:rsidRPr="0085534E" w:rsidRDefault="00336DDE" w:rsidP="00336DDE">
      <w:pPr>
        <w:rPr>
          <w:color w:val="auto"/>
        </w:rPr>
      </w:pPr>
      <w:r w:rsidRPr="0085534E">
        <w:rPr>
          <w:color w:val="auto"/>
        </w:rPr>
        <w:t xml:space="preserve">Infusion reactions (IRs), mostly mild or moderate, have been observed in 38.2% of patients treated with </w:t>
      </w:r>
      <w:r w:rsidR="00957ADE" w:rsidRPr="0085534E">
        <w:rPr>
          <w:color w:val="auto"/>
          <w:lang w:val="en-AU"/>
        </w:rPr>
        <w:t>Sarclisa</w:t>
      </w:r>
      <w:r w:rsidR="00FE779F" w:rsidRPr="0085534E">
        <w:rPr>
          <w:color w:val="auto"/>
        </w:rPr>
        <w:t xml:space="preserve">. </w:t>
      </w:r>
      <w:r w:rsidRPr="0085534E">
        <w:rPr>
          <w:color w:val="auto"/>
        </w:rPr>
        <w:t xml:space="preserve"> All IRs started during the first </w:t>
      </w:r>
      <w:r w:rsidR="00957ADE" w:rsidRPr="0085534E">
        <w:rPr>
          <w:color w:val="auto"/>
          <w:lang w:val="en-AU"/>
        </w:rPr>
        <w:t>Sarclisa</w:t>
      </w:r>
      <w:r w:rsidR="00957ADE" w:rsidRPr="0085534E">
        <w:rPr>
          <w:color w:val="auto"/>
        </w:rPr>
        <w:t xml:space="preserve"> </w:t>
      </w:r>
      <w:r w:rsidRPr="0085534E">
        <w:rPr>
          <w:color w:val="auto"/>
        </w:rPr>
        <w:t xml:space="preserve">infusion and resolved on the same day in most patients. The most common symptoms of an IR included dyspnoea, cough, chills and nausea. The most common severe signs and symptoms included hypertension and dyspnoea (see section 4.8). </w:t>
      </w:r>
    </w:p>
    <w:p w14:paraId="2F49B1A9" w14:textId="73C95B7D" w:rsidR="00BE3C8D" w:rsidRPr="0085534E" w:rsidRDefault="00336DDE" w:rsidP="00611AFB">
      <w:pPr>
        <w:rPr>
          <w:color w:val="auto"/>
        </w:rPr>
      </w:pPr>
      <w:r w:rsidRPr="0085534E">
        <w:rPr>
          <w:color w:val="auto"/>
        </w:rPr>
        <w:t xml:space="preserve">To decrease the risk and severity of IRs, patients should be pre-medicated prior to </w:t>
      </w:r>
      <w:r w:rsidR="00957ADE" w:rsidRPr="0085534E">
        <w:rPr>
          <w:color w:val="auto"/>
          <w:lang w:val="en-AU"/>
        </w:rPr>
        <w:t>Sarclisa</w:t>
      </w:r>
      <w:r w:rsidRPr="0085534E">
        <w:rPr>
          <w:color w:val="auto"/>
        </w:rPr>
        <w:t xml:space="preserve"> infusion with acetaminophen, H2 antagonists or proton pump inhibitors, diphenhydramine or equivalent; dexamethasone is to be used as both premedication and anti-myeloma treatment</w:t>
      </w:r>
      <w:r w:rsidR="00FE779F" w:rsidRPr="0085534E">
        <w:rPr>
          <w:color w:val="auto"/>
        </w:rPr>
        <w:t>.</w:t>
      </w:r>
      <w:r w:rsidRPr="0085534E">
        <w:rPr>
          <w:color w:val="auto"/>
        </w:rPr>
        <w:t xml:space="preserve"> Vital signs should be frequently monitored during the entire </w:t>
      </w:r>
      <w:r w:rsidR="00E118E3" w:rsidRPr="0085534E">
        <w:rPr>
          <w:color w:val="auto"/>
        </w:rPr>
        <w:t>Sarclisa</w:t>
      </w:r>
      <w:r w:rsidRPr="0085534E">
        <w:rPr>
          <w:color w:val="auto"/>
        </w:rPr>
        <w:t xml:space="preserve"> infusion. When required, interrupt </w:t>
      </w:r>
      <w:r w:rsidR="00957ADE" w:rsidRPr="0085534E">
        <w:rPr>
          <w:color w:val="auto"/>
          <w:lang w:val="en-AU"/>
        </w:rPr>
        <w:t>Sarclisa</w:t>
      </w:r>
      <w:r w:rsidRPr="0085534E">
        <w:rPr>
          <w:color w:val="auto"/>
        </w:rPr>
        <w:t xml:space="preserve"> infusion and provide appropriate medical and supportive measures (see section 4.2). In case symptoms do not improve after interruption of </w:t>
      </w:r>
      <w:r w:rsidR="00957ADE" w:rsidRPr="0085534E">
        <w:rPr>
          <w:color w:val="auto"/>
          <w:lang w:val="en-AU"/>
        </w:rPr>
        <w:t>Sarclisa</w:t>
      </w:r>
      <w:r w:rsidRPr="0085534E">
        <w:rPr>
          <w:color w:val="auto"/>
        </w:rPr>
        <w:t xml:space="preserve"> infusion, recur after initial improvement with appropriate medications, require hospitalization or are life-threatening, permanently discontinue </w:t>
      </w:r>
      <w:r w:rsidR="00957ADE" w:rsidRPr="0085534E">
        <w:rPr>
          <w:color w:val="auto"/>
          <w:lang w:val="en-AU"/>
        </w:rPr>
        <w:t>Sarclisa</w:t>
      </w:r>
      <w:r w:rsidRPr="0085534E">
        <w:rPr>
          <w:color w:val="auto"/>
        </w:rPr>
        <w:t xml:space="preserve"> and institute appropriate management.</w:t>
      </w:r>
    </w:p>
    <w:p w14:paraId="39317404" w14:textId="77777777" w:rsidR="00BE3C8D" w:rsidRPr="0085534E" w:rsidRDefault="00BE3C8D" w:rsidP="00611AFB">
      <w:pPr>
        <w:pStyle w:val="Heading3"/>
        <w:numPr>
          <w:ilvl w:val="0"/>
          <w:numId w:val="0"/>
        </w:numPr>
        <w:ind w:left="680" w:hanging="680"/>
      </w:pPr>
      <w:r w:rsidRPr="0085534E">
        <w:t>Neutropenia</w:t>
      </w:r>
    </w:p>
    <w:p w14:paraId="62DB7D0E" w14:textId="7F734AC5" w:rsidR="00420E61" w:rsidRPr="0085534E" w:rsidRDefault="00DE6E59" w:rsidP="00611AFB">
      <w:pPr>
        <w:rPr>
          <w:color w:val="auto"/>
          <w:szCs w:val="22"/>
        </w:rPr>
      </w:pPr>
      <w:r w:rsidRPr="0085534E">
        <w:rPr>
          <w:color w:val="auto"/>
          <w:szCs w:val="22"/>
        </w:rPr>
        <w:t xml:space="preserve">Grade 3-4 neutropenia reported as laboratory abnormalities (84.9%) and neutropenic complications (30.3%) have been observed in patients treated with </w:t>
      </w:r>
      <w:r w:rsidR="00957ADE" w:rsidRPr="0085534E">
        <w:rPr>
          <w:color w:val="auto"/>
          <w:lang w:val="en-AU"/>
        </w:rPr>
        <w:t>Sarclisa</w:t>
      </w:r>
      <w:r w:rsidRPr="0085534E">
        <w:rPr>
          <w:color w:val="auto"/>
          <w:szCs w:val="22"/>
        </w:rPr>
        <w:t xml:space="preserve"> (see section 4.8). </w:t>
      </w:r>
    </w:p>
    <w:p w14:paraId="19597DF2" w14:textId="33B01A70" w:rsidR="00DE6E59" w:rsidRPr="0085534E" w:rsidRDefault="00DE6E59" w:rsidP="00611AFB">
      <w:pPr>
        <w:rPr>
          <w:color w:val="auto"/>
        </w:rPr>
      </w:pPr>
      <w:r w:rsidRPr="0085534E">
        <w:rPr>
          <w:color w:val="auto"/>
        </w:rPr>
        <w:t xml:space="preserve">Monitor complete blood cell counts periodically during treatment.  Antibiotics, antifungal and antiviral prophylaxis can be considered during treatment. Monitor patients with neutropenia for signs of infection. No dose reductions of </w:t>
      </w:r>
      <w:r w:rsidR="00957ADE" w:rsidRPr="0085534E">
        <w:rPr>
          <w:color w:val="auto"/>
          <w:lang w:val="en-AU"/>
        </w:rPr>
        <w:t>Sarclisa</w:t>
      </w:r>
      <w:r w:rsidRPr="0085534E">
        <w:rPr>
          <w:color w:val="auto"/>
        </w:rPr>
        <w:t xml:space="preserve"> are recommended. </w:t>
      </w:r>
      <w:r w:rsidR="00957ADE" w:rsidRPr="0085534E">
        <w:rPr>
          <w:color w:val="auto"/>
          <w:lang w:val="en-AU"/>
        </w:rPr>
        <w:t>Sarclisa</w:t>
      </w:r>
      <w:r w:rsidRPr="0085534E">
        <w:rPr>
          <w:color w:val="auto"/>
        </w:rPr>
        <w:t xml:space="preserve"> dose delays and the use of colony-stimulating factors (e.g. G-CSF) may be required to allow improvement of neutrophil count (see section 4.2).</w:t>
      </w:r>
    </w:p>
    <w:p w14:paraId="5E9D6404" w14:textId="77777777" w:rsidR="00BB623E" w:rsidRPr="0085534E" w:rsidRDefault="00BB623E" w:rsidP="00BB623E">
      <w:pPr>
        <w:pStyle w:val="Heading3"/>
        <w:numPr>
          <w:ilvl w:val="0"/>
          <w:numId w:val="0"/>
        </w:numPr>
        <w:ind w:left="680" w:hanging="680"/>
      </w:pPr>
      <w:r w:rsidRPr="0085534E">
        <w:lastRenderedPageBreak/>
        <w:t>Infection</w:t>
      </w:r>
    </w:p>
    <w:p w14:paraId="2F33DA6D" w14:textId="1973C512" w:rsidR="0024632F" w:rsidRPr="0085534E" w:rsidRDefault="00BB623E" w:rsidP="0024632F">
      <w:pPr>
        <w:rPr>
          <w:color w:val="auto"/>
        </w:rPr>
      </w:pPr>
      <w:r w:rsidRPr="0085534E">
        <w:rPr>
          <w:color w:val="auto"/>
        </w:rPr>
        <w:t xml:space="preserve">A higher incidence of infections including grade ≥ 3 infections, mainly </w:t>
      </w:r>
      <w:r w:rsidR="009C07E0" w:rsidRPr="0085534E">
        <w:rPr>
          <w:color w:val="auto"/>
        </w:rPr>
        <w:t xml:space="preserve">pneumonia, </w:t>
      </w:r>
      <w:r w:rsidRPr="0085534E">
        <w:rPr>
          <w:color w:val="auto"/>
        </w:rPr>
        <w:t xml:space="preserve">upper respiratory tract infection and bronchitis, occurred with </w:t>
      </w:r>
      <w:r w:rsidR="005F58A9" w:rsidRPr="0085534E">
        <w:rPr>
          <w:color w:val="auto"/>
        </w:rPr>
        <w:t xml:space="preserve">the </w:t>
      </w:r>
      <w:r w:rsidRPr="0085534E">
        <w:rPr>
          <w:color w:val="auto"/>
        </w:rPr>
        <w:t xml:space="preserve">isatuximab regimen (see section 4.8). Patients receiving isatuximab regimen should be closely monitored for signs of infection and appropriate standard therapy instituted. Antibiotics, antifungal and antiviral prophylaxis can be considered during treatment. </w:t>
      </w:r>
    </w:p>
    <w:p w14:paraId="734F5F5B" w14:textId="77777777" w:rsidR="001A3992" w:rsidRPr="0085534E" w:rsidRDefault="001A3992" w:rsidP="00EF5223">
      <w:pPr>
        <w:pStyle w:val="Heading3"/>
        <w:numPr>
          <w:ilvl w:val="0"/>
          <w:numId w:val="0"/>
        </w:numPr>
        <w:spacing w:before="240" w:after="120"/>
        <w:ind w:left="680" w:hanging="680"/>
        <w:rPr>
          <w:lang w:val="en-AU"/>
        </w:rPr>
      </w:pPr>
      <w:r w:rsidRPr="0085534E">
        <w:rPr>
          <w:lang w:val="en-AU"/>
        </w:rPr>
        <w:t>Use in the elderly</w:t>
      </w:r>
    </w:p>
    <w:p w14:paraId="470A12EE" w14:textId="620B476C" w:rsidR="00477BD3" w:rsidRPr="0085534E" w:rsidRDefault="009B1A82" w:rsidP="00477BD3">
      <w:pPr>
        <w:rPr>
          <w:color w:val="auto"/>
          <w:lang w:val="en-AU"/>
        </w:rPr>
      </w:pPr>
      <w:r w:rsidRPr="0085534E">
        <w:rPr>
          <w:color w:val="auto"/>
          <w:lang w:val="en-AU"/>
        </w:rPr>
        <w:t>Based on population pharmacokinetic analysis, no dose adjustment is recommended in elderly patients.</w:t>
      </w:r>
    </w:p>
    <w:p w14:paraId="68850B73" w14:textId="77777777" w:rsidR="001A3992" w:rsidRPr="0085534E" w:rsidRDefault="001A3992" w:rsidP="00EF5223">
      <w:pPr>
        <w:pStyle w:val="Heading3"/>
        <w:numPr>
          <w:ilvl w:val="0"/>
          <w:numId w:val="0"/>
        </w:numPr>
        <w:spacing w:before="240" w:after="120"/>
        <w:ind w:left="680" w:hanging="680"/>
        <w:rPr>
          <w:lang w:val="en-AU"/>
        </w:rPr>
      </w:pPr>
      <w:r w:rsidRPr="0085534E">
        <w:rPr>
          <w:lang w:val="en-AU"/>
        </w:rPr>
        <w:t>Paediatric use</w:t>
      </w:r>
    </w:p>
    <w:p w14:paraId="5315368F" w14:textId="76CD5604" w:rsidR="00BC364A" w:rsidRPr="0085534E" w:rsidRDefault="009B1A82" w:rsidP="00BC364A">
      <w:pPr>
        <w:rPr>
          <w:color w:val="auto"/>
          <w:lang w:val="en-AU"/>
        </w:rPr>
      </w:pPr>
      <w:r w:rsidRPr="0085534E">
        <w:rPr>
          <w:color w:val="auto"/>
          <w:lang w:val="en-AU"/>
        </w:rPr>
        <w:t xml:space="preserve">The safety and efficacy of </w:t>
      </w:r>
      <w:r w:rsidR="00957ADE" w:rsidRPr="0085534E">
        <w:rPr>
          <w:color w:val="auto"/>
          <w:lang w:val="en-AU"/>
        </w:rPr>
        <w:t>Sarclisa</w:t>
      </w:r>
      <w:r w:rsidR="00957ADE" w:rsidRPr="0085534E">
        <w:rPr>
          <w:color w:val="auto"/>
        </w:rPr>
        <w:t xml:space="preserve"> </w:t>
      </w:r>
      <w:r w:rsidRPr="0085534E">
        <w:rPr>
          <w:color w:val="auto"/>
          <w:lang w:val="en-AU"/>
        </w:rPr>
        <w:t>in children below 18 years of age have not been established.</w:t>
      </w:r>
    </w:p>
    <w:p w14:paraId="6FDAE87C" w14:textId="77777777" w:rsidR="001A3992" w:rsidRPr="0085534E" w:rsidRDefault="001A3992" w:rsidP="00EF5223">
      <w:pPr>
        <w:pStyle w:val="Heading3"/>
        <w:numPr>
          <w:ilvl w:val="0"/>
          <w:numId w:val="0"/>
        </w:numPr>
        <w:spacing w:before="240" w:after="120"/>
        <w:ind w:left="680" w:hanging="680"/>
        <w:rPr>
          <w:lang w:val="en-AU"/>
        </w:rPr>
      </w:pPr>
      <w:r w:rsidRPr="0085534E">
        <w:rPr>
          <w:lang w:val="en-AU"/>
        </w:rPr>
        <w:t>Effects on laboratory tests</w:t>
      </w:r>
    </w:p>
    <w:p w14:paraId="0E242470" w14:textId="77777777" w:rsidR="00336DDE" w:rsidRPr="0085534E" w:rsidRDefault="00336DDE" w:rsidP="00336DDE">
      <w:pPr>
        <w:pStyle w:val="00-Paragraph"/>
        <w:spacing w:before="100" w:beforeAutospacing="1" w:after="100" w:afterAutospacing="1"/>
        <w:rPr>
          <w:i/>
        </w:rPr>
      </w:pPr>
      <w:r w:rsidRPr="0085534E">
        <w:rPr>
          <w:i/>
        </w:rPr>
        <w:t>Interference with Serological Testing (indirect antiglobulin test)</w:t>
      </w:r>
    </w:p>
    <w:p w14:paraId="319A92B5" w14:textId="0BC5E5A0" w:rsidR="00336DDE" w:rsidRPr="0085534E" w:rsidRDefault="00611AFB" w:rsidP="00611AFB">
      <w:pPr>
        <w:rPr>
          <w:color w:val="auto"/>
        </w:rPr>
      </w:pPr>
      <w:r w:rsidRPr="0085534E">
        <w:rPr>
          <w:color w:val="auto"/>
        </w:rPr>
        <w:t>Isatuximab</w:t>
      </w:r>
      <w:r w:rsidR="00336DDE" w:rsidRPr="0085534E">
        <w:rPr>
          <w:color w:val="auto"/>
        </w:rPr>
        <w:t xml:space="preserve"> binds to CD38 on red blood cells (RBCs) and may result in a false positive indirect antiglobulin test (indirect Coombs test). In ICARIA-MM, the indirect antiglobulin test was positive during Isa-Pd treatment in 67.7% of the tested patients. </w:t>
      </w:r>
      <w:r w:rsidR="00336DDE" w:rsidRPr="0085534E">
        <w:rPr>
          <w:color w:val="auto"/>
          <w:vertAlign w:val="superscript"/>
        </w:rPr>
        <w:t xml:space="preserve"> </w:t>
      </w:r>
      <w:r w:rsidR="00336DDE" w:rsidRPr="0085534E">
        <w:rPr>
          <w:color w:val="auto"/>
        </w:rPr>
        <w:t xml:space="preserve">In patients with a positive indirect antiglobulin test, blood transfusions were administered without evidence of hemolysis. ABO/RhD typing was not affected by </w:t>
      </w:r>
      <w:r w:rsidRPr="0085534E">
        <w:rPr>
          <w:color w:val="auto"/>
        </w:rPr>
        <w:t>isatuximab</w:t>
      </w:r>
      <w:r w:rsidR="00FE779F" w:rsidRPr="0085534E">
        <w:rPr>
          <w:color w:val="auto"/>
        </w:rPr>
        <w:t xml:space="preserve"> treatment. </w:t>
      </w:r>
      <w:r w:rsidR="00336DDE" w:rsidRPr="0085534E">
        <w:rPr>
          <w:color w:val="auto"/>
        </w:rPr>
        <w:t xml:space="preserve">To avoid potential problems with RBC transfusion, patients being treated with </w:t>
      </w:r>
      <w:r w:rsidR="00957ADE" w:rsidRPr="0085534E">
        <w:rPr>
          <w:color w:val="auto"/>
          <w:lang w:val="en-AU"/>
        </w:rPr>
        <w:t>Sarclisa</w:t>
      </w:r>
      <w:r w:rsidR="00336DDE" w:rsidRPr="0085534E">
        <w:rPr>
          <w:color w:val="auto"/>
        </w:rPr>
        <w:t xml:space="preserve"> should have blood type and screen tests performed prior to the first </w:t>
      </w:r>
      <w:r w:rsidR="00957ADE" w:rsidRPr="0085534E">
        <w:rPr>
          <w:color w:val="auto"/>
          <w:lang w:val="en-AU"/>
        </w:rPr>
        <w:t>Sarclisa</w:t>
      </w:r>
      <w:r w:rsidR="00336DDE" w:rsidRPr="0085534E">
        <w:rPr>
          <w:color w:val="auto"/>
        </w:rPr>
        <w:t xml:space="preserve"> infusion. Phenotyping may be considered prior to starting </w:t>
      </w:r>
      <w:r w:rsidR="00957ADE" w:rsidRPr="0085534E">
        <w:rPr>
          <w:color w:val="auto"/>
          <w:lang w:val="en-AU"/>
        </w:rPr>
        <w:t>Sarclisa</w:t>
      </w:r>
      <w:r w:rsidR="00336DDE" w:rsidRPr="0085534E">
        <w:rPr>
          <w:color w:val="auto"/>
        </w:rPr>
        <w:t xml:space="preserve"> treatment as per local practice. If treatment with </w:t>
      </w:r>
      <w:r w:rsidR="00957ADE" w:rsidRPr="0085534E">
        <w:rPr>
          <w:color w:val="auto"/>
          <w:lang w:val="en-AU"/>
        </w:rPr>
        <w:t>Sarclisa</w:t>
      </w:r>
      <w:r w:rsidR="00336DDE" w:rsidRPr="0085534E">
        <w:rPr>
          <w:color w:val="auto"/>
        </w:rPr>
        <w:t xml:space="preserve"> has already started, the blood bank should be informed that the patient is receiving </w:t>
      </w:r>
      <w:r w:rsidR="00957ADE" w:rsidRPr="0085534E">
        <w:rPr>
          <w:color w:val="auto"/>
          <w:lang w:val="en-AU"/>
        </w:rPr>
        <w:t>Sarclisa</w:t>
      </w:r>
      <w:r w:rsidR="00957ADE" w:rsidRPr="0085534E">
        <w:rPr>
          <w:color w:val="auto"/>
        </w:rPr>
        <w:t xml:space="preserve"> </w:t>
      </w:r>
      <w:r w:rsidR="00336DDE" w:rsidRPr="0085534E">
        <w:rPr>
          <w:color w:val="auto"/>
        </w:rPr>
        <w:t xml:space="preserve">and </w:t>
      </w:r>
      <w:r w:rsidR="00957ADE" w:rsidRPr="0085534E">
        <w:rPr>
          <w:color w:val="auto"/>
          <w:lang w:val="en-AU"/>
        </w:rPr>
        <w:t>Sarclisa</w:t>
      </w:r>
      <w:r w:rsidR="00336DDE" w:rsidRPr="0085534E">
        <w:rPr>
          <w:color w:val="auto"/>
        </w:rPr>
        <w:t xml:space="preserve"> interference with blood compatibility testing can be resolved using dithiothreitol (DTT)-treated RBCs. If an emergency transfusion is required, non-cross-matched ABO/RhD-compatible RBCs can be given as per local blood bank practices (see section 4.5).</w:t>
      </w:r>
    </w:p>
    <w:p w14:paraId="648C5DFC" w14:textId="77777777" w:rsidR="00336DDE" w:rsidRPr="0085534E" w:rsidRDefault="00336DDE" w:rsidP="00611AFB">
      <w:pPr>
        <w:rPr>
          <w:i/>
          <w:color w:val="auto"/>
        </w:rPr>
      </w:pPr>
      <w:r w:rsidRPr="0085534E">
        <w:rPr>
          <w:i/>
          <w:color w:val="auto"/>
        </w:rPr>
        <w:t>Interference with the response assessment</w:t>
      </w:r>
    </w:p>
    <w:p w14:paraId="034B771F" w14:textId="1F652B4A" w:rsidR="007E7CAB" w:rsidRPr="0085534E" w:rsidRDefault="00611AFB" w:rsidP="00611AFB">
      <w:pPr>
        <w:rPr>
          <w:color w:val="auto"/>
        </w:rPr>
      </w:pPr>
      <w:r w:rsidRPr="0085534E">
        <w:rPr>
          <w:color w:val="auto"/>
        </w:rPr>
        <w:t>Isatuximab</w:t>
      </w:r>
      <w:r w:rsidR="00336DDE" w:rsidRPr="0085534E">
        <w:rPr>
          <w:color w:val="auto"/>
        </w:rPr>
        <w:t xml:space="preserve"> is an IgG kappa monoclonal antibody that can be incidentally detected on both serum protein electrophoresis (SPE) and immunofixation (IFE) assays used for the clinical monitoring of endogenous M-protein</w:t>
      </w:r>
      <w:r w:rsidR="00FE779F" w:rsidRPr="0085534E">
        <w:rPr>
          <w:color w:val="auto"/>
        </w:rPr>
        <w:t>.</w:t>
      </w:r>
      <w:r w:rsidR="00336DDE" w:rsidRPr="0085534E">
        <w:rPr>
          <w:color w:val="auto"/>
        </w:rPr>
        <w:t xml:space="preserve"> This interference can impact the accuracy of the determination of complete response in some patients with IgG kappa myeloma protein. Twenty-two patients in the Isa-Pd arm who met VGPR criteria with only residual immunofixation-positivity were tested for interference. Serum samples from these patients were tested by mas</w:t>
      </w:r>
      <w:r w:rsidRPr="0085534E">
        <w:rPr>
          <w:color w:val="auto"/>
        </w:rPr>
        <w:t>s spectrometry to separate isatuximab si</w:t>
      </w:r>
      <w:r w:rsidR="00336DDE" w:rsidRPr="0085534E">
        <w:rPr>
          <w:color w:val="auto"/>
        </w:rPr>
        <w:t>gnal from the myeloma M</w:t>
      </w:r>
      <w:r w:rsidR="00336DDE" w:rsidRPr="0085534E">
        <w:rPr>
          <w:color w:val="auto"/>
        </w:rPr>
        <w:noBreakHyphen/>
        <w:t>protein signal. In 11 out of 22 patients, there was no residual myeloma M</w:t>
      </w:r>
      <w:r w:rsidR="00336DDE" w:rsidRPr="0085534E">
        <w:rPr>
          <w:color w:val="auto"/>
        </w:rPr>
        <w:noBreakHyphen/>
        <w:t xml:space="preserve">protein detectable at the sensitivity level of the immunofixation test (25 mg/dL); 10 of the 11 patients had IgG subtype myeloma at baseline, showing </w:t>
      </w:r>
      <w:r w:rsidRPr="0085534E">
        <w:rPr>
          <w:color w:val="auto"/>
        </w:rPr>
        <w:t>isatuximab</w:t>
      </w:r>
      <w:r w:rsidR="00336DDE" w:rsidRPr="0085534E">
        <w:rPr>
          <w:color w:val="auto"/>
        </w:rPr>
        <w:t xml:space="preserve"> interference with the immunofixation assay </w:t>
      </w:r>
      <w:r w:rsidR="00336DDE" w:rsidRPr="0085534E">
        <w:rPr>
          <w:rFonts w:eastAsia="Calibri"/>
          <w:color w:val="auto"/>
        </w:rPr>
        <w:t>(see section 4.5)</w:t>
      </w:r>
      <w:r w:rsidR="00336DDE" w:rsidRPr="0085534E">
        <w:rPr>
          <w:color w:val="auto"/>
        </w:rPr>
        <w:t>.</w:t>
      </w:r>
    </w:p>
    <w:p w14:paraId="3C15C366" w14:textId="77777777" w:rsidR="00A62F6D" w:rsidRPr="0085534E" w:rsidRDefault="00A62F6D" w:rsidP="00744556">
      <w:pPr>
        <w:rPr>
          <w:color w:val="auto"/>
        </w:rPr>
      </w:pPr>
    </w:p>
    <w:p w14:paraId="29F5FEB1" w14:textId="77777777" w:rsidR="001A3992" w:rsidRPr="0085534E" w:rsidRDefault="001A3992" w:rsidP="001A3992">
      <w:pPr>
        <w:pStyle w:val="Heading2"/>
        <w:keepLines/>
        <w:spacing w:before="0" w:after="120"/>
        <w:rPr>
          <w:lang w:val="en-AU"/>
        </w:rPr>
      </w:pPr>
      <w:r w:rsidRPr="0085534E">
        <w:rPr>
          <w:lang w:val="en-AU"/>
        </w:rPr>
        <w:lastRenderedPageBreak/>
        <w:t>Interactions with other medicines and other forms of interactions</w:t>
      </w:r>
    </w:p>
    <w:p w14:paraId="5D388F96" w14:textId="1F0EF187" w:rsidR="0064520D" w:rsidRPr="0085534E" w:rsidRDefault="00957ADE" w:rsidP="0064520D">
      <w:pPr>
        <w:rPr>
          <w:color w:val="auto"/>
        </w:rPr>
      </w:pPr>
      <w:r w:rsidRPr="0085534E">
        <w:rPr>
          <w:color w:val="auto"/>
          <w:lang w:val="en-AU"/>
        </w:rPr>
        <w:t>Sarclisa</w:t>
      </w:r>
      <w:r w:rsidR="0064520D" w:rsidRPr="0085534E">
        <w:rPr>
          <w:color w:val="auto"/>
        </w:rPr>
        <w:t xml:space="preserve"> has no impact on the pharmacokinetics of pomalidomide (see section 5.2).</w:t>
      </w:r>
    </w:p>
    <w:p w14:paraId="3BB61B1B" w14:textId="40C7E99F" w:rsidR="004E56B1" w:rsidRPr="0085534E" w:rsidRDefault="0064520D" w:rsidP="0064520D">
      <w:pPr>
        <w:rPr>
          <w:rFonts w:eastAsia="Calibri"/>
          <w:color w:val="auto"/>
          <w:szCs w:val="22"/>
        </w:rPr>
      </w:pPr>
      <w:r w:rsidRPr="0085534E">
        <w:rPr>
          <w:b/>
          <w:color w:val="auto"/>
          <w:szCs w:val="22"/>
        </w:rPr>
        <w:t>Interference with serological testing</w:t>
      </w:r>
      <w:r w:rsidRPr="0085534E">
        <w:rPr>
          <w:rFonts w:eastAsia="Calibri"/>
          <w:color w:val="auto"/>
          <w:szCs w:val="22"/>
        </w:rPr>
        <w:br/>
      </w:r>
      <w:r w:rsidR="00EF0957" w:rsidRPr="0085534E">
        <w:rPr>
          <w:rFonts w:eastAsia="Calibri"/>
          <w:color w:val="auto"/>
          <w:szCs w:val="22"/>
        </w:rPr>
        <w:t xml:space="preserve">Because CD38 protein is expressed on the surface of red blood cells, </w:t>
      </w:r>
      <w:r w:rsidR="00957ADE" w:rsidRPr="0085534E">
        <w:rPr>
          <w:color w:val="auto"/>
          <w:lang w:val="en-AU"/>
        </w:rPr>
        <w:t>Sarclisa</w:t>
      </w:r>
      <w:r w:rsidR="00EF0957" w:rsidRPr="0085534E">
        <w:rPr>
          <w:rFonts w:eastAsia="Calibri"/>
          <w:color w:val="auto"/>
          <w:szCs w:val="22"/>
        </w:rPr>
        <w:t xml:space="preserve">, an anti-CD38 antibody, may interfere with blood bank serologic tests with potential false positive reactions in indirect antiglobulin tests (indirect Coombs tests), antibody detection (screening) tests, antibody identification panels, and antihuman globulin (AHG) crossmatches in patients treated with </w:t>
      </w:r>
      <w:r w:rsidR="00957ADE" w:rsidRPr="0085534E">
        <w:rPr>
          <w:color w:val="auto"/>
          <w:lang w:val="en-AU"/>
        </w:rPr>
        <w:t>Sarclisa</w:t>
      </w:r>
      <w:r w:rsidR="00EF0957" w:rsidRPr="0085534E">
        <w:rPr>
          <w:color w:val="auto"/>
          <w:szCs w:val="22"/>
        </w:rPr>
        <w:t xml:space="preserve"> </w:t>
      </w:r>
      <w:r w:rsidR="00EF0957" w:rsidRPr="0085534E">
        <w:rPr>
          <w:rFonts w:eastAsia="Calibri"/>
          <w:color w:val="auto"/>
          <w:szCs w:val="22"/>
        </w:rPr>
        <w:t>(see section 4.4).</w:t>
      </w:r>
    </w:p>
    <w:p w14:paraId="5A09120C" w14:textId="2E675922" w:rsidR="0064520D" w:rsidRPr="0085534E" w:rsidRDefault="0064520D" w:rsidP="0064520D">
      <w:pPr>
        <w:rPr>
          <w:rFonts w:eastAsia="Calibri"/>
          <w:color w:val="auto"/>
          <w:szCs w:val="22"/>
        </w:rPr>
      </w:pPr>
      <w:r w:rsidRPr="0085534E">
        <w:rPr>
          <w:rFonts w:eastAsia="Calibri"/>
          <w:b/>
          <w:color w:val="auto"/>
          <w:szCs w:val="22"/>
        </w:rPr>
        <w:t>Interference with Serum Protein Ele</w:t>
      </w:r>
      <w:r w:rsidR="00EF0957" w:rsidRPr="0085534E">
        <w:rPr>
          <w:rFonts w:eastAsia="Calibri"/>
          <w:b/>
          <w:color w:val="auto"/>
          <w:szCs w:val="22"/>
        </w:rPr>
        <w:t xml:space="preserve">ctrophoresis and Immunofixation </w:t>
      </w:r>
      <w:r w:rsidRPr="0085534E">
        <w:rPr>
          <w:rFonts w:eastAsia="Calibri"/>
          <w:b/>
          <w:color w:val="auto"/>
          <w:szCs w:val="22"/>
        </w:rPr>
        <w:t>Tests</w:t>
      </w:r>
      <w:r w:rsidRPr="0085534E">
        <w:rPr>
          <w:rFonts w:eastAsia="Calibri"/>
          <w:color w:val="auto"/>
          <w:szCs w:val="22"/>
        </w:rPr>
        <w:br/>
      </w:r>
      <w:r w:rsidR="00957ADE" w:rsidRPr="0085534E">
        <w:rPr>
          <w:color w:val="auto"/>
          <w:lang w:val="en-AU"/>
        </w:rPr>
        <w:t>Sarclisa</w:t>
      </w:r>
      <w:r w:rsidR="00EF0957" w:rsidRPr="0085534E">
        <w:rPr>
          <w:color w:val="auto"/>
          <w:szCs w:val="22"/>
        </w:rPr>
        <w:t xml:space="preserve"> may be incidentally detected by serum protein electrophoresis (SPE) and immunofixation (IFE) assays used for the monitoring of M-protein and could interfere with accurate response classification based on International Myeloma Working Group (IMWG) criteria </w:t>
      </w:r>
      <w:r w:rsidR="00EF0957" w:rsidRPr="0085534E">
        <w:rPr>
          <w:rFonts w:eastAsia="Calibri"/>
          <w:color w:val="auto"/>
          <w:szCs w:val="22"/>
        </w:rPr>
        <w:t>(see section 4.4)</w:t>
      </w:r>
      <w:r w:rsidR="00EF0957" w:rsidRPr="0085534E">
        <w:rPr>
          <w:color w:val="auto"/>
          <w:szCs w:val="22"/>
        </w:rPr>
        <w:t>.</w:t>
      </w:r>
    </w:p>
    <w:p w14:paraId="71CF3405" w14:textId="77777777" w:rsidR="001A3992" w:rsidRPr="0085534E" w:rsidRDefault="001A3992" w:rsidP="00EF5223">
      <w:pPr>
        <w:pStyle w:val="Heading2"/>
        <w:spacing w:before="240" w:after="120"/>
        <w:rPr>
          <w:lang w:val="en-AU"/>
        </w:rPr>
      </w:pPr>
      <w:r w:rsidRPr="0085534E">
        <w:rPr>
          <w:lang w:val="en-AU"/>
        </w:rPr>
        <w:t xml:space="preserve">Fertility, pregnancy and lactation </w:t>
      </w:r>
    </w:p>
    <w:p w14:paraId="350B897F" w14:textId="77777777" w:rsidR="001A3992" w:rsidRPr="0085534E" w:rsidRDefault="001A3992" w:rsidP="00CA73C2">
      <w:pPr>
        <w:pStyle w:val="Heading3"/>
        <w:numPr>
          <w:ilvl w:val="0"/>
          <w:numId w:val="0"/>
        </w:numPr>
        <w:spacing w:before="0" w:after="120"/>
        <w:rPr>
          <w:lang w:val="en-AU"/>
        </w:rPr>
      </w:pPr>
      <w:r w:rsidRPr="0085534E">
        <w:rPr>
          <w:lang w:val="en-AU"/>
        </w:rPr>
        <w:t>Effects on fertility</w:t>
      </w:r>
    </w:p>
    <w:p w14:paraId="16A69359" w14:textId="2EFF9EAF" w:rsidR="000911AA" w:rsidRPr="0085534E" w:rsidRDefault="00B00719" w:rsidP="00EF0957">
      <w:pPr>
        <w:pStyle w:val="00-Paragraph"/>
        <w:rPr>
          <w:sz w:val="24"/>
          <w:szCs w:val="22"/>
        </w:rPr>
      </w:pPr>
      <w:r w:rsidRPr="0085534E">
        <w:rPr>
          <w:sz w:val="24"/>
          <w:szCs w:val="22"/>
        </w:rPr>
        <w:t xml:space="preserve">No human and animal data are available to determine potential effects of </w:t>
      </w:r>
      <w:r w:rsidR="00A43393" w:rsidRPr="0085534E">
        <w:rPr>
          <w:sz w:val="24"/>
          <w:szCs w:val="22"/>
        </w:rPr>
        <w:t>S</w:t>
      </w:r>
      <w:r w:rsidR="00CE6159" w:rsidRPr="0085534E">
        <w:rPr>
          <w:sz w:val="24"/>
          <w:szCs w:val="22"/>
        </w:rPr>
        <w:t>arclisa</w:t>
      </w:r>
      <w:r w:rsidRPr="0085534E">
        <w:rPr>
          <w:sz w:val="24"/>
          <w:szCs w:val="22"/>
        </w:rPr>
        <w:t xml:space="preserve"> on fertility in males and females</w:t>
      </w:r>
      <w:r w:rsidR="00CE6159" w:rsidRPr="0085534E">
        <w:rPr>
          <w:sz w:val="24"/>
          <w:szCs w:val="22"/>
        </w:rPr>
        <w:t>.</w:t>
      </w:r>
    </w:p>
    <w:p w14:paraId="0F6F7861" w14:textId="31CED919" w:rsidR="001A3992" w:rsidRPr="0085534E" w:rsidRDefault="001A3992" w:rsidP="005843A5">
      <w:pPr>
        <w:pStyle w:val="Heading3"/>
        <w:numPr>
          <w:ilvl w:val="0"/>
          <w:numId w:val="0"/>
        </w:numPr>
        <w:ind w:left="680" w:hanging="680"/>
      </w:pPr>
      <w:r w:rsidRPr="0085534E">
        <w:rPr>
          <w:rStyle w:val="Heading3Char"/>
          <w:b/>
        </w:rPr>
        <w:t>Use in pregnancy</w:t>
      </w:r>
      <w:r w:rsidR="00194733" w:rsidRPr="0085534E">
        <w:rPr>
          <w:rStyle w:val="Heading3Char"/>
          <w:b/>
        </w:rPr>
        <w:t xml:space="preserve"> – Category C</w:t>
      </w:r>
      <w:r w:rsidRPr="0085534E">
        <w:t xml:space="preserve"> </w:t>
      </w:r>
      <w:r w:rsidR="002539CB" w:rsidRPr="0085534E">
        <w:t xml:space="preserve">  </w:t>
      </w:r>
    </w:p>
    <w:p w14:paraId="4269D9CF" w14:textId="001C0409" w:rsidR="00EF0957" w:rsidRPr="0085534E" w:rsidRDefault="00957ADE" w:rsidP="00EF0957">
      <w:pPr>
        <w:rPr>
          <w:rFonts w:eastAsia="Times New Roman"/>
          <w:noProof/>
          <w:color w:val="auto"/>
          <w:sz w:val="22"/>
          <w:szCs w:val="22"/>
          <w:lang w:val="en-GB"/>
        </w:rPr>
      </w:pPr>
      <w:r w:rsidRPr="0085534E">
        <w:rPr>
          <w:noProof/>
          <w:color w:val="auto"/>
          <w:szCs w:val="22"/>
        </w:rPr>
        <w:t xml:space="preserve">There are no available data on </w:t>
      </w:r>
      <w:r w:rsidRPr="0085534E">
        <w:rPr>
          <w:color w:val="auto"/>
          <w:lang w:val="en-AU"/>
        </w:rPr>
        <w:t>Sarclisa</w:t>
      </w:r>
      <w:r w:rsidR="00EF0957" w:rsidRPr="0085534E">
        <w:rPr>
          <w:noProof/>
          <w:color w:val="auto"/>
          <w:szCs w:val="22"/>
        </w:rPr>
        <w:t xml:space="preserve"> use in pregnant women. Animal reproduction toxicity studies have not been conducted with </w:t>
      </w:r>
      <w:r w:rsidRPr="0085534E">
        <w:rPr>
          <w:color w:val="auto"/>
          <w:lang w:val="en-AU"/>
        </w:rPr>
        <w:t>Sarclisa</w:t>
      </w:r>
      <w:r w:rsidR="00EF0957" w:rsidRPr="0085534E">
        <w:rPr>
          <w:noProof/>
          <w:color w:val="auto"/>
          <w:szCs w:val="22"/>
        </w:rPr>
        <w:t xml:space="preserve">. No conclusions can be drawn regarding whether or not </w:t>
      </w:r>
      <w:r w:rsidRPr="0085534E">
        <w:rPr>
          <w:color w:val="auto"/>
          <w:lang w:val="en-AU"/>
        </w:rPr>
        <w:t>Sarclisa</w:t>
      </w:r>
      <w:r w:rsidR="00EF0957" w:rsidRPr="0085534E">
        <w:rPr>
          <w:noProof/>
          <w:color w:val="auto"/>
          <w:szCs w:val="22"/>
        </w:rPr>
        <w:t xml:space="preserve"> is safe for use during pregnancy.</w:t>
      </w:r>
    </w:p>
    <w:p w14:paraId="71D5B95B" w14:textId="3F98A127" w:rsidR="00EF0957" w:rsidRPr="0085534E" w:rsidRDefault="00EF0957" w:rsidP="00EF0957">
      <w:pPr>
        <w:rPr>
          <w:noProof/>
          <w:color w:val="auto"/>
          <w:szCs w:val="22"/>
        </w:rPr>
      </w:pPr>
      <w:r w:rsidRPr="0085534E">
        <w:rPr>
          <w:noProof/>
          <w:color w:val="auto"/>
          <w:szCs w:val="22"/>
        </w:rPr>
        <w:t>Immunoglobulin G1</w:t>
      </w:r>
      <w:r w:rsidR="00075308" w:rsidRPr="0085534E">
        <w:rPr>
          <w:noProof/>
          <w:color w:val="auto"/>
          <w:szCs w:val="22"/>
        </w:rPr>
        <w:t xml:space="preserve"> </w:t>
      </w:r>
      <w:r w:rsidRPr="0085534E">
        <w:rPr>
          <w:noProof/>
          <w:color w:val="auto"/>
          <w:szCs w:val="22"/>
        </w:rPr>
        <w:t>monoclonal antibodies are known to cross the placenta</w:t>
      </w:r>
      <w:r w:rsidR="008B1CB4" w:rsidRPr="0085534E">
        <w:rPr>
          <w:noProof/>
          <w:color w:val="auto"/>
          <w:szCs w:val="22"/>
        </w:rPr>
        <w:t xml:space="preserve"> after the first trimester of pregnancy.</w:t>
      </w:r>
      <w:r w:rsidR="00075308" w:rsidRPr="0085534E">
        <w:rPr>
          <w:noProof/>
          <w:color w:val="auto"/>
          <w:szCs w:val="22"/>
        </w:rPr>
        <w:t xml:space="preserve"> </w:t>
      </w:r>
      <w:r w:rsidRPr="0085534E">
        <w:rPr>
          <w:color w:val="auto"/>
          <w:szCs w:val="22"/>
        </w:rPr>
        <w:t xml:space="preserve">The use of </w:t>
      </w:r>
      <w:r w:rsidR="00957ADE" w:rsidRPr="0085534E">
        <w:rPr>
          <w:color w:val="auto"/>
          <w:lang w:val="en-AU"/>
        </w:rPr>
        <w:t>Sarclisa</w:t>
      </w:r>
      <w:r w:rsidRPr="0085534E">
        <w:rPr>
          <w:noProof/>
          <w:color w:val="auto"/>
          <w:szCs w:val="22"/>
        </w:rPr>
        <w:t xml:space="preserve"> </w:t>
      </w:r>
      <w:r w:rsidRPr="0085534E">
        <w:rPr>
          <w:color w:val="auto"/>
          <w:szCs w:val="22"/>
        </w:rPr>
        <w:t xml:space="preserve">in pregnant women is not recommended. </w:t>
      </w:r>
      <w:r w:rsidRPr="0085534E">
        <w:rPr>
          <w:noProof/>
          <w:color w:val="auto"/>
          <w:szCs w:val="22"/>
        </w:rPr>
        <w:t xml:space="preserve">Women of childbearing potential treated with </w:t>
      </w:r>
      <w:r w:rsidR="00957ADE" w:rsidRPr="0085534E">
        <w:rPr>
          <w:color w:val="auto"/>
          <w:lang w:val="en-AU"/>
        </w:rPr>
        <w:t>Sarclisa</w:t>
      </w:r>
      <w:r w:rsidRPr="0085534E">
        <w:rPr>
          <w:noProof/>
          <w:color w:val="auto"/>
          <w:szCs w:val="22"/>
        </w:rPr>
        <w:t xml:space="preserve"> should use effective contraception during treatment and for at least 5 months after cessation of </w:t>
      </w:r>
      <w:r w:rsidR="00957ADE" w:rsidRPr="0085534E">
        <w:rPr>
          <w:color w:val="auto"/>
          <w:lang w:val="en-AU"/>
        </w:rPr>
        <w:t>Sarclisa</w:t>
      </w:r>
      <w:r w:rsidRPr="0085534E">
        <w:rPr>
          <w:noProof/>
          <w:color w:val="auto"/>
          <w:szCs w:val="22"/>
        </w:rPr>
        <w:t xml:space="preserve"> treatment. </w:t>
      </w:r>
    </w:p>
    <w:p w14:paraId="5635C78A" w14:textId="75EE3AC3" w:rsidR="00075308" w:rsidRPr="0085534E" w:rsidRDefault="00075308" w:rsidP="00EF0957">
      <w:pPr>
        <w:rPr>
          <w:noProof/>
          <w:color w:val="auto"/>
          <w:szCs w:val="22"/>
        </w:rPr>
      </w:pPr>
      <w:r w:rsidRPr="0085534E">
        <w:rPr>
          <w:noProof/>
          <w:color w:val="auto"/>
          <w:szCs w:val="22"/>
        </w:rPr>
        <w:t xml:space="preserve">Sarclisa is used in combination with pomalidomide and dexamethasone. Refer to the </w:t>
      </w:r>
      <w:r w:rsidR="003A3CE7" w:rsidRPr="0085534E">
        <w:rPr>
          <w:noProof/>
          <w:color w:val="auto"/>
          <w:szCs w:val="22"/>
        </w:rPr>
        <w:t xml:space="preserve">current </w:t>
      </w:r>
      <w:r w:rsidRPr="0085534E">
        <w:rPr>
          <w:noProof/>
          <w:color w:val="auto"/>
          <w:szCs w:val="22"/>
        </w:rPr>
        <w:t>Product Information document for those products for further advice on use in pregnancy</w:t>
      </w:r>
      <w:bookmarkStart w:id="4" w:name="_Hlk34747803"/>
      <w:r w:rsidRPr="0085534E">
        <w:rPr>
          <w:noProof/>
          <w:color w:val="auto"/>
          <w:szCs w:val="22"/>
        </w:rPr>
        <w:t xml:space="preserve">. In particular, pomalidomide </w:t>
      </w:r>
      <w:r w:rsidR="003934EB" w:rsidRPr="0085534E">
        <w:rPr>
          <w:noProof/>
          <w:color w:val="auto"/>
          <w:szCs w:val="22"/>
        </w:rPr>
        <w:t xml:space="preserve">may cause birth defects or death to an unborn baby. </w:t>
      </w:r>
      <w:r w:rsidRPr="0085534E">
        <w:rPr>
          <w:noProof/>
          <w:color w:val="auto"/>
          <w:szCs w:val="22"/>
        </w:rPr>
        <w:t>Patients receiving Sarclisa in combination with pomalidomide and dexamethasone should adhere to the pregnancy prevention program for pomalidomide</w:t>
      </w:r>
      <w:r w:rsidR="004026A5" w:rsidRPr="0085534E">
        <w:rPr>
          <w:noProof/>
          <w:color w:val="auto"/>
          <w:szCs w:val="22"/>
        </w:rPr>
        <w:t>.</w:t>
      </w:r>
    </w:p>
    <w:bookmarkEnd w:id="4"/>
    <w:p w14:paraId="4A6CAE10" w14:textId="77777777" w:rsidR="001A3992" w:rsidRPr="0085534E" w:rsidRDefault="001A3992" w:rsidP="00EF5223">
      <w:pPr>
        <w:pStyle w:val="Heading3"/>
        <w:numPr>
          <w:ilvl w:val="0"/>
          <w:numId w:val="0"/>
        </w:numPr>
        <w:spacing w:before="240" w:after="120"/>
        <w:ind w:left="680" w:hanging="680"/>
        <w:rPr>
          <w:lang w:val="en-AU"/>
        </w:rPr>
      </w:pPr>
      <w:r w:rsidRPr="0085534E">
        <w:rPr>
          <w:lang w:val="en-AU"/>
        </w:rPr>
        <w:t xml:space="preserve">Use in lactation </w:t>
      </w:r>
    </w:p>
    <w:p w14:paraId="465E75F4" w14:textId="519E6C0C" w:rsidR="00EF0957" w:rsidRPr="0085534E" w:rsidRDefault="00EF0957" w:rsidP="00EF0957">
      <w:pPr>
        <w:rPr>
          <w:noProof/>
          <w:color w:val="auto"/>
          <w:szCs w:val="22"/>
        </w:rPr>
      </w:pPr>
      <w:r w:rsidRPr="0085534E">
        <w:rPr>
          <w:noProof/>
          <w:color w:val="auto"/>
          <w:szCs w:val="22"/>
        </w:rPr>
        <w:t xml:space="preserve">There are no available data on the presence of </w:t>
      </w:r>
      <w:r w:rsidR="00957ADE" w:rsidRPr="0085534E">
        <w:rPr>
          <w:color w:val="auto"/>
          <w:lang w:val="en-AU"/>
        </w:rPr>
        <w:t>Sarclisa</w:t>
      </w:r>
      <w:r w:rsidRPr="0085534E">
        <w:rPr>
          <w:noProof/>
          <w:color w:val="auto"/>
          <w:szCs w:val="22"/>
        </w:rPr>
        <w:t xml:space="preserve"> in human milk, milk production, or the effects on the breastfed infant. </w:t>
      </w:r>
      <w:r w:rsidR="00EA09BE" w:rsidRPr="0085534E">
        <w:rPr>
          <w:noProof/>
          <w:color w:val="auto"/>
          <w:szCs w:val="22"/>
        </w:rPr>
        <w:t xml:space="preserve">Maternal IgG is </w:t>
      </w:r>
      <w:r w:rsidR="001A2A38" w:rsidRPr="0085534E">
        <w:rPr>
          <w:noProof/>
          <w:color w:val="auto"/>
          <w:szCs w:val="22"/>
        </w:rPr>
        <w:t xml:space="preserve">known to be </w:t>
      </w:r>
      <w:r w:rsidR="00EA09BE" w:rsidRPr="0085534E">
        <w:rPr>
          <w:noProof/>
          <w:color w:val="auto"/>
          <w:szCs w:val="22"/>
        </w:rPr>
        <w:t xml:space="preserve">excreted in human milk, but </w:t>
      </w:r>
      <w:bookmarkStart w:id="5" w:name="_Hlk34749063"/>
      <w:r w:rsidR="00EA09BE" w:rsidRPr="0085534E">
        <w:rPr>
          <w:noProof/>
          <w:color w:val="auto"/>
          <w:szCs w:val="22"/>
        </w:rPr>
        <w:t>does not enter the neonatal and infant circulations in substantial amounts as the protein molecules are degraded in the gastrointestinal tract and not absorbed</w:t>
      </w:r>
      <w:bookmarkEnd w:id="5"/>
      <w:r w:rsidR="00EA09BE" w:rsidRPr="0085534E">
        <w:rPr>
          <w:noProof/>
          <w:color w:val="auto"/>
          <w:szCs w:val="22"/>
        </w:rPr>
        <w:t>.</w:t>
      </w:r>
      <w:r w:rsidR="00CE6159" w:rsidRPr="0085534E">
        <w:rPr>
          <w:strike/>
          <w:noProof/>
          <w:color w:val="auto"/>
          <w:szCs w:val="22"/>
        </w:rPr>
        <w:t xml:space="preserve"> </w:t>
      </w:r>
      <w:r w:rsidRPr="0085534E">
        <w:rPr>
          <w:noProof/>
          <w:color w:val="auto"/>
          <w:szCs w:val="22"/>
        </w:rPr>
        <w:t xml:space="preserve">No conclusions can be drawn regarding whether or not </w:t>
      </w:r>
      <w:r w:rsidR="00957ADE" w:rsidRPr="0085534E">
        <w:rPr>
          <w:color w:val="auto"/>
          <w:lang w:val="en-AU"/>
        </w:rPr>
        <w:t>Sarclisa</w:t>
      </w:r>
      <w:r w:rsidRPr="0085534E">
        <w:rPr>
          <w:noProof/>
          <w:color w:val="auto"/>
          <w:szCs w:val="22"/>
        </w:rPr>
        <w:t xml:space="preserve"> is safe for use during breastfeeding. The use of </w:t>
      </w:r>
      <w:r w:rsidR="00957ADE" w:rsidRPr="0085534E">
        <w:rPr>
          <w:color w:val="auto"/>
          <w:lang w:val="en-AU"/>
        </w:rPr>
        <w:t>Sarclisa</w:t>
      </w:r>
      <w:r w:rsidR="00957ADE" w:rsidRPr="0085534E">
        <w:rPr>
          <w:color w:val="auto"/>
        </w:rPr>
        <w:t xml:space="preserve"> </w:t>
      </w:r>
      <w:r w:rsidRPr="0085534E">
        <w:rPr>
          <w:noProof/>
          <w:color w:val="auto"/>
          <w:szCs w:val="22"/>
        </w:rPr>
        <w:t>in breastfeeding women is not recommended.</w:t>
      </w:r>
    </w:p>
    <w:p w14:paraId="168DDF8F" w14:textId="77777777" w:rsidR="001A3992" w:rsidRPr="0085534E" w:rsidRDefault="001A3992" w:rsidP="00EF5223">
      <w:pPr>
        <w:pStyle w:val="Heading2"/>
        <w:spacing w:before="120" w:after="120"/>
        <w:rPr>
          <w:lang w:val="en-AU"/>
        </w:rPr>
      </w:pPr>
      <w:r w:rsidRPr="0085534E">
        <w:rPr>
          <w:lang w:val="en-AU"/>
        </w:rPr>
        <w:lastRenderedPageBreak/>
        <w:t xml:space="preserve">Effects on ability to drive and use machines </w:t>
      </w:r>
    </w:p>
    <w:p w14:paraId="5BC640AC" w14:textId="1E2248AD" w:rsidR="00EF0957" w:rsidRPr="0085534E" w:rsidRDefault="00EF0957" w:rsidP="00EF0957">
      <w:pPr>
        <w:rPr>
          <w:color w:val="auto"/>
          <w:sz w:val="22"/>
        </w:rPr>
      </w:pPr>
      <w:r w:rsidRPr="0085534E">
        <w:rPr>
          <w:color w:val="auto"/>
        </w:rPr>
        <w:t xml:space="preserve">No studies on the effects on the ability to drive and use machines have been performed. On the basis of reported adverse reactions, </w:t>
      </w:r>
      <w:r w:rsidR="00957ADE" w:rsidRPr="0085534E">
        <w:rPr>
          <w:color w:val="auto"/>
          <w:lang w:val="en-AU"/>
        </w:rPr>
        <w:t>Sarclisa</w:t>
      </w:r>
      <w:r w:rsidRPr="0085534E">
        <w:rPr>
          <w:color w:val="auto"/>
        </w:rPr>
        <w:t xml:space="preserve"> is not expected to influence the ability to drive and use machines (see sections 4.2 and 4.8). Fatigue and dizziness, however, have been reported in patients taking </w:t>
      </w:r>
      <w:r w:rsidR="00957ADE" w:rsidRPr="0085534E">
        <w:rPr>
          <w:color w:val="auto"/>
          <w:lang w:val="en-AU"/>
        </w:rPr>
        <w:t>Sarclisa</w:t>
      </w:r>
      <w:r w:rsidRPr="0085534E">
        <w:rPr>
          <w:color w:val="auto"/>
        </w:rPr>
        <w:t xml:space="preserve"> and this should be taken into account when driving or using machines.</w:t>
      </w:r>
    </w:p>
    <w:p w14:paraId="5FABEA83" w14:textId="67AC374C" w:rsidR="00EF0957" w:rsidRPr="0085534E" w:rsidRDefault="00EF0957" w:rsidP="00EF0957">
      <w:pPr>
        <w:rPr>
          <w:color w:val="auto"/>
          <w:sz w:val="22"/>
          <w:szCs w:val="22"/>
        </w:rPr>
      </w:pPr>
      <w:r w:rsidRPr="0085534E">
        <w:rPr>
          <w:color w:val="auto"/>
        </w:rPr>
        <w:t xml:space="preserve">For other medicinal products that are administered with </w:t>
      </w:r>
      <w:r w:rsidR="00957ADE" w:rsidRPr="0085534E">
        <w:rPr>
          <w:color w:val="auto"/>
          <w:lang w:val="en-AU"/>
        </w:rPr>
        <w:t>Sarclisa</w:t>
      </w:r>
      <w:r w:rsidRPr="0085534E">
        <w:rPr>
          <w:color w:val="auto"/>
        </w:rPr>
        <w:t xml:space="preserve">, refer to the respective </w:t>
      </w:r>
      <w:r w:rsidR="00420E61" w:rsidRPr="0085534E">
        <w:rPr>
          <w:color w:val="auto"/>
          <w:sz w:val="22"/>
          <w:szCs w:val="22"/>
        </w:rPr>
        <w:t xml:space="preserve">Product Information. </w:t>
      </w:r>
    </w:p>
    <w:p w14:paraId="6ABA362B" w14:textId="77777777" w:rsidR="001A3992" w:rsidRPr="0085534E" w:rsidRDefault="001A3992" w:rsidP="00EF5223">
      <w:pPr>
        <w:pStyle w:val="Heading2"/>
        <w:keepNext w:val="0"/>
        <w:keepLines/>
        <w:spacing w:before="120" w:after="120"/>
        <w:rPr>
          <w:lang w:val="en-AU"/>
        </w:rPr>
      </w:pPr>
      <w:r w:rsidRPr="0085534E">
        <w:rPr>
          <w:lang w:val="en-AU"/>
        </w:rPr>
        <w:t>Adverse effects (Undesirable effects)</w:t>
      </w:r>
    </w:p>
    <w:p w14:paraId="08C51F5D" w14:textId="2F1223ED" w:rsidR="00384ED5" w:rsidRPr="0085534E" w:rsidRDefault="00E477C3" w:rsidP="00E477C3">
      <w:pPr>
        <w:pStyle w:val="Heading3"/>
        <w:numPr>
          <w:ilvl w:val="0"/>
          <w:numId w:val="0"/>
        </w:numPr>
        <w:rPr>
          <w:lang w:val="en-AU"/>
        </w:rPr>
      </w:pPr>
      <w:r w:rsidRPr="0085534E">
        <w:rPr>
          <w:lang w:val="en-AU"/>
        </w:rPr>
        <w:t xml:space="preserve">Clinical trial </w:t>
      </w:r>
    </w:p>
    <w:p w14:paraId="7EB73223" w14:textId="40BE9A86" w:rsidR="00E477C3" w:rsidRPr="0085534E" w:rsidRDefault="00E477C3" w:rsidP="00E477C3">
      <w:pPr>
        <w:rPr>
          <w:color w:val="auto"/>
          <w:lang w:val="en-AU"/>
        </w:rPr>
      </w:pPr>
      <w:r w:rsidRPr="0085534E">
        <w:rPr>
          <w:color w:val="auto"/>
          <w:lang w:val="en-AU"/>
        </w:rPr>
        <w:t>The following CIOMS frequency rating is used: very common (</w:t>
      </w:r>
      <w:r w:rsidR="00EF5223">
        <w:rPr>
          <w:color w:val="auto"/>
          <w:lang w:val="en-AU"/>
        </w:rPr>
        <w:sym w:font="Symbol" w:char="F0B3"/>
      </w:r>
      <w:r w:rsidRPr="0085534E">
        <w:rPr>
          <w:color w:val="auto"/>
          <w:lang w:val="en-AU"/>
        </w:rPr>
        <w:t xml:space="preserve"> 1/10), common (</w:t>
      </w:r>
      <w:r w:rsidR="00EF5223">
        <w:rPr>
          <w:color w:val="auto"/>
          <w:lang w:val="en-AU"/>
        </w:rPr>
        <w:sym w:font="Symbol" w:char="F0B3"/>
      </w:r>
      <w:r w:rsidRPr="0085534E">
        <w:rPr>
          <w:color w:val="auto"/>
          <w:lang w:val="en-AU"/>
        </w:rPr>
        <w:t xml:space="preserve"> 1/100 to &lt; 1/10); uncommon (</w:t>
      </w:r>
      <w:r w:rsidR="00EF5223">
        <w:rPr>
          <w:color w:val="auto"/>
          <w:lang w:val="en-AU"/>
        </w:rPr>
        <w:sym w:font="Symbol" w:char="F0B3"/>
      </w:r>
      <w:r w:rsidRPr="0085534E">
        <w:rPr>
          <w:color w:val="auto"/>
          <w:lang w:val="en-AU"/>
        </w:rPr>
        <w:t xml:space="preserve"> 1/1,000 to &lt; 1/100); rare (</w:t>
      </w:r>
      <w:r w:rsidR="00EF5223">
        <w:rPr>
          <w:color w:val="auto"/>
          <w:lang w:val="en-AU"/>
        </w:rPr>
        <w:sym w:font="Symbol" w:char="F0B3"/>
      </w:r>
      <w:r w:rsidRPr="0085534E">
        <w:rPr>
          <w:color w:val="auto"/>
          <w:lang w:val="en-AU"/>
        </w:rPr>
        <w:t xml:space="preserve"> 1/10,000 to &lt; 1/1,000); very rare (&lt; 1/10,000); not known (cannot be estimated from available data).</w:t>
      </w:r>
    </w:p>
    <w:p w14:paraId="1CACBF12" w14:textId="550B6F96" w:rsidR="00E477C3" w:rsidRPr="0085534E" w:rsidRDefault="00E477C3" w:rsidP="00E477C3">
      <w:pPr>
        <w:rPr>
          <w:color w:val="auto"/>
          <w:lang w:val="en-AU"/>
        </w:rPr>
      </w:pPr>
      <w:r w:rsidRPr="0085534E">
        <w:rPr>
          <w:color w:val="auto"/>
          <w:lang w:val="en-AU"/>
        </w:rPr>
        <w:t>Within each frequency grouping, relevant, adverse reactions are presented in order of decreasing seriousness.</w:t>
      </w:r>
    </w:p>
    <w:p w14:paraId="32C4A589" w14:textId="7EDD779B" w:rsidR="00E477C3" w:rsidRPr="0085534E" w:rsidRDefault="00E477C3" w:rsidP="00E477C3">
      <w:pPr>
        <w:pStyle w:val="Heading4"/>
        <w:numPr>
          <w:ilvl w:val="0"/>
          <w:numId w:val="0"/>
        </w:numPr>
        <w:ind w:left="862" w:hanging="862"/>
        <w:rPr>
          <w:lang w:val="en-AU"/>
        </w:rPr>
      </w:pPr>
      <w:r w:rsidRPr="0085534E">
        <w:rPr>
          <w:lang w:val="en-AU"/>
        </w:rPr>
        <w:t>Combination therapy with Sarclisa with pomalidomide and low- dose dexamethasone in multiple myeloma</w:t>
      </w:r>
    </w:p>
    <w:p w14:paraId="04BD10CD" w14:textId="77777777" w:rsidR="007D1204" w:rsidRPr="0085534E" w:rsidRDefault="007D1204" w:rsidP="00E477C3">
      <w:pPr>
        <w:rPr>
          <w:noProof/>
          <w:color w:val="auto"/>
        </w:rPr>
      </w:pPr>
      <w:r w:rsidRPr="0085534E">
        <w:rPr>
          <w:noProof/>
          <w:color w:val="auto"/>
        </w:rPr>
        <w:t>Summary of the safety profile</w:t>
      </w:r>
    </w:p>
    <w:p w14:paraId="5BD1C5DC" w14:textId="79965251" w:rsidR="002C495F" w:rsidRPr="0085534E" w:rsidRDefault="002C495F" w:rsidP="002C495F">
      <w:pPr>
        <w:rPr>
          <w:color w:val="auto"/>
        </w:rPr>
      </w:pPr>
      <w:r w:rsidRPr="0085534E">
        <w:rPr>
          <w:color w:val="auto"/>
          <w:lang w:bidi="en-US"/>
        </w:rPr>
        <w:t xml:space="preserve">The safety data described in this section are based on ICARIA-MM, a randomised, open-label clinical trial in patients with previously treated multiple myeloma. In ICARIA-MM, </w:t>
      </w:r>
      <w:r w:rsidR="00957ADE" w:rsidRPr="0085534E">
        <w:rPr>
          <w:color w:val="auto"/>
          <w:lang w:val="en-AU"/>
        </w:rPr>
        <w:t>Sarclisa</w:t>
      </w:r>
      <w:r w:rsidRPr="0085534E">
        <w:rPr>
          <w:color w:val="auto"/>
          <w:lang w:bidi="en-US"/>
        </w:rPr>
        <w:t xml:space="preserve"> 10 mg/kg was administered in combination with pomalidomide and dexamethasone (see section 5.1). </w:t>
      </w:r>
    </w:p>
    <w:p w14:paraId="11427B95" w14:textId="35BC1C34" w:rsidR="00E477C3" w:rsidRPr="0085534E" w:rsidRDefault="002C495F" w:rsidP="002C495F">
      <w:pPr>
        <w:rPr>
          <w:noProof/>
          <w:color w:val="auto"/>
        </w:rPr>
      </w:pPr>
      <w:r w:rsidRPr="0085534E">
        <w:rPr>
          <w:noProof/>
          <w:color w:val="auto"/>
        </w:rPr>
        <w:t xml:space="preserve">The most frequent adverse reactions (in &gt;20% of Isa-Pd patients) were </w:t>
      </w:r>
      <w:r w:rsidRPr="0085534E">
        <w:rPr>
          <w:color w:val="auto"/>
        </w:rPr>
        <w:t>neutropenia (laboratory abnormality, 96.1% with Isa-Pd vs 93.2% with Pd), infusion reactions (38.2% with Isa-Pd vs 0% with Pd), pneumonia (30.9% with Isa-Pd vs 22.8% with Pd), upper respiratory tract infection (28.3% with Isa-Pd vs 17.4% with Pd), diarrhoea (25.7% with Isa-Pd vs 19.5% with Pd) and bronchitis (23.7% with Isa-Pd vs 8.7% with Pd)</w:t>
      </w:r>
      <w:r w:rsidRPr="0085534E">
        <w:rPr>
          <w:noProof/>
          <w:color w:val="auto"/>
        </w:rPr>
        <w:t xml:space="preserve">. The most </w:t>
      </w:r>
      <w:r w:rsidRPr="0085534E">
        <w:rPr>
          <w:color w:val="auto"/>
        </w:rPr>
        <w:t xml:space="preserve">frequent </w:t>
      </w:r>
      <w:r w:rsidR="00A80E34" w:rsidRPr="0085534E">
        <w:rPr>
          <w:color w:val="auto"/>
        </w:rPr>
        <w:t xml:space="preserve">treatment-related </w:t>
      </w:r>
      <w:r w:rsidRPr="0085534E">
        <w:rPr>
          <w:noProof/>
          <w:color w:val="auto"/>
        </w:rPr>
        <w:t xml:space="preserve">serious  adverse reactions (in &gt; 5% of patients) were </w:t>
      </w:r>
      <w:r w:rsidRPr="0085534E">
        <w:rPr>
          <w:color w:val="auto"/>
        </w:rPr>
        <w:t>pneumonia (9.9% with Isa-Pd vs 5.4% with Pd) and febrile neutropenia (6.6% with Isa-Pd vs 2.0% with Pd)</w:t>
      </w:r>
      <w:r w:rsidRPr="0085534E">
        <w:rPr>
          <w:noProof/>
          <w:color w:val="auto"/>
        </w:rPr>
        <w:t xml:space="preserve">. </w:t>
      </w:r>
    </w:p>
    <w:p w14:paraId="223B995D" w14:textId="1F5DE32A" w:rsidR="00E90487" w:rsidRPr="0085534E" w:rsidRDefault="00E90487" w:rsidP="002C495F">
      <w:pPr>
        <w:rPr>
          <w:noProof/>
          <w:color w:val="auto"/>
        </w:rPr>
      </w:pPr>
      <w:r w:rsidRPr="0085534E">
        <w:rPr>
          <w:noProof/>
          <w:color w:val="auto"/>
        </w:rPr>
        <w:t xml:space="preserve">Permanent </w:t>
      </w:r>
      <w:r w:rsidR="005A6919" w:rsidRPr="0085534E">
        <w:rPr>
          <w:noProof/>
          <w:color w:val="auto"/>
        </w:rPr>
        <w:t xml:space="preserve">discontinuation of treatment </w:t>
      </w:r>
      <w:r w:rsidR="005A6919" w:rsidRPr="0085534E">
        <w:rPr>
          <w:color w:val="auto"/>
        </w:rPr>
        <w:t xml:space="preserve">because of </w:t>
      </w:r>
      <w:r w:rsidR="00C702DE" w:rsidRPr="0085534E">
        <w:rPr>
          <w:noProof/>
          <w:color w:val="auto"/>
        </w:rPr>
        <w:t>a</w:t>
      </w:r>
      <w:r w:rsidRPr="0085534E">
        <w:rPr>
          <w:noProof/>
          <w:color w:val="auto"/>
        </w:rPr>
        <w:t xml:space="preserve">dverse </w:t>
      </w:r>
      <w:r w:rsidR="005A5380" w:rsidRPr="0085534E">
        <w:rPr>
          <w:noProof/>
          <w:color w:val="auto"/>
        </w:rPr>
        <w:t>events</w:t>
      </w:r>
      <w:r w:rsidR="003A3CE7" w:rsidRPr="0085534E">
        <w:rPr>
          <w:noProof/>
          <w:color w:val="auto"/>
        </w:rPr>
        <w:t xml:space="preserve"> </w:t>
      </w:r>
      <w:r w:rsidRPr="0085534E">
        <w:rPr>
          <w:noProof/>
          <w:color w:val="auto"/>
        </w:rPr>
        <w:t xml:space="preserve">was reported in 11 patients (7.2%) treated with </w:t>
      </w:r>
      <w:r w:rsidRPr="0085534E">
        <w:rPr>
          <w:color w:val="auto"/>
          <w:lang w:val="en-AU"/>
        </w:rPr>
        <w:t>Sarclisa</w:t>
      </w:r>
      <w:r w:rsidRPr="0085534E">
        <w:rPr>
          <w:noProof/>
          <w:color w:val="auto"/>
        </w:rPr>
        <w:t xml:space="preserve"> 10 mg/kg in combination with pomalidomide and low-dose dexamethasone (Isa-Pd) </w:t>
      </w:r>
      <w:r w:rsidRPr="0085534E">
        <w:rPr>
          <w:color w:val="auto"/>
        </w:rPr>
        <w:t>and in 19 patients (12.8%) treated with pomalidomide and low-dose dexamethasone (Pd)</w:t>
      </w:r>
      <w:r w:rsidRPr="0085534E">
        <w:rPr>
          <w:noProof/>
          <w:color w:val="auto"/>
        </w:rPr>
        <w:t>.</w:t>
      </w:r>
    </w:p>
    <w:p w14:paraId="385E6B7F" w14:textId="25E89A97" w:rsidR="007D1204" w:rsidRPr="0085534E" w:rsidRDefault="007D1204" w:rsidP="00E477C3">
      <w:pPr>
        <w:rPr>
          <w:noProof/>
          <w:color w:val="auto"/>
        </w:rPr>
      </w:pPr>
      <w:r w:rsidRPr="0085534E">
        <w:rPr>
          <w:noProof/>
          <w:color w:val="auto"/>
        </w:rPr>
        <w:t>Tabulated list of adverse reactions</w:t>
      </w:r>
    </w:p>
    <w:p w14:paraId="50C5DAAD" w14:textId="4E0C540C" w:rsidR="009B6BD3" w:rsidRPr="0085534E" w:rsidRDefault="00336DDE" w:rsidP="00336DDE">
      <w:pPr>
        <w:rPr>
          <w:color w:val="auto"/>
        </w:rPr>
      </w:pPr>
      <w:r w:rsidRPr="0085534E">
        <w:rPr>
          <w:color w:val="auto"/>
        </w:rPr>
        <w:t xml:space="preserve">The following tables </w:t>
      </w:r>
      <w:r w:rsidRPr="0085534E">
        <w:rPr>
          <w:color w:val="auto"/>
        </w:rPr>
        <w:fldChar w:fldCharType="begin"/>
      </w:r>
      <w:r w:rsidRPr="0085534E">
        <w:rPr>
          <w:color w:val="auto"/>
        </w:rPr>
        <w:instrText xml:space="preserve"> REF _Ref7435079 \h  \* MERGEFORMAT </w:instrText>
      </w:r>
      <w:r w:rsidRPr="0085534E">
        <w:rPr>
          <w:color w:val="auto"/>
        </w:rPr>
      </w:r>
      <w:r w:rsidRPr="0085534E">
        <w:rPr>
          <w:color w:val="auto"/>
        </w:rPr>
        <w:fldChar w:fldCharType="separate"/>
      </w:r>
      <w:r w:rsidR="00312638" w:rsidRPr="00312638">
        <w:rPr>
          <w:color w:val="auto"/>
        </w:rPr>
        <w:t>Table 3</w:t>
      </w:r>
      <w:r w:rsidRPr="0085534E">
        <w:rPr>
          <w:color w:val="auto"/>
        </w:rPr>
        <w:fldChar w:fldCharType="end"/>
      </w:r>
      <w:r w:rsidRPr="0085534E">
        <w:rPr>
          <w:color w:val="auto"/>
        </w:rPr>
        <w:t xml:space="preserve"> and </w:t>
      </w:r>
      <w:r w:rsidRPr="0085534E">
        <w:rPr>
          <w:color w:val="auto"/>
        </w:rPr>
        <w:fldChar w:fldCharType="begin"/>
      </w:r>
      <w:r w:rsidRPr="0085534E">
        <w:rPr>
          <w:color w:val="auto"/>
        </w:rPr>
        <w:instrText xml:space="preserve"> REF _Ref7435139 \h  \* MERGEFORMAT </w:instrText>
      </w:r>
      <w:r w:rsidRPr="0085534E">
        <w:rPr>
          <w:color w:val="auto"/>
        </w:rPr>
      </w:r>
      <w:r w:rsidRPr="0085534E">
        <w:rPr>
          <w:color w:val="auto"/>
        </w:rPr>
        <w:fldChar w:fldCharType="separate"/>
      </w:r>
      <w:r w:rsidR="00312638" w:rsidRPr="00312638">
        <w:rPr>
          <w:color w:val="auto"/>
        </w:rPr>
        <w:t>Table 4</w:t>
      </w:r>
      <w:r w:rsidRPr="0085534E">
        <w:rPr>
          <w:color w:val="auto"/>
        </w:rPr>
        <w:fldChar w:fldCharType="end"/>
      </w:r>
      <w:r w:rsidRPr="0085534E">
        <w:rPr>
          <w:color w:val="auto"/>
        </w:rPr>
        <w:t xml:space="preserve"> present the adverse reactions observed du</w:t>
      </w:r>
      <w:r w:rsidR="00D94B0B" w:rsidRPr="0085534E">
        <w:rPr>
          <w:color w:val="auto"/>
        </w:rPr>
        <w:t>ring the treatment period in 301</w:t>
      </w:r>
      <w:r w:rsidRPr="0085534E">
        <w:rPr>
          <w:color w:val="auto"/>
        </w:rPr>
        <w:t xml:space="preserve"> patients with multiple myeloma, treated with </w:t>
      </w:r>
      <w:r w:rsidR="00957ADE" w:rsidRPr="0085534E">
        <w:rPr>
          <w:color w:val="auto"/>
          <w:lang w:val="en-AU"/>
        </w:rPr>
        <w:t>Sarclisa</w:t>
      </w:r>
      <w:r w:rsidRPr="0085534E">
        <w:rPr>
          <w:color w:val="auto"/>
        </w:rPr>
        <w:t xml:space="preserve"> 10 mg/kg in combination with pomalidomide and low-dose dexamethasone (I</w:t>
      </w:r>
      <w:r w:rsidR="00CA5CE3" w:rsidRPr="0085534E">
        <w:rPr>
          <w:color w:val="auto"/>
        </w:rPr>
        <w:t>sa-</w:t>
      </w:r>
      <w:r w:rsidRPr="0085534E">
        <w:rPr>
          <w:color w:val="auto"/>
        </w:rPr>
        <w:t>Pd)</w:t>
      </w:r>
      <w:r w:rsidR="00E477C3" w:rsidRPr="0085534E">
        <w:rPr>
          <w:color w:val="auto"/>
        </w:rPr>
        <w:t xml:space="preserve"> versus</w:t>
      </w:r>
      <w:r w:rsidR="00693EEF" w:rsidRPr="0085534E">
        <w:rPr>
          <w:color w:val="auto"/>
        </w:rPr>
        <w:t xml:space="preserve"> pomalidomide and low-dose dexamethasone</w:t>
      </w:r>
      <w:r w:rsidR="00E477C3" w:rsidRPr="0085534E">
        <w:rPr>
          <w:color w:val="auto"/>
        </w:rPr>
        <w:t xml:space="preserve"> (Pd)</w:t>
      </w:r>
      <w:r w:rsidRPr="0085534E">
        <w:rPr>
          <w:color w:val="auto"/>
        </w:rPr>
        <w:t xml:space="preserve"> (see section 5.1).</w:t>
      </w:r>
    </w:p>
    <w:p w14:paraId="7C179675" w14:textId="03C38061" w:rsidR="00563625" w:rsidRPr="0085534E" w:rsidRDefault="00563625" w:rsidP="00563625">
      <w:pPr>
        <w:pStyle w:val="Caption"/>
      </w:pPr>
      <w:bookmarkStart w:id="6" w:name="_Ref7435079"/>
      <w:r w:rsidRPr="0085534E">
        <w:lastRenderedPageBreak/>
        <w:t>Table </w:t>
      </w:r>
      <w:r w:rsidRPr="0085534E">
        <w:fldChar w:fldCharType="begin"/>
      </w:r>
      <w:r w:rsidRPr="0085534E">
        <w:instrText xml:space="preserve"> SEQ Table \* ARABIC </w:instrText>
      </w:r>
      <w:r w:rsidRPr="0085534E">
        <w:fldChar w:fldCharType="separate"/>
      </w:r>
      <w:r w:rsidR="00312638">
        <w:rPr>
          <w:noProof/>
        </w:rPr>
        <w:t>3</w:t>
      </w:r>
      <w:r w:rsidRPr="0085534E">
        <w:fldChar w:fldCharType="end"/>
      </w:r>
      <w:bookmarkEnd w:id="6"/>
      <w:r w:rsidRPr="0085534E">
        <w:t xml:space="preserve"> ­ Adverse Reactions Reported in </w:t>
      </w:r>
      <w:r w:rsidR="00362201" w:rsidRPr="00362201">
        <w:sym w:font="Symbol" w:char="F0B3"/>
      </w:r>
      <w:r w:rsidRPr="0085534E">
        <w:t xml:space="preserve"> 10% </w:t>
      </w:r>
      <w:r w:rsidR="00E477C3" w:rsidRPr="0085534E">
        <w:t xml:space="preserve">of Patients </w:t>
      </w:r>
      <w:r w:rsidRPr="0085534E">
        <w:t>and</w:t>
      </w:r>
      <w:r w:rsidR="00362201">
        <w:t xml:space="preserve"> </w:t>
      </w:r>
      <w:r w:rsidR="00362201">
        <w:sym w:font="Symbol" w:char="F0B3"/>
      </w:r>
      <w:r w:rsidRPr="0085534E">
        <w:t xml:space="preserve">5% Higher in the </w:t>
      </w:r>
      <w:r w:rsidR="00B87FF3" w:rsidRPr="0085534E">
        <w:t>I</w:t>
      </w:r>
      <w:r w:rsidR="00CA5CE3" w:rsidRPr="0085534E">
        <w:t>sa-</w:t>
      </w:r>
      <w:r w:rsidRPr="0085534E">
        <w:t>Pd Group Versus Pd Group - ICARIA-MM study</w:t>
      </w:r>
    </w:p>
    <w:tbl>
      <w:tblPr>
        <w:tblW w:w="5558" w:type="pct"/>
        <w:tblCellMar>
          <w:left w:w="0" w:type="dxa"/>
          <w:right w:w="0" w:type="dxa"/>
        </w:tblCellMar>
        <w:tblLook w:val="01E0" w:firstRow="1" w:lastRow="1" w:firstColumn="1" w:lastColumn="1" w:noHBand="0" w:noVBand="0"/>
      </w:tblPr>
      <w:tblGrid>
        <w:gridCol w:w="2362"/>
        <w:gridCol w:w="1476"/>
        <w:gridCol w:w="1032"/>
        <w:gridCol w:w="1032"/>
        <w:gridCol w:w="1034"/>
        <w:gridCol w:w="1032"/>
        <w:gridCol w:w="1024"/>
        <w:gridCol w:w="1030"/>
      </w:tblGrid>
      <w:tr w:rsidR="00FE779F" w:rsidRPr="0085534E" w14:paraId="5E03929C" w14:textId="77777777" w:rsidTr="00C84362">
        <w:trPr>
          <w:trHeight w:val="355"/>
        </w:trPr>
        <w:tc>
          <w:tcPr>
            <w:tcW w:w="1178" w:type="pct"/>
            <w:vMerge w:val="restart"/>
            <w:tcBorders>
              <w:top w:val="single" w:sz="4" w:space="0" w:color="auto"/>
              <w:left w:val="single" w:sz="4" w:space="0" w:color="auto"/>
              <w:bottom w:val="single" w:sz="4" w:space="0" w:color="auto"/>
              <w:right w:val="single" w:sz="4" w:space="0" w:color="auto"/>
            </w:tcBorders>
            <w:shd w:val="clear" w:color="auto" w:fill="auto"/>
          </w:tcPr>
          <w:p w14:paraId="4DC0C4AB" w14:textId="419228D1" w:rsidR="004C1E89" w:rsidRPr="0085534E" w:rsidRDefault="004C1E89" w:rsidP="00362201">
            <w:pPr>
              <w:pStyle w:val="TblTextLeft"/>
              <w:rPr>
                <w:b/>
              </w:rPr>
            </w:pPr>
            <w:r w:rsidRPr="0085534E">
              <w:rPr>
                <w:b/>
                <w:w w:val="105"/>
              </w:rPr>
              <w:t>System Organ Class</w:t>
            </w:r>
            <w:r w:rsidR="00362201">
              <w:rPr>
                <w:b/>
                <w:w w:val="105"/>
              </w:rPr>
              <w:t xml:space="preserve"> </w:t>
            </w:r>
            <w:r w:rsidRPr="0085534E">
              <w:rPr>
                <w:b/>
                <w:bCs/>
                <w:szCs w:val="22"/>
              </w:rPr>
              <w:t>Preferred Term</w:t>
            </w:r>
          </w:p>
        </w:tc>
        <w:tc>
          <w:tcPr>
            <w:tcW w:w="736" w:type="pct"/>
            <w:vMerge w:val="restart"/>
            <w:tcBorders>
              <w:top w:val="single" w:sz="4" w:space="0" w:color="auto"/>
              <w:left w:val="single" w:sz="4" w:space="0" w:color="auto"/>
              <w:bottom w:val="single" w:sz="4" w:space="0" w:color="auto"/>
              <w:right w:val="single" w:sz="4" w:space="0" w:color="auto"/>
            </w:tcBorders>
            <w:shd w:val="clear" w:color="auto" w:fill="auto"/>
          </w:tcPr>
          <w:p w14:paraId="7745B274" w14:textId="77777777" w:rsidR="004C1E89" w:rsidRPr="0085534E" w:rsidRDefault="004C1E89" w:rsidP="00D9435E">
            <w:pPr>
              <w:pStyle w:val="TblTextLeft"/>
              <w:rPr>
                <w:b/>
              </w:rPr>
            </w:pPr>
            <w:r w:rsidRPr="0085534E">
              <w:rPr>
                <w:b/>
                <w:w w:val="105"/>
              </w:rPr>
              <w:t>Frequency</w:t>
            </w:r>
          </w:p>
        </w:tc>
        <w:tc>
          <w:tcPr>
            <w:tcW w:w="1546" w:type="pct"/>
            <w:gridSpan w:val="3"/>
            <w:tcBorders>
              <w:top w:val="single" w:sz="4" w:space="0" w:color="auto"/>
              <w:left w:val="single" w:sz="4" w:space="0" w:color="auto"/>
              <w:bottom w:val="single" w:sz="4" w:space="0" w:color="auto"/>
              <w:right w:val="single" w:sz="4" w:space="0" w:color="auto"/>
            </w:tcBorders>
          </w:tcPr>
          <w:p w14:paraId="09C39892" w14:textId="21A26F76" w:rsidR="00CA5CE3" w:rsidRPr="0085534E" w:rsidRDefault="00CA5CE3" w:rsidP="00D9435E">
            <w:pPr>
              <w:pStyle w:val="TblTextLeft"/>
              <w:rPr>
                <w:b/>
                <w:w w:val="105"/>
              </w:rPr>
            </w:pPr>
            <w:r w:rsidRPr="0085534E">
              <w:rPr>
                <w:b/>
                <w:w w:val="105"/>
              </w:rPr>
              <w:t>Sarclisa+ Pomalidomide + low-dose Dexamethasone</w:t>
            </w:r>
          </w:p>
          <w:p w14:paraId="50BB4016" w14:textId="326545ED" w:rsidR="004C1E89" w:rsidRPr="0085534E" w:rsidRDefault="004C1E89" w:rsidP="00362201">
            <w:pPr>
              <w:pStyle w:val="TblTextLeft"/>
              <w:rPr>
                <w:b/>
                <w:w w:val="105"/>
              </w:rPr>
            </w:pPr>
            <w:r w:rsidRPr="0085534E">
              <w:rPr>
                <w:b/>
                <w:w w:val="105"/>
              </w:rPr>
              <w:t>(N=152)</w:t>
            </w:r>
            <w:r w:rsidR="00362201">
              <w:rPr>
                <w:b/>
                <w:w w:val="105"/>
              </w:rPr>
              <w:t xml:space="preserve"> </w:t>
            </w:r>
            <w:r w:rsidRPr="0085534E">
              <w:rPr>
                <w:b/>
                <w:w w:val="105"/>
              </w:rPr>
              <w:t xml:space="preserve">n(%) </w:t>
            </w:r>
          </w:p>
        </w:tc>
        <w:tc>
          <w:tcPr>
            <w:tcW w:w="1540" w:type="pct"/>
            <w:gridSpan w:val="3"/>
            <w:tcBorders>
              <w:top w:val="single" w:sz="4" w:space="0" w:color="auto"/>
              <w:left w:val="single" w:sz="4" w:space="0" w:color="auto"/>
              <w:bottom w:val="single" w:sz="4" w:space="0" w:color="auto"/>
              <w:right w:val="single" w:sz="4" w:space="0" w:color="auto"/>
            </w:tcBorders>
          </w:tcPr>
          <w:p w14:paraId="7ECED0D4" w14:textId="483E599A" w:rsidR="004C1E89" w:rsidRPr="0085534E" w:rsidRDefault="00CA5CE3" w:rsidP="00D9435E">
            <w:pPr>
              <w:pStyle w:val="TblTextLeft"/>
              <w:rPr>
                <w:b/>
                <w:w w:val="105"/>
              </w:rPr>
            </w:pPr>
            <w:r w:rsidRPr="0085534E">
              <w:rPr>
                <w:b/>
                <w:w w:val="105"/>
              </w:rPr>
              <w:t>Pomalidomide + low-dose Dexamethasone</w:t>
            </w:r>
          </w:p>
          <w:p w14:paraId="3A9673EB" w14:textId="0AEB32F5" w:rsidR="004C1E89" w:rsidRPr="0085534E" w:rsidRDefault="004C1E89" w:rsidP="00362201">
            <w:pPr>
              <w:pStyle w:val="TblTextLeft"/>
              <w:rPr>
                <w:b/>
                <w:w w:val="105"/>
              </w:rPr>
            </w:pPr>
            <w:r w:rsidRPr="0085534E">
              <w:rPr>
                <w:b/>
                <w:w w:val="105"/>
              </w:rPr>
              <w:t>(N=149)</w:t>
            </w:r>
            <w:r w:rsidR="00362201">
              <w:rPr>
                <w:b/>
                <w:w w:val="105"/>
              </w:rPr>
              <w:t xml:space="preserve"> </w:t>
            </w:r>
            <w:r w:rsidRPr="0085534E">
              <w:rPr>
                <w:b/>
                <w:w w:val="105"/>
              </w:rPr>
              <w:t>n(%)</w:t>
            </w:r>
          </w:p>
        </w:tc>
      </w:tr>
      <w:tr w:rsidR="00FE779F" w:rsidRPr="0085534E" w14:paraId="00239C2B" w14:textId="77777777" w:rsidTr="00EF5223">
        <w:trPr>
          <w:trHeight w:val="362"/>
        </w:trPr>
        <w:tc>
          <w:tcPr>
            <w:tcW w:w="1178" w:type="pct"/>
            <w:vMerge/>
            <w:tcBorders>
              <w:top w:val="single" w:sz="4" w:space="0" w:color="auto"/>
              <w:left w:val="single" w:sz="4" w:space="0" w:color="auto"/>
              <w:bottom w:val="single" w:sz="4" w:space="0" w:color="auto"/>
              <w:right w:val="single" w:sz="4" w:space="0" w:color="auto"/>
            </w:tcBorders>
            <w:shd w:val="clear" w:color="auto" w:fill="auto"/>
          </w:tcPr>
          <w:p w14:paraId="3D349C75" w14:textId="77777777" w:rsidR="004C1E89" w:rsidRPr="0085534E" w:rsidRDefault="004C1E89" w:rsidP="00D9435E">
            <w:pPr>
              <w:pStyle w:val="TblTextLeft"/>
              <w:rPr>
                <w:b/>
                <w:szCs w:val="22"/>
              </w:rPr>
            </w:pPr>
          </w:p>
        </w:tc>
        <w:tc>
          <w:tcPr>
            <w:tcW w:w="736" w:type="pct"/>
            <w:vMerge/>
            <w:tcBorders>
              <w:top w:val="single" w:sz="4" w:space="0" w:color="auto"/>
              <w:left w:val="single" w:sz="4" w:space="0" w:color="auto"/>
              <w:bottom w:val="single" w:sz="4" w:space="0" w:color="auto"/>
              <w:right w:val="single" w:sz="4" w:space="0" w:color="auto"/>
            </w:tcBorders>
            <w:shd w:val="clear" w:color="auto" w:fill="auto"/>
          </w:tcPr>
          <w:p w14:paraId="2662F88A" w14:textId="77777777" w:rsidR="004C1E89" w:rsidRPr="0085534E" w:rsidRDefault="004C1E89" w:rsidP="00D9435E">
            <w:pPr>
              <w:pStyle w:val="TblTextLeft"/>
              <w:rPr>
                <w:b/>
                <w:szCs w:val="22"/>
              </w:rPr>
            </w:pPr>
          </w:p>
        </w:tc>
        <w:tc>
          <w:tcPr>
            <w:tcW w:w="515" w:type="pct"/>
            <w:tcBorders>
              <w:top w:val="single" w:sz="4" w:space="0" w:color="auto"/>
              <w:left w:val="single" w:sz="4" w:space="0" w:color="auto"/>
              <w:bottom w:val="single" w:sz="4" w:space="0" w:color="auto"/>
              <w:right w:val="single" w:sz="4" w:space="0" w:color="auto"/>
            </w:tcBorders>
          </w:tcPr>
          <w:p w14:paraId="514586E1" w14:textId="5635482D" w:rsidR="004C1E89" w:rsidRPr="0085534E" w:rsidRDefault="00962985" w:rsidP="00D9435E">
            <w:pPr>
              <w:pStyle w:val="TblTextLeft"/>
              <w:rPr>
                <w:b/>
                <w:w w:val="105"/>
              </w:rPr>
            </w:pPr>
            <w:r w:rsidRPr="0085534E">
              <w:rPr>
                <w:b/>
                <w:w w:val="105"/>
              </w:rPr>
              <w:t xml:space="preserve">All </w:t>
            </w:r>
            <w:r w:rsidR="004C1E89" w:rsidRPr="0085534E">
              <w:rPr>
                <w:b/>
                <w:w w:val="105"/>
              </w:rPr>
              <w:t>Grade</w:t>
            </w:r>
            <w:r w:rsidRPr="0085534E">
              <w:rPr>
                <w:b/>
                <w:w w:val="105"/>
              </w:rPr>
              <w:t>s</w:t>
            </w:r>
          </w:p>
        </w:tc>
        <w:tc>
          <w:tcPr>
            <w:tcW w:w="515" w:type="pct"/>
            <w:tcBorders>
              <w:top w:val="single" w:sz="4" w:space="0" w:color="auto"/>
              <w:left w:val="single" w:sz="4" w:space="0" w:color="auto"/>
              <w:bottom w:val="single" w:sz="4" w:space="0" w:color="auto"/>
              <w:right w:val="single" w:sz="4" w:space="0" w:color="auto"/>
            </w:tcBorders>
          </w:tcPr>
          <w:p w14:paraId="73544DF6" w14:textId="1A500A44" w:rsidR="004C1E89" w:rsidRPr="0085534E" w:rsidRDefault="004C1E89" w:rsidP="00D9435E">
            <w:pPr>
              <w:pStyle w:val="TblTextLeft"/>
              <w:rPr>
                <w:b/>
                <w:w w:val="105"/>
              </w:rPr>
            </w:pPr>
            <w:r w:rsidRPr="0085534E">
              <w:rPr>
                <w:b/>
                <w:w w:val="105"/>
              </w:rPr>
              <w:t>Grade 3</w:t>
            </w:r>
          </w:p>
        </w:tc>
        <w:tc>
          <w:tcPr>
            <w:tcW w:w="516" w:type="pct"/>
            <w:tcBorders>
              <w:top w:val="single" w:sz="4" w:space="0" w:color="auto"/>
              <w:left w:val="single" w:sz="4" w:space="0" w:color="auto"/>
              <w:bottom w:val="single" w:sz="4" w:space="0" w:color="auto"/>
              <w:right w:val="single" w:sz="4" w:space="0" w:color="auto"/>
            </w:tcBorders>
          </w:tcPr>
          <w:p w14:paraId="043FC99C" w14:textId="0BA68848" w:rsidR="004C1E89" w:rsidRPr="0085534E" w:rsidRDefault="004C1E89" w:rsidP="00D9435E">
            <w:pPr>
              <w:pStyle w:val="TblTextLeft"/>
              <w:rPr>
                <w:b/>
                <w:w w:val="105"/>
              </w:rPr>
            </w:pPr>
            <w:r w:rsidRPr="0085534E">
              <w:rPr>
                <w:b/>
                <w:w w:val="105"/>
              </w:rPr>
              <w:t>Grade 4</w:t>
            </w: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3DE59D46" w14:textId="4C5F603F" w:rsidR="004C1E89" w:rsidRPr="0085534E" w:rsidRDefault="00962985" w:rsidP="00D9435E">
            <w:pPr>
              <w:pStyle w:val="TblTextLeft"/>
              <w:rPr>
                <w:b/>
              </w:rPr>
            </w:pPr>
            <w:r w:rsidRPr="0085534E">
              <w:rPr>
                <w:b/>
                <w:w w:val="105"/>
              </w:rPr>
              <w:t>All</w:t>
            </w:r>
            <w:r w:rsidR="004C1E89" w:rsidRPr="0085534E">
              <w:rPr>
                <w:b/>
                <w:w w:val="105"/>
              </w:rPr>
              <w:t xml:space="preserve"> Grade</w:t>
            </w:r>
            <w:r w:rsidRPr="0085534E">
              <w:rPr>
                <w:b/>
                <w:w w:val="105"/>
              </w:rPr>
              <w:t>s</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2CCF69C9" w14:textId="77777777" w:rsidR="004C1E89" w:rsidRPr="0085534E" w:rsidRDefault="004C1E89" w:rsidP="00D9435E">
            <w:pPr>
              <w:pStyle w:val="TblTextLeft"/>
              <w:rPr>
                <w:b/>
              </w:rPr>
            </w:pPr>
            <w:r w:rsidRPr="0085534E">
              <w:rPr>
                <w:b/>
                <w:w w:val="105"/>
              </w:rPr>
              <w:t>Grade 3</w:t>
            </w:r>
          </w:p>
        </w:tc>
        <w:tc>
          <w:tcPr>
            <w:tcW w:w="514" w:type="pct"/>
            <w:tcBorders>
              <w:top w:val="single" w:sz="4" w:space="0" w:color="auto"/>
              <w:left w:val="single" w:sz="4" w:space="0" w:color="auto"/>
              <w:bottom w:val="single" w:sz="4" w:space="0" w:color="auto"/>
              <w:right w:val="single" w:sz="4" w:space="0" w:color="auto"/>
            </w:tcBorders>
            <w:shd w:val="clear" w:color="auto" w:fill="auto"/>
          </w:tcPr>
          <w:p w14:paraId="2C1A1851" w14:textId="77777777" w:rsidR="004C1E89" w:rsidRPr="0085534E" w:rsidRDefault="004C1E89" w:rsidP="00D9435E">
            <w:pPr>
              <w:pStyle w:val="TblTextLeft"/>
              <w:rPr>
                <w:b/>
              </w:rPr>
            </w:pPr>
            <w:r w:rsidRPr="0085534E">
              <w:rPr>
                <w:b/>
                <w:w w:val="105"/>
              </w:rPr>
              <w:t>Grade 4</w:t>
            </w:r>
          </w:p>
        </w:tc>
      </w:tr>
      <w:tr w:rsidR="00FE779F" w:rsidRPr="0085534E" w14:paraId="29EC82E2" w14:textId="77777777" w:rsidTr="00EF5223">
        <w:trPr>
          <w:trHeight w:val="417"/>
        </w:trPr>
        <w:tc>
          <w:tcPr>
            <w:tcW w:w="1178" w:type="pct"/>
            <w:tcBorders>
              <w:top w:val="single" w:sz="4" w:space="0" w:color="auto"/>
              <w:left w:val="single" w:sz="4" w:space="0" w:color="auto"/>
              <w:bottom w:val="single" w:sz="4" w:space="0" w:color="auto"/>
              <w:right w:val="single" w:sz="4" w:space="0" w:color="auto"/>
            </w:tcBorders>
            <w:shd w:val="clear" w:color="auto" w:fill="auto"/>
          </w:tcPr>
          <w:p w14:paraId="4C2E2968" w14:textId="5C59B45C" w:rsidR="004C1E89" w:rsidRPr="0085534E" w:rsidRDefault="004C1E89" w:rsidP="004C1E89">
            <w:pPr>
              <w:pStyle w:val="TblTextLeft"/>
              <w:rPr>
                <w:b/>
              </w:rPr>
            </w:pPr>
            <w:r w:rsidRPr="0085534E">
              <w:rPr>
                <w:b/>
              </w:rPr>
              <w:t>Infusion reaction</w:t>
            </w:r>
          </w:p>
        </w:tc>
        <w:tc>
          <w:tcPr>
            <w:tcW w:w="736" w:type="pct"/>
            <w:tcBorders>
              <w:top w:val="single" w:sz="4" w:space="0" w:color="auto"/>
              <w:left w:val="single" w:sz="4" w:space="0" w:color="auto"/>
              <w:bottom w:val="single" w:sz="4" w:space="0" w:color="auto"/>
              <w:right w:val="single" w:sz="4" w:space="0" w:color="auto"/>
            </w:tcBorders>
            <w:shd w:val="clear" w:color="auto" w:fill="auto"/>
          </w:tcPr>
          <w:p w14:paraId="21F75107" w14:textId="78690D67" w:rsidR="004C1E89" w:rsidRPr="0085534E" w:rsidRDefault="004C1E89" w:rsidP="004C1E89">
            <w:pPr>
              <w:pStyle w:val="TblTextLeft"/>
              <w:rPr>
                <w:szCs w:val="22"/>
              </w:rPr>
            </w:pPr>
            <w:r w:rsidRPr="0085534E">
              <w:rPr>
                <w:szCs w:val="22"/>
              </w:rPr>
              <w:t>Very common</w:t>
            </w:r>
          </w:p>
        </w:tc>
        <w:tc>
          <w:tcPr>
            <w:tcW w:w="515" w:type="pct"/>
            <w:tcBorders>
              <w:top w:val="single" w:sz="4" w:space="0" w:color="auto"/>
              <w:left w:val="single" w:sz="4" w:space="0" w:color="auto"/>
              <w:bottom w:val="single" w:sz="4" w:space="0" w:color="auto"/>
              <w:right w:val="single" w:sz="4" w:space="0" w:color="auto"/>
            </w:tcBorders>
          </w:tcPr>
          <w:p w14:paraId="27EC2FA5" w14:textId="71341C67" w:rsidR="004C1E89" w:rsidRPr="0085534E" w:rsidRDefault="004C1E89" w:rsidP="004C1E89">
            <w:pPr>
              <w:pStyle w:val="TblTextLeft"/>
            </w:pPr>
            <w:r w:rsidRPr="0085534E">
              <w:rPr>
                <w:szCs w:val="22"/>
              </w:rPr>
              <w:t>58 (38.2)</w:t>
            </w:r>
          </w:p>
        </w:tc>
        <w:tc>
          <w:tcPr>
            <w:tcW w:w="515" w:type="pct"/>
            <w:tcBorders>
              <w:top w:val="single" w:sz="4" w:space="0" w:color="auto"/>
              <w:left w:val="single" w:sz="4" w:space="0" w:color="auto"/>
              <w:bottom w:val="single" w:sz="4" w:space="0" w:color="auto"/>
              <w:right w:val="single" w:sz="4" w:space="0" w:color="auto"/>
            </w:tcBorders>
          </w:tcPr>
          <w:p w14:paraId="2AEC85F7" w14:textId="7732A283" w:rsidR="004C1E89" w:rsidRPr="0085534E" w:rsidRDefault="004C1E89" w:rsidP="004C1E89">
            <w:pPr>
              <w:pStyle w:val="TblTextLeft"/>
            </w:pPr>
            <w:r w:rsidRPr="0085534E">
              <w:rPr>
                <w:szCs w:val="22"/>
              </w:rPr>
              <w:t>2 (1.3)</w:t>
            </w:r>
          </w:p>
        </w:tc>
        <w:tc>
          <w:tcPr>
            <w:tcW w:w="516" w:type="pct"/>
            <w:tcBorders>
              <w:top w:val="single" w:sz="4" w:space="0" w:color="auto"/>
              <w:left w:val="single" w:sz="4" w:space="0" w:color="auto"/>
              <w:bottom w:val="single" w:sz="4" w:space="0" w:color="auto"/>
              <w:right w:val="single" w:sz="4" w:space="0" w:color="auto"/>
            </w:tcBorders>
          </w:tcPr>
          <w:p w14:paraId="4EDC10F9" w14:textId="70603A92" w:rsidR="004C1E89" w:rsidRPr="0085534E" w:rsidRDefault="004C1E89" w:rsidP="00362201">
            <w:pPr>
              <w:pStyle w:val="TblTextLeft"/>
            </w:pPr>
            <w:r w:rsidRPr="0085534E">
              <w:rPr>
                <w:szCs w:val="22"/>
              </w:rPr>
              <w:t xml:space="preserve">2 (1.3) </w:t>
            </w: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6B83FBCB" w14:textId="09819A33" w:rsidR="004C1E89" w:rsidRPr="0085534E" w:rsidRDefault="004C1E89" w:rsidP="004C1E89">
            <w:pPr>
              <w:pStyle w:val="TblTextLeft"/>
            </w:pPr>
            <w:r w:rsidRPr="0085534E">
              <w:rPr>
                <w:szCs w:val="22"/>
              </w:rPr>
              <w:t>0</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415F84B2" w14:textId="4C05546B" w:rsidR="004C1E89" w:rsidRPr="0085534E" w:rsidRDefault="004C1E89" w:rsidP="004C1E89">
            <w:pPr>
              <w:pStyle w:val="TblTextLeft"/>
            </w:pPr>
            <w:r w:rsidRPr="0085534E">
              <w:rPr>
                <w:szCs w:val="22"/>
              </w:rPr>
              <w:t>0</w:t>
            </w:r>
          </w:p>
        </w:tc>
        <w:tc>
          <w:tcPr>
            <w:tcW w:w="514" w:type="pct"/>
            <w:tcBorders>
              <w:top w:val="single" w:sz="4" w:space="0" w:color="auto"/>
              <w:left w:val="single" w:sz="4" w:space="0" w:color="auto"/>
              <w:bottom w:val="single" w:sz="4" w:space="0" w:color="auto"/>
              <w:right w:val="single" w:sz="4" w:space="0" w:color="auto"/>
            </w:tcBorders>
            <w:shd w:val="clear" w:color="auto" w:fill="auto"/>
          </w:tcPr>
          <w:p w14:paraId="08727483" w14:textId="4BDCA101" w:rsidR="004C1E89" w:rsidRPr="0085534E" w:rsidRDefault="004C1E89" w:rsidP="00362201">
            <w:pPr>
              <w:pStyle w:val="TblTextLeft"/>
            </w:pPr>
            <w:r w:rsidRPr="0085534E">
              <w:rPr>
                <w:szCs w:val="22"/>
              </w:rPr>
              <w:t xml:space="preserve">0 </w:t>
            </w:r>
          </w:p>
        </w:tc>
      </w:tr>
      <w:tr w:rsidR="00FE779F" w:rsidRPr="0085534E" w14:paraId="5D60026B" w14:textId="77777777" w:rsidTr="00EF5223">
        <w:trPr>
          <w:trHeight w:val="417"/>
        </w:trPr>
        <w:tc>
          <w:tcPr>
            <w:tcW w:w="1178" w:type="pct"/>
            <w:tcBorders>
              <w:top w:val="single" w:sz="4" w:space="0" w:color="auto"/>
              <w:left w:val="single" w:sz="4" w:space="0" w:color="auto"/>
            </w:tcBorders>
            <w:shd w:val="clear" w:color="auto" w:fill="auto"/>
          </w:tcPr>
          <w:p w14:paraId="118EC272" w14:textId="0BB485F3" w:rsidR="004C1E89" w:rsidRPr="0085534E" w:rsidRDefault="004C1E89" w:rsidP="00D9435E">
            <w:pPr>
              <w:pStyle w:val="TblTextLeft"/>
            </w:pPr>
            <w:r w:rsidRPr="0085534E">
              <w:t>Infections and infestations</w:t>
            </w:r>
          </w:p>
        </w:tc>
        <w:tc>
          <w:tcPr>
            <w:tcW w:w="736" w:type="pct"/>
            <w:tcBorders>
              <w:top w:val="single" w:sz="4" w:space="0" w:color="auto"/>
            </w:tcBorders>
            <w:shd w:val="clear" w:color="auto" w:fill="auto"/>
          </w:tcPr>
          <w:p w14:paraId="2CC64870" w14:textId="77777777" w:rsidR="004C1E89" w:rsidRPr="0085534E" w:rsidRDefault="004C1E89" w:rsidP="00D9435E">
            <w:pPr>
              <w:pStyle w:val="TblTextLeft"/>
              <w:rPr>
                <w:szCs w:val="22"/>
              </w:rPr>
            </w:pPr>
          </w:p>
        </w:tc>
        <w:tc>
          <w:tcPr>
            <w:tcW w:w="515" w:type="pct"/>
            <w:tcBorders>
              <w:top w:val="single" w:sz="4" w:space="0" w:color="auto"/>
            </w:tcBorders>
            <w:vAlign w:val="center"/>
          </w:tcPr>
          <w:p w14:paraId="4DD5ACEE" w14:textId="77777777" w:rsidR="004C1E89" w:rsidRPr="0085534E" w:rsidRDefault="004C1E89" w:rsidP="00D9435E">
            <w:pPr>
              <w:pStyle w:val="TblTextLeft"/>
            </w:pPr>
          </w:p>
        </w:tc>
        <w:tc>
          <w:tcPr>
            <w:tcW w:w="515" w:type="pct"/>
            <w:tcBorders>
              <w:top w:val="single" w:sz="4" w:space="0" w:color="auto"/>
            </w:tcBorders>
            <w:vAlign w:val="center"/>
          </w:tcPr>
          <w:p w14:paraId="195801CD" w14:textId="77777777" w:rsidR="004C1E89" w:rsidRPr="0085534E" w:rsidRDefault="004C1E89" w:rsidP="00D9435E">
            <w:pPr>
              <w:pStyle w:val="TblTextLeft"/>
            </w:pPr>
          </w:p>
        </w:tc>
        <w:tc>
          <w:tcPr>
            <w:tcW w:w="516" w:type="pct"/>
            <w:tcBorders>
              <w:top w:val="single" w:sz="4" w:space="0" w:color="auto"/>
            </w:tcBorders>
            <w:vAlign w:val="center"/>
          </w:tcPr>
          <w:p w14:paraId="6049D90E" w14:textId="77777777" w:rsidR="004C1E89" w:rsidRPr="0085534E" w:rsidRDefault="004C1E89" w:rsidP="00D9435E">
            <w:pPr>
              <w:pStyle w:val="TblTextLeft"/>
            </w:pPr>
          </w:p>
        </w:tc>
        <w:tc>
          <w:tcPr>
            <w:tcW w:w="515" w:type="pct"/>
            <w:tcBorders>
              <w:top w:val="single" w:sz="4" w:space="0" w:color="auto"/>
            </w:tcBorders>
            <w:shd w:val="clear" w:color="auto" w:fill="auto"/>
            <w:vAlign w:val="center"/>
          </w:tcPr>
          <w:p w14:paraId="0C18E826" w14:textId="77777777" w:rsidR="004C1E89" w:rsidRPr="0085534E" w:rsidRDefault="004C1E89" w:rsidP="00D9435E">
            <w:pPr>
              <w:pStyle w:val="TblTextLeft"/>
            </w:pPr>
          </w:p>
        </w:tc>
        <w:tc>
          <w:tcPr>
            <w:tcW w:w="511" w:type="pct"/>
            <w:tcBorders>
              <w:top w:val="single" w:sz="4" w:space="0" w:color="auto"/>
            </w:tcBorders>
            <w:shd w:val="clear" w:color="auto" w:fill="auto"/>
            <w:vAlign w:val="center"/>
          </w:tcPr>
          <w:p w14:paraId="328EA929" w14:textId="77777777" w:rsidR="004C1E89" w:rsidRPr="0085534E" w:rsidRDefault="004C1E89" w:rsidP="00D9435E">
            <w:pPr>
              <w:pStyle w:val="TblTextLeft"/>
            </w:pPr>
          </w:p>
        </w:tc>
        <w:tc>
          <w:tcPr>
            <w:tcW w:w="514" w:type="pct"/>
            <w:tcBorders>
              <w:top w:val="single" w:sz="4" w:space="0" w:color="auto"/>
              <w:right w:val="single" w:sz="4" w:space="0" w:color="auto"/>
            </w:tcBorders>
            <w:shd w:val="clear" w:color="auto" w:fill="auto"/>
            <w:vAlign w:val="center"/>
          </w:tcPr>
          <w:p w14:paraId="25FC5BF1" w14:textId="77777777" w:rsidR="004C1E89" w:rsidRPr="0085534E" w:rsidRDefault="004C1E89" w:rsidP="00D9435E">
            <w:pPr>
              <w:pStyle w:val="TblTextLeft"/>
            </w:pPr>
          </w:p>
        </w:tc>
      </w:tr>
      <w:tr w:rsidR="00FE779F" w:rsidRPr="0085534E" w14:paraId="2A5EBDE4" w14:textId="77777777" w:rsidTr="00EF5223">
        <w:trPr>
          <w:trHeight w:val="417"/>
        </w:trPr>
        <w:tc>
          <w:tcPr>
            <w:tcW w:w="1178" w:type="pct"/>
            <w:tcBorders>
              <w:left w:val="single" w:sz="4" w:space="0" w:color="auto"/>
              <w:right w:val="single" w:sz="4" w:space="0" w:color="auto"/>
            </w:tcBorders>
            <w:shd w:val="clear" w:color="auto" w:fill="auto"/>
          </w:tcPr>
          <w:p w14:paraId="124881E6" w14:textId="00FE8B35" w:rsidR="004C1E89" w:rsidRPr="0085534E" w:rsidRDefault="004C1E89" w:rsidP="004C1E89">
            <w:pPr>
              <w:pStyle w:val="TblTextLeft"/>
              <w:rPr>
                <w:b/>
              </w:rPr>
            </w:pPr>
            <w:r w:rsidRPr="0085534E">
              <w:rPr>
                <w:b/>
              </w:rPr>
              <w:t>Pneumonia</w:t>
            </w:r>
            <w:r w:rsidRPr="0085534E">
              <w:rPr>
                <w:b/>
                <w:vertAlign w:val="superscript"/>
              </w:rPr>
              <w:t xml:space="preserve"> a</w:t>
            </w:r>
            <w:r w:rsidRPr="0085534E">
              <w:rPr>
                <w:b/>
              </w:rPr>
              <w:t xml:space="preserve"> </w:t>
            </w:r>
          </w:p>
        </w:tc>
        <w:tc>
          <w:tcPr>
            <w:tcW w:w="736" w:type="pct"/>
            <w:tcBorders>
              <w:left w:val="single" w:sz="4" w:space="0" w:color="auto"/>
              <w:right w:val="single" w:sz="4" w:space="0" w:color="auto"/>
            </w:tcBorders>
            <w:shd w:val="clear" w:color="auto" w:fill="auto"/>
          </w:tcPr>
          <w:p w14:paraId="02AC0064" w14:textId="402F2321" w:rsidR="004C1E89" w:rsidRPr="0085534E" w:rsidRDefault="004C1E89" w:rsidP="004C1E89">
            <w:pPr>
              <w:pStyle w:val="TblTextLeft"/>
              <w:rPr>
                <w:szCs w:val="22"/>
              </w:rPr>
            </w:pPr>
            <w:r w:rsidRPr="0085534E">
              <w:rPr>
                <w:szCs w:val="22"/>
              </w:rPr>
              <w:t>Very common</w:t>
            </w:r>
          </w:p>
        </w:tc>
        <w:tc>
          <w:tcPr>
            <w:tcW w:w="515" w:type="pct"/>
            <w:tcBorders>
              <w:left w:val="single" w:sz="4" w:space="0" w:color="auto"/>
              <w:right w:val="single" w:sz="4" w:space="0" w:color="auto"/>
            </w:tcBorders>
            <w:vAlign w:val="center"/>
          </w:tcPr>
          <w:p w14:paraId="38BC002A" w14:textId="6B638FA4" w:rsidR="004C1E89" w:rsidRPr="0085534E" w:rsidRDefault="004C1E89" w:rsidP="004C1E89">
            <w:pPr>
              <w:pStyle w:val="TblTextLeft"/>
            </w:pPr>
            <w:r w:rsidRPr="0085534E">
              <w:t>47 (30.9)</w:t>
            </w:r>
          </w:p>
        </w:tc>
        <w:tc>
          <w:tcPr>
            <w:tcW w:w="515" w:type="pct"/>
            <w:tcBorders>
              <w:left w:val="single" w:sz="4" w:space="0" w:color="auto"/>
              <w:right w:val="single" w:sz="4" w:space="0" w:color="auto"/>
            </w:tcBorders>
            <w:vAlign w:val="center"/>
          </w:tcPr>
          <w:p w14:paraId="1F5F1D28" w14:textId="658A6609" w:rsidR="004C1E89" w:rsidRPr="0085534E" w:rsidRDefault="004C1E89" w:rsidP="004C1E89">
            <w:pPr>
              <w:pStyle w:val="TblTextLeft"/>
            </w:pPr>
            <w:r w:rsidRPr="0085534E">
              <w:t>33 (21.7)</w:t>
            </w:r>
          </w:p>
        </w:tc>
        <w:tc>
          <w:tcPr>
            <w:tcW w:w="516" w:type="pct"/>
            <w:tcBorders>
              <w:left w:val="single" w:sz="4" w:space="0" w:color="auto"/>
              <w:right w:val="single" w:sz="4" w:space="0" w:color="auto"/>
            </w:tcBorders>
            <w:vAlign w:val="center"/>
          </w:tcPr>
          <w:p w14:paraId="1EEE4F77" w14:textId="097950FF" w:rsidR="004C1E89" w:rsidRPr="0085534E" w:rsidRDefault="004C1E89" w:rsidP="004C1E89">
            <w:pPr>
              <w:pStyle w:val="TblTextLeft"/>
            </w:pPr>
            <w:r w:rsidRPr="0085534E">
              <w:t>5 (3.3)</w:t>
            </w:r>
          </w:p>
        </w:tc>
        <w:tc>
          <w:tcPr>
            <w:tcW w:w="515" w:type="pct"/>
            <w:tcBorders>
              <w:left w:val="single" w:sz="4" w:space="0" w:color="auto"/>
              <w:right w:val="single" w:sz="4" w:space="0" w:color="auto"/>
            </w:tcBorders>
            <w:shd w:val="clear" w:color="auto" w:fill="auto"/>
            <w:vAlign w:val="center"/>
          </w:tcPr>
          <w:p w14:paraId="1B97B9C6" w14:textId="0E25056E" w:rsidR="004C1E89" w:rsidRPr="0085534E" w:rsidRDefault="004C1E89" w:rsidP="004C1E89">
            <w:pPr>
              <w:pStyle w:val="TblTextLeft"/>
            </w:pPr>
            <w:r w:rsidRPr="0085534E">
              <w:t>34 (22.8)</w:t>
            </w:r>
          </w:p>
        </w:tc>
        <w:tc>
          <w:tcPr>
            <w:tcW w:w="511" w:type="pct"/>
            <w:tcBorders>
              <w:left w:val="single" w:sz="4" w:space="0" w:color="auto"/>
              <w:right w:val="single" w:sz="4" w:space="0" w:color="auto"/>
            </w:tcBorders>
            <w:shd w:val="clear" w:color="auto" w:fill="auto"/>
            <w:vAlign w:val="center"/>
          </w:tcPr>
          <w:p w14:paraId="26BE9250" w14:textId="3D4E08AE" w:rsidR="004C1E89" w:rsidRPr="0085534E" w:rsidRDefault="004C1E89" w:rsidP="004C1E89">
            <w:pPr>
              <w:pStyle w:val="TblTextLeft"/>
            </w:pPr>
            <w:r w:rsidRPr="0085534E">
              <w:t>24 (16.1)</w:t>
            </w:r>
          </w:p>
        </w:tc>
        <w:tc>
          <w:tcPr>
            <w:tcW w:w="514" w:type="pct"/>
            <w:tcBorders>
              <w:left w:val="single" w:sz="4" w:space="0" w:color="auto"/>
              <w:right w:val="single" w:sz="4" w:space="0" w:color="auto"/>
            </w:tcBorders>
            <w:shd w:val="clear" w:color="auto" w:fill="auto"/>
            <w:vAlign w:val="center"/>
          </w:tcPr>
          <w:p w14:paraId="77FFC613" w14:textId="75AFCC21" w:rsidR="004C1E89" w:rsidRPr="0085534E" w:rsidRDefault="004C1E89" w:rsidP="004C1E89">
            <w:pPr>
              <w:pStyle w:val="TblTextLeft"/>
            </w:pPr>
            <w:r w:rsidRPr="0085534E">
              <w:t>4 (2.7)</w:t>
            </w:r>
          </w:p>
        </w:tc>
      </w:tr>
      <w:tr w:rsidR="00FE779F" w:rsidRPr="0085534E" w14:paraId="7A7A1A5F" w14:textId="77777777" w:rsidTr="00EF5223">
        <w:trPr>
          <w:trHeight w:val="417"/>
        </w:trPr>
        <w:tc>
          <w:tcPr>
            <w:tcW w:w="1178" w:type="pct"/>
            <w:tcBorders>
              <w:left w:val="single" w:sz="4" w:space="0" w:color="auto"/>
              <w:right w:val="single" w:sz="4" w:space="0" w:color="auto"/>
            </w:tcBorders>
            <w:shd w:val="clear" w:color="auto" w:fill="auto"/>
          </w:tcPr>
          <w:p w14:paraId="3F42229B" w14:textId="4B44124D" w:rsidR="004C1E89" w:rsidRPr="0085534E" w:rsidRDefault="004C1E89" w:rsidP="004C1E89">
            <w:pPr>
              <w:pStyle w:val="TblTextLeft"/>
              <w:rPr>
                <w:b/>
              </w:rPr>
            </w:pPr>
            <w:r w:rsidRPr="0085534E">
              <w:rPr>
                <w:b/>
              </w:rPr>
              <w:t>Upper respiratory tract infection</w:t>
            </w:r>
          </w:p>
        </w:tc>
        <w:tc>
          <w:tcPr>
            <w:tcW w:w="736" w:type="pct"/>
            <w:tcBorders>
              <w:left w:val="single" w:sz="4" w:space="0" w:color="auto"/>
              <w:right w:val="single" w:sz="4" w:space="0" w:color="auto"/>
            </w:tcBorders>
            <w:shd w:val="clear" w:color="auto" w:fill="auto"/>
          </w:tcPr>
          <w:p w14:paraId="67367809" w14:textId="0D7EE8A5" w:rsidR="004C1E89" w:rsidRPr="0085534E" w:rsidRDefault="004C1E89" w:rsidP="004C1E89">
            <w:pPr>
              <w:pStyle w:val="TblTextLeft"/>
              <w:rPr>
                <w:szCs w:val="22"/>
              </w:rPr>
            </w:pPr>
            <w:r w:rsidRPr="0085534E">
              <w:rPr>
                <w:szCs w:val="22"/>
              </w:rPr>
              <w:t>Very common</w:t>
            </w:r>
          </w:p>
        </w:tc>
        <w:tc>
          <w:tcPr>
            <w:tcW w:w="515" w:type="pct"/>
            <w:tcBorders>
              <w:left w:val="single" w:sz="4" w:space="0" w:color="auto"/>
              <w:right w:val="single" w:sz="4" w:space="0" w:color="auto"/>
            </w:tcBorders>
            <w:vAlign w:val="center"/>
          </w:tcPr>
          <w:p w14:paraId="2FA7E868" w14:textId="58AFBF28" w:rsidR="004C1E89" w:rsidRPr="0085534E" w:rsidRDefault="004C1E89" w:rsidP="004C1E89">
            <w:pPr>
              <w:pStyle w:val="TblTextLeft"/>
            </w:pPr>
            <w:r w:rsidRPr="0085534E">
              <w:t>43 (28.3)</w:t>
            </w:r>
          </w:p>
        </w:tc>
        <w:tc>
          <w:tcPr>
            <w:tcW w:w="515" w:type="pct"/>
            <w:tcBorders>
              <w:left w:val="single" w:sz="4" w:space="0" w:color="auto"/>
              <w:right w:val="single" w:sz="4" w:space="0" w:color="auto"/>
            </w:tcBorders>
            <w:vAlign w:val="center"/>
          </w:tcPr>
          <w:p w14:paraId="578BB047" w14:textId="69454ABA" w:rsidR="004C1E89" w:rsidRPr="0085534E" w:rsidRDefault="004C1E89" w:rsidP="004C1E89">
            <w:pPr>
              <w:pStyle w:val="TblTextLeft"/>
            </w:pPr>
            <w:r w:rsidRPr="0085534E">
              <w:t>5 (3.3)</w:t>
            </w:r>
          </w:p>
        </w:tc>
        <w:tc>
          <w:tcPr>
            <w:tcW w:w="516" w:type="pct"/>
            <w:tcBorders>
              <w:left w:val="single" w:sz="4" w:space="0" w:color="auto"/>
              <w:right w:val="single" w:sz="4" w:space="0" w:color="auto"/>
            </w:tcBorders>
            <w:vAlign w:val="center"/>
          </w:tcPr>
          <w:p w14:paraId="24F66D1C" w14:textId="2250C2AD" w:rsidR="004C1E89" w:rsidRPr="0085534E" w:rsidRDefault="004C1E89" w:rsidP="004C1E89">
            <w:pPr>
              <w:pStyle w:val="TblTextLeft"/>
            </w:pPr>
            <w:r w:rsidRPr="0085534E">
              <w:t>0</w:t>
            </w:r>
          </w:p>
        </w:tc>
        <w:tc>
          <w:tcPr>
            <w:tcW w:w="515" w:type="pct"/>
            <w:tcBorders>
              <w:left w:val="single" w:sz="4" w:space="0" w:color="auto"/>
              <w:right w:val="single" w:sz="4" w:space="0" w:color="auto"/>
            </w:tcBorders>
            <w:shd w:val="clear" w:color="auto" w:fill="auto"/>
            <w:vAlign w:val="center"/>
          </w:tcPr>
          <w:p w14:paraId="1CC4926E" w14:textId="0F49190E" w:rsidR="004C1E89" w:rsidRPr="0085534E" w:rsidRDefault="004C1E89" w:rsidP="004C1E89">
            <w:pPr>
              <w:pStyle w:val="TblTextLeft"/>
            </w:pPr>
            <w:r w:rsidRPr="0085534E">
              <w:t>26 (17.4)</w:t>
            </w:r>
          </w:p>
        </w:tc>
        <w:tc>
          <w:tcPr>
            <w:tcW w:w="511" w:type="pct"/>
            <w:tcBorders>
              <w:left w:val="single" w:sz="4" w:space="0" w:color="auto"/>
              <w:right w:val="single" w:sz="4" w:space="0" w:color="auto"/>
            </w:tcBorders>
            <w:shd w:val="clear" w:color="auto" w:fill="auto"/>
            <w:vAlign w:val="center"/>
          </w:tcPr>
          <w:p w14:paraId="3C3255D6" w14:textId="0252D607" w:rsidR="004C1E89" w:rsidRPr="0085534E" w:rsidRDefault="004C1E89" w:rsidP="004C1E89">
            <w:pPr>
              <w:pStyle w:val="TblTextLeft"/>
            </w:pPr>
            <w:r w:rsidRPr="0085534E">
              <w:t>1 (0.7)</w:t>
            </w:r>
          </w:p>
        </w:tc>
        <w:tc>
          <w:tcPr>
            <w:tcW w:w="514" w:type="pct"/>
            <w:tcBorders>
              <w:left w:val="single" w:sz="4" w:space="0" w:color="auto"/>
              <w:right w:val="single" w:sz="4" w:space="0" w:color="auto"/>
            </w:tcBorders>
            <w:shd w:val="clear" w:color="auto" w:fill="auto"/>
            <w:vAlign w:val="center"/>
          </w:tcPr>
          <w:p w14:paraId="7213BE58" w14:textId="3EE976E7" w:rsidR="004C1E89" w:rsidRPr="0085534E" w:rsidRDefault="004C1E89" w:rsidP="004C1E89">
            <w:pPr>
              <w:pStyle w:val="TblTextLeft"/>
            </w:pPr>
            <w:r w:rsidRPr="0085534E">
              <w:t>0</w:t>
            </w:r>
          </w:p>
        </w:tc>
      </w:tr>
      <w:tr w:rsidR="00FE779F" w:rsidRPr="0085534E" w14:paraId="631FC214" w14:textId="77777777" w:rsidTr="00EF5223">
        <w:trPr>
          <w:trHeight w:val="447"/>
        </w:trPr>
        <w:tc>
          <w:tcPr>
            <w:tcW w:w="1178" w:type="pct"/>
            <w:tcBorders>
              <w:left w:val="single" w:sz="4" w:space="0" w:color="auto"/>
              <w:bottom w:val="single" w:sz="4" w:space="0" w:color="auto"/>
              <w:right w:val="single" w:sz="4" w:space="0" w:color="auto"/>
            </w:tcBorders>
            <w:shd w:val="clear" w:color="auto" w:fill="auto"/>
          </w:tcPr>
          <w:p w14:paraId="2B8DEF86" w14:textId="54BA2A8E" w:rsidR="004C1E89" w:rsidRPr="0085534E" w:rsidRDefault="004C1E89" w:rsidP="004C1E89">
            <w:pPr>
              <w:pStyle w:val="TblTextLeft"/>
              <w:rPr>
                <w:b/>
              </w:rPr>
            </w:pPr>
            <w:r w:rsidRPr="0085534E">
              <w:rPr>
                <w:b/>
              </w:rPr>
              <w:t>Bronchitis</w:t>
            </w:r>
          </w:p>
        </w:tc>
        <w:tc>
          <w:tcPr>
            <w:tcW w:w="736" w:type="pct"/>
            <w:tcBorders>
              <w:left w:val="single" w:sz="4" w:space="0" w:color="auto"/>
              <w:bottom w:val="single" w:sz="4" w:space="0" w:color="auto"/>
              <w:right w:val="single" w:sz="4" w:space="0" w:color="auto"/>
            </w:tcBorders>
            <w:shd w:val="clear" w:color="auto" w:fill="auto"/>
          </w:tcPr>
          <w:p w14:paraId="7F2AAE2F" w14:textId="04FF7B08" w:rsidR="004C1E89" w:rsidRPr="0085534E" w:rsidRDefault="004C1E89" w:rsidP="004C1E89">
            <w:pPr>
              <w:pStyle w:val="TblTextLeft"/>
              <w:rPr>
                <w:szCs w:val="22"/>
              </w:rPr>
            </w:pPr>
            <w:r w:rsidRPr="0085534E">
              <w:rPr>
                <w:szCs w:val="22"/>
              </w:rPr>
              <w:t>Very common</w:t>
            </w:r>
          </w:p>
        </w:tc>
        <w:tc>
          <w:tcPr>
            <w:tcW w:w="515" w:type="pct"/>
            <w:tcBorders>
              <w:left w:val="single" w:sz="4" w:space="0" w:color="auto"/>
              <w:bottom w:val="single" w:sz="4" w:space="0" w:color="auto"/>
              <w:right w:val="single" w:sz="4" w:space="0" w:color="auto"/>
            </w:tcBorders>
            <w:vAlign w:val="center"/>
          </w:tcPr>
          <w:p w14:paraId="2A064799" w14:textId="581F9588" w:rsidR="004C1E89" w:rsidRPr="0085534E" w:rsidRDefault="004C1E89" w:rsidP="004C1E89">
            <w:pPr>
              <w:pStyle w:val="TblTextLeft"/>
            </w:pPr>
            <w:r w:rsidRPr="0085534E">
              <w:t>36 (23.7)</w:t>
            </w:r>
          </w:p>
        </w:tc>
        <w:tc>
          <w:tcPr>
            <w:tcW w:w="515" w:type="pct"/>
            <w:tcBorders>
              <w:left w:val="single" w:sz="4" w:space="0" w:color="auto"/>
              <w:bottom w:val="single" w:sz="4" w:space="0" w:color="auto"/>
              <w:right w:val="single" w:sz="4" w:space="0" w:color="auto"/>
            </w:tcBorders>
            <w:vAlign w:val="center"/>
          </w:tcPr>
          <w:p w14:paraId="4DF579FE" w14:textId="4EB86204" w:rsidR="004C1E89" w:rsidRPr="0085534E" w:rsidRDefault="004C1E89" w:rsidP="004C1E89">
            <w:pPr>
              <w:pStyle w:val="TblTextLeft"/>
            </w:pPr>
            <w:r w:rsidRPr="0085534E">
              <w:t>5 (3.3)</w:t>
            </w:r>
          </w:p>
        </w:tc>
        <w:tc>
          <w:tcPr>
            <w:tcW w:w="516" w:type="pct"/>
            <w:tcBorders>
              <w:left w:val="single" w:sz="4" w:space="0" w:color="auto"/>
              <w:bottom w:val="single" w:sz="4" w:space="0" w:color="auto"/>
              <w:right w:val="single" w:sz="4" w:space="0" w:color="auto"/>
            </w:tcBorders>
            <w:vAlign w:val="center"/>
          </w:tcPr>
          <w:p w14:paraId="5D55F511" w14:textId="1295049B" w:rsidR="004C1E89" w:rsidRPr="0085534E" w:rsidRDefault="004C1E89" w:rsidP="004C1E89">
            <w:pPr>
              <w:pStyle w:val="TblTextLeft"/>
            </w:pPr>
            <w:r w:rsidRPr="0085534E">
              <w:t>0</w:t>
            </w:r>
          </w:p>
        </w:tc>
        <w:tc>
          <w:tcPr>
            <w:tcW w:w="515" w:type="pct"/>
            <w:tcBorders>
              <w:left w:val="single" w:sz="4" w:space="0" w:color="auto"/>
              <w:bottom w:val="single" w:sz="4" w:space="0" w:color="auto"/>
              <w:right w:val="single" w:sz="4" w:space="0" w:color="auto"/>
            </w:tcBorders>
            <w:shd w:val="clear" w:color="auto" w:fill="auto"/>
            <w:vAlign w:val="center"/>
          </w:tcPr>
          <w:p w14:paraId="23693E5B" w14:textId="79DE56EB" w:rsidR="004C1E89" w:rsidRPr="0085534E" w:rsidRDefault="004C1E89" w:rsidP="004C1E89">
            <w:pPr>
              <w:pStyle w:val="TblTextLeft"/>
            </w:pPr>
            <w:r w:rsidRPr="0085534E">
              <w:t>13 (8.7)</w:t>
            </w:r>
          </w:p>
        </w:tc>
        <w:tc>
          <w:tcPr>
            <w:tcW w:w="511" w:type="pct"/>
            <w:tcBorders>
              <w:left w:val="single" w:sz="4" w:space="0" w:color="auto"/>
              <w:bottom w:val="single" w:sz="4" w:space="0" w:color="auto"/>
              <w:right w:val="single" w:sz="4" w:space="0" w:color="auto"/>
            </w:tcBorders>
            <w:shd w:val="clear" w:color="auto" w:fill="auto"/>
            <w:vAlign w:val="center"/>
          </w:tcPr>
          <w:p w14:paraId="1789F783" w14:textId="61B96071" w:rsidR="004C1E89" w:rsidRPr="0085534E" w:rsidRDefault="004C1E89" w:rsidP="004C1E89">
            <w:pPr>
              <w:pStyle w:val="TblTextLeft"/>
            </w:pPr>
            <w:r w:rsidRPr="0085534E">
              <w:t>1 (0.7)</w:t>
            </w:r>
          </w:p>
        </w:tc>
        <w:tc>
          <w:tcPr>
            <w:tcW w:w="514" w:type="pct"/>
            <w:tcBorders>
              <w:left w:val="single" w:sz="4" w:space="0" w:color="auto"/>
              <w:bottom w:val="single" w:sz="4" w:space="0" w:color="auto"/>
              <w:right w:val="single" w:sz="4" w:space="0" w:color="auto"/>
            </w:tcBorders>
            <w:shd w:val="clear" w:color="auto" w:fill="auto"/>
            <w:vAlign w:val="center"/>
          </w:tcPr>
          <w:p w14:paraId="22E916E3" w14:textId="1FB5BE9F" w:rsidR="004C1E89" w:rsidRPr="0085534E" w:rsidRDefault="004C1E89" w:rsidP="004C1E89">
            <w:pPr>
              <w:pStyle w:val="TblTextLeft"/>
            </w:pPr>
            <w:r w:rsidRPr="0085534E">
              <w:t>0</w:t>
            </w:r>
          </w:p>
        </w:tc>
      </w:tr>
      <w:tr w:rsidR="00FE779F" w:rsidRPr="0085534E" w14:paraId="0A9E723F" w14:textId="77777777" w:rsidTr="00C84362">
        <w:trPr>
          <w:trHeight w:val="410"/>
        </w:trPr>
        <w:tc>
          <w:tcPr>
            <w:tcW w:w="5000" w:type="pct"/>
            <w:gridSpan w:val="8"/>
            <w:tcBorders>
              <w:top w:val="single" w:sz="4" w:space="0" w:color="auto"/>
              <w:left w:val="single" w:sz="4" w:space="0" w:color="auto"/>
              <w:right w:val="single" w:sz="4" w:space="0" w:color="auto"/>
            </w:tcBorders>
            <w:shd w:val="clear" w:color="auto" w:fill="auto"/>
          </w:tcPr>
          <w:p w14:paraId="6E854B16" w14:textId="272173B1" w:rsidR="004C1E89" w:rsidRPr="0085534E" w:rsidRDefault="004C1E89" w:rsidP="004C1E89">
            <w:pPr>
              <w:pStyle w:val="TblTextLeft"/>
              <w:rPr>
                <w:szCs w:val="22"/>
              </w:rPr>
            </w:pPr>
            <w:r w:rsidRPr="0085534E">
              <w:t>Blood and lymphatic system disorders</w:t>
            </w:r>
          </w:p>
        </w:tc>
      </w:tr>
      <w:tr w:rsidR="00FE779F" w:rsidRPr="0085534E" w14:paraId="1A380600" w14:textId="77777777" w:rsidTr="00EF5223">
        <w:trPr>
          <w:trHeight w:val="410"/>
        </w:trPr>
        <w:tc>
          <w:tcPr>
            <w:tcW w:w="1178" w:type="pct"/>
            <w:tcBorders>
              <w:left w:val="single" w:sz="4" w:space="0" w:color="auto"/>
              <w:bottom w:val="single" w:sz="4" w:space="0" w:color="auto"/>
              <w:right w:val="single" w:sz="4" w:space="0" w:color="auto"/>
            </w:tcBorders>
            <w:shd w:val="clear" w:color="auto" w:fill="auto"/>
          </w:tcPr>
          <w:p w14:paraId="08D3A85F" w14:textId="77777777" w:rsidR="004C1E89" w:rsidRPr="0085534E" w:rsidRDefault="004C1E89" w:rsidP="004C1E89">
            <w:pPr>
              <w:pStyle w:val="TblTextLeft"/>
              <w:rPr>
                <w:b/>
              </w:rPr>
            </w:pPr>
            <w:r w:rsidRPr="0085534E">
              <w:rPr>
                <w:b/>
              </w:rPr>
              <w:t>Febrile neutropenia</w:t>
            </w:r>
          </w:p>
        </w:tc>
        <w:tc>
          <w:tcPr>
            <w:tcW w:w="736" w:type="pct"/>
            <w:tcBorders>
              <w:left w:val="single" w:sz="4" w:space="0" w:color="auto"/>
              <w:bottom w:val="single" w:sz="4" w:space="0" w:color="auto"/>
              <w:right w:val="single" w:sz="4" w:space="0" w:color="auto"/>
            </w:tcBorders>
            <w:shd w:val="clear" w:color="auto" w:fill="auto"/>
          </w:tcPr>
          <w:p w14:paraId="3AEF00AE" w14:textId="77777777" w:rsidR="004C1E89" w:rsidRPr="0085534E" w:rsidRDefault="004C1E89" w:rsidP="004C1E89">
            <w:pPr>
              <w:pStyle w:val="TblTextLeft"/>
            </w:pPr>
            <w:r w:rsidRPr="0085534E">
              <w:t>Very common</w:t>
            </w:r>
          </w:p>
        </w:tc>
        <w:tc>
          <w:tcPr>
            <w:tcW w:w="515" w:type="pct"/>
            <w:tcBorders>
              <w:left w:val="single" w:sz="4" w:space="0" w:color="auto"/>
              <w:bottom w:val="single" w:sz="4" w:space="0" w:color="auto"/>
              <w:right w:val="single" w:sz="4" w:space="0" w:color="auto"/>
            </w:tcBorders>
            <w:vAlign w:val="center"/>
          </w:tcPr>
          <w:p w14:paraId="734E4F55" w14:textId="0C3BB9E1" w:rsidR="004C1E89" w:rsidRPr="0085534E" w:rsidRDefault="004C1E89" w:rsidP="004C1E89">
            <w:pPr>
              <w:pStyle w:val="TblTextLeft"/>
            </w:pPr>
            <w:r w:rsidRPr="0085534E">
              <w:t>18 (11.8)</w:t>
            </w:r>
          </w:p>
        </w:tc>
        <w:tc>
          <w:tcPr>
            <w:tcW w:w="515" w:type="pct"/>
            <w:tcBorders>
              <w:left w:val="single" w:sz="4" w:space="0" w:color="auto"/>
              <w:bottom w:val="single" w:sz="4" w:space="0" w:color="auto"/>
              <w:right w:val="single" w:sz="4" w:space="0" w:color="auto"/>
            </w:tcBorders>
            <w:vAlign w:val="center"/>
          </w:tcPr>
          <w:p w14:paraId="1E465842" w14:textId="6A56A6E1" w:rsidR="004C1E89" w:rsidRPr="0085534E" w:rsidRDefault="004C1E89" w:rsidP="004C1E89">
            <w:pPr>
              <w:pStyle w:val="TblTextLeft"/>
            </w:pPr>
            <w:r w:rsidRPr="0085534E">
              <w:rPr>
                <w:szCs w:val="22"/>
              </w:rPr>
              <w:t>16 (10.5)</w:t>
            </w:r>
          </w:p>
        </w:tc>
        <w:tc>
          <w:tcPr>
            <w:tcW w:w="516" w:type="pct"/>
            <w:tcBorders>
              <w:left w:val="single" w:sz="4" w:space="0" w:color="auto"/>
              <w:bottom w:val="single" w:sz="4" w:space="0" w:color="auto"/>
              <w:right w:val="single" w:sz="4" w:space="0" w:color="auto"/>
            </w:tcBorders>
            <w:vAlign w:val="center"/>
          </w:tcPr>
          <w:p w14:paraId="0BB49081" w14:textId="194D0425" w:rsidR="004C1E89" w:rsidRPr="0085534E" w:rsidRDefault="004C1E89" w:rsidP="004C1E89">
            <w:pPr>
              <w:pStyle w:val="TblTextLeft"/>
            </w:pPr>
            <w:r w:rsidRPr="0085534E">
              <w:rPr>
                <w:szCs w:val="22"/>
              </w:rPr>
              <w:t>2 (1.3)</w:t>
            </w:r>
          </w:p>
        </w:tc>
        <w:tc>
          <w:tcPr>
            <w:tcW w:w="515" w:type="pct"/>
            <w:tcBorders>
              <w:left w:val="single" w:sz="4" w:space="0" w:color="auto"/>
              <w:bottom w:val="single" w:sz="4" w:space="0" w:color="auto"/>
              <w:right w:val="single" w:sz="4" w:space="0" w:color="auto"/>
            </w:tcBorders>
            <w:shd w:val="clear" w:color="auto" w:fill="auto"/>
            <w:vAlign w:val="center"/>
          </w:tcPr>
          <w:p w14:paraId="7DF9E794" w14:textId="5C0B6ACC" w:rsidR="004C1E89" w:rsidRPr="0085534E" w:rsidRDefault="004C1E89" w:rsidP="004C1E89">
            <w:pPr>
              <w:pStyle w:val="TblTextLeft"/>
            </w:pPr>
            <w:r w:rsidRPr="0085534E">
              <w:t>3 (2.0)</w:t>
            </w:r>
          </w:p>
        </w:tc>
        <w:tc>
          <w:tcPr>
            <w:tcW w:w="511" w:type="pct"/>
            <w:tcBorders>
              <w:left w:val="single" w:sz="4" w:space="0" w:color="auto"/>
              <w:bottom w:val="single" w:sz="4" w:space="0" w:color="auto"/>
              <w:right w:val="single" w:sz="4" w:space="0" w:color="auto"/>
            </w:tcBorders>
            <w:shd w:val="clear" w:color="auto" w:fill="auto"/>
            <w:vAlign w:val="center"/>
          </w:tcPr>
          <w:p w14:paraId="773606D5" w14:textId="5E9CE5E4" w:rsidR="004C1E89" w:rsidRPr="0085534E" w:rsidRDefault="004C1E89" w:rsidP="004C1E89">
            <w:pPr>
              <w:pStyle w:val="TblTextLeft"/>
              <w:rPr>
                <w:szCs w:val="22"/>
              </w:rPr>
            </w:pPr>
            <w:r w:rsidRPr="0085534E">
              <w:rPr>
                <w:szCs w:val="22"/>
              </w:rPr>
              <w:t>2 (1.3)</w:t>
            </w:r>
          </w:p>
        </w:tc>
        <w:tc>
          <w:tcPr>
            <w:tcW w:w="514" w:type="pct"/>
            <w:tcBorders>
              <w:left w:val="single" w:sz="4" w:space="0" w:color="auto"/>
              <w:bottom w:val="single" w:sz="4" w:space="0" w:color="auto"/>
              <w:right w:val="single" w:sz="4" w:space="0" w:color="auto"/>
            </w:tcBorders>
            <w:shd w:val="clear" w:color="auto" w:fill="auto"/>
            <w:vAlign w:val="center"/>
          </w:tcPr>
          <w:p w14:paraId="6EB11323" w14:textId="7191A12E" w:rsidR="004C1E89" w:rsidRPr="0085534E" w:rsidRDefault="004C1E89" w:rsidP="004C1E89">
            <w:pPr>
              <w:pStyle w:val="TblTextLeft"/>
              <w:rPr>
                <w:szCs w:val="22"/>
              </w:rPr>
            </w:pPr>
            <w:r w:rsidRPr="0085534E">
              <w:rPr>
                <w:szCs w:val="22"/>
              </w:rPr>
              <w:t>1 (0.7)</w:t>
            </w:r>
          </w:p>
        </w:tc>
      </w:tr>
      <w:tr w:rsidR="00FE779F" w:rsidRPr="0085534E" w14:paraId="28E07C80" w14:textId="77777777" w:rsidTr="00C84362">
        <w:trPr>
          <w:trHeight w:val="410"/>
        </w:trPr>
        <w:tc>
          <w:tcPr>
            <w:tcW w:w="5000" w:type="pct"/>
            <w:gridSpan w:val="8"/>
            <w:tcBorders>
              <w:top w:val="single" w:sz="4" w:space="0" w:color="auto"/>
              <w:left w:val="single" w:sz="4" w:space="0" w:color="auto"/>
              <w:right w:val="single" w:sz="4" w:space="0" w:color="auto"/>
            </w:tcBorders>
            <w:shd w:val="clear" w:color="auto" w:fill="auto"/>
          </w:tcPr>
          <w:p w14:paraId="0BCBEA19" w14:textId="7171660E" w:rsidR="004C1E89" w:rsidRPr="0085534E" w:rsidRDefault="004C1E89" w:rsidP="004C1E89">
            <w:pPr>
              <w:pStyle w:val="TblTextLeft"/>
              <w:rPr>
                <w:szCs w:val="22"/>
              </w:rPr>
            </w:pPr>
            <w:r w:rsidRPr="0085534E">
              <w:t>Respiratory, thoracic and mediastinal disorders</w:t>
            </w:r>
          </w:p>
        </w:tc>
      </w:tr>
      <w:tr w:rsidR="00FE779F" w:rsidRPr="0085534E" w14:paraId="5C4AA160" w14:textId="77777777" w:rsidTr="00EF5223">
        <w:trPr>
          <w:trHeight w:val="336"/>
        </w:trPr>
        <w:tc>
          <w:tcPr>
            <w:tcW w:w="1178" w:type="pct"/>
            <w:tcBorders>
              <w:left w:val="single" w:sz="4" w:space="0" w:color="auto"/>
              <w:bottom w:val="single" w:sz="4" w:space="0" w:color="auto"/>
              <w:right w:val="single" w:sz="4" w:space="0" w:color="auto"/>
            </w:tcBorders>
            <w:shd w:val="clear" w:color="auto" w:fill="auto"/>
          </w:tcPr>
          <w:p w14:paraId="40147BD6" w14:textId="77777777" w:rsidR="004C1E89" w:rsidRPr="0085534E" w:rsidRDefault="004C1E89" w:rsidP="004C1E89">
            <w:pPr>
              <w:pStyle w:val="TblTextLeft"/>
              <w:rPr>
                <w:b/>
              </w:rPr>
            </w:pPr>
            <w:r w:rsidRPr="0085534E">
              <w:rPr>
                <w:b/>
              </w:rPr>
              <w:t>Dyspnoea</w:t>
            </w:r>
          </w:p>
        </w:tc>
        <w:tc>
          <w:tcPr>
            <w:tcW w:w="736" w:type="pct"/>
            <w:tcBorders>
              <w:left w:val="single" w:sz="4" w:space="0" w:color="auto"/>
              <w:bottom w:val="single" w:sz="4" w:space="0" w:color="auto"/>
              <w:right w:val="single" w:sz="4" w:space="0" w:color="auto"/>
            </w:tcBorders>
            <w:shd w:val="clear" w:color="auto" w:fill="auto"/>
          </w:tcPr>
          <w:p w14:paraId="6CDF84B3" w14:textId="77777777" w:rsidR="004C1E89" w:rsidRPr="0085534E" w:rsidRDefault="004C1E89" w:rsidP="004C1E89">
            <w:pPr>
              <w:pStyle w:val="TblTextLeft"/>
              <w:rPr>
                <w:szCs w:val="22"/>
              </w:rPr>
            </w:pPr>
            <w:r w:rsidRPr="0085534E">
              <w:rPr>
                <w:szCs w:val="22"/>
              </w:rPr>
              <w:t>Very common</w:t>
            </w:r>
          </w:p>
        </w:tc>
        <w:tc>
          <w:tcPr>
            <w:tcW w:w="515" w:type="pct"/>
            <w:tcBorders>
              <w:left w:val="single" w:sz="4" w:space="0" w:color="auto"/>
              <w:bottom w:val="single" w:sz="4" w:space="0" w:color="auto"/>
              <w:right w:val="single" w:sz="4" w:space="0" w:color="auto"/>
            </w:tcBorders>
            <w:vAlign w:val="center"/>
          </w:tcPr>
          <w:p w14:paraId="27E79D6C" w14:textId="3AA4C354" w:rsidR="004C1E89" w:rsidRPr="0085534E" w:rsidRDefault="004C1E89" w:rsidP="004C1E89">
            <w:pPr>
              <w:pStyle w:val="TblTextLeft"/>
            </w:pPr>
            <w:r w:rsidRPr="0085534E">
              <w:t>23 (15.1)</w:t>
            </w:r>
          </w:p>
        </w:tc>
        <w:tc>
          <w:tcPr>
            <w:tcW w:w="515" w:type="pct"/>
            <w:tcBorders>
              <w:left w:val="single" w:sz="4" w:space="0" w:color="auto"/>
              <w:bottom w:val="single" w:sz="4" w:space="0" w:color="auto"/>
              <w:right w:val="single" w:sz="4" w:space="0" w:color="auto"/>
            </w:tcBorders>
            <w:vAlign w:val="center"/>
          </w:tcPr>
          <w:p w14:paraId="7B8F0BB4" w14:textId="5DE636B8" w:rsidR="004C1E89" w:rsidRPr="0085534E" w:rsidRDefault="004C1E89" w:rsidP="004C1E89">
            <w:pPr>
              <w:pStyle w:val="TblTextLeft"/>
            </w:pPr>
            <w:r w:rsidRPr="0085534E">
              <w:t>6 (3.9)</w:t>
            </w:r>
          </w:p>
        </w:tc>
        <w:tc>
          <w:tcPr>
            <w:tcW w:w="516" w:type="pct"/>
            <w:tcBorders>
              <w:left w:val="single" w:sz="4" w:space="0" w:color="auto"/>
              <w:bottom w:val="single" w:sz="4" w:space="0" w:color="auto"/>
              <w:right w:val="single" w:sz="4" w:space="0" w:color="auto"/>
            </w:tcBorders>
            <w:vAlign w:val="center"/>
          </w:tcPr>
          <w:p w14:paraId="39C0DF91" w14:textId="63CE1C70" w:rsidR="004C1E89" w:rsidRPr="0085534E" w:rsidRDefault="004C1E89" w:rsidP="004C1E89">
            <w:pPr>
              <w:pStyle w:val="TblTextLeft"/>
            </w:pPr>
            <w:r w:rsidRPr="0085534E">
              <w:t>0</w:t>
            </w:r>
          </w:p>
        </w:tc>
        <w:tc>
          <w:tcPr>
            <w:tcW w:w="515" w:type="pct"/>
            <w:tcBorders>
              <w:left w:val="single" w:sz="4" w:space="0" w:color="auto"/>
              <w:bottom w:val="single" w:sz="4" w:space="0" w:color="auto"/>
              <w:right w:val="single" w:sz="4" w:space="0" w:color="auto"/>
            </w:tcBorders>
            <w:shd w:val="clear" w:color="auto" w:fill="auto"/>
            <w:vAlign w:val="center"/>
          </w:tcPr>
          <w:p w14:paraId="55F2BD90" w14:textId="09DFB9FF" w:rsidR="004C1E89" w:rsidRPr="0085534E" w:rsidRDefault="004C1E89" w:rsidP="004C1E89">
            <w:pPr>
              <w:pStyle w:val="TblTextLeft"/>
            </w:pPr>
            <w:r w:rsidRPr="0085534E">
              <w:t>15 (10.1)</w:t>
            </w:r>
          </w:p>
        </w:tc>
        <w:tc>
          <w:tcPr>
            <w:tcW w:w="511" w:type="pct"/>
            <w:tcBorders>
              <w:left w:val="single" w:sz="4" w:space="0" w:color="auto"/>
              <w:bottom w:val="single" w:sz="4" w:space="0" w:color="auto"/>
              <w:right w:val="single" w:sz="4" w:space="0" w:color="auto"/>
            </w:tcBorders>
            <w:shd w:val="clear" w:color="auto" w:fill="auto"/>
            <w:vAlign w:val="center"/>
          </w:tcPr>
          <w:p w14:paraId="5C5F24F0" w14:textId="796D9DDB" w:rsidR="004C1E89" w:rsidRPr="0085534E" w:rsidRDefault="004C1E89" w:rsidP="004C1E89">
            <w:pPr>
              <w:pStyle w:val="TblTextLeft"/>
            </w:pPr>
            <w:r w:rsidRPr="0085534E">
              <w:rPr>
                <w:szCs w:val="22"/>
              </w:rPr>
              <w:t>2 (1.3)</w:t>
            </w:r>
          </w:p>
        </w:tc>
        <w:tc>
          <w:tcPr>
            <w:tcW w:w="514" w:type="pct"/>
            <w:tcBorders>
              <w:left w:val="single" w:sz="4" w:space="0" w:color="auto"/>
              <w:bottom w:val="single" w:sz="4" w:space="0" w:color="auto"/>
              <w:right w:val="single" w:sz="4" w:space="0" w:color="auto"/>
            </w:tcBorders>
            <w:shd w:val="clear" w:color="auto" w:fill="auto"/>
            <w:vAlign w:val="center"/>
          </w:tcPr>
          <w:p w14:paraId="4918ED0B" w14:textId="77777777" w:rsidR="004C1E89" w:rsidRPr="0085534E" w:rsidRDefault="004C1E89" w:rsidP="004C1E89">
            <w:pPr>
              <w:pStyle w:val="TblTextLeft"/>
            </w:pPr>
            <w:r w:rsidRPr="0085534E">
              <w:t>0</w:t>
            </w:r>
          </w:p>
        </w:tc>
      </w:tr>
      <w:tr w:rsidR="00FE779F" w:rsidRPr="0085534E" w14:paraId="47F79120" w14:textId="77777777" w:rsidTr="00C84362">
        <w:trPr>
          <w:trHeight w:val="417"/>
        </w:trPr>
        <w:tc>
          <w:tcPr>
            <w:tcW w:w="5000" w:type="pct"/>
            <w:gridSpan w:val="8"/>
            <w:tcBorders>
              <w:top w:val="single" w:sz="4" w:space="0" w:color="auto"/>
              <w:left w:val="single" w:sz="4" w:space="0" w:color="auto"/>
              <w:right w:val="single" w:sz="4" w:space="0" w:color="auto"/>
            </w:tcBorders>
            <w:shd w:val="clear" w:color="auto" w:fill="auto"/>
          </w:tcPr>
          <w:p w14:paraId="12B86B42" w14:textId="1EE5CDEB" w:rsidR="00962985" w:rsidRPr="0085534E" w:rsidRDefault="00962985" w:rsidP="004C1E89">
            <w:pPr>
              <w:pStyle w:val="TblTextLeft"/>
            </w:pPr>
            <w:r w:rsidRPr="0085534E">
              <w:t>Gastrointestinal disorders</w:t>
            </w:r>
          </w:p>
        </w:tc>
      </w:tr>
      <w:tr w:rsidR="00FE779F" w:rsidRPr="0085534E" w14:paraId="0F33C233" w14:textId="77777777" w:rsidTr="00EF5223">
        <w:trPr>
          <w:trHeight w:val="417"/>
        </w:trPr>
        <w:tc>
          <w:tcPr>
            <w:tcW w:w="1178" w:type="pct"/>
            <w:tcBorders>
              <w:left w:val="single" w:sz="4" w:space="0" w:color="auto"/>
              <w:right w:val="single" w:sz="4" w:space="0" w:color="auto"/>
            </w:tcBorders>
            <w:shd w:val="clear" w:color="auto" w:fill="auto"/>
          </w:tcPr>
          <w:p w14:paraId="3041B26F" w14:textId="2B86E25A" w:rsidR="004C1E89" w:rsidRPr="0085534E" w:rsidRDefault="004C1E89" w:rsidP="004C1E89">
            <w:pPr>
              <w:pStyle w:val="TblTextLeft"/>
              <w:rPr>
                <w:b/>
              </w:rPr>
            </w:pPr>
            <w:r w:rsidRPr="0085534E">
              <w:rPr>
                <w:b/>
              </w:rPr>
              <w:t>Diarrhea</w:t>
            </w:r>
          </w:p>
        </w:tc>
        <w:tc>
          <w:tcPr>
            <w:tcW w:w="736" w:type="pct"/>
            <w:tcBorders>
              <w:left w:val="single" w:sz="4" w:space="0" w:color="auto"/>
              <w:right w:val="single" w:sz="4" w:space="0" w:color="auto"/>
            </w:tcBorders>
            <w:shd w:val="clear" w:color="auto" w:fill="auto"/>
          </w:tcPr>
          <w:p w14:paraId="63671EE5" w14:textId="77777777" w:rsidR="004C1E89" w:rsidRPr="0085534E" w:rsidRDefault="004C1E89" w:rsidP="004C1E89">
            <w:pPr>
              <w:pStyle w:val="TblTextLeft"/>
              <w:rPr>
                <w:szCs w:val="22"/>
              </w:rPr>
            </w:pPr>
            <w:r w:rsidRPr="0085534E">
              <w:rPr>
                <w:szCs w:val="22"/>
              </w:rPr>
              <w:t>Very common</w:t>
            </w:r>
          </w:p>
        </w:tc>
        <w:tc>
          <w:tcPr>
            <w:tcW w:w="515" w:type="pct"/>
            <w:tcBorders>
              <w:left w:val="single" w:sz="4" w:space="0" w:color="auto"/>
              <w:right w:val="single" w:sz="4" w:space="0" w:color="auto"/>
            </w:tcBorders>
            <w:vAlign w:val="center"/>
          </w:tcPr>
          <w:p w14:paraId="376CAC9C" w14:textId="7525EE98" w:rsidR="004C1E89" w:rsidRPr="0085534E" w:rsidRDefault="004C1E89" w:rsidP="004C1E89">
            <w:pPr>
              <w:pStyle w:val="TblTextLeft"/>
            </w:pPr>
            <w:r w:rsidRPr="0085534E">
              <w:t>39 (25.7)</w:t>
            </w:r>
          </w:p>
        </w:tc>
        <w:tc>
          <w:tcPr>
            <w:tcW w:w="515" w:type="pct"/>
            <w:tcBorders>
              <w:left w:val="single" w:sz="4" w:space="0" w:color="auto"/>
              <w:right w:val="single" w:sz="4" w:space="0" w:color="auto"/>
            </w:tcBorders>
            <w:vAlign w:val="center"/>
          </w:tcPr>
          <w:p w14:paraId="5F269CBC" w14:textId="4B3F2B5D" w:rsidR="004C1E89" w:rsidRPr="0085534E" w:rsidRDefault="004C1E89" w:rsidP="004C1E89">
            <w:pPr>
              <w:pStyle w:val="TblTextLeft"/>
            </w:pPr>
            <w:r w:rsidRPr="0085534E">
              <w:t>3 (2.0)</w:t>
            </w:r>
          </w:p>
        </w:tc>
        <w:tc>
          <w:tcPr>
            <w:tcW w:w="516" w:type="pct"/>
            <w:tcBorders>
              <w:left w:val="single" w:sz="4" w:space="0" w:color="auto"/>
              <w:right w:val="single" w:sz="4" w:space="0" w:color="auto"/>
            </w:tcBorders>
            <w:vAlign w:val="center"/>
          </w:tcPr>
          <w:p w14:paraId="6757BDBF" w14:textId="516F6939" w:rsidR="004C1E89" w:rsidRPr="0085534E" w:rsidRDefault="004C1E89" w:rsidP="004C1E89">
            <w:pPr>
              <w:pStyle w:val="TblTextLeft"/>
            </w:pPr>
            <w:r w:rsidRPr="0085534E">
              <w:rPr>
                <w:szCs w:val="22"/>
              </w:rPr>
              <w:t>0</w:t>
            </w:r>
          </w:p>
        </w:tc>
        <w:tc>
          <w:tcPr>
            <w:tcW w:w="515" w:type="pct"/>
            <w:tcBorders>
              <w:left w:val="single" w:sz="4" w:space="0" w:color="auto"/>
              <w:right w:val="single" w:sz="4" w:space="0" w:color="auto"/>
            </w:tcBorders>
            <w:shd w:val="clear" w:color="auto" w:fill="auto"/>
            <w:vAlign w:val="center"/>
          </w:tcPr>
          <w:p w14:paraId="0619177A" w14:textId="23E56F65" w:rsidR="004C1E89" w:rsidRPr="0085534E" w:rsidRDefault="004C1E89" w:rsidP="004C1E89">
            <w:pPr>
              <w:pStyle w:val="TblTextLeft"/>
            </w:pPr>
            <w:r w:rsidRPr="0085534E">
              <w:t>29 (19.5)</w:t>
            </w:r>
          </w:p>
        </w:tc>
        <w:tc>
          <w:tcPr>
            <w:tcW w:w="511" w:type="pct"/>
            <w:tcBorders>
              <w:left w:val="single" w:sz="4" w:space="0" w:color="auto"/>
              <w:right w:val="single" w:sz="4" w:space="0" w:color="auto"/>
            </w:tcBorders>
            <w:shd w:val="clear" w:color="auto" w:fill="auto"/>
            <w:vAlign w:val="center"/>
          </w:tcPr>
          <w:p w14:paraId="0BA66676" w14:textId="42360B78" w:rsidR="004C1E89" w:rsidRPr="0085534E" w:rsidRDefault="004C1E89" w:rsidP="004C1E89">
            <w:pPr>
              <w:pStyle w:val="TblTextLeft"/>
            </w:pPr>
            <w:r w:rsidRPr="0085534E">
              <w:t>1 (0.7)</w:t>
            </w:r>
          </w:p>
        </w:tc>
        <w:tc>
          <w:tcPr>
            <w:tcW w:w="514" w:type="pct"/>
            <w:tcBorders>
              <w:left w:val="single" w:sz="4" w:space="0" w:color="auto"/>
              <w:right w:val="single" w:sz="4" w:space="0" w:color="auto"/>
            </w:tcBorders>
            <w:shd w:val="clear" w:color="auto" w:fill="auto"/>
            <w:vAlign w:val="center"/>
          </w:tcPr>
          <w:p w14:paraId="09B566C1" w14:textId="77777777" w:rsidR="004C1E89" w:rsidRPr="0085534E" w:rsidRDefault="004C1E89" w:rsidP="004C1E89">
            <w:pPr>
              <w:pStyle w:val="TblTextLeft"/>
              <w:rPr>
                <w:szCs w:val="22"/>
              </w:rPr>
            </w:pPr>
            <w:r w:rsidRPr="0085534E">
              <w:rPr>
                <w:szCs w:val="22"/>
              </w:rPr>
              <w:t>0</w:t>
            </w:r>
          </w:p>
        </w:tc>
      </w:tr>
      <w:tr w:rsidR="00FE779F" w:rsidRPr="0085534E" w14:paraId="2815C5A6" w14:textId="77777777" w:rsidTr="00EF5223">
        <w:trPr>
          <w:trHeight w:val="417"/>
        </w:trPr>
        <w:tc>
          <w:tcPr>
            <w:tcW w:w="1178" w:type="pct"/>
            <w:tcBorders>
              <w:left w:val="single" w:sz="4" w:space="0" w:color="auto"/>
              <w:right w:val="single" w:sz="4" w:space="0" w:color="auto"/>
            </w:tcBorders>
            <w:shd w:val="clear" w:color="auto" w:fill="auto"/>
          </w:tcPr>
          <w:p w14:paraId="58DD135D" w14:textId="77777777" w:rsidR="004C1E89" w:rsidRPr="0085534E" w:rsidRDefault="004C1E89" w:rsidP="004C1E89">
            <w:pPr>
              <w:pStyle w:val="TblTextLeft"/>
              <w:rPr>
                <w:b/>
              </w:rPr>
            </w:pPr>
            <w:r w:rsidRPr="0085534E">
              <w:rPr>
                <w:b/>
              </w:rPr>
              <w:t>Nausea</w:t>
            </w:r>
          </w:p>
        </w:tc>
        <w:tc>
          <w:tcPr>
            <w:tcW w:w="736" w:type="pct"/>
            <w:tcBorders>
              <w:left w:val="single" w:sz="4" w:space="0" w:color="auto"/>
              <w:right w:val="single" w:sz="4" w:space="0" w:color="auto"/>
            </w:tcBorders>
            <w:shd w:val="clear" w:color="auto" w:fill="auto"/>
          </w:tcPr>
          <w:p w14:paraId="343CBF50" w14:textId="77777777" w:rsidR="004C1E89" w:rsidRPr="0085534E" w:rsidRDefault="004C1E89" w:rsidP="004C1E89">
            <w:pPr>
              <w:pStyle w:val="TblTextLeft"/>
              <w:rPr>
                <w:szCs w:val="22"/>
              </w:rPr>
            </w:pPr>
            <w:r w:rsidRPr="0085534E">
              <w:rPr>
                <w:szCs w:val="22"/>
              </w:rPr>
              <w:t>Very common</w:t>
            </w:r>
          </w:p>
        </w:tc>
        <w:tc>
          <w:tcPr>
            <w:tcW w:w="515" w:type="pct"/>
            <w:tcBorders>
              <w:left w:val="single" w:sz="4" w:space="0" w:color="auto"/>
              <w:right w:val="single" w:sz="4" w:space="0" w:color="auto"/>
            </w:tcBorders>
            <w:vAlign w:val="center"/>
          </w:tcPr>
          <w:p w14:paraId="13F25E69" w14:textId="3A2492C3" w:rsidR="004C1E89" w:rsidRPr="0085534E" w:rsidRDefault="004C1E89" w:rsidP="004C1E89">
            <w:pPr>
              <w:pStyle w:val="TblTextLeft"/>
            </w:pPr>
            <w:r w:rsidRPr="0085534E">
              <w:t>23 (15.1)</w:t>
            </w:r>
          </w:p>
        </w:tc>
        <w:tc>
          <w:tcPr>
            <w:tcW w:w="515" w:type="pct"/>
            <w:tcBorders>
              <w:left w:val="single" w:sz="4" w:space="0" w:color="auto"/>
              <w:right w:val="single" w:sz="4" w:space="0" w:color="auto"/>
            </w:tcBorders>
            <w:vAlign w:val="center"/>
          </w:tcPr>
          <w:p w14:paraId="541C9DB6" w14:textId="281F21A0" w:rsidR="004C1E89" w:rsidRPr="0085534E" w:rsidRDefault="004C1E89" w:rsidP="004C1E89">
            <w:pPr>
              <w:pStyle w:val="TblTextLeft"/>
            </w:pPr>
            <w:r w:rsidRPr="0085534E">
              <w:t>0</w:t>
            </w:r>
          </w:p>
        </w:tc>
        <w:tc>
          <w:tcPr>
            <w:tcW w:w="516" w:type="pct"/>
            <w:tcBorders>
              <w:left w:val="single" w:sz="4" w:space="0" w:color="auto"/>
              <w:right w:val="single" w:sz="4" w:space="0" w:color="auto"/>
            </w:tcBorders>
            <w:vAlign w:val="center"/>
          </w:tcPr>
          <w:p w14:paraId="68DB3877" w14:textId="4D59C859" w:rsidR="004C1E89" w:rsidRPr="0085534E" w:rsidRDefault="004C1E89" w:rsidP="004C1E89">
            <w:pPr>
              <w:pStyle w:val="TblTextLeft"/>
            </w:pPr>
            <w:r w:rsidRPr="0085534E">
              <w:rPr>
                <w:szCs w:val="22"/>
              </w:rPr>
              <w:t>0</w:t>
            </w:r>
          </w:p>
        </w:tc>
        <w:tc>
          <w:tcPr>
            <w:tcW w:w="515" w:type="pct"/>
            <w:tcBorders>
              <w:left w:val="single" w:sz="4" w:space="0" w:color="auto"/>
              <w:right w:val="single" w:sz="4" w:space="0" w:color="auto"/>
            </w:tcBorders>
            <w:shd w:val="clear" w:color="auto" w:fill="auto"/>
            <w:vAlign w:val="center"/>
          </w:tcPr>
          <w:p w14:paraId="19842274" w14:textId="3917E3A2" w:rsidR="004C1E89" w:rsidRPr="0085534E" w:rsidRDefault="004C1E89" w:rsidP="004C1E89">
            <w:pPr>
              <w:pStyle w:val="TblTextLeft"/>
            </w:pPr>
            <w:r w:rsidRPr="0085534E">
              <w:t>14 (9.4)</w:t>
            </w:r>
          </w:p>
        </w:tc>
        <w:tc>
          <w:tcPr>
            <w:tcW w:w="511" w:type="pct"/>
            <w:tcBorders>
              <w:left w:val="single" w:sz="4" w:space="0" w:color="auto"/>
              <w:right w:val="single" w:sz="4" w:space="0" w:color="auto"/>
            </w:tcBorders>
            <w:shd w:val="clear" w:color="auto" w:fill="auto"/>
            <w:vAlign w:val="center"/>
          </w:tcPr>
          <w:p w14:paraId="7D2A6D11" w14:textId="236BAED8" w:rsidR="004C1E89" w:rsidRPr="0085534E" w:rsidRDefault="004C1E89" w:rsidP="004C1E89">
            <w:pPr>
              <w:pStyle w:val="TblTextLeft"/>
            </w:pPr>
            <w:r w:rsidRPr="0085534E">
              <w:t>0</w:t>
            </w:r>
          </w:p>
        </w:tc>
        <w:tc>
          <w:tcPr>
            <w:tcW w:w="514" w:type="pct"/>
            <w:tcBorders>
              <w:left w:val="single" w:sz="4" w:space="0" w:color="auto"/>
              <w:right w:val="single" w:sz="4" w:space="0" w:color="auto"/>
            </w:tcBorders>
            <w:shd w:val="clear" w:color="auto" w:fill="auto"/>
            <w:vAlign w:val="center"/>
          </w:tcPr>
          <w:p w14:paraId="5FA71677" w14:textId="77777777" w:rsidR="004C1E89" w:rsidRPr="0085534E" w:rsidRDefault="004C1E89" w:rsidP="004C1E89">
            <w:pPr>
              <w:pStyle w:val="TblTextLeft"/>
              <w:rPr>
                <w:szCs w:val="22"/>
              </w:rPr>
            </w:pPr>
            <w:r w:rsidRPr="0085534E">
              <w:rPr>
                <w:szCs w:val="22"/>
              </w:rPr>
              <w:t>0</w:t>
            </w:r>
          </w:p>
        </w:tc>
      </w:tr>
      <w:tr w:rsidR="00FE779F" w:rsidRPr="0085534E" w14:paraId="6B3B3C66" w14:textId="77777777" w:rsidTr="00EF5223">
        <w:trPr>
          <w:trHeight w:val="417"/>
        </w:trPr>
        <w:tc>
          <w:tcPr>
            <w:tcW w:w="1178" w:type="pct"/>
            <w:tcBorders>
              <w:left w:val="single" w:sz="4" w:space="0" w:color="auto"/>
              <w:bottom w:val="single" w:sz="4" w:space="0" w:color="auto"/>
              <w:right w:val="single" w:sz="4" w:space="0" w:color="auto"/>
            </w:tcBorders>
            <w:shd w:val="clear" w:color="auto" w:fill="auto"/>
          </w:tcPr>
          <w:p w14:paraId="14456626" w14:textId="77777777" w:rsidR="004C1E89" w:rsidRPr="0085534E" w:rsidRDefault="004C1E89" w:rsidP="004C1E89">
            <w:pPr>
              <w:pStyle w:val="TblTextLeft"/>
              <w:rPr>
                <w:b/>
              </w:rPr>
            </w:pPr>
            <w:r w:rsidRPr="0085534E">
              <w:rPr>
                <w:b/>
              </w:rPr>
              <w:t>Vomiting</w:t>
            </w:r>
          </w:p>
        </w:tc>
        <w:tc>
          <w:tcPr>
            <w:tcW w:w="736" w:type="pct"/>
            <w:tcBorders>
              <w:left w:val="single" w:sz="4" w:space="0" w:color="auto"/>
              <w:bottom w:val="single" w:sz="4" w:space="0" w:color="auto"/>
              <w:right w:val="single" w:sz="4" w:space="0" w:color="auto"/>
            </w:tcBorders>
            <w:shd w:val="clear" w:color="auto" w:fill="auto"/>
          </w:tcPr>
          <w:p w14:paraId="456C6F76" w14:textId="77777777" w:rsidR="004C1E89" w:rsidRPr="0085534E" w:rsidRDefault="004C1E89" w:rsidP="004C1E89">
            <w:pPr>
              <w:pStyle w:val="TblTextLeft"/>
              <w:rPr>
                <w:szCs w:val="22"/>
              </w:rPr>
            </w:pPr>
            <w:r w:rsidRPr="0085534E">
              <w:rPr>
                <w:szCs w:val="22"/>
              </w:rPr>
              <w:t>Very common</w:t>
            </w:r>
          </w:p>
        </w:tc>
        <w:tc>
          <w:tcPr>
            <w:tcW w:w="515" w:type="pct"/>
            <w:tcBorders>
              <w:left w:val="single" w:sz="4" w:space="0" w:color="auto"/>
              <w:bottom w:val="single" w:sz="4" w:space="0" w:color="auto"/>
              <w:right w:val="single" w:sz="4" w:space="0" w:color="auto"/>
            </w:tcBorders>
            <w:vAlign w:val="center"/>
          </w:tcPr>
          <w:p w14:paraId="79DF359A" w14:textId="0867D447" w:rsidR="004C1E89" w:rsidRPr="0085534E" w:rsidRDefault="004C1E89" w:rsidP="004C1E89">
            <w:pPr>
              <w:pStyle w:val="TblTextLeft"/>
            </w:pPr>
            <w:r w:rsidRPr="0085534E">
              <w:t>18 (11.8)</w:t>
            </w:r>
          </w:p>
        </w:tc>
        <w:tc>
          <w:tcPr>
            <w:tcW w:w="515" w:type="pct"/>
            <w:tcBorders>
              <w:left w:val="single" w:sz="4" w:space="0" w:color="auto"/>
              <w:bottom w:val="single" w:sz="4" w:space="0" w:color="auto"/>
              <w:right w:val="single" w:sz="4" w:space="0" w:color="auto"/>
            </w:tcBorders>
            <w:vAlign w:val="center"/>
          </w:tcPr>
          <w:p w14:paraId="03184A5D" w14:textId="12476862" w:rsidR="004C1E89" w:rsidRPr="0085534E" w:rsidRDefault="004C1E89" w:rsidP="004C1E89">
            <w:pPr>
              <w:pStyle w:val="TblTextLeft"/>
            </w:pPr>
            <w:r w:rsidRPr="0085534E">
              <w:t>2 (1.3)</w:t>
            </w:r>
          </w:p>
        </w:tc>
        <w:tc>
          <w:tcPr>
            <w:tcW w:w="516" w:type="pct"/>
            <w:tcBorders>
              <w:left w:val="single" w:sz="4" w:space="0" w:color="auto"/>
              <w:bottom w:val="single" w:sz="4" w:space="0" w:color="auto"/>
              <w:right w:val="single" w:sz="4" w:space="0" w:color="auto"/>
            </w:tcBorders>
            <w:vAlign w:val="center"/>
          </w:tcPr>
          <w:p w14:paraId="55E9772C" w14:textId="587C411B" w:rsidR="004C1E89" w:rsidRPr="0085534E" w:rsidRDefault="004C1E89" w:rsidP="004C1E89">
            <w:pPr>
              <w:pStyle w:val="TblTextLeft"/>
            </w:pPr>
            <w:r w:rsidRPr="0085534E">
              <w:rPr>
                <w:szCs w:val="22"/>
              </w:rPr>
              <w:t>0</w:t>
            </w:r>
          </w:p>
        </w:tc>
        <w:tc>
          <w:tcPr>
            <w:tcW w:w="515" w:type="pct"/>
            <w:tcBorders>
              <w:left w:val="single" w:sz="4" w:space="0" w:color="auto"/>
              <w:bottom w:val="single" w:sz="4" w:space="0" w:color="auto"/>
              <w:right w:val="single" w:sz="4" w:space="0" w:color="auto"/>
            </w:tcBorders>
            <w:shd w:val="clear" w:color="auto" w:fill="auto"/>
            <w:vAlign w:val="center"/>
          </w:tcPr>
          <w:p w14:paraId="6BFCC96C" w14:textId="64849DC2" w:rsidR="004C1E89" w:rsidRPr="0085534E" w:rsidRDefault="004C1E89" w:rsidP="004C1E89">
            <w:pPr>
              <w:pStyle w:val="TblTextLeft"/>
            </w:pPr>
            <w:r w:rsidRPr="0085534E">
              <w:t>5 (3.4)</w:t>
            </w:r>
          </w:p>
        </w:tc>
        <w:tc>
          <w:tcPr>
            <w:tcW w:w="511" w:type="pct"/>
            <w:tcBorders>
              <w:left w:val="single" w:sz="4" w:space="0" w:color="auto"/>
              <w:bottom w:val="single" w:sz="4" w:space="0" w:color="auto"/>
              <w:right w:val="single" w:sz="4" w:space="0" w:color="auto"/>
            </w:tcBorders>
            <w:shd w:val="clear" w:color="auto" w:fill="auto"/>
            <w:vAlign w:val="center"/>
          </w:tcPr>
          <w:p w14:paraId="5BC81FFB" w14:textId="4D906FA5" w:rsidR="004C1E89" w:rsidRPr="0085534E" w:rsidRDefault="004C1E89" w:rsidP="004C1E89">
            <w:pPr>
              <w:pStyle w:val="TblTextLeft"/>
            </w:pPr>
            <w:r w:rsidRPr="0085534E">
              <w:t>0</w:t>
            </w:r>
          </w:p>
        </w:tc>
        <w:tc>
          <w:tcPr>
            <w:tcW w:w="514" w:type="pct"/>
            <w:tcBorders>
              <w:left w:val="single" w:sz="4" w:space="0" w:color="auto"/>
              <w:bottom w:val="single" w:sz="4" w:space="0" w:color="auto"/>
              <w:right w:val="single" w:sz="4" w:space="0" w:color="auto"/>
            </w:tcBorders>
            <w:shd w:val="clear" w:color="auto" w:fill="auto"/>
            <w:vAlign w:val="center"/>
          </w:tcPr>
          <w:p w14:paraId="277FC1D1" w14:textId="77777777" w:rsidR="004C1E89" w:rsidRPr="0085534E" w:rsidRDefault="004C1E89" w:rsidP="004C1E89">
            <w:pPr>
              <w:pStyle w:val="TblTextLeft"/>
              <w:rPr>
                <w:szCs w:val="22"/>
              </w:rPr>
            </w:pPr>
            <w:r w:rsidRPr="0085534E">
              <w:rPr>
                <w:szCs w:val="22"/>
              </w:rPr>
              <w:t>0</w:t>
            </w:r>
          </w:p>
        </w:tc>
      </w:tr>
    </w:tbl>
    <w:p w14:paraId="0022CA54" w14:textId="0F46C399" w:rsidR="00DA7D78" w:rsidRPr="0085534E" w:rsidRDefault="00362201" w:rsidP="002C495F">
      <w:pPr>
        <w:pStyle w:val="TblFigFootnote"/>
      </w:pPr>
      <w:r>
        <w:rPr>
          <w:szCs w:val="22"/>
          <w:vertAlign w:val="superscript"/>
        </w:rPr>
        <w:t>a</w:t>
      </w:r>
      <w:r w:rsidR="00D9435E" w:rsidRPr="0085534E">
        <w:rPr>
          <w:szCs w:val="22"/>
        </w:rPr>
        <w:t xml:space="preserve"> </w:t>
      </w:r>
      <w:r w:rsidR="00D9435E" w:rsidRPr="0085534E">
        <w:t>The term pneumonia is a grouping of the following terms: atypical pneumonia, bronchopulmonary aspergillosis, pneumonia, pneumonia haemophilus, pneumonia influenzal, pneumonia pneumococcal, pneumonia streptococcal, pneumonia viral, candida pneumonia, pneumonia bacterial, haemophilus infection, lung infection, pneumonia fungal, pneumocystis jirovecii pneumonia</w:t>
      </w:r>
    </w:p>
    <w:p w14:paraId="2E9024B5" w14:textId="7B5A1BD1" w:rsidR="00D9435E" w:rsidRPr="0085534E" w:rsidRDefault="00563625" w:rsidP="00D94B0B">
      <w:pPr>
        <w:pStyle w:val="Caption"/>
      </w:pPr>
      <w:bookmarkStart w:id="7" w:name="_Ref7435139"/>
      <w:r w:rsidRPr="0085534E">
        <w:t>Table </w:t>
      </w:r>
      <w:r w:rsidRPr="0085534E">
        <w:fldChar w:fldCharType="begin"/>
      </w:r>
      <w:r w:rsidRPr="0085534E">
        <w:instrText xml:space="preserve"> SEQ Table \* ARABIC </w:instrText>
      </w:r>
      <w:r w:rsidRPr="0085534E">
        <w:fldChar w:fldCharType="separate"/>
      </w:r>
      <w:r w:rsidR="00312638">
        <w:rPr>
          <w:noProof/>
        </w:rPr>
        <w:t>4</w:t>
      </w:r>
      <w:r w:rsidRPr="0085534E">
        <w:fldChar w:fldCharType="end"/>
      </w:r>
      <w:bookmarkEnd w:id="7"/>
      <w:r w:rsidRPr="0085534E">
        <w:t xml:space="preserve"> ­ </w:t>
      </w:r>
      <w:r w:rsidR="00E3604D" w:rsidRPr="0085534E">
        <w:t xml:space="preserve">Treatment Emergent </w:t>
      </w:r>
      <w:r w:rsidRPr="0085534E">
        <w:t>H</w:t>
      </w:r>
      <w:r w:rsidR="009D6A61" w:rsidRPr="0085534E">
        <w:t>a</w:t>
      </w:r>
      <w:r w:rsidRPr="0085534E">
        <w:t xml:space="preserve">ematology Laboratory Abnormalities in Patients Receiving IPd Treatment </w:t>
      </w:r>
      <w:r w:rsidR="00D94B0B" w:rsidRPr="0085534E">
        <w:t>Versus Pd Treatment - ICARIA-MM</w:t>
      </w:r>
    </w:p>
    <w:tbl>
      <w:tblPr>
        <w:tblW w:w="55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9"/>
        <w:gridCol w:w="1246"/>
        <w:gridCol w:w="1246"/>
        <w:gridCol w:w="1114"/>
        <w:gridCol w:w="1380"/>
        <w:gridCol w:w="1555"/>
        <w:gridCol w:w="1553"/>
      </w:tblGrid>
      <w:tr w:rsidR="00FE779F" w:rsidRPr="0085534E" w14:paraId="20950880" w14:textId="77777777" w:rsidTr="00CA5CE3">
        <w:trPr>
          <w:cantSplit/>
          <w:trHeight w:val="443"/>
          <w:tblHeader/>
        </w:trPr>
        <w:tc>
          <w:tcPr>
            <w:tcW w:w="946" w:type="pct"/>
            <w:vMerge w:val="restart"/>
            <w:shd w:val="clear" w:color="auto" w:fill="FFFFFF"/>
            <w:tcMar>
              <w:left w:w="20" w:type="dxa"/>
              <w:right w:w="20" w:type="dxa"/>
            </w:tcMar>
          </w:tcPr>
          <w:p w14:paraId="6ADD0B58" w14:textId="5B468B07" w:rsidR="00693EEF" w:rsidRPr="0085534E" w:rsidRDefault="00962985" w:rsidP="00693EEF">
            <w:pPr>
              <w:pStyle w:val="TblTextLeft"/>
              <w:rPr>
                <w:b/>
              </w:rPr>
            </w:pPr>
            <w:r w:rsidRPr="0085534E">
              <w:rPr>
                <w:b/>
              </w:rPr>
              <w:t xml:space="preserve">Laboratory parameter </w:t>
            </w:r>
          </w:p>
        </w:tc>
        <w:tc>
          <w:tcPr>
            <w:tcW w:w="1806" w:type="pct"/>
            <w:gridSpan w:val="3"/>
            <w:shd w:val="clear" w:color="auto" w:fill="FFFFFF"/>
          </w:tcPr>
          <w:p w14:paraId="32789A45" w14:textId="3C3395D7" w:rsidR="00962985" w:rsidRPr="0085534E" w:rsidRDefault="00957ADE" w:rsidP="00362201">
            <w:pPr>
              <w:pStyle w:val="TblTextLeft"/>
              <w:rPr>
                <w:b/>
              </w:rPr>
            </w:pPr>
            <w:r w:rsidRPr="0085534E">
              <w:rPr>
                <w:b/>
              </w:rPr>
              <w:t>Sarclisa</w:t>
            </w:r>
            <w:r w:rsidR="00693EEF" w:rsidRPr="0085534E">
              <w:rPr>
                <w:b/>
              </w:rPr>
              <w:t xml:space="preserve"> + Pomalidomide + low-dose Dexamethasone</w:t>
            </w:r>
            <w:r w:rsidR="00693EEF" w:rsidRPr="0085534E">
              <w:rPr>
                <w:b/>
              </w:rPr>
              <w:br/>
              <w:t xml:space="preserve">(N=152) </w:t>
            </w:r>
            <w:r w:rsidR="00962985" w:rsidRPr="0085534E">
              <w:rPr>
                <w:b/>
              </w:rPr>
              <w:t>n(%)</w:t>
            </w:r>
            <w:r w:rsidR="00962985" w:rsidRPr="0085534E">
              <w:rPr>
                <w:b/>
                <w:vertAlign w:val="superscript"/>
              </w:rPr>
              <w:t>a</w:t>
            </w:r>
          </w:p>
        </w:tc>
        <w:tc>
          <w:tcPr>
            <w:tcW w:w="2249" w:type="pct"/>
            <w:gridSpan w:val="3"/>
            <w:shd w:val="clear" w:color="auto" w:fill="FFFFFF"/>
          </w:tcPr>
          <w:p w14:paraId="57C3071B" w14:textId="54B2E333" w:rsidR="00962985" w:rsidRPr="0085534E" w:rsidRDefault="00693EEF" w:rsidP="00362201">
            <w:pPr>
              <w:pStyle w:val="TblTextLeft"/>
              <w:rPr>
                <w:b/>
              </w:rPr>
            </w:pPr>
            <w:r w:rsidRPr="0085534E">
              <w:rPr>
                <w:b/>
              </w:rPr>
              <w:t>Pomalidomide + low-dose Dexamethasone</w:t>
            </w:r>
            <w:r w:rsidRPr="0085534E">
              <w:rPr>
                <w:b/>
              </w:rPr>
              <w:br/>
              <w:t>(N=149)</w:t>
            </w:r>
            <w:r w:rsidR="00362201">
              <w:rPr>
                <w:b/>
              </w:rPr>
              <w:t xml:space="preserve"> </w:t>
            </w:r>
            <w:r w:rsidR="00962985" w:rsidRPr="0085534E">
              <w:rPr>
                <w:b/>
              </w:rPr>
              <w:t>n(%)</w:t>
            </w:r>
            <w:r w:rsidR="00962985" w:rsidRPr="0085534E">
              <w:rPr>
                <w:b/>
                <w:vertAlign w:val="superscript"/>
              </w:rPr>
              <w:t>a</w:t>
            </w:r>
          </w:p>
        </w:tc>
      </w:tr>
      <w:tr w:rsidR="00FE779F" w:rsidRPr="0085534E" w14:paraId="2D6DEF42" w14:textId="77777777" w:rsidTr="00CA5CE3">
        <w:trPr>
          <w:cantSplit/>
          <w:trHeight w:val="274"/>
          <w:tblHeader/>
        </w:trPr>
        <w:tc>
          <w:tcPr>
            <w:tcW w:w="946" w:type="pct"/>
            <w:vMerge/>
            <w:shd w:val="clear" w:color="auto" w:fill="FFFFFF"/>
            <w:tcMar>
              <w:left w:w="20" w:type="dxa"/>
              <w:right w:w="20" w:type="dxa"/>
            </w:tcMar>
          </w:tcPr>
          <w:p w14:paraId="1073D97D" w14:textId="77777777" w:rsidR="00693EEF" w:rsidRPr="0085534E" w:rsidRDefault="00693EEF" w:rsidP="00693EEF">
            <w:pPr>
              <w:pStyle w:val="TblTextLeft"/>
            </w:pPr>
          </w:p>
        </w:tc>
        <w:tc>
          <w:tcPr>
            <w:tcW w:w="624" w:type="pct"/>
            <w:shd w:val="clear" w:color="auto" w:fill="FFFFFF"/>
          </w:tcPr>
          <w:p w14:paraId="5DE1EF0E" w14:textId="0A1C44CB" w:rsidR="00693EEF" w:rsidRPr="0085534E" w:rsidRDefault="00693EEF" w:rsidP="00693EEF">
            <w:pPr>
              <w:pStyle w:val="TblTextLeft"/>
              <w:rPr>
                <w:b/>
              </w:rPr>
            </w:pPr>
            <w:r w:rsidRPr="0085534E">
              <w:rPr>
                <w:b/>
              </w:rPr>
              <w:t>All grades</w:t>
            </w:r>
          </w:p>
        </w:tc>
        <w:tc>
          <w:tcPr>
            <w:tcW w:w="624" w:type="pct"/>
            <w:shd w:val="clear" w:color="auto" w:fill="FFFFFF"/>
          </w:tcPr>
          <w:p w14:paraId="3F9CC7F3" w14:textId="7987C44F" w:rsidR="00693EEF" w:rsidRPr="0085534E" w:rsidRDefault="00693EEF" w:rsidP="00693EEF">
            <w:pPr>
              <w:pStyle w:val="TblTextLeft"/>
              <w:rPr>
                <w:b/>
              </w:rPr>
            </w:pPr>
            <w:r w:rsidRPr="0085534E">
              <w:rPr>
                <w:b/>
              </w:rPr>
              <w:t>Grade 3</w:t>
            </w:r>
          </w:p>
        </w:tc>
        <w:tc>
          <w:tcPr>
            <w:tcW w:w="557" w:type="pct"/>
            <w:shd w:val="clear" w:color="auto" w:fill="FFFFFF"/>
          </w:tcPr>
          <w:p w14:paraId="7CAF8346" w14:textId="6882FD1D" w:rsidR="00693EEF" w:rsidRPr="0085534E" w:rsidRDefault="00693EEF" w:rsidP="00693EEF">
            <w:pPr>
              <w:pStyle w:val="TblTextLeft"/>
              <w:rPr>
                <w:b/>
              </w:rPr>
            </w:pPr>
            <w:r w:rsidRPr="0085534E">
              <w:rPr>
                <w:b/>
              </w:rPr>
              <w:t>Grade 4</w:t>
            </w:r>
          </w:p>
        </w:tc>
        <w:tc>
          <w:tcPr>
            <w:tcW w:w="691" w:type="pct"/>
            <w:shd w:val="clear" w:color="auto" w:fill="FFFFFF"/>
            <w:tcMar>
              <w:left w:w="20" w:type="dxa"/>
              <w:right w:w="20" w:type="dxa"/>
            </w:tcMar>
          </w:tcPr>
          <w:p w14:paraId="476B52B9" w14:textId="11DCC799" w:rsidR="00693EEF" w:rsidRPr="0085534E" w:rsidRDefault="00693EEF" w:rsidP="00693EEF">
            <w:pPr>
              <w:pStyle w:val="TblTextLeft"/>
              <w:rPr>
                <w:b/>
              </w:rPr>
            </w:pPr>
            <w:r w:rsidRPr="0085534E">
              <w:rPr>
                <w:b/>
              </w:rPr>
              <w:t>All grades</w:t>
            </w:r>
          </w:p>
        </w:tc>
        <w:tc>
          <w:tcPr>
            <w:tcW w:w="779" w:type="pct"/>
            <w:shd w:val="clear" w:color="auto" w:fill="FFFFFF"/>
            <w:tcMar>
              <w:left w:w="20" w:type="dxa"/>
              <w:right w:w="20" w:type="dxa"/>
            </w:tcMar>
          </w:tcPr>
          <w:p w14:paraId="7B515387" w14:textId="77777777" w:rsidR="00693EEF" w:rsidRPr="0085534E" w:rsidRDefault="00693EEF" w:rsidP="00693EEF">
            <w:pPr>
              <w:pStyle w:val="TblTextLeft"/>
              <w:rPr>
                <w:b/>
              </w:rPr>
            </w:pPr>
            <w:r w:rsidRPr="0085534E">
              <w:rPr>
                <w:b/>
              </w:rPr>
              <w:t>Grade 3</w:t>
            </w:r>
          </w:p>
        </w:tc>
        <w:tc>
          <w:tcPr>
            <w:tcW w:w="779" w:type="pct"/>
            <w:shd w:val="clear" w:color="auto" w:fill="FFFFFF"/>
            <w:tcMar>
              <w:left w:w="20" w:type="dxa"/>
              <w:right w:w="20" w:type="dxa"/>
            </w:tcMar>
          </w:tcPr>
          <w:p w14:paraId="79FE5774" w14:textId="77777777" w:rsidR="00693EEF" w:rsidRPr="0085534E" w:rsidRDefault="00693EEF" w:rsidP="00693EEF">
            <w:pPr>
              <w:pStyle w:val="TblTextLeft"/>
              <w:rPr>
                <w:b/>
              </w:rPr>
            </w:pPr>
            <w:r w:rsidRPr="0085534E">
              <w:rPr>
                <w:b/>
              </w:rPr>
              <w:t>Grade 4</w:t>
            </w:r>
          </w:p>
        </w:tc>
      </w:tr>
      <w:tr w:rsidR="00FE779F" w:rsidRPr="0085534E" w14:paraId="74238815" w14:textId="77777777" w:rsidTr="00CA5CE3">
        <w:trPr>
          <w:cantSplit/>
          <w:trHeight w:val="274"/>
        </w:trPr>
        <w:tc>
          <w:tcPr>
            <w:tcW w:w="946" w:type="pct"/>
            <w:shd w:val="clear" w:color="auto" w:fill="FFFFFF"/>
            <w:tcMar>
              <w:left w:w="20" w:type="dxa"/>
              <w:right w:w="20" w:type="dxa"/>
            </w:tcMar>
          </w:tcPr>
          <w:p w14:paraId="6D808307" w14:textId="77777777" w:rsidR="00693EEF" w:rsidRPr="0085534E" w:rsidRDefault="00693EEF" w:rsidP="00693EEF">
            <w:pPr>
              <w:pStyle w:val="TblTextLeft"/>
              <w:rPr>
                <w:b/>
              </w:rPr>
            </w:pPr>
            <w:r w:rsidRPr="0085534E">
              <w:rPr>
                <w:b/>
              </w:rPr>
              <w:t>Anaemia</w:t>
            </w:r>
          </w:p>
        </w:tc>
        <w:tc>
          <w:tcPr>
            <w:tcW w:w="624" w:type="pct"/>
            <w:shd w:val="clear" w:color="auto" w:fill="FFFFFF"/>
          </w:tcPr>
          <w:p w14:paraId="2641B6B5" w14:textId="04352977" w:rsidR="00693EEF" w:rsidRPr="0085534E" w:rsidRDefault="00693EEF" w:rsidP="00693EEF">
            <w:pPr>
              <w:pStyle w:val="TblTextLeft"/>
            </w:pPr>
            <w:r w:rsidRPr="0085534E">
              <w:t>151 (99.3)</w:t>
            </w:r>
          </w:p>
        </w:tc>
        <w:tc>
          <w:tcPr>
            <w:tcW w:w="624" w:type="pct"/>
            <w:shd w:val="clear" w:color="auto" w:fill="FFFFFF"/>
          </w:tcPr>
          <w:p w14:paraId="420AF739" w14:textId="06846B3D" w:rsidR="00693EEF" w:rsidRPr="0085534E" w:rsidRDefault="00693EEF" w:rsidP="00693EEF">
            <w:pPr>
              <w:pStyle w:val="TblTextLeft"/>
            </w:pPr>
            <w:r w:rsidRPr="0085534E">
              <w:t>48 (31.6)</w:t>
            </w:r>
          </w:p>
        </w:tc>
        <w:tc>
          <w:tcPr>
            <w:tcW w:w="557" w:type="pct"/>
            <w:shd w:val="clear" w:color="auto" w:fill="FFFFFF"/>
          </w:tcPr>
          <w:p w14:paraId="39BB2BC3" w14:textId="2112AEB2" w:rsidR="00693EEF" w:rsidRPr="0085534E" w:rsidRDefault="00693EEF" w:rsidP="00693EEF">
            <w:pPr>
              <w:pStyle w:val="TblTextLeft"/>
            </w:pPr>
            <w:r w:rsidRPr="0085534E">
              <w:t>0</w:t>
            </w:r>
          </w:p>
        </w:tc>
        <w:tc>
          <w:tcPr>
            <w:tcW w:w="691" w:type="pct"/>
            <w:shd w:val="clear" w:color="auto" w:fill="FFFFFF"/>
            <w:tcMar>
              <w:left w:w="20" w:type="dxa"/>
              <w:right w:w="20" w:type="dxa"/>
            </w:tcMar>
          </w:tcPr>
          <w:p w14:paraId="762F8B64" w14:textId="7BBA0CDC" w:rsidR="00693EEF" w:rsidRPr="0085534E" w:rsidRDefault="00693EEF" w:rsidP="00693EEF">
            <w:pPr>
              <w:pStyle w:val="TblTextLeft"/>
            </w:pPr>
            <w:r w:rsidRPr="0085534E">
              <w:t>145 (98.6)</w:t>
            </w:r>
          </w:p>
        </w:tc>
        <w:tc>
          <w:tcPr>
            <w:tcW w:w="779" w:type="pct"/>
            <w:shd w:val="clear" w:color="auto" w:fill="FFFFFF"/>
            <w:tcMar>
              <w:left w:w="20" w:type="dxa"/>
              <w:right w:w="20" w:type="dxa"/>
            </w:tcMar>
          </w:tcPr>
          <w:p w14:paraId="1903723E" w14:textId="5E626CBD" w:rsidR="00693EEF" w:rsidRPr="0085534E" w:rsidRDefault="00693EEF" w:rsidP="00693EEF">
            <w:pPr>
              <w:pStyle w:val="TblTextLeft"/>
            </w:pPr>
            <w:r w:rsidRPr="0085534E">
              <w:t>41 (27.9)</w:t>
            </w:r>
          </w:p>
        </w:tc>
        <w:tc>
          <w:tcPr>
            <w:tcW w:w="779" w:type="pct"/>
            <w:shd w:val="clear" w:color="auto" w:fill="FFFFFF"/>
            <w:tcMar>
              <w:left w:w="20" w:type="dxa"/>
              <w:right w:w="20" w:type="dxa"/>
            </w:tcMar>
          </w:tcPr>
          <w:p w14:paraId="34427231" w14:textId="00F27C5C" w:rsidR="00693EEF" w:rsidRPr="0085534E" w:rsidRDefault="00693EEF" w:rsidP="00693EEF">
            <w:pPr>
              <w:pStyle w:val="TblTextLeft"/>
            </w:pPr>
            <w:r w:rsidRPr="0085534E">
              <w:t>0</w:t>
            </w:r>
          </w:p>
        </w:tc>
      </w:tr>
      <w:tr w:rsidR="00FE779F" w:rsidRPr="0085534E" w14:paraId="29219575" w14:textId="77777777" w:rsidTr="00CA5CE3">
        <w:trPr>
          <w:cantSplit/>
          <w:trHeight w:val="265"/>
        </w:trPr>
        <w:tc>
          <w:tcPr>
            <w:tcW w:w="946" w:type="pct"/>
            <w:shd w:val="clear" w:color="auto" w:fill="FFFFFF"/>
            <w:tcMar>
              <w:left w:w="20" w:type="dxa"/>
              <w:right w:w="20" w:type="dxa"/>
            </w:tcMar>
          </w:tcPr>
          <w:p w14:paraId="12287602" w14:textId="77777777" w:rsidR="00693EEF" w:rsidRPr="0085534E" w:rsidRDefault="00693EEF" w:rsidP="00693EEF">
            <w:pPr>
              <w:pStyle w:val="TblTextLeft"/>
              <w:rPr>
                <w:b/>
              </w:rPr>
            </w:pPr>
            <w:r w:rsidRPr="0085534E">
              <w:rPr>
                <w:b/>
              </w:rPr>
              <w:t>Neutropenia</w:t>
            </w:r>
          </w:p>
        </w:tc>
        <w:tc>
          <w:tcPr>
            <w:tcW w:w="624" w:type="pct"/>
            <w:shd w:val="clear" w:color="auto" w:fill="FFFFFF"/>
          </w:tcPr>
          <w:p w14:paraId="4C5419F9" w14:textId="64C4AA98" w:rsidR="00693EEF" w:rsidRPr="0085534E" w:rsidRDefault="00693EEF" w:rsidP="00693EEF">
            <w:pPr>
              <w:pStyle w:val="TblTextLeft"/>
            </w:pPr>
            <w:r w:rsidRPr="0085534E">
              <w:t>146 (96.1)</w:t>
            </w:r>
          </w:p>
        </w:tc>
        <w:tc>
          <w:tcPr>
            <w:tcW w:w="624" w:type="pct"/>
            <w:shd w:val="clear" w:color="auto" w:fill="FFFFFF"/>
          </w:tcPr>
          <w:p w14:paraId="51754A62" w14:textId="67D17171" w:rsidR="00693EEF" w:rsidRPr="0085534E" w:rsidRDefault="00693EEF" w:rsidP="00693EEF">
            <w:pPr>
              <w:pStyle w:val="TblTextLeft"/>
            </w:pPr>
            <w:r w:rsidRPr="0085534E">
              <w:t>37 (24.3)</w:t>
            </w:r>
          </w:p>
        </w:tc>
        <w:tc>
          <w:tcPr>
            <w:tcW w:w="557" w:type="pct"/>
            <w:shd w:val="clear" w:color="auto" w:fill="FFFFFF"/>
          </w:tcPr>
          <w:p w14:paraId="1BB38525" w14:textId="68F9EF4A" w:rsidR="00693EEF" w:rsidRPr="0085534E" w:rsidRDefault="00693EEF" w:rsidP="00693EEF">
            <w:pPr>
              <w:pStyle w:val="TblTextLeft"/>
            </w:pPr>
            <w:r w:rsidRPr="0085534E">
              <w:t>92 (60.5)</w:t>
            </w:r>
          </w:p>
        </w:tc>
        <w:tc>
          <w:tcPr>
            <w:tcW w:w="691" w:type="pct"/>
            <w:shd w:val="clear" w:color="auto" w:fill="FFFFFF"/>
            <w:tcMar>
              <w:left w:w="20" w:type="dxa"/>
              <w:right w:w="20" w:type="dxa"/>
            </w:tcMar>
          </w:tcPr>
          <w:p w14:paraId="3543DF41" w14:textId="3473C4C0" w:rsidR="00693EEF" w:rsidRPr="0085534E" w:rsidRDefault="00693EEF" w:rsidP="00693EEF">
            <w:pPr>
              <w:pStyle w:val="TblTextLeft"/>
            </w:pPr>
            <w:r w:rsidRPr="0085534E">
              <w:t>137 (93.2)</w:t>
            </w:r>
          </w:p>
        </w:tc>
        <w:tc>
          <w:tcPr>
            <w:tcW w:w="779" w:type="pct"/>
            <w:shd w:val="clear" w:color="auto" w:fill="FFFFFF"/>
            <w:tcMar>
              <w:left w:w="20" w:type="dxa"/>
              <w:right w:w="20" w:type="dxa"/>
            </w:tcMar>
          </w:tcPr>
          <w:p w14:paraId="07D880C1" w14:textId="719985E6" w:rsidR="00693EEF" w:rsidRPr="0085534E" w:rsidRDefault="00693EEF" w:rsidP="00693EEF">
            <w:pPr>
              <w:pStyle w:val="TblTextLeft"/>
            </w:pPr>
            <w:r w:rsidRPr="0085534E">
              <w:t>57(38.8)</w:t>
            </w:r>
          </w:p>
        </w:tc>
        <w:tc>
          <w:tcPr>
            <w:tcW w:w="779" w:type="pct"/>
            <w:shd w:val="clear" w:color="auto" w:fill="FFFFFF"/>
            <w:tcMar>
              <w:left w:w="20" w:type="dxa"/>
              <w:right w:w="20" w:type="dxa"/>
            </w:tcMar>
          </w:tcPr>
          <w:p w14:paraId="17D0322D" w14:textId="1ACC9B1E" w:rsidR="00693EEF" w:rsidRPr="0085534E" w:rsidRDefault="00693EEF" w:rsidP="00693EEF">
            <w:pPr>
              <w:pStyle w:val="TblTextLeft"/>
            </w:pPr>
            <w:r w:rsidRPr="0085534E">
              <w:t>46 (31.3)</w:t>
            </w:r>
          </w:p>
        </w:tc>
      </w:tr>
      <w:tr w:rsidR="00FE779F" w:rsidRPr="0085534E" w14:paraId="125DF44D" w14:textId="77777777" w:rsidTr="00CA5CE3">
        <w:trPr>
          <w:cantSplit/>
          <w:trHeight w:val="265"/>
        </w:trPr>
        <w:tc>
          <w:tcPr>
            <w:tcW w:w="946" w:type="pct"/>
            <w:shd w:val="clear" w:color="auto" w:fill="FFFFFF"/>
            <w:tcMar>
              <w:left w:w="20" w:type="dxa"/>
              <w:right w:w="20" w:type="dxa"/>
            </w:tcMar>
          </w:tcPr>
          <w:p w14:paraId="086F6A52" w14:textId="77777777" w:rsidR="00693EEF" w:rsidRPr="0085534E" w:rsidRDefault="00693EEF" w:rsidP="00693EEF">
            <w:pPr>
              <w:pStyle w:val="TblTextLeft"/>
              <w:rPr>
                <w:b/>
              </w:rPr>
            </w:pPr>
            <w:r w:rsidRPr="0085534E">
              <w:rPr>
                <w:b/>
              </w:rPr>
              <w:t>Lymphopenia</w:t>
            </w:r>
          </w:p>
        </w:tc>
        <w:tc>
          <w:tcPr>
            <w:tcW w:w="624" w:type="pct"/>
            <w:shd w:val="clear" w:color="auto" w:fill="FFFFFF"/>
          </w:tcPr>
          <w:p w14:paraId="2AAD3618" w14:textId="575DD1A8" w:rsidR="00693EEF" w:rsidRPr="0085534E" w:rsidRDefault="00693EEF" w:rsidP="00693EEF">
            <w:pPr>
              <w:pStyle w:val="TblTextLeft"/>
            </w:pPr>
            <w:r w:rsidRPr="0085534E">
              <w:t>140 (92.1)</w:t>
            </w:r>
          </w:p>
        </w:tc>
        <w:tc>
          <w:tcPr>
            <w:tcW w:w="624" w:type="pct"/>
            <w:shd w:val="clear" w:color="auto" w:fill="FFFFFF"/>
          </w:tcPr>
          <w:p w14:paraId="5201125B" w14:textId="454109D3" w:rsidR="00693EEF" w:rsidRPr="0085534E" w:rsidRDefault="00693EEF" w:rsidP="00693EEF">
            <w:pPr>
              <w:pStyle w:val="TblTextLeft"/>
            </w:pPr>
            <w:r w:rsidRPr="0085534E">
              <w:t>64 (42.1)</w:t>
            </w:r>
          </w:p>
        </w:tc>
        <w:tc>
          <w:tcPr>
            <w:tcW w:w="557" w:type="pct"/>
            <w:shd w:val="clear" w:color="auto" w:fill="FFFFFF"/>
          </w:tcPr>
          <w:p w14:paraId="0E2A0C85" w14:textId="6B22BDCA" w:rsidR="00693EEF" w:rsidRPr="0085534E" w:rsidRDefault="00693EEF" w:rsidP="00693EEF">
            <w:pPr>
              <w:pStyle w:val="TblTextLeft"/>
            </w:pPr>
            <w:r w:rsidRPr="0085534E">
              <w:t>19 (12.5)</w:t>
            </w:r>
          </w:p>
        </w:tc>
        <w:tc>
          <w:tcPr>
            <w:tcW w:w="691" w:type="pct"/>
            <w:shd w:val="clear" w:color="auto" w:fill="FFFFFF"/>
            <w:tcMar>
              <w:left w:w="20" w:type="dxa"/>
              <w:right w:w="20" w:type="dxa"/>
            </w:tcMar>
          </w:tcPr>
          <w:p w14:paraId="354E83D6" w14:textId="584FB8B0" w:rsidR="00693EEF" w:rsidRPr="0085534E" w:rsidRDefault="00693EEF" w:rsidP="00693EEF">
            <w:pPr>
              <w:pStyle w:val="TblTextLeft"/>
            </w:pPr>
            <w:r w:rsidRPr="0085534E">
              <w:t>137 (93.2)</w:t>
            </w:r>
          </w:p>
        </w:tc>
        <w:tc>
          <w:tcPr>
            <w:tcW w:w="779" w:type="pct"/>
            <w:shd w:val="clear" w:color="auto" w:fill="FFFFFF"/>
            <w:tcMar>
              <w:left w:w="20" w:type="dxa"/>
              <w:right w:w="20" w:type="dxa"/>
            </w:tcMar>
          </w:tcPr>
          <w:p w14:paraId="20247D7D" w14:textId="29B2B667" w:rsidR="00693EEF" w:rsidRPr="0085534E" w:rsidRDefault="00693EEF" w:rsidP="00693EEF">
            <w:pPr>
              <w:pStyle w:val="TblTextLeft"/>
            </w:pPr>
            <w:r w:rsidRPr="0085534E">
              <w:t>52 (35.4)</w:t>
            </w:r>
          </w:p>
        </w:tc>
        <w:tc>
          <w:tcPr>
            <w:tcW w:w="779" w:type="pct"/>
            <w:shd w:val="clear" w:color="auto" w:fill="FFFFFF"/>
            <w:tcMar>
              <w:left w:w="20" w:type="dxa"/>
              <w:right w:w="20" w:type="dxa"/>
            </w:tcMar>
          </w:tcPr>
          <w:p w14:paraId="32EEE899" w14:textId="366795C1" w:rsidR="00693EEF" w:rsidRPr="0085534E" w:rsidRDefault="00693EEF" w:rsidP="00693EEF">
            <w:pPr>
              <w:pStyle w:val="TblTextLeft"/>
            </w:pPr>
            <w:r w:rsidRPr="0085534E">
              <w:t>12 (8.2)</w:t>
            </w:r>
          </w:p>
        </w:tc>
      </w:tr>
      <w:tr w:rsidR="00FE779F" w:rsidRPr="0085534E" w14:paraId="6B4E91E0" w14:textId="77777777" w:rsidTr="00CA5CE3">
        <w:trPr>
          <w:cantSplit/>
          <w:trHeight w:val="420"/>
        </w:trPr>
        <w:tc>
          <w:tcPr>
            <w:tcW w:w="946" w:type="pct"/>
            <w:shd w:val="clear" w:color="auto" w:fill="FFFFFF"/>
            <w:tcMar>
              <w:left w:w="20" w:type="dxa"/>
              <w:right w:w="20" w:type="dxa"/>
            </w:tcMar>
          </w:tcPr>
          <w:p w14:paraId="3971E2B9" w14:textId="77777777" w:rsidR="00693EEF" w:rsidRPr="0085534E" w:rsidRDefault="00693EEF" w:rsidP="00693EEF">
            <w:pPr>
              <w:pStyle w:val="TblTextLeft"/>
              <w:rPr>
                <w:b/>
              </w:rPr>
            </w:pPr>
            <w:r w:rsidRPr="0085534E">
              <w:rPr>
                <w:b/>
              </w:rPr>
              <w:t>Thrombocytopenia</w:t>
            </w:r>
          </w:p>
        </w:tc>
        <w:tc>
          <w:tcPr>
            <w:tcW w:w="624" w:type="pct"/>
            <w:shd w:val="clear" w:color="auto" w:fill="FFFFFF"/>
          </w:tcPr>
          <w:p w14:paraId="6E26CB42" w14:textId="2ED7DBEE" w:rsidR="00693EEF" w:rsidRPr="0085534E" w:rsidRDefault="00693EEF" w:rsidP="00693EEF">
            <w:pPr>
              <w:pStyle w:val="TblTextLeft"/>
            </w:pPr>
            <w:r w:rsidRPr="0085534E">
              <w:t>127 (83.6)</w:t>
            </w:r>
          </w:p>
        </w:tc>
        <w:tc>
          <w:tcPr>
            <w:tcW w:w="624" w:type="pct"/>
            <w:shd w:val="clear" w:color="auto" w:fill="FFFFFF"/>
          </w:tcPr>
          <w:p w14:paraId="61508D4C" w14:textId="2A1D0285" w:rsidR="00693EEF" w:rsidRPr="0085534E" w:rsidRDefault="00693EEF" w:rsidP="00693EEF">
            <w:pPr>
              <w:pStyle w:val="TblTextLeft"/>
            </w:pPr>
            <w:r w:rsidRPr="0085534E">
              <w:t>22 (14.5)</w:t>
            </w:r>
          </w:p>
        </w:tc>
        <w:tc>
          <w:tcPr>
            <w:tcW w:w="557" w:type="pct"/>
            <w:shd w:val="clear" w:color="auto" w:fill="FFFFFF"/>
          </w:tcPr>
          <w:p w14:paraId="35F65F9D" w14:textId="77777777" w:rsidR="00693EEF" w:rsidRPr="0085534E" w:rsidRDefault="00693EEF" w:rsidP="00693EEF">
            <w:pPr>
              <w:pStyle w:val="TblTextLeft"/>
            </w:pPr>
            <w:r w:rsidRPr="0085534E">
              <w:t>25 (16.4)</w:t>
            </w:r>
          </w:p>
          <w:p w14:paraId="6A499338" w14:textId="47BEE5D2" w:rsidR="00693EEF" w:rsidRPr="0085534E" w:rsidRDefault="00693EEF" w:rsidP="00693EEF">
            <w:pPr>
              <w:pStyle w:val="TblTextLeft"/>
            </w:pPr>
            <w:r w:rsidRPr="0085534E">
              <w:t xml:space="preserve"> </w:t>
            </w:r>
          </w:p>
        </w:tc>
        <w:tc>
          <w:tcPr>
            <w:tcW w:w="691" w:type="pct"/>
            <w:shd w:val="clear" w:color="auto" w:fill="FFFFFF"/>
            <w:tcMar>
              <w:left w:w="20" w:type="dxa"/>
              <w:right w:w="20" w:type="dxa"/>
            </w:tcMar>
          </w:tcPr>
          <w:p w14:paraId="6113A840" w14:textId="056D27F6" w:rsidR="00693EEF" w:rsidRPr="0085534E" w:rsidRDefault="00693EEF" w:rsidP="00693EEF">
            <w:pPr>
              <w:pStyle w:val="TblTextLeft"/>
            </w:pPr>
            <w:r w:rsidRPr="0085534E">
              <w:t>118 (80.3)</w:t>
            </w:r>
          </w:p>
        </w:tc>
        <w:tc>
          <w:tcPr>
            <w:tcW w:w="779" w:type="pct"/>
            <w:shd w:val="clear" w:color="auto" w:fill="FFFFFF"/>
            <w:tcMar>
              <w:left w:w="20" w:type="dxa"/>
              <w:right w:w="20" w:type="dxa"/>
            </w:tcMar>
          </w:tcPr>
          <w:p w14:paraId="4A2A7F4F" w14:textId="480C575F" w:rsidR="00693EEF" w:rsidRPr="0085534E" w:rsidRDefault="00693EEF" w:rsidP="00693EEF">
            <w:pPr>
              <w:pStyle w:val="TblTextLeft"/>
            </w:pPr>
            <w:r w:rsidRPr="0085534E">
              <w:t>14 (9.5)</w:t>
            </w:r>
          </w:p>
        </w:tc>
        <w:tc>
          <w:tcPr>
            <w:tcW w:w="779" w:type="pct"/>
            <w:shd w:val="clear" w:color="auto" w:fill="FFFFFF"/>
            <w:tcMar>
              <w:left w:w="20" w:type="dxa"/>
              <w:right w:w="20" w:type="dxa"/>
            </w:tcMar>
          </w:tcPr>
          <w:p w14:paraId="7890EFDB" w14:textId="3EE8EE5F" w:rsidR="00693EEF" w:rsidRPr="0085534E" w:rsidRDefault="00693EEF" w:rsidP="00693EEF">
            <w:pPr>
              <w:pStyle w:val="TblTextLeft"/>
            </w:pPr>
            <w:r w:rsidRPr="0085534E">
              <w:t>22 (15.0)</w:t>
            </w:r>
          </w:p>
        </w:tc>
      </w:tr>
    </w:tbl>
    <w:p w14:paraId="7FFAEA74" w14:textId="051DFC8D" w:rsidR="00D9435E" w:rsidRPr="0085534E" w:rsidRDefault="00D9435E" w:rsidP="00336DDE">
      <w:pPr>
        <w:pStyle w:val="TblFigFootnote"/>
        <w:rPr>
          <w:noProof/>
        </w:rPr>
      </w:pPr>
      <w:r w:rsidRPr="0085534E">
        <w:rPr>
          <w:noProof/>
          <w:vertAlign w:val="superscript"/>
        </w:rPr>
        <w:t>a</w:t>
      </w:r>
      <w:r w:rsidRPr="0085534E">
        <w:rPr>
          <w:noProof/>
        </w:rPr>
        <w:t>The denominator used for the percentage calculation is the number of patients with at least 1 evaluation of the laboratory test during the</w:t>
      </w:r>
      <w:r w:rsidR="00EF5223">
        <w:rPr>
          <w:noProof/>
        </w:rPr>
        <w:t xml:space="preserve"> considered observation period.</w:t>
      </w:r>
    </w:p>
    <w:p w14:paraId="24FB6BDA" w14:textId="3C63E8E2" w:rsidR="007D1204" w:rsidRPr="0085534E" w:rsidRDefault="007D1204" w:rsidP="00336DDE">
      <w:pPr>
        <w:pStyle w:val="Heading3"/>
        <w:numPr>
          <w:ilvl w:val="0"/>
          <w:numId w:val="0"/>
        </w:numPr>
        <w:ind w:left="680" w:hanging="680"/>
        <w:rPr>
          <w:w w:val="105"/>
        </w:rPr>
      </w:pPr>
      <w:r w:rsidRPr="0085534E">
        <w:lastRenderedPageBreak/>
        <w:t>Description of selected adverse reactions in</w:t>
      </w:r>
      <w:r w:rsidRPr="0085534E">
        <w:rPr>
          <w:w w:val="105"/>
        </w:rPr>
        <w:t xml:space="preserve"> multiple myeloma</w:t>
      </w:r>
      <w:r w:rsidRPr="0085534E">
        <w:t xml:space="preserve"> for </w:t>
      </w:r>
      <w:r w:rsidRPr="0085534E">
        <w:rPr>
          <w:w w:val="105"/>
        </w:rPr>
        <w:t>isatuximab</w:t>
      </w:r>
      <w:r w:rsidR="00384ED5" w:rsidRPr="0085534E">
        <w:rPr>
          <w:i/>
          <w:w w:val="105"/>
        </w:rPr>
        <w:t xml:space="preserve"> </w:t>
      </w:r>
      <w:r w:rsidRPr="0085534E">
        <w:rPr>
          <w:w w:val="105"/>
        </w:rPr>
        <w:t>10 mg/mL in combination with pomalidomide and low-dose dexamethasone</w:t>
      </w:r>
    </w:p>
    <w:p w14:paraId="5C6559B1" w14:textId="77777777" w:rsidR="007D1204" w:rsidRPr="0085534E" w:rsidRDefault="007D1204" w:rsidP="002C495F">
      <w:pPr>
        <w:rPr>
          <w:i/>
          <w:color w:val="auto"/>
        </w:rPr>
      </w:pPr>
      <w:r w:rsidRPr="0085534E">
        <w:rPr>
          <w:i/>
          <w:color w:val="auto"/>
        </w:rPr>
        <w:t>Infusion reactions</w:t>
      </w:r>
    </w:p>
    <w:p w14:paraId="1A0CA808" w14:textId="0B670F36" w:rsidR="002C495F" w:rsidRPr="0085534E" w:rsidRDefault="002C495F" w:rsidP="002C495F">
      <w:pPr>
        <w:rPr>
          <w:rFonts w:eastAsia="Times New Roman"/>
          <w:color w:val="auto"/>
          <w:sz w:val="22"/>
          <w:szCs w:val="22"/>
          <w:lang w:val="en-GB"/>
        </w:rPr>
      </w:pPr>
      <w:r w:rsidRPr="0085534E">
        <w:rPr>
          <w:color w:val="auto"/>
          <w:szCs w:val="22"/>
        </w:rPr>
        <w:t xml:space="preserve">In ICARIA-MM, infusion reactions (IRs, defined as adverse reactions associated with the </w:t>
      </w:r>
      <w:r w:rsidR="00957ADE" w:rsidRPr="0085534E">
        <w:rPr>
          <w:color w:val="auto"/>
          <w:lang w:val="en-AU"/>
        </w:rPr>
        <w:t>Sarclisa</w:t>
      </w:r>
      <w:r w:rsidRPr="0085534E">
        <w:rPr>
          <w:color w:val="auto"/>
          <w:szCs w:val="22"/>
        </w:rPr>
        <w:t xml:space="preserve"> infusions, with an onset typically within 24 hours from the start of the infusion) were reported in 58 patients (38.2%) treated with </w:t>
      </w:r>
      <w:r w:rsidR="00957ADE" w:rsidRPr="0085534E">
        <w:rPr>
          <w:color w:val="auto"/>
          <w:lang w:val="en-AU"/>
        </w:rPr>
        <w:t>Sarclisa</w:t>
      </w:r>
      <w:r w:rsidRPr="0085534E">
        <w:rPr>
          <w:color w:val="auto"/>
          <w:szCs w:val="22"/>
        </w:rPr>
        <w:t xml:space="preserve">. All patients who experienced IRs, experienced them during the 1st infusion of </w:t>
      </w:r>
      <w:r w:rsidR="00957ADE" w:rsidRPr="0085534E">
        <w:rPr>
          <w:color w:val="auto"/>
          <w:lang w:val="en-AU"/>
        </w:rPr>
        <w:t>Sarclisa</w:t>
      </w:r>
      <w:r w:rsidRPr="0085534E">
        <w:rPr>
          <w:color w:val="auto"/>
          <w:szCs w:val="22"/>
        </w:rPr>
        <w:t xml:space="preserve">, with 3 patients (2.0%) also having IRs at their 2nd infusion, and 2 patients (1.3%) at their 4th infusion.  Grade 1 IRs were reported in 3.9%, Grade 2 in 31.6%, Grade 3 in 1.3%, and Grade 4 in 1.3% of the patients. Signs and symptoms of Grade 3 or higher IRs included dyspnoea, hypertension and bronchospasm. The incidence of infusion interruptions because of infusion reactions was 28.9%.  The median time to infusion interruption was 55 minutes.  The median duration of </w:t>
      </w:r>
      <w:r w:rsidR="00957ADE" w:rsidRPr="0085534E">
        <w:rPr>
          <w:color w:val="auto"/>
          <w:lang w:val="en-AU"/>
        </w:rPr>
        <w:t>Sarclisa</w:t>
      </w:r>
      <w:r w:rsidRPr="0085534E">
        <w:rPr>
          <w:color w:val="auto"/>
          <w:szCs w:val="22"/>
        </w:rPr>
        <w:t xml:space="preserve"> infusion was 3.3 hours during the first infusion and 2.8 hours for the subsequent infusions.   </w:t>
      </w:r>
    </w:p>
    <w:p w14:paraId="00D307B0" w14:textId="1D3EC3D2" w:rsidR="00893735" w:rsidRPr="0085534E" w:rsidRDefault="002C495F" w:rsidP="002C495F">
      <w:pPr>
        <w:rPr>
          <w:color w:val="auto"/>
          <w:szCs w:val="22"/>
        </w:rPr>
      </w:pPr>
      <w:r w:rsidRPr="0085534E">
        <w:rPr>
          <w:color w:val="auto"/>
          <w:szCs w:val="22"/>
        </w:rPr>
        <w:t xml:space="preserve">In a separate study (TCD14079 Part B) with </w:t>
      </w:r>
      <w:r w:rsidR="00957ADE" w:rsidRPr="0085534E">
        <w:rPr>
          <w:color w:val="auto"/>
          <w:lang w:val="en-AU"/>
        </w:rPr>
        <w:t>Sarclisa</w:t>
      </w:r>
      <w:r w:rsidRPr="0085534E">
        <w:rPr>
          <w:color w:val="auto"/>
          <w:szCs w:val="22"/>
        </w:rPr>
        <w:t xml:space="preserve"> 10 mg/kg administered from a 250 mL fixed infusion volume in combination with Pd, IRs (all Grade 2) were reported in 47.1% of patients, at the first administration, the day of the infusion.  The median duration of infusion was 3.94 hours for the first infusion, 1.88 hours for the second infusion, and 1.25 hours from third infusion onwards. Overall, the safety profile of </w:t>
      </w:r>
      <w:r w:rsidR="00957ADE" w:rsidRPr="0085534E">
        <w:rPr>
          <w:color w:val="auto"/>
          <w:lang w:val="en-AU"/>
        </w:rPr>
        <w:t>Sarclisa</w:t>
      </w:r>
      <w:r w:rsidRPr="0085534E">
        <w:rPr>
          <w:color w:val="auto"/>
          <w:szCs w:val="22"/>
        </w:rPr>
        <w:t xml:space="preserve"> 10 mg/kg administered as a 250 mL fixed infusion volume was similar to that of </w:t>
      </w:r>
      <w:r w:rsidR="00957ADE" w:rsidRPr="0085534E">
        <w:rPr>
          <w:color w:val="auto"/>
          <w:lang w:val="en-AU"/>
        </w:rPr>
        <w:t>Sarclisa</w:t>
      </w:r>
      <w:r w:rsidRPr="0085534E">
        <w:rPr>
          <w:color w:val="auto"/>
          <w:szCs w:val="22"/>
        </w:rPr>
        <w:t xml:space="preserve"> as administered in ICARIA-MM.</w:t>
      </w:r>
    </w:p>
    <w:p w14:paraId="25468020" w14:textId="77777777" w:rsidR="007D1204" w:rsidRPr="0085534E" w:rsidRDefault="007D1204" w:rsidP="007D1204">
      <w:pPr>
        <w:tabs>
          <w:tab w:val="left" w:pos="851"/>
          <w:tab w:val="left" w:pos="8222"/>
        </w:tabs>
        <w:rPr>
          <w:i/>
          <w:color w:val="auto"/>
          <w:szCs w:val="22"/>
        </w:rPr>
      </w:pPr>
      <w:r w:rsidRPr="0085534E">
        <w:rPr>
          <w:i/>
          <w:color w:val="auto"/>
          <w:szCs w:val="22"/>
        </w:rPr>
        <w:t>Infections</w:t>
      </w:r>
    </w:p>
    <w:p w14:paraId="1A34CE07" w14:textId="62B1F436" w:rsidR="00B00719" w:rsidRPr="0085534E" w:rsidRDefault="002C495F" w:rsidP="00FE779F">
      <w:pPr>
        <w:autoSpaceDE w:val="0"/>
        <w:autoSpaceDN w:val="0"/>
        <w:adjustRightInd w:val="0"/>
        <w:jc w:val="both"/>
        <w:rPr>
          <w:rFonts w:eastAsia="Times New Roman"/>
          <w:noProof/>
          <w:color w:val="auto"/>
          <w:sz w:val="22"/>
          <w:szCs w:val="22"/>
        </w:rPr>
      </w:pPr>
      <w:r w:rsidRPr="0085534E">
        <w:rPr>
          <w:noProof/>
          <w:color w:val="auto"/>
          <w:szCs w:val="22"/>
        </w:rPr>
        <w:t xml:space="preserve">In ICARIA-MM, the incidence of Grade 3 or higher infections was 42.8%. </w:t>
      </w:r>
      <w:r w:rsidRPr="0085534E">
        <w:rPr>
          <w:color w:val="auto"/>
          <w:szCs w:val="22"/>
        </w:rPr>
        <w:t>Pneumonia was the most commonly reported severe infection with Grade 3 reported in 21.7% of patients in Isa-Pd group compared to 16.1% in Pd group, and Grade 4 in 3.3% of patients in Isa-Pd group compared to 2.7% in Pd group. Discontinuations from treatment due to infection were reported in 2.6% of patients in Isa-Pd group compared to 5.4% in Pd group. Fatal infections were reported in 3.3% of patients in Isa-Pd group and 4.0% in Pd group.</w:t>
      </w:r>
      <w:r w:rsidRPr="0085534E">
        <w:rPr>
          <w:noProof/>
          <w:color w:val="auto"/>
          <w:szCs w:val="22"/>
        </w:rPr>
        <w:t xml:space="preserve"> </w:t>
      </w:r>
    </w:p>
    <w:p w14:paraId="76D0909F" w14:textId="63E1FBAC" w:rsidR="009E4A3A" w:rsidRPr="0085534E" w:rsidRDefault="009E4A3A" w:rsidP="007C4C57">
      <w:pPr>
        <w:tabs>
          <w:tab w:val="left" w:pos="1440"/>
          <w:tab w:val="left" w:pos="2160"/>
        </w:tabs>
        <w:spacing w:before="120"/>
        <w:jc w:val="both"/>
        <w:rPr>
          <w:color w:val="auto"/>
          <w:lang w:val="en-AU"/>
        </w:rPr>
      </w:pPr>
      <w:r w:rsidRPr="0085534E">
        <w:rPr>
          <w:color w:val="auto"/>
          <w:lang w:val="en-AU"/>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1" w:history="1">
        <w:r w:rsidRPr="0085534E">
          <w:rPr>
            <w:color w:val="auto"/>
            <w:lang w:val="en-AU"/>
          </w:rPr>
          <w:t>www.tga.gov.au/reporting-problems</w:t>
        </w:r>
      </w:hyperlink>
      <w:r w:rsidRPr="0085534E">
        <w:rPr>
          <w:color w:val="auto"/>
          <w:lang w:val="en-AU"/>
        </w:rPr>
        <w:t xml:space="preserve"> (Australia) or </w:t>
      </w:r>
      <w:hyperlink r:id="rId12" w:history="1">
        <w:r w:rsidRPr="0085534E">
          <w:rPr>
            <w:color w:val="auto"/>
            <w:lang w:val="en-AU"/>
          </w:rPr>
          <w:t>https://nzphvc.otago.ac.nz/reporting/</w:t>
        </w:r>
      </w:hyperlink>
      <w:r w:rsidRPr="0085534E">
        <w:rPr>
          <w:color w:val="auto"/>
          <w:lang w:val="en-AU"/>
        </w:rPr>
        <w:t xml:space="preserve"> (New Zealand).</w:t>
      </w:r>
    </w:p>
    <w:p w14:paraId="21493FD3" w14:textId="77777777" w:rsidR="001A3992" w:rsidRPr="0085534E" w:rsidRDefault="001A3992" w:rsidP="00EF5223">
      <w:pPr>
        <w:pStyle w:val="Heading2"/>
        <w:keepLines/>
        <w:spacing w:before="240" w:after="120"/>
        <w:rPr>
          <w:lang w:val="en-AU"/>
        </w:rPr>
      </w:pPr>
      <w:r w:rsidRPr="0085534E">
        <w:rPr>
          <w:lang w:val="en-AU"/>
        </w:rPr>
        <w:t>Overdose</w:t>
      </w:r>
    </w:p>
    <w:p w14:paraId="122242D8" w14:textId="77777777" w:rsidR="002C495F" w:rsidRPr="0085534E" w:rsidRDefault="002C495F" w:rsidP="007D1204">
      <w:pPr>
        <w:rPr>
          <w:rFonts w:eastAsia="Times New Roman"/>
          <w:b/>
          <w:color w:val="auto"/>
          <w:sz w:val="22"/>
          <w:szCs w:val="20"/>
          <w:lang w:val="en-GB"/>
        </w:rPr>
      </w:pPr>
      <w:r w:rsidRPr="0085534E">
        <w:rPr>
          <w:b/>
          <w:color w:val="auto"/>
        </w:rPr>
        <w:t>Signs and symptoms</w:t>
      </w:r>
    </w:p>
    <w:p w14:paraId="476B0CFE" w14:textId="43A18BE6" w:rsidR="002C495F" w:rsidRPr="0085534E" w:rsidRDefault="007D1204" w:rsidP="007D1204">
      <w:pPr>
        <w:rPr>
          <w:color w:val="auto"/>
        </w:rPr>
      </w:pPr>
      <w:r w:rsidRPr="0085534E">
        <w:rPr>
          <w:color w:val="auto"/>
        </w:rPr>
        <w:t xml:space="preserve">There has been no experience of overdose in clinical studies. Doses of intravenous </w:t>
      </w:r>
      <w:r w:rsidR="00957ADE" w:rsidRPr="0085534E">
        <w:rPr>
          <w:color w:val="auto"/>
          <w:lang w:val="en-AU"/>
        </w:rPr>
        <w:t>Sarclisa</w:t>
      </w:r>
      <w:r w:rsidRPr="0085534E">
        <w:rPr>
          <w:color w:val="auto"/>
        </w:rPr>
        <w:t xml:space="preserve"> up to 20 mg/kg have been administered in clinical studies. </w:t>
      </w:r>
    </w:p>
    <w:p w14:paraId="70DE52C6" w14:textId="77777777" w:rsidR="002C495F" w:rsidRPr="0085534E" w:rsidRDefault="002C495F" w:rsidP="007D1204">
      <w:pPr>
        <w:rPr>
          <w:rFonts w:eastAsia="Times New Roman"/>
          <w:b/>
          <w:color w:val="auto"/>
          <w:sz w:val="22"/>
          <w:szCs w:val="20"/>
          <w:lang w:val="en-GB"/>
        </w:rPr>
      </w:pPr>
      <w:r w:rsidRPr="0085534E">
        <w:rPr>
          <w:b/>
          <w:color w:val="auto"/>
        </w:rPr>
        <w:t>Management</w:t>
      </w:r>
    </w:p>
    <w:p w14:paraId="1C1A625A" w14:textId="01908656" w:rsidR="007D1204" w:rsidRPr="0085534E" w:rsidRDefault="007D1204" w:rsidP="007D1204">
      <w:pPr>
        <w:rPr>
          <w:i/>
          <w:iCs/>
          <w:noProof/>
          <w:color w:val="auto"/>
        </w:rPr>
      </w:pPr>
      <w:r w:rsidRPr="0085534E">
        <w:rPr>
          <w:color w:val="auto"/>
        </w:rPr>
        <w:t xml:space="preserve">There is no known specific antidote for </w:t>
      </w:r>
      <w:r w:rsidR="00957ADE" w:rsidRPr="0085534E">
        <w:rPr>
          <w:color w:val="auto"/>
          <w:lang w:val="en-AU"/>
        </w:rPr>
        <w:t>Sarclisa</w:t>
      </w:r>
      <w:r w:rsidRPr="0085534E">
        <w:rPr>
          <w:color w:val="auto"/>
        </w:rPr>
        <w:t xml:space="preserve"> overdose. In the event of overdose of </w:t>
      </w:r>
      <w:r w:rsidR="00957ADE" w:rsidRPr="0085534E">
        <w:rPr>
          <w:color w:val="auto"/>
          <w:lang w:val="en-AU"/>
        </w:rPr>
        <w:t>Sarclisa</w:t>
      </w:r>
      <w:r w:rsidRPr="0085534E">
        <w:rPr>
          <w:color w:val="auto"/>
        </w:rPr>
        <w:t>, monitor the patients for signs or symptoms of adverse effects and take all appropriate measures immediately.</w:t>
      </w:r>
    </w:p>
    <w:p w14:paraId="3B3BEA3E" w14:textId="77777777" w:rsidR="009E4A3A" w:rsidRPr="0085534E" w:rsidRDefault="009E4A3A" w:rsidP="007C4C57">
      <w:pPr>
        <w:tabs>
          <w:tab w:val="left" w:pos="1440"/>
          <w:tab w:val="left" w:pos="2160"/>
        </w:tabs>
        <w:spacing w:before="120"/>
        <w:jc w:val="both"/>
        <w:rPr>
          <w:color w:val="auto"/>
          <w:lang w:val="en-AU"/>
        </w:rPr>
      </w:pPr>
      <w:r w:rsidRPr="0085534E">
        <w:rPr>
          <w:color w:val="auto"/>
          <w:lang w:val="en-AU"/>
        </w:rPr>
        <w:lastRenderedPageBreak/>
        <w:t>For general advice on overdose management, contact the Poisons Information Centre, telephone number 13 11 26 (Australia) or the National Poisons Centre, 0800 POISON or 0800 764 766 (New Zealand).</w:t>
      </w:r>
    </w:p>
    <w:p w14:paraId="0496144F" w14:textId="77777777" w:rsidR="00A62F6D" w:rsidRPr="0085534E" w:rsidRDefault="00A62F6D" w:rsidP="00024098">
      <w:pPr>
        <w:rPr>
          <w:color w:val="auto"/>
          <w:lang w:val="en-AU"/>
        </w:rPr>
      </w:pPr>
    </w:p>
    <w:p w14:paraId="0C95CEA1" w14:textId="77777777" w:rsidR="001A3992" w:rsidRPr="0085534E" w:rsidRDefault="001A3992" w:rsidP="00024098">
      <w:pPr>
        <w:pStyle w:val="Heading1"/>
        <w:keepNext w:val="0"/>
        <w:pageBreakBefore w:val="0"/>
        <w:spacing w:before="0" w:after="120"/>
        <w:rPr>
          <w:lang w:val="en-AU"/>
        </w:rPr>
      </w:pPr>
      <w:r w:rsidRPr="0085534E">
        <w:rPr>
          <w:lang w:val="en-AU"/>
        </w:rPr>
        <w:t>Pharmacological properties</w:t>
      </w:r>
    </w:p>
    <w:p w14:paraId="6A24A53E" w14:textId="77777777" w:rsidR="001A3992" w:rsidRPr="0085534E" w:rsidRDefault="001A3992" w:rsidP="001A3992">
      <w:pPr>
        <w:pStyle w:val="Heading2"/>
        <w:spacing w:before="0" w:after="120"/>
        <w:rPr>
          <w:lang w:val="en-AU"/>
        </w:rPr>
      </w:pPr>
      <w:r w:rsidRPr="0085534E">
        <w:rPr>
          <w:lang w:val="en-AU"/>
        </w:rPr>
        <w:t xml:space="preserve">Pharmacodynamic properties </w:t>
      </w:r>
    </w:p>
    <w:p w14:paraId="1AE4228D" w14:textId="77777777" w:rsidR="006300D9" w:rsidRPr="0085534E" w:rsidRDefault="006300D9" w:rsidP="006300D9">
      <w:pPr>
        <w:rPr>
          <w:color w:val="auto"/>
          <w:lang w:val="en-AU"/>
        </w:rPr>
      </w:pPr>
      <w:r w:rsidRPr="0085534E">
        <w:rPr>
          <w:color w:val="auto"/>
          <w:lang w:val="en-AU"/>
        </w:rPr>
        <w:t xml:space="preserve">Pharmacotherapeutic group: </w:t>
      </w:r>
      <w:r w:rsidR="00B00719" w:rsidRPr="0085534E">
        <w:rPr>
          <w:color w:val="auto"/>
        </w:rPr>
        <w:t>CD38 directed monoclonal antibody</w:t>
      </w:r>
      <w:r w:rsidR="00B00719" w:rsidRPr="0085534E">
        <w:rPr>
          <w:color w:val="auto"/>
          <w:lang w:val="en-AU"/>
        </w:rPr>
        <w:t xml:space="preserve">, </w:t>
      </w:r>
      <w:r w:rsidRPr="0085534E">
        <w:rPr>
          <w:color w:val="auto"/>
          <w:lang w:val="en-AU"/>
        </w:rPr>
        <w:t xml:space="preserve">ATC code: </w:t>
      </w:r>
      <w:r w:rsidR="00B00719" w:rsidRPr="0085534E">
        <w:rPr>
          <w:noProof/>
          <w:color w:val="auto"/>
          <w:szCs w:val="22"/>
          <w:highlight w:val="lightGray"/>
        </w:rPr>
        <w:t>not yet assigned</w:t>
      </w:r>
      <w:r w:rsidR="00B00719" w:rsidRPr="0085534E">
        <w:rPr>
          <w:noProof/>
          <w:color w:val="auto"/>
          <w:szCs w:val="22"/>
        </w:rPr>
        <w:t>.</w:t>
      </w:r>
    </w:p>
    <w:p w14:paraId="3D0E4BB2" w14:textId="77777777" w:rsidR="006300D9" w:rsidRPr="0085534E" w:rsidRDefault="006300D9" w:rsidP="006300D9">
      <w:pPr>
        <w:rPr>
          <w:color w:val="auto"/>
          <w:lang w:val="en-AU"/>
        </w:rPr>
      </w:pPr>
    </w:p>
    <w:p w14:paraId="687AC8A6" w14:textId="77777777" w:rsidR="0024632F" w:rsidRPr="0085534E" w:rsidRDefault="0024632F" w:rsidP="00CA73C2">
      <w:pPr>
        <w:pStyle w:val="Heading3"/>
        <w:numPr>
          <w:ilvl w:val="0"/>
          <w:numId w:val="0"/>
        </w:numPr>
        <w:spacing w:before="0" w:after="120"/>
        <w:ind w:left="680" w:hanging="680"/>
      </w:pPr>
      <w:r w:rsidRPr="0085534E">
        <w:t>Mechanism of action</w:t>
      </w:r>
    </w:p>
    <w:p w14:paraId="4970721A" w14:textId="16490422" w:rsidR="00CE64A4" w:rsidRPr="0085534E" w:rsidRDefault="00CE64A4" w:rsidP="00CE64A4">
      <w:pPr>
        <w:rPr>
          <w:color w:val="auto"/>
          <w:sz w:val="22"/>
        </w:rPr>
      </w:pPr>
      <w:r w:rsidRPr="0085534E">
        <w:rPr>
          <w:color w:val="auto"/>
        </w:rPr>
        <w:t>Isatuximab is an IgG1-derived monoclonal antibody that binds to a specific extracellular epitope of CD38 receptor and triggers several mechanisms leading to the death of CD38 expressing tum</w:t>
      </w:r>
      <w:r w:rsidR="00AA2699" w:rsidRPr="0085534E">
        <w:rPr>
          <w:color w:val="auto"/>
        </w:rPr>
        <w:t>u</w:t>
      </w:r>
      <w:r w:rsidRPr="0085534E">
        <w:rPr>
          <w:color w:val="auto"/>
        </w:rPr>
        <w:t>or cells.</w:t>
      </w:r>
    </w:p>
    <w:p w14:paraId="79D63B90" w14:textId="77777777" w:rsidR="00CE64A4" w:rsidRPr="0085534E" w:rsidRDefault="00CE64A4" w:rsidP="00CE64A4">
      <w:pPr>
        <w:rPr>
          <w:color w:val="auto"/>
        </w:rPr>
      </w:pPr>
      <w:r w:rsidRPr="0085534E">
        <w:rPr>
          <w:color w:val="auto"/>
        </w:rPr>
        <w:t xml:space="preserve">CD38 is a transmembrane glycoprotein with ectoenzymatic activity, expressed in haematological malignancies, and is highly and uniformly expressed on multiple myeloma cells. </w:t>
      </w:r>
    </w:p>
    <w:p w14:paraId="2AB807A3" w14:textId="795DC285" w:rsidR="00CE64A4" w:rsidRPr="0085534E" w:rsidRDefault="00CE64A4" w:rsidP="00CE64A4">
      <w:pPr>
        <w:rPr>
          <w:color w:val="auto"/>
        </w:rPr>
      </w:pPr>
      <w:r w:rsidRPr="0085534E">
        <w:rPr>
          <w:color w:val="auto"/>
        </w:rPr>
        <w:t>Isatuximab acts through IgG Fc-dependent mechanisms including: antibody dependent cell mediated cytotoxicity (ADCC), antibody dependent cellular phagocytosis (ADCP), and complement dependent cytotoxicity (CDC). Isatuximab can also trigger tum</w:t>
      </w:r>
      <w:r w:rsidR="00AA2699" w:rsidRPr="0085534E">
        <w:rPr>
          <w:color w:val="auto"/>
        </w:rPr>
        <w:t>u</w:t>
      </w:r>
      <w:r w:rsidRPr="0085534E">
        <w:rPr>
          <w:color w:val="auto"/>
        </w:rPr>
        <w:t>or cell death by induction of apoptosis via an Fc-independent mechanism.</w:t>
      </w:r>
    </w:p>
    <w:p w14:paraId="7109C9A9" w14:textId="093E7D3E" w:rsidR="00CE64A4" w:rsidRPr="0085534E" w:rsidRDefault="00CE64A4" w:rsidP="00CE64A4">
      <w:pPr>
        <w:rPr>
          <w:color w:val="auto"/>
        </w:rPr>
      </w:pPr>
      <w:r w:rsidRPr="0085534E">
        <w:rPr>
          <w:color w:val="auto"/>
        </w:rPr>
        <w:t xml:space="preserve">In human peripheral blood mononuclear cells (PBMCs), </w:t>
      </w:r>
      <w:r w:rsidRPr="0085534E">
        <w:rPr>
          <w:color w:val="auto"/>
          <w:szCs w:val="22"/>
        </w:rPr>
        <w:t>natural killer (</w:t>
      </w:r>
      <w:r w:rsidRPr="0085534E">
        <w:rPr>
          <w:color w:val="auto"/>
        </w:rPr>
        <w:t xml:space="preserve">NK) cells express the highest CD38 levels. </w:t>
      </w:r>
      <w:r w:rsidRPr="0085534E">
        <w:rPr>
          <w:i/>
          <w:color w:val="auto"/>
        </w:rPr>
        <w:t>In vitro</w:t>
      </w:r>
      <w:r w:rsidRPr="0085534E">
        <w:rPr>
          <w:color w:val="auto"/>
        </w:rPr>
        <w:t xml:space="preserve">, isatuximab can activate NK cells in the absence of CD38 positive target tumour cells through a mechanism which is dependent of the Fc portion of isatuximab. Also, isatuximab inhibits </w:t>
      </w:r>
      <w:r w:rsidR="00AA2699" w:rsidRPr="0085534E">
        <w:rPr>
          <w:color w:val="auto"/>
        </w:rPr>
        <w:t>regulatory T cells (</w:t>
      </w:r>
      <w:r w:rsidRPr="0085534E">
        <w:rPr>
          <w:color w:val="auto"/>
        </w:rPr>
        <w:t>Tregs</w:t>
      </w:r>
      <w:r w:rsidR="00AA2699" w:rsidRPr="0085534E">
        <w:rPr>
          <w:color w:val="auto"/>
        </w:rPr>
        <w:t>)</w:t>
      </w:r>
      <w:r w:rsidRPr="0085534E">
        <w:rPr>
          <w:color w:val="auto"/>
        </w:rPr>
        <w:t xml:space="preserve"> which express higher levels of CD38 in MM patients compared to healthy individuals.</w:t>
      </w:r>
    </w:p>
    <w:p w14:paraId="1F8A433F" w14:textId="35CAAFF8" w:rsidR="00CE64A4" w:rsidRPr="0085534E" w:rsidRDefault="00CE64A4" w:rsidP="00CE64A4">
      <w:pPr>
        <w:rPr>
          <w:color w:val="auto"/>
        </w:rPr>
      </w:pPr>
      <w:r w:rsidRPr="0085534E">
        <w:rPr>
          <w:color w:val="auto"/>
        </w:rPr>
        <w:t>Isatuximab blocks the enzymatic activity of CD38 which cataly</w:t>
      </w:r>
      <w:r w:rsidR="00AA2699" w:rsidRPr="0085534E">
        <w:rPr>
          <w:color w:val="auto"/>
        </w:rPr>
        <w:t>s</w:t>
      </w:r>
      <w:r w:rsidRPr="0085534E">
        <w:rPr>
          <w:color w:val="auto"/>
        </w:rPr>
        <w:t>es the synthesis and hydrolysis of cyclic ADP-ribose</w:t>
      </w:r>
      <w:r w:rsidR="00AA2699" w:rsidRPr="0085534E">
        <w:rPr>
          <w:color w:val="auto"/>
        </w:rPr>
        <w:t>(cADPR)</w:t>
      </w:r>
      <w:r w:rsidRPr="0085534E">
        <w:rPr>
          <w:color w:val="auto"/>
        </w:rPr>
        <w:t>, a calcium mobili</w:t>
      </w:r>
      <w:r w:rsidR="00AA2699" w:rsidRPr="0085534E">
        <w:rPr>
          <w:color w:val="auto"/>
        </w:rPr>
        <w:t>s</w:t>
      </w:r>
      <w:r w:rsidRPr="0085534E">
        <w:rPr>
          <w:color w:val="auto"/>
        </w:rPr>
        <w:t xml:space="preserve">ing agent, and this may contribute to immunoregulatory functions. Isatuximab inhibits the cADPR production from extracellular </w:t>
      </w:r>
      <w:r w:rsidR="00AA2699" w:rsidRPr="0085534E">
        <w:rPr>
          <w:color w:val="auto"/>
        </w:rPr>
        <w:t>nicotinamide adenine dinucleotide (</w:t>
      </w:r>
      <w:r w:rsidRPr="0085534E">
        <w:rPr>
          <w:color w:val="auto"/>
        </w:rPr>
        <w:t>NAD</w:t>
      </w:r>
      <w:r w:rsidR="00AA2699" w:rsidRPr="0085534E">
        <w:rPr>
          <w:color w:val="auto"/>
        </w:rPr>
        <w:t>)</w:t>
      </w:r>
      <w:r w:rsidRPr="0085534E">
        <w:rPr>
          <w:color w:val="auto"/>
        </w:rPr>
        <w:t xml:space="preserve"> in multiple myeloma cells.</w:t>
      </w:r>
    </w:p>
    <w:p w14:paraId="16427C44" w14:textId="2D76C20F" w:rsidR="00CE64A4" w:rsidRPr="0085534E" w:rsidRDefault="00CE64A4" w:rsidP="00CE64A4">
      <w:pPr>
        <w:rPr>
          <w:color w:val="auto"/>
        </w:rPr>
      </w:pPr>
      <w:r w:rsidRPr="0085534E">
        <w:rPr>
          <w:color w:val="auto"/>
        </w:rPr>
        <w:t xml:space="preserve">The combination of isatuximab and pomalidomide </w:t>
      </w:r>
      <w:r w:rsidRPr="0085534E">
        <w:rPr>
          <w:i/>
          <w:color w:val="auto"/>
        </w:rPr>
        <w:t>in vitro</w:t>
      </w:r>
      <w:r w:rsidRPr="0085534E">
        <w:rPr>
          <w:color w:val="auto"/>
        </w:rPr>
        <w:t xml:space="preserve"> enhances cell lysis of CD38 expressing multiple myeloma cells by effector cells (ADCC), and by direct tumour cell killing compared to that of isatuximab alone.  </w:t>
      </w:r>
      <w:r w:rsidRPr="0085534E">
        <w:rPr>
          <w:i/>
          <w:color w:val="auto"/>
        </w:rPr>
        <w:t>In vivo</w:t>
      </w:r>
      <w:r w:rsidRPr="0085534E">
        <w:rPr>
          <w:color w:val="auto"/>
        </w:rPr>
        <w:t xml:space="preserve"> experiments using a human multiple myeloma xenograft model demonstrated that the combination of isatuximab and pomalidomide results in enhanced antitumour activity compared to the activity of isatuximab or pomalidomide alone.</w:t>
      </w:r>
    </w:p>
    <w:p w14:paraId="0FA5EEE9" w14:textId="3BCD7DAF" w:rsidR="00B00719" w:rsidRPr="0085534E" w:rsidRDefault="00B00719" w:rsidP="00CE64A4">
      <w:pPr>
        <w:autoSpaceDE w:val="0"/>
        <w:autoSpaceDN w:val="0"/>
        <w:adjustRightInd w:val="0"/>
        <w:rPr>
          <w:b/>
          <w:color w:val="auto"/>
          <w:szCs w:val="22"/>
        </w:rPr>
      </w:pPr>
      <w:r w:rsidRPr="0085534E">
        <w:rPr>
          <w:b/>
          <w:color w:val="auto"/>
          <w:szCs w:val="22"/>
        </w:rPr>
        <w:t>Pharmacodynamic effects</w:t>
      </w:r>
    </w:p>
    <w:p w14:paraId="6BCB0894" w14:textId="56B8529E" w:rsidR="00CE64A4" w:rsidRPr="0085534E" w:rsidRDefault="00CE64A4" w:rsidP="00276EC6">
      <w:pPr>
        <w:rPr>
          <w:color w:val="auto"/>
          <w:sz w:val="22"/>
        </w:rPr>
      </w:pPr>
      <w:r w:rsidRPr="0085534E">
        <w:rPr>
          <w:color w:val="auto"/>
        </w:rPr>
        <w:t>The pharmacodynamic of isatuximab was characterized in monotherapy. A decrease in absolute counts of total NK cells (including inflammatory CD16</w:t>
      </w:r>
      <w:r w:rsidRPr="0085534E">
        <w:rPr>
          <w:color w:val="auto"/>
          <w:position w:val="6"/>
          <w:shd w:val="clear" w:color="auto" w:fill="FFFFFF"/>
        </w:rPr>
        <w:t>+ low</w:t>
      </w:r>
      <w:r w:rsidRPr="0085534E">
        <w:rPr>
          <w:color w:val="auto"/>
        </w:rPr>
        <w:t xml:space="preserve"> CD56</w:t>
      </w:r>
      <w:r w:rsidRPr="0085534E">
        <w:rPr>
          <w:color w:val="auto"/>
          <w:position w:val="6"/>
          <w:shd w:val="clear" w:color="auto" w:fill="FFFFFF"/>
        </w:rPr>
        <w:t>+ bright</w:t>
      </w:r>
      <w:r w:rsidRPr="0085534E">
        <w:rPr>
          <w:color w:val="auto"/>
        </w:rPr>
        <w:t xml:space="preserve"> and </w:t>
      </w:r>
      <w:r w:rsidRPr="0085534E">
        <w:rPr>
          <w:color w:val="auto"/>
        </w:rPr>
        <w:lastRenderedPageBreak/>
        <w:t>cytotoxic CD16</w:t>
      </w:r>
      <w:r w:rsidRPr="0085534E">
        <w:rPr>
          <w:color w:val="auto"/>
          <w:position w:val="6"/>
          <w:shd w:val="clear" w:color="auto" w:fill="FFFFFF"/>
        </w:rPr>
        <w:t>+ bright</w:t>
      </w:r>
      <w:r w:rsidRPr="0085534E">
        <w:rPr>
          <w:color w:val="auto"/>
          <w:vertAlign w:val="superscript"/>
        </w:rPr>
        <w:t xml:space="preserve"> </w:t>
      </w:r>
      <w:r w:rsidRPr="0085534E">
        <w:rPr>
          <w:color w:val="auto"/>
        </w:rPr>
        <w:t>CD56</w:t>
      </w:r>
      <w:r w:rsidRPr="0085534E">
        <w:rPr>
          <w:color w:val="auto"/>
          <w:position w:val="6"/>
          <w:shd w:val="clear" w:color="auto" w:fill="FFFFFF"/>
        </w:rPr>
        <w:t>+ dim</w:t>
      </w:r>
      <w:r w:rsidRPr="0085534E">
        <w:rPr>
          <w:color w:val="auto"/>
        </w:rPr>
        <w:t xml:space="preserve"> NK cells), CD19</w:t>
      </w:r>
      <w:r w:rsidRPr="0085534E">
        <w:rPr>
          <w:color w:val="auto"/>
          <w:position w:val="6"/>
          <w:shd w:val="clear" w:color="auto" w:fill="FFFFFF"/>
        </w:rPr>
        <w:t>+</w:t>
      </w:r>
      <w:r w:rsidRPr="0085534E">
        <w:rPr>
          <w:color w:val="auto"/>
        </w:rPr>
        <w:t xml:space="preserve"> B-cells, CD4</w:t>
      </w:r>
      <w:r w:rsidRPr="0085534E">
        <w:rPr>
          <w:color w:val="auto"/>
          <w:position w:val="6"/>
          <w:shd w:val="clear" w:color="auto" w:fill="FFFFFF"/>
        </w:rPr>
        <w:t>+</w:t>
      </w:r>
      <w:r w:rsidRPr="0085534E">
        <w:rPr>
          <w:color w:val="auto"/>
        </w:rPr>
        <w:t xml:space="preserve"> T-cells and T</w:t>
      </w:r>
      <w:r w:rsidRPr="0085534E">
        <w:rPr>
          <w:color w:val="auto"/>
          <w:vertAlign w:val="subscript"/>
        </w:rPr>
        <w:t>REG</w:t>
      </w:r>
      <w:r w:rsidRPr="0085534E">
        <w:rPr>
          <w:color w:val="auto"/>
        </w:rPr>
        <w:t xml:space="preserve"> (CD3</w:t>
      </w:r>
      <w:r w:rsidRPr="0085534E">
        <w:rPr>
          <w:color w:val="auto"/>
          <w:position w:val="6"/>
          <w:shd w:val="clear" w:color="auto" w:fill="FFFFFF"/>
        </w:rPr>
        <w:t>+</w:t>
      </w:r>
      <w:r w:rsidRPr="0085534E">
        <w:rPr>
          <w:color w:val="auto"/>
        </w:rPr>
        <w:t>, CD4</w:t>
      </w:r>
      <w:r w:rsidRPr="0085534E">
        <w:rPr>
          <w:color w:val="auto"/>
          <w:position w:val="6"/>
          <w:shd w:val="clear" w:color="auto" w:fill="FFFFFF"/>
        </w:rPr>
        <w:t>+</w:t>
      </w:r>
      <w:r w:rsidRPr="0085534E">
        <w:rPr>
          <w:color w:val="auto"/>
        </w:rPr>
        <w:t>, CD25</w:t>
      </w:r>
      <w:r w:rsidRPr="0085534E">
        <w:rPr>
          <w:color w:val="auto"/>
          <w:position w:val="6"/>
          <w:shd w:val="clear" w:color="auto" w:fill="FFFFFF"/>
        </w:rPr>
        <w:t>+</w:t>
      </w:r>
      <w:r w:rsidRPr="0085534E">
        <w:rPr>
          <w:color w:val="auto"/>
        </w:rPr>
        <w:t>, CD127</w:t>
      </w:r>
      <w:r w:rsidRPr="0085534E">
        <w:rPr>
          <w:color w:val="auto"/>
          <w:position w:val="6"/>
          <w:shd w:val="clear" w:color="auto" w:fill="FFFFFF"/>
        </w:rPr>
        <w:t>-</w:t>
      </w:r>
      <w:r w:rsidRPr="0085534E">
        <w:rPr>
          <w:color w:val="auto"/>
        </w:rPr>
        <w:t>) was observed in peripheral blood. The decrease of the T</w:t>
      </w:r>
      <w:r w:rsidRPr="0085534E">
        <w:rPr>
          <w:color w:val="auto"/>
          <w:vertAlign w:val="subscript"/>
        </w:rPr>
        <w:t>REG</w:t>
      </w:r>
      <w:r w:rsidRPr="0085534E">
        <w:rPr>
          <w:color w:val="auto"/>
        </w:rPr>
        <w:t xml:space="preserve"> was higher in responder patients compared to non-responder patients.  </w:t>
      </w:r>
    </w:p>
    <w:p w14:paraId="79C3DAB4" w14:textId="77777777" w:rsidR="00EF5223" w:rsidRDefault="00CE64A4" w:rsidP="00276EC6">
      <w:pPr>
        <w:rPr>
          <w:color w:val="auto"/>
        </w:rPr>
      </w:pPr>
      <w:r w:rsidRPr="0085534E">
        <w:rPr>
          <w:color w:val="auto"/>
        </w:rPr>
        <w:t xml:space="preserve">T-cell receptor (TCR) DNA sequencing was used to quantify expansion of individual T-cell clones, each of them having a unique TCR conferring antigen specificity. In multiple myeloma patients, </w:t>
      </w:r>
      <w:r w:rsidR="00957ADE" w:rsidRPr="0085534E">
        <w:rPr>
          <w:color w:val="auto"/>
          <w:lang w:val="en-AU"/>
        </w:rPr>
        <w:t>Sarclisa</w:t>
      </w:r>
      <w:r w:rsidR="00957ADE" w:rsidRPr="0085534E">
        <w:rPr>
          <w:color w:val="auto"/>
        </w:rPr>
        <w:t xml:space="preserve"> </w:t>
      </w:r>
      <w:r w:rsidRPr="0085534E">
        <w:rPr>
          <w:color w:val="auto"/>
        </w:rPr>
        <w:t>monotherapy induced clonal expansion of the T-cell receptor repertoire.</w:t>
      </w:r>
    </w:p>
    <w:p w14:paraId="67150ED9" w14:textId="4BD65D3D" w:rsidR="00CE64A4" w:rsidRPr="0085534E" w:rsidRDefault="00CE64A4" w:rsidP="00276EC6">
      <w:pPr>
        <w:rPr>
          <w:color w:val="auto"/>
        </w:rPr>
      </w:pPr>
      <w:r w:rsidRPr="0085534E">
        <w:rPr>
          <w:color w:val="auto"/>
        </w:rPr>
        <w:t xml:space="preserve">Two multiple myeloma patients who had a clinical response under </w:t>
      </w:r>
      <w:r w:rsidR="00957ADE" w:rsidRPr="0085534E">
        <w:rPr>
          <w:color w:val="auto"/>
          <w:lang w:val="en-AU"/>
        </w:rPr>
        <w:t>Sarclisa</w:t>
      </w:r>
      <w:r w:rsidRPr="0085534E">
        <w:rPr>
          <w:color w:val="auto"/>
        </w:rPr>
        <w:t xml:space="preserve"> treatment, developed T-cell responses against CD38 and tumor-associated antigens. In the same monotherapy study two patients who did not respond to </w:t>
      </w:r>
      <w:r w:rsidR="00957ADE" w:rsidRPr="0085534E">
        <w:rPr>
          <w:color w:val="auto"/>
          <w:lang w:val="en-AU"/>
        </w:rPr>
        <w:t>Sarclisa</w:t>
      </w:r>
      <w:r w:rsidRPr="0085534E">
        <w:rPr>
          <w:color w:val="auto"/>
        </w:rPr>
        <w:t xml:space="preserve"> did not develop such T-cell response.</w:t>
      </w:r>
    </w:p>
    <w:p w14:paraId="2DE7890E" w14:textId="13C62620" w:rsidR="00CE64A4" w:rsidRPr="0085534E" w:rsidRDefault="00CE64A4" w:rsidP="00276EC6">
      <w:pPr>
        <w:rPr>
          <w:color w:val="auto"/>
        </w:rPr>
      </w:pPr>
      <w:r w:rsidRPr="0085534E">
        <w:rPr>
          <w:color w:val="auto"/>
        </w:rPr>
        <w:t xml:space="preserve">In multiple myeloma patients treated with </w:t>
      </w:r>
      <w:r w:rsidR="00957ADE" w:rsidRPr="0085534E">
        <w:rPr>
          <w:color w:val="auto"/>
          <w:lang w:val="en-AU"/>
        </w:rPr>
        <w:t>Sarclisa</w:t>
      </w:r>
      <w:r w:rsidRPr="0085534E">
        <w:rPr>
          <w:color w:val="auto"/>
        </w:rPr>
        <w:t xml:space="preserve"> combined with pomalidomide and dexamethasone, a decrease in absolute counts of total NK cells </w:t>
      </w:r>
      <w:r w:rsidRPr="0085534E">
        <w:rPr>
          <w:color w:val="auto"/>
          <w:shd w:val="clear" w:color="auto" w:fill="FFFFFF"/>
        </w:rPr>
        <w:t>(including inflammatory CD16</w:t>
      </w:r>
      <w:r w:rsidRPr="0085534E">
        <w:rPr>
          <w:color w:val="auto"/>
          <w:position w:val="6"/>
          <w:shd w:val="clear" w:color="auto" w:fill="FFFFFF"/>
        </w:rPr>
        <w:t>+ low</w:t>
      </w:r>
      <w:r w:rsidRPr="0085534E">
        <w:rPr>
          <w:color w:val="auto"/>
          <w:shd w:val="clear" w:color="auto" w:fill="FFFFFF"/>
        </w:rPr>
        <w:t> CD56</w:t>
      </w:r>
      <w:r w:rsidRPr="0085534E">
        <w:rPr>
          <w:color w:val="auto"/>
          <w:position w:val="6"/>
          <w:shd w:val="clear" w:color="auto" w:fill="FFFFFF"/>
        </w:rPr>
        <w:t>+ bright</w:t>
      </w:r>
      <w:r w:rsidRPr="0085534E">
        <w:rPr>
          <w:color w:val="auto"/>
          <w:shd w:val="clear" w:color="auto" w:fill="FFFFFF"/>
        </w:rPr>
        <w:t> and cytotoxic CD16</w:t>
      </w:r>
      <w:r w:rsidRPr="0085534E">
        <w:rPr>
          <w:color w:val="auto"/>
          <w:position w:val="6"/>
          <w:shd w:val="clear" w:color="auto" w:fill="FFFFFF"/>
        </w:rPr>
        <w:t>+ bright</w:t>
      </w:r>
      <w:r w:rsidRPr="0085534E">
        <w:rPr>
          <w:color w:val="auto"/>
          <w:shd w:val="clear" w:color="auto" w:fill="FFFFFF"/>
        </w:rPr>
        <w:t xml:space="preserve"> CD56</w:t>
      </w:r>
      <w:r w:rsidRPr="0085534E">
        <w:rPr>
          <w:color w:val="auto"/>
          <w:position w:val="6"/>
          <w:shd w:val="clear" w:color="auto" w:fill="FFFFFF"/>
        </w:rPr>
        <w:t>+ dim</w:t>
      </w:r>
      <w:r w:rsidRPr="0085534E">
        <w:rPr>
          <w:color w:val="auto"/>
          <w:shd w:val="clear" w:color="auto" w:fill="FFFFFF"/>
        </w:rPr>
        <w:t> NK cells)</w:t>
      </w:r>
      <w:r w:rsidRPr="0085534E">
        <w:rPr>
          <w:color w:val="auto"/>
        </w:rPr>
        <w:t xml:space="preserve"> and CD19</w:t>
      </w:r>
      <w:r w:rsidRPr="0085534E">
        <w:rPr>
          <w:color w:val="auto"/>
          <w:position w:val="6"/>
          <w:shd w:val="clear" w:color="auto" w:fill="FFFFFF"/>
        </w:rPr>
        <w:t xml:space="preserve">+ </w:t>
      </w:r>
      <w:r w:rsidRPr="0085534E">
        <w:rPr>
          <w:color w:val="auto"/>
        </w:rPr>
        <w:t>B-cells was observed in peripheral blood. An increase of CD4</w:t>
      </w:r>
      <w:r w:rsidRPr="0085534E">
        <w:rPr>
          <w:color w:val="auto"/>
          <w:position w:val="6"/>
          <w:shd w:val="clear" w:color="auto" w:fill="FFFFFF"/>
        </w:rPr>
        <w:t>+</w:t>
      </w:r>
      <w:r w:rsidRPr="0085534E">
        <w:rPr>
          <w:color w:val="auto"/>
        </w:rPr>
        <w:t xml:space="preserve"> T cells and T</w:t>
      </w:r>
      <w:r w:rsidRPr="0085534E">
        <w:rPr>
          <w:color w:val="auto"/>
          <w:vertAlign w:val="subscript"/>
        </w:rPr>
        <w:t>REG</w:t>
      </w:r>
      <w:r w:rsidRPr="0085534E">
        <w:rPr>
          <w:color w:val="auto"/>
        </w:rPr>
        <w:t xml:space="preserve"> (CD3</w:t>
      </w:r>
      <w:r w:rsidRPr="0085534E">
        <w:rPr>
          <w:color w:val="auto"/>
          <w:position w:val="6"/>
          <w:shd w:val="clear" w:color="auto" w:fill="FFFFFF"/>
        </w:rPr>
        <w:t>+</w:t>
      </w:r>
      <w:r w:rsidRPr="0085534E">
        <w:rPr>
          <w:color w:val="auto"/>
        </w:rPr>
        <w:t>, CD4</w:t>
      </w:r>
      <w:r w:rsidRPr="0085534E">
        <w:rPr>
          <w:color w:val="auto"/>
          <w:position w:val="6"/>
          <w:shd w:val="clear" w:color="auto" w:fill="FFFFFF"/>
        </w:rPr>
        <w:t>+</w:t>
      </w:r>
      <w:r w:rsidRPr="0085534E">
        <w:rPr>
          <w:color w:val="auto"/>
        </w:rPr>
        <w:t>, CD25</w:t>
      </w:r>
      <w:r w:rsidRPr="0085534E">
        <w:rPr>
          <w:color w:val="auto"/>
          <w:position w:val="6"/>
          <w:shd w:val="clear" w:color="auto" w:fill="FFFFFF"/>
        </w:rPr>
        <w:t>+</w:t>
      </w:r>
      <w:r w:rsidRPr="0085534E">
        <w:rPr>
          <w:color w:val="auto"/>
        </w:rPr>
        <w:t>, CD127</w:t>
      </w:r>
      <w:r w:rsidRPr="0085534E">
        <w:rPr>
          <w:color w:val="auto"/>
          <w:position w:val="6"/>
          <w:shd w:val="clear" w:color="auto" w:fill="FFFFFF"/>
        </w:rPr>
        <w:t>-</w:t>
      </w:r>
      <w:r w:rsidRPr="0085534E">
        <w:rPr>
          <w:color w:val="auto"/>
        </w:rPr>
        <w:t>) was observed in the all treated population and non-res</w:t>
      </w:r>
      <w:r w:rsidR="00276EC6" w:rsidRPr="0085534E">
        <w:rPr>
          <w:color w:val="auto"/>
        </w:rPr>
        <w:t xml:space="preserve">ponder patients. </w:t>
      </w:r>
    </w:p>
    <w:p w14:paraId="268198FB" w14:textId="7436E16B" w:rsidR="00CE64A4" w:rsidRPr="0085534E" w:rsidRDefault="00CE64A4" w:rsidP="00276EC6">
      <w:pPr>
        <w:rPr>
          <w:color w:val="auto"/>
          <w:shd w:val="clear" w:color="auto" w:fill="FFFFFF"/>
        </w:rPr>
      </w:pPr>
      <w:r w:rsidRPr="0085534E">
        <w:rPr>
          <w:color w:val="auto"/>
          <w:shd w:val="clear" w:color="auto" w:fill="FFFFFF"/>
        </w:rPr>
        <w:t xml:space="preserve">The pharmacodynamics effects of </w:t>
      </w:r>
      <w:r w:rsidR="00957ADE" w:rsidRPr="0085534E">
        <w:rPr>
          <w:color w:val="auto"/>
          <w:lang w:val="en-AU"/>
        </w:rPr>
        <w:t>Sarclisa</w:t>
      </w:r>
      <w:r w:rsidRPr="0085534E">
        <w:rPr>
          <w:color w:val="auto"/>
          <w:shd w:val="clear" w:color="auto" w:fill="FFFFFF"/>
        </w:rPr>
        <w:t xml:space="preserve"> in multiple myeloma patients support its immunomodulatory mechanism of action. In addition to its effector functions, </w:t>
      </w:r>
      <w:r w:rsidR="00957ADE" w:rsidRPr="0085534E">
        <w:rPr>
          <w:color w:val="auto"/>
          <w:lang w:val="en-AU"/>
        </w:rPr>
        <w:t>Sarclisa</w:t>
      </w:r>
      <w:r w:rsidR="00957ADE" w:rsidRPr="0085534E">
        <w:rPr>
          <w:color w:val="auto"/>
        </w:rPr>
        <w:t xml:space="preserve"> </w:t>
      </w:r>
      <w:r w:rsidRPr="0085534E">
        <w:rPr>
          <w:color w:val="auto"/>
          <w:shd w:val="clear" w:color="auto" w:fill="FFFFFF"/>
        </w:rPr>
        <w:t>induced T-cell response indicating an adaptive immune response.</w:t>
      </w:r>
    </w:p>
    <w:p w14:paraId="534C5F17" w14:textId="77777777" w:rsidR="00993517" w:rsidRPr="0085534E" w:rsidRDefault="00993517" w:rsidP="00993517">
      <w:pPr>
        <w:rPr>
          <w:i/>
          <w:noProof/>
          <w:color w:val="auto"/>
          <w:szCs w:val="22"/>
        </w:rPr>
      </w:pPr>
      <w:r w:rsidRPr="0085534E">
        <w:rPr>
          <w:i/>
          <w:noProof/>
          <w:color w:val="auto"/>
          <w:szCs w:val="22"/>
        </w:rPr>
        <w:t>Immunogenicity</w:t>
      </w:r>
    </w:p>
    <w:p w14:paraId="33E8DB1C" w14:textId="5EBD412D" w:rsidR="00993517" w:rsidRPr="0085534E" w:rsidRDefault="00993517" w:rsidP="00993517">
      <w:pPr>
        <w:rPr>
          <w:color w:val="auto"/>
          <w:szCs w:val="22"/>
        </w:rPr>
      </w:pPr>
      <w:r w:rsidRPr="0085534E">
        <w:rPr>
          <w:color w:val="auto"/>
          <w:szCs w:val="22"/>
        </w:rPr>
        <w:t xml:space="preserve">As with all therapeutic proteins, there is a potential for immunogenicity to </w:t>
      </w:r>
      <w:r w:rsidR="00C91ADD" w:rsidRPr="0085534E">
        <w:rPr>
          <w:color w:val="auto"/>
          <w:szCs w:val="22"/>
        </w:rPr>
        <w:t>Sarclisa</w:t>
      </w:r>
      <w:r w:rsidRPr="0085534E">
        <w:rPr>
          <w:color w:val="auto"/>
          <w:szCs w:val="22"/>
        </w:rPr>
        <w:t>.</w:t>
      </w:r>
    </w:p>
    <w:p w14:paraId="072A8E47" w14:textId="74C40B5C" w:rsidR="00993517" w:rsidRPr="0085534E" w:rsidRDefault="00993517" w:rsidP="00993517">
      <w:pPr>
        <w:autoSpaceDE w:val="0"/>
        <w:autoSpaceDN w:val="0"/>
        <w:adjustRightInd w:val="0"/>
        <w:jc w:val="both"/>
        <w:rPr>
          <w:color w:val="auto"/>
          <w:szCs w:val="22"/>
        </w:rPr>
      </w:pPr>
      <w:r w:rsidRPr="0085534E">
        <w:rPr>
          <w:color w:val="auto"/>
          <w:szCs w:val="22"/>
        </w:rPr>
        <w:t xml:space="preserve">In ICARIA-MM, no patients tested positive for anti-drug antibodies (ADA). Therefore, the neutralizing ADA status was not determined. Overall, across 6 clinical studies in multiple myeloma (MM) with </w:t>
      </w:r>
      <w:r w:rsidR="00A43393" w:rsidRPr="0085534E">
        <w:rPr>
          <w:color w:val="auto"/>
          <w:szCs w:val="22"/>
        </w:rPr>
        <w:t>SARCLISA</w:t>
      </w:r>
      <w:r w:rsidRPr="0085534E">
        <w:rPr>
          <w:color w:val="auto"/>
          <w:szCs w:val="22"/>
        </w:rPr>
        <w:t xml:space="preserve"> single agent and combination therapies including ICARIA-MM (N=564), the incidence of treatment emergent ADAs was 2.3%. No effect of ADAs was observed on pharmacokinetics, safety or efficacy of </w:t>
      </w:r>
      <w:r w:rsidR="00A43393" w:rsidRPr="0085534E">
        <w:rPr>
          <w:color w:val="auto"/>
          <w:szCs w:val="22"/>
        </w:rPr>
        <w:t>S</w:t>
      </w:r>
      <w:r w:rsidR="00957ADE" w:rsidRPr="0085534E">
        <w:rPr>
          <w:color w:val="auto"/>
          <w:szCs w:val="22"/>
        </w:rPr>
        <w:t>arclisa</w:t>
      </w:r>
      <w:r w:rsidRPr="0085534E">
        <w:rPr>
          <w:color w:val="auto"/>
          <w:szCs w:val="22"/>
        </w:rPr>
        <w:t>.</w:t>
      </w:r>
    </w:p>
    <w:p w14:paraId="54D6A62E" w14:textId="77777777" w:rsidR="00B00719" w:rsidRPr="0085534E" w:rsidRDefault="00B00719" w:rsidP="00B00719">
      <w:pPr>
        <w:rPr>
          <w:color w:val="auto"/>
        </w:rPr>
      </w:pPr>
    </w:p>
    <w:p w14:paraId="49B21A1D" w14:textId="77777777" w:rsidR="001A3992" w:rsidRPr="0085534E" w:rsidRDefault="001A3992" w:rsidP="00CA73C2">
      <w:pPr>
        <w:pStyle w:val="Heading3"/>
        <w:numPr>
          <w:ilvl w:val="0"/>
          <w:numId w:val="0"/>
        </w:numPr>
        <w:spacing w:before="0" w:after="120"/>
        <w:ind w:left="680" w:hanging="680"/>
        <w:rPr>
          <w:lang w:val="en-AU"/>
        </w:rPr>
      </w:pPr>
      <w:r w:rsidRPr="0085534E">
        <w:rPr>
          <w:lang w:val="en-AU"/>
        </w:rPr>
        <w:t>Clinical trials</w:t>
      </w:r>
    </w:p>
    <w:p w14:paraId="50A0977C" w14:textId="77777777" w:rsidR="007D1204" w:rsidRPr="0085534E" w:rsidRDefault="007D1204" w:rsidP="007D1204">
      <w:pPr>
        <w:keepNext/>
        <w:autoSpaceDE w:val="0"/>
        <w:autoSpaceDN w:val="0"/>
        <w:adjustRightInd w:val="0"/>
        <w:rPr>
          <w:i/>
          <w:color w:val="auto"/>
          <w:szCs w:val="22"/>
        </w:rPr>
      </w:pPr>
      <w:r w:rsidRPr="0085534E">
        <w:rPr>
          <w:i/>
          <w:color w:val="auto"/>
          <w:szCs w:val="22"/>
        </w:rPr>
        <w:t>ICARIA-MM (EFC14335)</w:t>
      </w:r>
    </w:p>
    <w:p w14:paraId="3BE05ECB" w14:textId="0A18329A" w:rsidR="00CE64A4" w:rsidRPr="0085534E" w:rsidRDefault="00CE64A4" w:rsidP="00CE64A4">
      <w:pPr>
        <w:keepNext/>
        <w:autoSpaceDE w:val="0"/>
        <w:autoSpaceDN w:val="0"/>
        <w:adjustRightInd w:val="0"/>
        <w:rPr>
          <w:rFonts w:eastAsia="Times New Roman"/>
          <w:color w:val="auto"/>
          <w:sz w:val="22"/>
          <w:szCs w:val="22"/>
          <w:lang w:val="en-GB"/>
        </w:rPr>
      </w:pPr>
      <w:bookmarkStart w:id="8" w:name="_Toc240967330"/>
      <w:r w:rsidRPr="0085534E">
        <w:rPr>
          <w:color w:val="auto"/>
          <w:szCs w:val="22"/>
        </w:rPr>
        <w:t xml:space="preserve">The efficacy and safety of </w:t>
      </w:r>
      <w:r w:rsidR="00957ADE" w:rsidRPr="0085534E">
        <w:rPr>
          <w:color w:val="auto"/>
          <w:lang w:val="en-AU"/>
        </w:rPr>
        <w:t>Sarclisa</w:t>
      </w:r>
      <w:r w:rsidRPr="0085534E">
        <w:rPr>
          <w:color w:val="auto"/>
          <w:szCs w:val="22"/>
        </w:rPr>
        <w:t xml:space="preserve"> in combination with pomalidomide and low-dose dexamethasone were evaluated in ICARIA-MM (EFC14335), a multicenter, multinational, randomised, open-label, 2-arm, phase III study in patients with relapsed and refractory multiple myeloma. Patients had received at least two prior therapies including lenalidomide </w:t>
      </w:r>
      <w:r w:rsidR="0069200C" w:rsidRPr="0085534E">
        <w:rPr>
          <w:color w:val="auto"/>
          <w:szCs w:val="22"/>
        </w:rPr>
        <w:t>and a proteasome inhibitor.</w:t>
      </w:r>
    </w:p>
    <w:p w14:paraId="29A1570E" w14:textId="611A7546" w:rsidR="00CE64A4" w:rsidRPr="0085534E" w:rsidRDefault="00CE64A4" w:rsidP="00CE64A4">
      <w:pPr>
        <w:autoSpaceDE w:val="0"/>
        <w:autoSpaceDN w:val="0"/>
        <w:adjustRightInd w:val="0"/>
        <w:rPr>
          <w:color w:val="auto"/>
          <w:szCs w:val="22"/>
        </w:rPr>
      </w:pPr>
      <w:r w:rsidRPr="0085534E">
        <w:rPr>
          <w:color w:val="auto"/>
          <w:szCs w:val="22"/>
        </w:rPr>
        <w:t xml:space="preserve">A total of 307 patients were randomised in a 1:1 ratio to receive either </w:t>
      </w:r>
      <w:r w:rsidR="00A94D45" w:rsidRPr="0085534E">
        <w:rPr>
          <w:color w:val="auto"/>
          <w:szCs w:val="22"/>
        </w:rPr>
        <w:t xml:space="preserve">Sarclisa </w:t>
      </w:r>
      <w:r w:rsidRPr="0085534E">
        <w:rPr>
          <w:color w:val="auto"/>
          <w:szCs w:val="22"/>
        </w:rPr>
        <w:t xml:space="preserve">in combination with pomalidomide and low-dose dexamethasone (Isa-Pd, 154 patients) or pomalidomide and low-dose dexamethasone (Pd, 153 patients). Treatment was administered in both groups in 28-day cycles until disease progression or unacceptable toxicity. </w:t>
      </w:r>
      <w:r w:rsidR="00957ADE" w:rsidRPr="0085534E">
        <w:rPr>
          <w:color w:val="auto"/>
          <w:lang w:val="en-AU"/>
        </w:rPr>
        <w:t>Sarclisa</w:t>
      </w:r>
      <w:r w:rsidRPr="0085534E">
        <w:rPr>
          <w:color w:val="auto"/>
          <w:szCs w:val="22"/>
        </w:rPr>
        <w:t xml:space="preserve"> 10 </w:t>
      </w:r>
      <w:r w:rsidRPr="0085534E">
        <w:rPr>
          <w:color w:val="auto"/>
          <w:szCs w:val="22"/>
        </w:rPr>
        <w:lastRenderedPageBreak/>
        <w:t>mg/kg was administered as an I.V. infusion weekly in the first cycle and every two weeks thereafter. Pomalidomide 4 mg was taken orally once daily from day 1 to day 21 of each 28-day cycle. Low-dose dexamethasone (PO/IV) 40 mg (20 mg for patients ≥75 years of age) was given on days 1, 8, 15 a</w:t>
      </w:r>
      <w:r w:rsidR="0038408E" w:rsidRPr="0085534E">
        <w:rPr>
          <w:color w:val="auto"/>
          <w:szCs w:val="22"/>
        </w:rPr>
        <w:t xml:space="preserve">nd 22 for each 28-day cycle. </w:t>
      </w:r>
    </w:p>
    <w:p w14:paraId="2D958E9A" w14:textId="4F0524AF" w:rsidR="00CE64A4" w:rsidRPr="0085534E" w:rsidRDefault="00CE64A4" w:rsidP="00CE64A4">
      <w:pPr>
        <w:autoSpaceDE w:val="0"/>
        <w:autoSpaceDN w:val="0"/>
        <w:adjustRightInd w:val="0"/>
        <w:rPr>
          <w:color w:val="auto"/>
          <w:szCs w:val="22"/>
        </w:rPr>
      </w:pPr>
      <w:r w:rsidRPr="0085534E">
        <w:rPr>
          <w:color w:val="auto"/>
          <w:szCs w:val="22"/>
        </w:rPr>
        <w:t>Overall, demographic and disease characteristics at baseline were similar between the two treatment groups. The median patient age was 67 years (range 36-86), 19.9% of patients were ≥75 years, 10.4% of patients entered the study with a history of COPD or asthma, and 38.6% versus 33.3% of patients with renal impairment (creatinine clearance &lt;60 mL/min/1.73 m²) were included in Isa-Pd versus Pd groups, respectively. The International Staging System (ISS) Stage at initial diagnosis was I in 25.1%, II in 31.6% and III in 28.0% of patients. Overall, 19.5% of patients had high-risk chromosomal abnormalities at study entry; del(17p), t(4;14) and  t(14;16) were present in 12.1%, 8.5% and 1.6% of patients.,</w:t>
      </w:r>
      <w:r w:rsidR="0038408E" w:rsidRPr="0085534E">
        <w:rPr>
          <w:color w:val="auto"/>
          <w:szCs w:val="22"/>
        </w:rPr>
        <w:t xml:space="preserve"> respectively.</w:t>
      </w:r>
    </w:p>
    <w:p w14:paraId="598E427F" w14:textId="76142CBF" w:rsidR="00BC5855" w:rsidRPr="0085534E" w:rsidRDefault="00CE64A4" w:rsidP="00CE64A4">
      <w:pPr>
        <w:autoSpaceDE w:val="0"/>
        <w:autoSpaceDN w:val="0"/>
        <w:adjustRightInd w:val="0"/>
        <w:rPr>
          <w:color w:val="auto"/>
          <w:szCs w:val="22"/>
        </w:rPr>
      </w:pPr>
      <w:r w:rsidRPr="0085534E">
        <w:rPr>
          <w:color w:val="auto"/>
          <w:szCs w:val="22"/>
        </w:rPr>
        <w:t>The median number of prior lines of therapy was 3 (range 2-11). All patients received a prior proteasome inhibitor, all patients received prior lenalidomide, and 56.4% of patients received prior stem cell transplantation.</w:t>
      </w:r>
      <w:r w:rsidRPr="0085534E">
        <w:rPr>
          <w:color w:val="auto"/>
          <w:w w:val="85"/>
        </w:rPr>
        <w:t xml:space="preserve"> </w:t>
      </w:r>
      <w:r w:rsidRPr="0085534E">
        <w:rPr>
          <w:color w:val="auto"/>
          <w:szCs w:val="22"/>
        </w:rPr>
        <w:t>T</w:t>
      </w:r>
      <w:r w:rsidRPr="0085534E">
        <w:rPr>
          <w:color w:val="auto"/>
          <w:w w:val="105"/>
          <w:szCs w:val="22"/>
        </w:rPr>
        <w:t>he</w:t>
      </w:r>
      <w:r w:rsidRPr="0085534E">
        <w:rPr>
          <w:color w:val="auto"/>
          <w:spacing w:val="-12"/>
          <w:w w:val="105"/>
          <w:szCs w:val="22"/>
        </w:rPr>
        <w:t xml:space="preserve"> </w:t>
      </w:r>
      <w:r w:rsidRPr="0085534E">
        <w:rPr>
          <w:color w:val="auto"/>
          <w:w w:val="105"/>
          <w:szCs w:val="22"/>
        </w:rPr>
        <w:t>majority</w:t>
      </w:r>
      <w:r w:rsidRPr="0085534E">
        <w:rPr>
          <w:color w:val="auto"/>
          <w:spacing w:val="-12"/>
          <w:w w:val="105"/>
          <w:szCs w:val="22"/>
        </w:rPr>
        <w:t xml:space="preserve"> </w:t>
      </w:r>
      <w:r w:rsidRPr="0085534E">
        <w:rPr>
          <w:color w:val="auto"/>
          <w:w w:val="105"/>
          <w:szCs w:val="22"/>
        </w:rPr>
        <w:t>of</w:t>
      </w:r>
      <w:r w:rsidRPr="0085534E">
        <w:rPr>
          <w:color w:val="auto"/>
          <w:spacing w:val="-11"/>
          <w:w w:val="105"/>
          <w:szCs w:val="22"/>
        </w:rPr>
        <w:t xml:space="preserve"> </w:t>
      </w:r>
      <w:r w:rsidRPr="0085534E">
        <w:rPr>
          <w:color w:val="auto"/>
          <w:w w:val="105"/>
          <w:szCs w:val="22"/>
        </w:rPr>
        <w:t>patients</w:t>
      </w:r>
      <w:r w:rsidRPr="0085534E">
        <w:rPr>
          <w:color w:val="auto"/>
          <w:spacing w:val="-12"/>
          <w:w w:val="105"/>
          <w:szCs w:val="22"/>
        </w:rPr>
        <w:t xml:space="preserve"> </w:t>
      </w:r>
      <w:r w:rsidRPr="0085534E">
        <w:rPr>
          <w:color w:val="auto"/>
          <w:w w:val="105"/>
          <w:szCs w:val="22"/>
        </w:rPr>
        <w:t>(92.5%)</w:t>
      </w:r>
      <w:r w:rsidRPr="0085534E">
        <w:rPr>
          <w:color w:val="auto"/>
          <w:spacing w:val="-12"/>
          <w:w w:val="105"/>
          <w:szCs w:val="22"/>
        </w:rPr>
        <w:t xml:space="preserve"> </w:t>
      </w:r>
      <w:r w:rsidRPr="0085534E">
        <w:rPr>
          <w:color w:val="auto"/>
          <w:w w:val="105"/>
          <w:szCs w:val="22"/>
        </w:rPr>
        <w:t>were refractory to lenalidomide, 75.9%</w:t>
      </w:r>
      <w:r w:rsidRPr="0085534E">
        <w:rPr>
          <w:color w:val="auto"/>
          <w:spacing w:val="-6"/>
          <w:w w:val="90"/>
          <w:szCs w:val="22"/>
        </w:rPr>
        <w:t xml:space="preserve"> </w:t>
      </w:r>
      <w:r w:rsidRPr="0085534E">
        <w:rPr>
          <w:color w:val="auto"/>
          <w:w w:val="90"/>
          <w:szCs w:val="22"/>
        </w:rPr>
        <w:t>to</w:t>
      </w:r>
      <w:r w:rsidRPr="0085534E">
        <w:rPr>
          <w:color w:val="auto"/>
          <w:spacing w:val="-7"/>
          <w:w w:val="90"/>
          <w:szCs w:val="22"/>
        </w:rPr>
        <w:t xml:space="preserve"> </w:t>
      </w:r>
      <w:r w:rsidRPr="0085534E">
        <w:rPr>
          <w:color w:val="auto"/>
          <w:w w:val="90"/>
          <w:szCs w:val="22"/>
        </w:rPr>
        <w:t xml:space="preserve">a </w:t>
      </w:r>
      <w:r w:rsidRPr="0085534E">
        <w:rPr>
          <w:color w:val="auto"/>
          <w:szCs w:val="22"/>
        </w:rPr>
        <w:t>proteasome inhibitor</w:t>
      </w:r>
      <w:r w:rsidRPr="0085534E">
        <w:rPr>
          <w:color w:val="auto"/>
          <w:spacing w:val="-3"/>
          <w:w w:val="90"/>
          <w:szCs w:val="22"/>
        </w:rPr>
        <w:t xml:space="preserve">, </w:t>
      </w:r>
      <w:r w:rsidRPr="0085534E">
        <w:rPr>
          <w:color w:val="auto"/>
          <w:spacing w:val="-11"/>
          <w:w w:val="105"/>
          <w:szCs w:val="22"/>
        </w:rPr>
        <w:t xml:space="preserve">and </w:t>
      </w:r>
      <w:r w:rsidRPr="0085534E">
        <w:rPr>
          <w:color w:val="auto"/>
          <w:w w:val="105"/>
          <w:szCs w:val="22"/>
        </w:rPr>
        <w:t xml:space="preserve">72.6% to both an immunomodulatory </w:t>
      </w:r>
      <w:r w:rsidRPr="0085534E">
        <w:rPr>
          <w:color w:val="auto"/>
          <w:spacing w:val="-11"/>
          <w:w w:val="105"/>
          <w:szCs w:val="22"/>
        </w:rPr>
        <w:t xml:space="preserve">and </w:t>
      </w:r>
      <w:r w:rsidRPr="0085534E">
        <w:rPr>
          <w:color w:val="auto"/>
          <w:w w:val="90"/>
          <w:szCs w:val="22"/>
        </w:rPr>
        <w:t>a</w:t>
      </w:r>
      <w:r w:rsidRPr="0085534E">
        <w:rPr>
          <w:color w:val="auto"/>
          <w:spacing w:val="-7"/>
          <w:w w:val="90"/>
          <w:szCs w:val="22"/>
        </w:rPr>
        <w:t xml:space="preserve"> </w:t>
      </w:r>
      <w:r w:rsidRPr="0085534E">
        <w:rPr>
          <w:color w:val="auto"/>
          <w:szCs w:val="22"/>
        </w:rPr>
        <w:t>proteasome inhibitor</w:t>
      </w:r>
      <w:r w:rsidRPr="0085534E">
        <w:rPr>
          <w:color w:val="auto"/>
          <w:spacing w:val="-3"/>
          <w:w w:val="90"/>
          <w:szCs w:val="22"/>
        </w:rPr>
        <w:t xml:space="preserve">, </w:t>
      </w:r>
      <w:r w:rsidRPr="0085534E">
        <w:rPr>
          <w:color w:val="auto"/>
          <w:w w:val="105"/>
          <w:szCs w:val="22"/>
        </w:rPr>
        <w:t>and</w:t>
      </w:r>
      <w:r w:rsidR="00BC5855" w:rsidRPr="0085534E">
        <w:rPr>
          <w:color w:val="auto"/>
          <w:w w:val="105"/>
          <w:szCs w:val="22"/>
        </w:rPr>
        <w:t xml:space="preserve"> 59%</w:t>
      </w:r>
      <w:r w:rsidRPr="0085534E">
        <w:rPr>
          <w:color w:val="auto"/>
          <w:w w:val="105"/>
          <w:szCs w:val="22"/>
        </w:rPr>
        <w:t xml:space="preserve"> of patients were refractory to lenalidomide at last line of therapy.</w:t>
      </w:r>
      <w:r w:rsidR="006763AD" w:rsidRPr="0085534E">
        <w:rPr>
          <w:color w:val="auto"/>
          <w:szCs w:val="22"/>
        </w:rPr>
        <w:t xml:space="preserve"> </w:t>
      </w:r>
    </w:p>
    <w:p w14:paraId="6F55ADF8" w14:textId="77777777" w:rsidR="00CE64A4" w:rsidRPr="0085534E" w:rsidRDefault="00CE64A4" w:rsidP="00CE64A4">
      <w:pPr>
        <w:autoSpaceDE w:val="0"/>
        <w:autoSpaceDN w:val="0"/>
        <w:adjustRightInd w:val="0"/>
        <w:rPr>
          <w:color w:val="auto"/>
          <w:szCs w:val="22"/>
        </w:rPr>
      </w:pPr>
      <w:r w:rsidRPr="0085534E">
        <w:rPr>
          <w:color w:val="auto"/>
          <w:szCs w:val="22"/>
        </w:rPr>
        <w:t xml:space="preserve">The median duration of treatment was 41.0 weeks for Isa-Pd group compared to 24.0 weeks for Pd group. </w:t>
      </w:r>
    </w:p>
    <w:p w14:paraId="44FFFB0E" w14:textId="5F518A87" w:rsidR="00CE64A4" w:rsidRPr="0085534E" w:rsidRDefault="00CE64A4" w:rsidP="00CE64A4">
      <w:pPr>
        <w:autoSpaceDE w:val="0"/>
        <w:autoSpaceDN w:val="0"/>
        <w:adjustRightInd w:val="0"/>
        <w:rPr>
          <w:color w:val="auto"/>
          <w:szCs w:val="22"/>
        </w:rPr>
      </w:pPr>
      <w:r w:rsidRPr="0085534E">
        <w:rPr>
          <w:color w:val="auto"/>
        </w:rPr>
        <w:t xml:space="preserve">Progression free survival (PFS) was the primary efficacy endpoint of ICARIA-MM. </w:t>
      </w:r>
      <w:r w:rsidR="00157047" w:rsidRPr="0085534E">
        <w:rPr>
          <w:color w:val="auto"/>
          <w:szCs w:val="22"/>
        </w:rPr>
        <w:t xml:space="preserve">The improvement in PFS </w:t>
      </w:r>
      <w:r w:rsidRPr="0085534E">
        <w:rPr>
          <w:color w:val="auto"/>
          <w:szCs w:val="22"/>
        </w:rPr>
        <w:t>represent</w:t>
      </w:r>
      <w:r w:rsidR="00157047" w:rsidRPr="0085534E">
        <w:rPr>
          <w:color w:val="auto"/>
          <w:szCs w:val="22"/>
        </w:rPr>
        <w:t>ed</w:t>
      </w:r>
      <w:r w:rsidRPr="0085534E">
        <w:rPr>
          <w:color w:val="auto"/>
          <w:szCs w:val="22"/>
        </w:rPr>
        <w:t xml:space="preserve"> a 40.4% reduction in the risk of disease progression or death in patients treated with Isa-Pd.  </w:t>
      </w:r>
    </w:p>
    <w:p w14:paraId="14BB9F72" w14:textId="360C7FED" w:rsidR="007D1204" w:rsidRPr="0085534E" w:rsidRDefault="00CE64A4" w:rsidP="000E4C53">
      <w:pPr>
        <w:rPr>
          <w:color w:val="auto"/>
          <w:szCs w:val="22"/>
        </w:rPr>
      </w:pPr>
      <w:r w:rsidRPr="0085534E">
        <w:rPr>
          <w:color w:val="auto"/>
          <w:szCs w:val="22"/>
        </w:rPr>
        <w:t xml:space="preserve">Efficacy results are presented in the </w:t>
      </w:r>
      <w:r w:rsidR="000E4C53" w:rsidRPr="0085534E">
        <w:rPr>
          <w:color w:val="auto"/>
          <w:szCs w:val="22"/>
        </w:rPr>
        <w:fldChar w:fldCharType="begin"/>
      </w:r>
      <w:r w:rsidR="000E4C53" w:rsidRPr="0085534E">
        <w:rPr>
          <w:color w:val="auto"/>
          <w:szCs w:val="22"/>
        </w:rPr>
        <w:instrText xml:space="preserve"> REF _Ref7435817 \h  \* MERGEFORMAT </w:instrText>
      </w:r>
      <w:r w:rsidR="000E4C53" w:rsidRPr="0085534E">
        <w:rPr>
          <w:color w:val="auto"/>
          <w:szCs w:val="22"/>
        </w:rPr>
      </w:r>
      <w:r w:rsidR="000E4C53" w:rsidRPr="0085534E">
        <w:rPr>
          <w:color w:val="auto"/>
          <w:szCs w:val="22"/>
        </w:rPr>
        <w:fldChar w:fldCharType="separate"/>
      </w:r>
      <w:r w:rsidR="00312638" w:rsidRPr="00312638">
        <w:rPr>
          <w:color w:val="auto"/>
        </w:rPr>
        <w:t>Table 5</w:t>
      </w:r>
      <w:r w:rsidR="000E4C53" w:rsidRPr="0085534E">
        <w:rPr>
          <w:color w:val="auto"/>
          <w:szCs w:val="22"/>
        </w:rPr>
        <w:fldChar w:fldCharType="end"/>
      </w:r>
      <w:r w:rsidR="00ED51AE" w:rsidRPr="0085534E">
        <w:rPr>
          <w:color w:val="auto"/>
          <w:szCs w:val="22"/>
        </w:rPr>
        <w:t xml:space="preserve"> </w:t>
      </w:r>
      <w:r w:rsidRPr="0085534E">
        <w:rPr>
          <w:color w:val="auto"/>
          <w:szCs w:val="22"/>
        </w:rPr>
        <w:t xml:space="preserve">and Kaplan-Meier curves for PFS and OS are provided in </w:t>
      </w:r>
      <w:r w:rsidR="000E4C53" w:rsidRPr="0085534E">
        <w:rPr>
          <w:color w:val="auto"/>
          <w:szCs w:val="22"/>
        </w:rPr>
        <w:fldChar w:fldCharType="begin"/>
      </w:r>
      <w:r w:rsidR="000E4C53" w:rsidRPr="0085534E">
        <w:rPr>
          <w:color w:val="auto"/>
          <w:szCs w:val="22"/>
        </w:rPr>
        <w:instrText xml:space="preserve"> REF _Ref7435804 \h  \* MERGEFORMAT </w:instrText>
      </w:r>
      <w:r w:rsidR="000E4C53" w:rsidRPr="0085534E">
        <w:rPr>
          <w:color w:val="auto"/>
          <w:szCs w:val="22"/>
        </w:rPr>
      </w:r>
      <w:r w:rsidR="000E4C53" w:rsidRPr="0085534E">
        <w:rPr>
          <w:color w:val="auto"/>
          <w:szCs w:val="22"/>
        </w:rPr>
        <w:fldChar w:fldCharType="separate"/>
      </w:r>
      <w:r w:rsidR="00312638" w:rsidRPr="00312638">
        <w:rPr>
          <w:color w:val="auto"/>
        </w:rPr>
        <w:t>Figure 1</w:t>
      </w:r>
      <w:r w:rsidR="000E4C53" w:rsidRPr="0085534E">
        <w:rPr>
          <w:color w:val="auto"/>
          <w:szCs w:val="22"/>
        </w:rPr>
        <w:fldChar w:fldCharType="end"/>
      </w:r>
      <w:r w:rsidR="00ED51AE" w:rsidRPr="0085534E">
        <w:rPr>
          <w:color w:val="auto"/>
          <w:szCs w:val="22"/>
        </w:rPr>
        <w:t xml:space="preserve"> </w:t>
      </w:r>
      <w:r w:rsidRPr="0085534E">
        <w:rPr>
          <w:color w:val="auto"/>
          <w:szCs w:val="22"/>
        </w:rPr>
        <w:t xml:space="preserve">and </w:t>
      </w:r>
      <w:r w:rsidR="000E4C53" w:rsidRPr="0085534E">
        <w:rPr>
          <w:color w:val="auto"/>
          <w:szCs w:val="22"/>
        </w:rPr>
        <w:fldChar w:fldCharType="begin"/>
      </w:r>
      <w:r w:rsidR="000E4C53" w:rsidRPr="0085534E">
        <w:rPr>
          <w:color w:val="auto"/>
          <w:szCs w:val="22"/>
        </w:rPr>
        <w:instrText xml:space="preserve"> REF _Ref7435810 \h  \* MERGEFORMAT </w:instrText>
      </w:r>
      <w:r w:rsidR="000E4C53" w:rsidRPr="0085534E">
        <w:rPr>
          <w:color w:val="auto"/>
          <w:szCs w:val="22"/>
        </w:rPr>
      </w:r>
      <w:r w:rsidR="000E4C53" w:rsidRPr="0085534E">
        <w:rPr>
          <w:color w:val="auto"/>
          <w:szCs w:val="22"/>
        </w:rPr>
        <w:fldChar w:fldCharType="separate"/>
      </w:r>
      <w:r w:rsidR="00312638" w:rsidRPr="00312638">
        <w:rPr>
          <w:color w:val="auto"/>
        </w:rPr>
        <w:t>Figure 2</w:t>
      </w:r>
      <w:r w:rsidR="000E4C53" w:rsidRPr="0085534E">
        <w:rPr>
          <w:color w:val="auto"/>
          <w:szCs w:val="22"/>
        </w:rPr>
        <w:fldChar w:fldCharType="end"/>
      </w:r>
      <w:r w:rsidRPr="0085534E">
        <w:rPr>
          <w:color w:val="auto"/>
          <w:szCs w:val="22"/>
        </w:rPr>
        <w:t>:</w:t>
      </w:r>
      <w:bookmarkEnd w:id="8"/>
    </w:p>
    <w:p w14:paraId="36536996" w14:textId="7D8A21BE" w:rsidR="000E4C53" w:rsidRPr="0085534E" w:rsidRDefault="000E4C53" w:rsidP="000E4C53">
      <w:pPr>
        <w:pStyle w:val="Caption"/>
      </w:pPr>
      <w:bookmarkStart w:id="9" w:name="_Ref7435817"/>
      <w:r w:rsidRPr="0085534E">
        <w:t>Table </w:t>
      </w:r>
      <w:r w:rsidRPr="0085534E">
        <w:fldChar w:fldCharType="begin"/>
      </w:r>
      <w:r w:rsidRPr="0085534E">
        <w:instrText xml:space="preserve"> SEQ Table \* ARABIC </w:instrText>
      </w:r>
      <w:r w:rsidRPr="0085534E">
        <w:fldChar w:fldCharType="separate"/>
      </w:r>
      <w:r w:rsidR="00312638">
        <w:rPr>
          <w:noProof/>
        </w:rPr>
        <w:t>5</w:t>
      </w:r>
      <w:r w:rsidRPr="0085534E">
        <w:fldChar w:fldCharType="end"/>
      </w:r>
      <w:bookmarkEnd w:id="9"/>
      <w:r w:rsidRPr="0085534E">
        <w:t xml:space="preserve"> ­ </w:t>
      </w:r>
      <w:r w:rsidRPr="0085534E">
        <w:rPr>
          <w:bCs w:val="0"/>
          <w:szCs w:val="22"/>
        </w:rPr>
        <w:t xml:space="preserve">Efficacy of </w:t>
      </w:r>
      <w:r w:rsidR="00A43393" w:rsidRPr="0085534E">
        <w:rPr>
          <w:szCs w:val="22"/>
        </w:rPr>
        <w:t>S</w:t>
      </w:r>
      <w:r w:rsidR="00957ADE" w:rsidRPr="0085534E">
        <w:rPr>
          <w:szCs w:val="22"/>
        </w:rPr>
        <w:t xml:space="preserve">arclisa </w:t>
      </w:r>
      <w:r w:rsidRPr="0085534E">
        <w:rPr>
          <w:bCs w:val="0"/>
          <w:szCs w:val="22"/>
        </w:rPr>
        <w:t>in combination with pomalidomide and low-dose dexamethasone versus pomalidomide and low-dose dexamethasone in the treatment of multiple myeloma (intent-to-treat analysis)</w:t>
      </w:r>
    </w:p>
    <w:tbl>
      <w:tblPr>
        <w:tblW w:w="5000" w:type="pct"/>
        <w:jc w:val="center"/>
        <w:tblBorders>
          <w:top w:val="single" w:sz="2" w:space="0" w:color="000000"/>
        </w:tblBorders>
        <w:tblLook w:val="0000" w:firstRow="0" w:lastRow="0" w:firstColumn="0" w:lastColumn="0" w:noHBand="0" w:noVBand="0"/>
      </w:tblPr>
      <w:tblGrid>
        <w:gridCol w:w="3271"/>
        <w:gridCol w:w="2820"/>
        <w:gridCol w:w="2925"/>
      </w:tblGrid>
      <w:tr w:rsidR="00FE779F" w:rsidRPr="0085534E" w14:paraId="08FE86CB" w14:textId="77777777" w:rsidTr="00E953FA">
        <w:trPr>
          <w:cantSplit/>
          <w:tblHeader/>
          <w:jc w:val="center"/>
        </w:trPr>
        <w:tc>
          <w:tcPr>
            <w:tcW w:w="1814" w:type="pct"/>
            <w:tcBorders>
              <w:top w:val="single" w:sz="4" w:space="0" w:color="000000"/>
              <w:left w:val="single" w:sz="4" w:space="0" w:color="auto"/>
              <w:bottom w:val="single" w:sz="4" w:space="0" w:color="auto"/>
              <w:right w:val="single" w:sz="4" w:space="0" w:color="auto"/>
            </w:tcBorders>
            <w:shd w:val="clear" w:color="auto" w:fill="auto"/>
          </w:tcPr>
          <w:p w14:paraId="7CE09FAB" w14:textId="77777777" w:rsidR="007D1204" w:rsidRPr="0085534E" w:rsidRDefault="007D1204" w:rsidP="00CE64A4">
            <w:pPr>
              <w:pStyle w:val="TblTextLeft"/>
              <w:rPr>
                <w:b/>
              </w:rPr>
            </w:pPr>
            <w:r w:rsidRPr="0085534E">
              <w:rPr>
                <w:b/>
              </w:rPr>
              <w:t>Endpoint</w:t>
            </w:r>
          </w:p>
        </w:tc>
        <w:tc>
          <w:tcPr>
            <w:tcW w:w="1564" w:type="pct"/>
            <w:tcBorders>
              <w:top w:val="single" w:sz="4" w:space="0" w:color="000000"/>
              <w:left w:val="single" w:sz="4" w:space="0" w:color="auto"/>
              <w:bottom w:val="single" w:sz="4" w:space="0" w:color="auto"/>
              <w:right w:val="single" w:sz="4" w:space="0" w:color="auto"/>
            </w:tcBorders>
            <w:shd w:val="clear" w:color="auto" w:fill="auto"/>
          </w:tcPr>
          <w:p w14:paraId="505A595B" w14:textId="2648F6B4" w:rsidR="007D1204" w:rsidRPr="0085534E" w:rsidRDefault="00957ADE" w:rsidP="00CE64A4">
            <w:pPr>
              <w:pStyle w:val="TblTextLeft"/>
              <w:rPr>
                <w:b/>
              </w:rPr>
            </w:pPr>
            <w:r w:rsidRPr="0085534E">
              <w:rPr>
                <w:b/>
              </w:rPr>
              <w:t>Sarclisa</w:t>
            </w:r>
            <w:r w:rsidR="007D1204" w:rsidRPr="0085534E">
              <w:rPr>
                <w:b/>
              </w:rPr>
              <w:t xml:space="preserve"> + pomalidomide + low-dose dexamethasone</w:t>
            </w:r>
          </w:p>
          <w:p w14:paraId="3522EA2D" w14:textId="77777777" w:rsidR="007D1204" w:rsidRPr="0085534E" w:rsidRDefault="007D1204" w:rsidP="00CE64A4">
            <w:pPr>
              <w:pStyle w:val="TblTextLeft"/>
              <w:rPr>
                <w:b/>
              </w:rPr>
            </w:pPr>
            <w:r w:rsidRPr="0085534E">
              <w:rPr>
                <w:b/>
              </w:rPr>
              <w:t>N =154</w:t>
            </w:r>
          </w:p>
        </w:tc>
        <w:tc>
          <w:tcPr>
            <w:tcW w:w="1622" w:type="pct"/>
            <w:tcBorders>
              <w:top w:val="single" w:sz="4" w:space="0" w:color="000000"/>
              <w:left w:val="single" w:sz="4" w:space="0" w:color="auto"/>
              <w:bottom w:val="single" w:sz="4" w:space="0" w:color="auto"/>
              <w:right w:val="single" w:sz="4" w:space="0" w:color="auto"/>
            </w:tcBorders>
            <w:shd w:val="clear" w:color="auto" w:fill="auto"/>
          </w:tcPr>
          <w:p w14:paraId="177E8C54" w14:textId="77777777" w:rsidR="007D1204" w:rsidRPr="0085534E" w:rsidRDefault="007D1204" w:rsidP="00CE64A4">
            <w:pPr>
              <w:pStyle w:val="TblTextLeft"/>
              <w:rPr>
                <w:b/>
              </w:rPr>
            </w:pPr>
            <w:r w:rsidRPr="0085534E">
              <w:rPr>
                <w:b/>
              </w:rPr>
              <w:t>Pomalidomide + low-dose dexamethasone</w:t>
            </w:r>
          </w:p>
          <w:p w14:paraId="6CDA2D08" w14:textId="77777777" w:rsidR="007D1204" w:rsidRPr="0085534E" w:rsidRDefault="007D1204" w:rsidP="00CE64A4">
            <w:pPr>
              <w:pStyle w:val="TblTextLeft"/>
              <w:rPr>
                <w:b/>
              </w:rPr>
            </w:pPr>
            <w:r w:rsidRPr="0085534E">
              <w:rPr>
                <w:b/>
              </w:rPr>
              <w:t>N = 153</w:t>
            </w:r>
          </w:p>
        </w:tc>
      </w:tr>
      <w:tr w:rsidR="00E953FA" w:rsidRPr="0085534E" w14:paraId="5924C80C" w14:textId="77777777" w:rsidTr="00E953FA">
        <w:trPr>
          <w:cantSplit/>
          <w:tblHeader/>
          <w:jc w:val="center"/>
        </w:trPr>
        <w:tc>
          <w:tcPr>
            <w:tcW w:w="1814" w:type="pct"/>
            <w:tcBorders>
              <w:top w:val="nil"/>
              <w:left w:val="single" w:sz="4" w:space="0" w:color="auto"/>
              <w:bottom w:val="nil"/>
              <w:right w:val="single" w:sz="4" w:space="0" w:color="auto"/>
            </w:tcBorders>
            <w:shd w:val="clear" w:color="auto" w:fill="auto"/>
          </w:tcPr>
          <w:p w14:paraId="6D49C09D" w14:textId="721834A9" w:rsidR="00E953FA" w:rsidRPr="0085534E" w:rsidRDefault="00E953FA" w:rsidP="00ED51AE">
            <w:pPr>
              <w:pStyle w:val="TblTextLeft"/>
            </w:pPr>
            <w:r w:rsidRPr="0085534E">
              <w:rPr>
                <w:b/>
              </w:rPr>
              <w:t>Progression-Free Survival</w:t>
            </w:r>
            <w:r w:rsidRPr="0085534E">
              <w:rPr>
                <w:b/>
                <w:vertAlign w:val="superscript"/>
              </w:rPr>
              <w:t>a</w:t>
            </w:r>
          </w:p>
        </w:tc>
        <w:tc>
          <w:tcPr>
            <w:tcW w:w="1564" w:type="pct"/>
            <w:tcBorders>
              <w:top w:val="nil"/>
              <w:left w:val="single" w:sz="4" w:space="0" w:color="auto"/>
              <w:bottom w:val="nil"/>
              <w:right w:val="single" w:sz="4" w:space="0" w:color="auto"/>
            </w:tcBorders>
            <w:shd w:val="clear" w:color="auto" w:fill="auto"/>
          </w:tcPr>
          <w:p w14:paraId="416F387A" w14:textId="77777777" w:rsidR="00E953FA" w:rsidRPr="0085534E" w:rsidRDefault="00E953FA" w:rsidP="00E953FA">
            <w:pPr>
              <w:pStyle w:val="TblTextLeft"/>
              <w:jc w:val="center"/>
            </w:pPr>
          </w:p>
        </w:tc>
        <w:tc>
          <w:tcPr>
            <w:tcW w:w="1622" w:type="pct"/>
            <w:tcBorders>
              <w:top w:val="nil"/>
              <w:left w:val="single" w:sz="4" w:space="0" w:color="auto"/>
              <w:bottom w:val="nil"/>
              <w:right w:val="single" w:sz="4" w:space="0" w:color="auto"/>
            </w:tcBorders>
            <w:shd w:val="clear" w:color="auto" w:fill="auto"/>
          </w:tcPr>
          <w:p w14:paraId="62D67A75" w14:textId="77777777" w:rsidR="00E953FA" w:rsidRPr="0085534E" w:rsidRDefault="00E953FA" w:rsidP="00E953FA">
            <w:pPr>
              <w:pStyle w:val="TblTextLeft"/>
              <w:jc w:val="center"/>
            </w:pPr>
          </w:p>
        </w:tc>
      </w:tr>
      <w:tr w:rsidR="00E953FA" w:rsidRPr="0085534E" w14:paraId="08926940" w14:textId="77777777" w:rsidTr="00E953FA">
        <w:trPr>
          <w:cantSplit/>
          <w:tblHeader/>
          <w:jc w:val="center"/>
        </w:trPr>
        <w:tc>
          <w:tcPr>
            <w:tcW w:w="1814" w:type="pct"/>
            <w:tcBorders>
              <w:top w:val="nil"/>
              <w:left w:val="single" w:sz="4" w:space="0" w:color="auto"/>
              <w:bottom w:val="nil"/>
              <w:right w:val="single" w:sz="4" w:space="0" w:color="auto"/>
            </w:tcBorders>
            <w:shd w:val="clear" w:color="auto" w:fill="auto"/>
          </w:tcPr>
          <w:p w14:paraId="3AA580F6" w14:textId="77777777" w:rsidR="00E953FA" w:rsidRPr="0085534E" w:rsidRDefault="00E953FA" w:rsidP="00E953FA">
            <w:pPr>
              <w:pStyle w:val="TblTextLeft"/>
            </w:pPr>
            <w:r w:rsidRPr="0085534E">
              <w:t>Median (months)</w:t>
            </w:r>
          </w:p>
          <w:p w14:paraId="3B802FBF" w14:textId="3D9DF3FD" w:rsidR="00E953FA" w:rsidRPr="0085534E" w:rsidRDefault="00E953FA" w:rsidP="00E953FA">
            <w:pPr>
              <w:pStyle w:val="TblTextLeft"/>
              <w:rPr>
                <w:b/>
              </w:rPr>
            </w:pPr>
            <w:r w:rsidRPr="0085534E">
              <w:t>[95% CI]</w:t>
            </w:r>
            <w:r w:rsidR="00F87E6C" w:rsidRPr="0085534E">
              <w:rPr>
                <w:vertAlign w:val="superscript"/>
              </w:rPr>
              <w:t>f</w:t>
            </w:r>
          </w:p>
        </w:tc>
        <w:tc>
          <w:tcPr>
            <w:tcW w:w="1564" w:type="pct"/>
            <w:tcBorders>
              <w:top w:val="nil"/>
              <w:left w:val="single" w:sz="4" w:space="0" w:color="auto"/>
              <w:bottom w:val="nil"/>
              <w:right w:val="single" w:sz="4" w:space="0" w:color="auto"/>
            </w:tcBorders>
            <w:shd w:val="clear" w:color="auto" w:fill="auto"/>
          </w:tcPr>
          <w:p w14:paraId="49455FC6" w14:textId="77777777" w:rsidR="00E953FA" w:rsidRPr="0085534E" w:rsidRDefault="00E953FA" w:rsidP="00E953FA">
            <w:pPr>
              <w:pStyle w:val="TblTextLeft"/>
              <w:jc w:val="center"/>
            </w:pPr>
            <w:r w:rsidRPr="0085534E">
              <w:t>11.53</w:t>
            </w:r>
          </w:p>
          <w:p w14:paraId="3FB497FD" w14:textId="05780879" w:rsidR="00E953FA" w:rsidRPr="0085534E" w:rsidRDefault="00E953FA" w:rsidP="00E953FA">
            <w:pPr>
              <w:pStyle w:val="TblTextLeft"/>
              <w:jc w:val="center"/>
            </w:pPr>
            <w:r w:rsidRPr="0085534E">
              <w:t>[8.936-13.897]</w:t>
            </w:r>
          </w:p>
        </w:tc>
        <w:tc>
          <w:tcPr>
            <w:tcW w:w="1622" w:type="pct"/>
            <w:tcBorders>
              <w:top w:val="nil"/>
              <w:left w:val="single" w:sz="4" w:space="0" w:color="auto"/>
              <w:bottom w:val="nil"/>
              <w:right w:val="single" w:sz="4" w:space="0" w:color="auto"/>
            </w:tcBorders>
            <w:shd w:val="clear" w:color="auto" w:fill="auto"/>
          </w:tcPr>
          <w:p w14:paraId="6D39B3C1" w14:textId="77777777" w:rsidR="00E953FA" w:rsidRPr="0085534E" w:rsidRDefault="00E953FA" w:rsidP="00E953FA">
            <w:pPr>
              <w:pStyle w:val="TblTextLeft"/>
              <w:jc w:val="center"/>
            </w:pPr>
            <w:r w:rsidRPr="0085534E">
              <w:t>6.47</w:t>
            </w:r>
          </w:p>
          <w:p w14:paraId="0E37AA71" w14:textId="59B1F2DD" w:rsidR="00E953FA" w:rsidRPr="0085534E" w:rsidRDefault="00E953FA" w:rsidP="00E953FA">
            <w:pPr>
              <w:pStyle w:val="TblTextLeft"/>
              <w:jc w:val="center"/>
            </w:pPr>
            <w:r w:rsidRPr="0085534E">
              <w:t>[4.468-8.279]</w:t>
            </w:r>
          </w:p>
        </w:tc>
      </w:tr>
      <w:tr w:rsidR="00ED51AE" w:rsidRPr="0085534E" w14:paraId="40AFB44C" w14:textId="77777777" w:rsidTr="00E953FA">
        <w:trPr>
          <w:cantSplit/>
          <w:tblHeader/>
          <w:jc w:val="center"/>
        </w:trPr>
        <w:tc>
          <w:tcPr>
            <w:tcW w:w="1814" w:type="pct"/>
            <w:tcBorders>
              <w:top w:val="nil"/>
              <w:left w:val="single" w:sz="4" w:space="0" w:color="auto"/>
              <w:bottom w:val="nil"/>
              <w:right w:val="single" w:sz="4" w:space="0" w:color="auto"/>
            </w:tcBorders>
            <w:shd w:val="clear" w:color="auto" w:fill="auto"/>
          </w:tcPr>
          <w:p w14:paraId="22AF803A" w14:textId="7B86437D" w:rsidR="00ED51AE" w:rsidRPr="0085534E" w:rsidRDefault="00ED51AE" w:rsidP="00ED51AE">
            <w:pPr>
              <w:pStyle w:val="TblTextLeft"/>
              <w:rPr>
                <w:b/>
              </w:rPr>
            </w:pPr>
            <w:r w:rsidRPr="0085534E">
              <w:t>Hazard ratio</w:t>
            </w:r>
            <w:r w:rsidRPr="0085534E">
              <w:rPr>
                <w:vertAlign w:val="superscript"/>
              </w:rPr>
              <w:t>d</w:t>
            </w:r>
            <w:r w:rsidRPr="0085534E">
              <w:t xml:space="preserve"> [95% CI]</w:t>
            </w:r>
          </w:p>
        </w:tc>
        <w:tc>
          <w:tcPr>
            <w:tcW w:w="3186" w:type="pct"/>
            <w:gridSpan w:val="2"/>
            <w:tcBorders>
              <w:top w:val="nil"/>
              <w:left w:val="single" w:sz="4" w:space="0" w:color="auto"/>
              <w:bottom w:val="nil"/>
              <w:right w:val="single" w:sz="4" w:space="0" w:color="auto"/>
            </w:tcBorders>
            <w:shd w:val="clear" w:color="auto" w:fill="auto"/>
          </w:tcPr>
          <w:p w14:paraId="709C8BE5" w14:textId="01FB8C98" w:rsidR="00ED51AE" w:rsidRPr="0085534E" w:rsidRDefault="00ED51AE" w:rsidP="00E953FA">
            <w:pPr>
              <w:pStyle w:val="TblTextLeft"/>
              <w:jc w:val="center"/>
            </w:pPr>
            <w:r w:rsidRPr="0085534E">
              <w:t>0.596 [0.436-0.814]</w:t>
            </w:r>
          </w:p>
        </w:tc>
      </w:tr>
      <w:tr w:rsidR="00ED51AE" w:rsidRPr="0085534E" w14:paraId="6C549FF6" w14:textId="77777777" w:rsidTr="00E953FA">
        <w:trPr>
          <w:cantSplit/>
          <w:tblHeader/>
          <w:jc w:val="center"/>
        </w:trPr>
        <w:tc>
          <w:tcPr>
            <w:tcW w:w="1814" w:type="pct"/>
            <w:tcBorders>
              <w:top w:val="nil"/>
              <w:left w:val="single" w:sz="4" w:space="0" w:color="auto"/>
              <w:bottom w:val="single" w:sz="4" w:space="0" w:color="auto"/>
              <w:right w:val="single" w:sz="4" w:space="0" w:color="auto"/>
            </w:tcBorders>
            <w:shd w:val="clear" w:color="auto" w:fill="auto"/>
          </w:tcPr>
          <w:p w14:paraId="4B45A105" w14:textId="5FE49B67" w:rsidR="00ED51AE" w:rsidRPr="0085534E" w:rsidRDefault="00ED51AE" w:rsidP="00ED51AE">
            <w:pPr>
              <w:pStyle w:val="TblTextLeft"/>
            </w:pPr>
            <w:r w:rsidRPr="0085534E">
              <w:t>p-value (stratified log-rank test)</w:t>
            </w:r>
            <w:r w:rsidRPr="0085534E">
              <w:rPr>
                <w:vertAlign w:val="superscript"/>
              </w:rPr>
              <w:t>d</w:t>
            </w:r>
          </w:p>
        </w:tc>
        <w:tc>
          <w:tcPr>
            <w:tcW w:w="3186" w:type="pct"/>
            <w:gridSpan w:val="2"/>
            <w:tcBorders>
              <w:top w:val="nil"/>
              <w:left w:val="single" w:sz="4" w:space="0" w:color="auto"/>
              <w:bottom w:val="single" w:sz="4" w:space="0" w:color="auto"/>
              <w:right w:val="single" w:sz="4" w:space="0" w:color="auto"/>
            </w:tcBorders>
            <w:shd w:val="clear" w:color="auto" w:fill="auto"/>
          </w:tcPr>
          <w:p w14:paraId="13638792" w14:textId="4431804E" w:rsidR="00ED51AE" w:rsidRPr="0085534E" w:rsidRDefault="00ED51AE" w:rsidP="00E953FA">
            <w:pPr>
              <w:pStyle w:val="TblTextLeft"/>
              <w:jc w:val="center"/>
            </w:pPr>
            <w:r w:rsidRPr="0085534E">
              <w:t>0.0010</w:t>
            </w:r>
          </w:p>
        </w:tc>
      </w:tr>
      <w:tr w:rsidR="00FE779F" w:rsidRPr="0085534E" w14:paraId="5E635DD2" w14:textId="77777777" w:rsidTr="00E953FA">
        <w:trPr>
          <w:cantSplit/>
          <w:jc w:val="center"/>
        </w:trPr>
        <w:tc>
          <w:tcPr>
            <w:tcW w:w="1814" w:type="pct"/>
            <w:tcBorders>
              <w:top w:val="single" w:sz="4" w:space="0" w:color="auto"/>
              <w:left w:val="single" w:sz="4" w:space="0" w:color="auto"/>
              <w:bottom w:val="nil"/>
              <w:right w:val="single" w:sz="4" w:space="0" w:color="auto"/>
            </w:tcBorders>
            <w:shd w:val="clear" w:color="auto" w:fill="auto"/>
          </w:tcPr>
          <w:p w14:paraId="2785C907" w14:textId="5EB651E9" w:rsidR="00CE64A4" w:rsidRPr="0085534E" w:rsidRDefault="007D1204" w:rsidP="00CE64A4">
            <w:pPr>
              <w:pStyle w:val="TblTextLeft"/>
              <w:rPr>
                <w:szCs w:val="22"/>
              </w:rPr>
            </w:pPr>
            <w:r w:rsidRPr="0085534E">
              <w:rPr>
                <w:b/>
                <w:szCs w:val="22"/>
              </w:rPr>
              <w:t>Overall Response Rate</w:t>
            </w:r>
            <w:r w:rsidR="00ED51AE" w:rsidRPr="0085534E">
              <w:rPr>
                <w:szCs w:val="22"/>
                <w:vertAlign w:val="superscript"/>
                <w:lang w:val="fr-FR"/>
              </w:rPr>
              <w:t>b</w:t>
            </w:r>
            <w:r w:rsidRPr="0085534E">
              <w:rPr>
                <w:szCs w:val="22"/>
                <w:vertAlign w:val="superscript"/>
                <w:lang w:val="fr-FR"/>
              </w:rPr>
              <w:t xml:space="preserve">  </w:t>
            </w:r>
          </w:p>
          <w:p w14:paraId="4CF3CD58" w14:textId="77777777" w:rsidR="00ED51AE" w:rsidRPr="0085534E" w:rsidRDefault="007D1204" w:rsidP="00CE64A4">
            <w:pPr>
              <w:pStyle w:val="TblTextLeft"/>
              <w:rPr>
                <w:szCs w:val="22"/>
                <w:lang w:val="fr-FR"/>
              </w:rPr>
            </w:pPr>
            <w:r w:rsidRPr="0085534E">
              <w:rPr>
                <w:szCs w:val="22"/>
                <w:lang w:val="fr-FR"/>
              </w:rPr>
              <w:t xml:space="preserve">Responders </w:t>
            </w:r>
          </w:p>
          <w:p w14:paraId="527DDC9F" w14:textId="0A6E8513" w:rsidR="007D1204" w:rsidRPr="0085534E" w:rsidRDefault="007D1204" w:rsidP="00CE64A4">
            <w:pPr>
              <w:pStyle w:val="TblTextLeft"/>
              <w:rPr>
                <w:szCs w:val="22"/>
                <w:lang w:val="fr-FR"/>
              </w:rPr>
            </w:pPr>
            <w:r w:rsidRPr="0085534E">
              <w:rPr>
                <w:szCs w:val="22"/>
                <w:lang w:val="fr-FR"/>
              </w:rPr>
              <w:t xml:space="preserve">(sCR+CR+VGPR+PR) n(%) </w:t>
            </w:r>
          </w:p>
          <w:p w14:paraId="418599C0" w14:textId="563C347C" w:rsidR="007D1204" w:rsidRPr="0085534E" w:rsidRDefault="007D1204" w:rsidP="00CE64A4">
            <w:pPr>
              <w:pStyle w:val="TblTextLeft"/>
              <w:rPr>
                <w:szCs w:val="22"/>
                <w:lang w:val="fr-FR"/>
              </w:rPr>
            </w:pPr>
            <w:r w:rsidRPr="0085534E">
              <w:rPr>
                <w:szCs w:val="22"/>
              </w:rPr>
              <w:t>[</w:t>
            </w:r>
            <w:r w:rsidRPr="0085534E">
              <w:rPr>
                <w:szCs w:val="22"/>
                <w:lang w:val="fr-FR"/>
              </w:rPr>
              <w:t>95% CI]</w:t>
            </w:r>
            <w:r w:rsidR="00ED51AE" w:rsidRPr="0085534E">
              <w:rPr>
                <w:szCs w:val="22"/>
                <w:vertAlign w:val="superscript"/>
                <w:lang w:val="fr-FR"/>
              </w:rPr>
              <w:t>c</w:t>
            </w:r>
          </w:p>
        </w:tc>
        <w:tc>
          <w:tcPr>
            <w:tcW w:w="1564" w:type="pct"/>
            <w:tcBorders>
              <w:top w:val="single" w:sz="4" w:space="0" w:color="auto"/>
              <w:left w:val="single" w:sz="4" w:space="0" w:color="auto"/>
              <w:bottom w:val="nil"/>
              <w:right w:val="single" w:sz="4" w:space="0" w:color="auto"/>
            </w:tcBorders>
            <w:shd w:val="clear" w:color="auto" w:fill="auto"/>
          </w:tcPr>
          <w:p w14:paraId="3D683A5C" w14:textId="77777777" w:rsidR="007D1204" w:rsidRPr="0085534E" w:rsidRDefault="007D1204" w:rsidP="00E953FA">
            <w:pPr>
              <w:pStyle w:val="TblTextLeft"/>
              <w:jc w:val="center"/>
              <w:rPr>
                <w:szCs w:val="22"/>
              </w:rPr>
            </w:pPr>
          </w:p>
          <w:p w14:paraId="6293AC91" w14:textId="77777777" w:rsidR="007D1204" w:rsidRPr="0085534E" w:rsidRDefault="007D1204" w:rsidP="00E953FA">
            <w:pPr>
              <w:pStyle w:val="TblTextLeft"/>
              <w:jc w:val="center"/>
              <w:rPr>
                <w:szCs w:val="22"/>
              </w:rPr>
            </w:pPr>
          </w:p>
          <w:p w14:paraId="56502C03" w14:textId="77777777" w:rsidR="007D1204" w:rsidRPr="0085534E" w:rsidRDefault="007D1204" w:rsidP="00E953FA">
            <w:pPr>
              <w:pStyle w:val="TblTextLeft"/>
              <w:jc w:val="center"/>
              <w:rPr>
                <w:szCs w:val="22"/>
              </w:rPr>
            </w:pPr>
            <w:r w:rsidRPr="0085534E">
              <w:rPr>
                <w:szCs w:val="22"/>
              </w:rPr>
              <w:t>93 (60.4)</w:t>
            </w:r>
          </w:p>
          <w:p w14:paraId="5CB55A29" w14:textId="77777777" w:rsidR="007D1204" w:rsidRPr="0085534E" w:rsidRDefault="007D1204" w:rsidP="00E953FA">
            <w:pPr>
              <w:pStyle w:val="TblTextLeft"/>
              <w:jc w:val="center"/>
              <w:rPr>
                <w:szCs w:val="22"/>
              </w:rPr>
            </w:pPr>
            <w:r w:rsidRPr="0085534E">
              <w:rPr>
                <w:szCs w:val="22"/>
              </w:rPr>
              <w:t>[0.5220-0.6817]</w:t>
            </w:r>
          </w:p>
        </w:tc>
        <w:tc>
          <w:tcPr>
            <w:tcW w:w="1622" w:type="pct"/>
            <w:tcBorders>
              <w:top w:val="single" w:sz="4" w:space="0" w:color="auto"/>
              <w:left w:val="single" w:sz="4" w:space="0" w:color="auto"/>
              <w:bottom w:val="nil"/>
              <w:right w:val="single" w:sz="4" w:space="0" w:color="auto"/>
            </w:tcBorders>
            <w:shd w:val="clear" w:color="auto" w:fill="auto"/>
          </w:tcPr>
          <w:p w14:paraId="3450C664" w14:textId="77777777" w:rsidR="007D1204" w:rsidRPr="0085534E" w:rsidRDefault="007D1204" w:rsidP="00E953FA">
            <w:pPr>
              <w:pStyle w:val="TblTextLeft"/>
              <w:jc w:val="center"/>
              <w:rPr>
                <w:szCs w:val="22"/>
              </w:rPr>
            </w:pPr>
          </w:p>
          <w:p w14:paraId="19D7A899" w14:textId="77777777" w:rsidR="007D1204" w:rsidRPr="0085534E" w:rsidRDefault="007D1204" w:rsidP="00E953FA">
            <w:pPr>
              <w:pStyle w:val="TblTextLeft"/>
              <w:jc w:val="center"/>
              <w:rPr>
                <w:szCs w:val="22"/>
              </w:rPr>
            </w:pPr>
          </w:p>
          <w:p w14:paraId="016BA6E4" w14:textId="77777777" w:rsidR="007D1204" w:rsidRPr="0085534E" w:rsidRDefault="007D1204" w:rsidP="00E953FA">
            <w:pPr>
              <w:pStyle w:val="TblTextLeft"/>
              <w:jc w:val="center"/>
              <w:rPr>
                <w:szCs w:val="22"/>
              </w:rPr>
            </w:pPr>
            <w:r w:rsidRPr="0085534E">
              <w:rPr>
                <w:szCs w:val="22"/>
              </w:rPr>
              <w:t>54 (35.3)</w:t>
            </w:r>
          </w:p>
          <w:p w14:paraId="19EE19E0" w14:textId="77777777" w:rsidR="007D1204" w:rsidRPr="0085534E" w:rsidRDefault="007D1204" w:rsidP="00E953FA">
            <w:pPr>
              <w:pStyle w:val="TblTextLeft"/>
              <w:jc w:val="center"/>
              <w:rPr>
                <w:szCs w:val="22"/>
              </w:rPr>
            </w:pPr>
            <w:r w:rsidRPr="0085534E">
              <w:rPr>
                <w:szCs w:val="22"/>
              </w:rPr>
              <w:t>[0.2775-0.4342]</w:t>
            </w:r>
          </w:p>
        </w:tc>
      </w:tr>
      <w:tr w:rsidR="00ED51AE" w:rsidRPr="0085534E" w14:paraId="79C80B82" w14:textId="77777777" w:rsidTr="00E953FA">
        <w:trPr>
          <w:cantSplit/>
          <w:jc w:val="center"/>
        </w:trPr>
        <w:tc>
          <w:tcPr>
            <w:tcW w:w="1814" w:type="pct"/>
            <w:tcBorders>
              <w:top w:val="nil"/>
              <w:left w:val="single" w:sz="4" w:space="0" w:color="auto"/>
              <w:bottom w:val="nil"/>
              <w:right w:val="single" w:sz="4" w:space="0" w:color="auto"/>
            </w:tcBorders>
            <w:shd w:val="clear" w:color="auto" w:fill="auto"/>
          </w:tcPr>
          <w:p w14:paraId="6546456C" w14:textId="6B77C34E" w:rsidR="00ED51AE" w:rsidRPr="0085534E" w:rsidRDefault="00ED51AE" w:rsidP="00CE64A4">
            <w:pPr>
              <w:pStyle w:val="TblTextLeft"/>
              <w:rPr>
                <w:szCs w:val="22"/>
              </w:rPr>
            </w:pPr>
            <w:r w:rsidRPr="0085534E">
              <w:rPr>
                <w:szCs w:val="22"/>
              </w:rPr>
              <w:t>Odds ratio vs Pd [95% exact CI]</w:t>
            </w:r>
          </w:p>
        </w:tc>
        <w:tc>
          <w:tcPr>
            <w:tcW w:w="3186" w:type="pct"/>
            <w:gridSpan w:val="2"/>
            <w:tcBorders>
              <w:top w:val="nil"/>
              <w:left w:val="single" w:sz="4" w:space="0" w:color="auto"/>
              <w:bottom w:val="nil"/>
              <w:right w:val="single" w:sz="4" w:space="0" w:color="auto"/>
            </w:tcBorders>
            <w:shd w:val="clear" w:color="auto" w:fill="auto"/>
          </w:tcPr>
          <w:p w14:paraId="29533FEC" w14:textId="780F3C27" w:rsidR="00ED51AE" w:rsidRPr="0085534E" w:rsidRDefault="00ED51AE" w:rsidP="00E953FA">
            <w:pPr>
              <w:pStyle w:val="TblTextLeft"/>
              <w:jc w:val="center"/>
              <w:rPr>
                <w:szCs w:val="22"/>
              </w:rPr>
            </w:pPr>
            <w:r w:rsidRPr="0085534E">
              <w:rPr>
                <w:szCs w:val="22"/>
              </w:rPr>
              <w:t>2.795 [1.715-4.562]</w:t>
            </w:r>
          </w:p>
        </w:tc>
      </w:tr>
      <w:tr w:rsidR="00FE779F" w:rsidRPr="0085534E" w14:paraId="6104D5C1" w14:textId="77777777" w:rsidTr="00E953FA">
        <w:trPr>
          <w:cantSplit/>
          <w:jc w:val="center"/>
        </w:trPr>
        <w:tc>
          <w:tcPr>
            <w:tcW w:w="1814" w:type="pct"/>
            <w:tcBorders>
              <w:top w:val="nil"/>
              <w:left w:val="single" w:sz="4" w:space="0" w:color="auto"/>
              <w:bottom w:val="nil"/>
              <w:right w:val="single" w:sz="4" w:space="0" w:color="auto"/>
            </w:tcBorders>
            <w:shd w:val="clear" w:color="auto" w:fill="auto"/>
          </w:tcPr>
          <w:p w14:paraId="25133684" w14:textId="6AB71F65" w:rsidR="007D1204" w:rsidRPr="0085534E" w:rsidRDefault="007D1204" w:rsidP="00CE64A4">
            <w:pPr>
              <w:pStyle w:val="TblTextLeft"/>
              <w:rPr>
                <w:szCs w:val="22"/>
              </w:rPr>
            </w:pPr>
            <w:r w:rsidRPr="0085534E">
              <w:rPr>
                <w:szCs w:val="22"/>
              </w:rPr>
              <w:lastRenderedPageBreak/>
              <w:t>p-value (stratified Cochran-Mantel-Haenszel)</w:t>
            </w:r>
            <w:r w:rsidR="00ED51AE" w:rsidRPr="0085534E">
              <w:rPr>
                <w:szCs w:val="22"/>
                <w:vertAlign w:val="superscript"/>
              </w:rPr>
              <w:t>d</w:t>
            </w:r>
          </w:p>
        </w:tc>
        <w:tc>
          <w:tcPr>
            <w:tcW w:w="3186" w:type="pct"/>
            <w:gridSpan w:val="2"/>
            <w:tcBorders>
              <w:top w:val="nil"/>
              <w:left w:val="single" w:sz="4" w:space="0" w:color="auto"/>
              <w:right w:val="single" w:sz="4" w:space="0" w:color="auto"/>
            </w:tcBorders>
            <w:shd w:val="clear" w:color="auto" w:fill="auto"/>
          </w:tcPr>
          <w:p w14:paraId="6D1F336D" w14:textId="0E3FEB22" w:rsidR="007D1204" w:rsidRPr="0085534E" w:rsidRDefault="007D1204" w:rsidP="00E953FA">
            <w:pPr>
              <w:pStyle w:val="TblTextLeft"/>
              <w:jc w:val="center"/>
              <w:rPr>
                <w:szCs w:val="22"/>
              </w:rPr>
            </w:pPr>
            <w:r w:rsidRPr="0085534E">
              <w:rPr>
                <w:szCs w:val="22"/>
              </w:rPr>
              <w:t>&lt;0.0001</w:t>
            </w:r>
          </w:p>
        </w:tc>
      </w:tr>
      <w:tr w:rsidR="00FE779F" w:rsidRPr="0085534E" w14:paraId="16804895" w14:textId="77777777" w:rsidTr="00E953FA">
        <w:trPr>
          <w:cantSplit/>
          <w:trHeight w:val="429"/>
          <w:jc w:val="center"/>
        </w:trPr>
        <w:tc>
          <w:tcPr>
            <w:tcW w:w="1814" w:type="pct"/>
            <w:tcBorders>
              <w:top w:val="nil"/>
              <w:left w:val="single" w:sz="4" w:space="0" w:color="auto"/>
              <w:right w:val="single" w:sz="4" w:space="0" w:color="auto"/>
            </w:tcBorders>
            <w:shd w:val="clear" w:color="auto" w:fill="auto"/>
          </w:tcPr>
          <w:p w14:paraId="11894261" w14:textId="77777777" w:rsidR="007D1204" w:rsidRPr="0085534E" w:rsidRDefault="007D1204" w:rsidP="00CE64A4">
            <w:pPr>
              <w:pStyle w:val="TblTextLeft"/>
              <w:rPr>
                <w:szCs w:val="22"/>
              </w:rPr>
            </w:pPr>
            <w:r w:rsidRPr="0085534E">
              <w:rPr>
                <w:szCs w:val="22"/>
              </w:rPr>
              <w:t xml:space="preserve">Stringent Complete Response (sCR) + Complete Response (CR) </w:t>
            </w:r>
            <w:r w:rsidRPr="0085534E">
              <w:rPr>
                <w:szCs w:val="22"/>
                <w:lang w:val="fr-FR"/>
              </w:rPr>
              <w:t>n(%)</w:t>
            </w:r>
          </w:p>
        </w:tc>
        <w:tc>
          <w:tcPr>
            <w:tcW w:w="1564" w:type="pct"/>
            <w:tcBorders>
              <w:top w:val="nil"/>
              <w:left w:val="single" w:sz="4" w:space="0" w:color="auto"/>
              <w:right w:val="single" w:sz="4" w:space="0" w:color="auto"/>
            </w:tcBorders>
            <w:shd w:val="clear" w:color="auto" w:fill="auto"/>
          </w:tcPr>
          <w:p w14:paraId="59C440FA" w14:textId="77777777" w:rsidR="007D1204" w:rsidRPr="0085534E" w:rsidRDefault="007D1204" w:rsidP="00E953FA">
            <w:pPr>
              <w:pStyle w:val="TblTextLeft"/>
              <w:jc w:val="center"/>
              <w:rPr>
                <w:szCs w:val="22"/>
              </w:rPr>
            </w:pPr>
            <w:r w:rsidRPr="0085534E">
              <w:rPr>
                <w:szCs w:val="22"/>
              </w:rPr>
              <w:t>7 (4.5)</w:t>
            </w:r>
          </w:p>
        </w:tc>
        <w:tc>
          <w:tcPr>
            <w:tcW w:w="1622" w:type="pct"/>
            <w:tcBorders>
              <w:top w:val="nil"/>
              <w:left w:val="single" w:sz="4" w:space="0" w:color="auto"/>
              <w:right w:val="single" w:sz="4" w:space="0" w:color="auto"/>
            </w:tcBorders>
            <w:shd w:val="clear" w:color="auto" w:fill="auto"/>
          </w:tcPr>
          <w:p w14:paraId="58FDAA6F" w14:textId="77777777" w:rsidR="007D1204" w:rsidRPr="0085534E" w:rsidRDefault="007D1204" w:rsidP="00E953FA">
            <w:pPr>
              <w:pStyle w:val="TblTextLeft"/>
              <w:jc w:val="center"/>
              <w:rPr>
                <w:szCs w:val="22"/>
              </w:rPr>
            </w:pPr>
            <w:r w:rsidRPr="0085534E">
              <w:rPr>
                <w:szCs w:val="22"/>
              </w:rPr>
              <w:t>3 (2.0)</w:t>
            </w:r>
          </w:p>
        </w:tc>
      </w:tr>
      <w:tr w:rsidR="00FE779F" w:rsidRPr="0085534E" w14:paraId="7B9EE546" w14:textId="77777777" w:rsidTr="00E953FA">
        <w:trPr>
          <w:cantSplit/>
          <w:jc w:val="center"/>
        </w:trPr>
        <w:tc>
          <w:tcPr>
            <w:tcW w:w="1814" w:type="pct"/>
            <w:tcBorders>
              <w:top w:val="nil"/>
              <w:left w:val="single" w:sz="4" w:space="0" w:color="auto"/>
              <w:bottom w:val="nil"/>
              <w:right w:val="single" w:sz="4" w:space="0" w:color="auto"/>
            </w:tcBorders>
            <w:shd w:val="clear" w:color="auto" w:fill="auto"/>
          </w:tcPr>
          <w:p w14:paraId="526D30F4" w14:textId="77777777" w:rsidR="007D1204" w:rsidRPr="0085534E" w:rsidRDefault="007D1204" w:rsidP="00CE64A4">
            <w:pPr>
              <w:pStyle w:val="TblTextLeft"/>
              <w:rPr>
                <w:szCs w:val="22"/>
              </w:rPr>
            </w:pPr>
            <w:r w:rsidRPr="0085534E">
              <w:rPr>
                <w:szCs w:val="22"/>
              </w:rPr>
              <w:t>Very Good Partial Response (VGPR) n(%)</w:t>
            </w:r>
          </w:p>
        </w:tc>
        <w:tc>
          <w:tcPr>
            <w:tcW w:w="1564" w:type="pct"/>
            <w:tcBorders>
              <w:top w:val="nil"/>
              <w:left w:val="single" w:sz="4" w:space="0" w:color="auto"/>
              <w:bottom w:val="nil"/>
              <w:right w:val="single" w:sz="4" w:space="0" w:color="auto"/>
            </w:tcBorders>
            <w:shd w:val="clear" w:color="auto" w:fill="auto"/>
          </w:tcPr>
          <w:p w14:paraId="41FBDCA7" w14:textId="77777777" w:rsidR="007D1204" w:rsidRPr="0085534E" w:rsidRDefault="007D1204" w:rsidP="00E953FA">
            <w:pPr>
              <w:pStyle w:val="TblTextLeft"/>
              <w:jc w:val="center"/>
              <w:rPr>
                <w:szCs w:val="22"/>
              </w:rPr>
            </w:pPr>
            <w:r w:rsidRPr="0085534E">
              <w:rPr>
                <w:szCs w:val="22"/>
              </w:rPr>
              <w:t>42 (27.3)</w:t>
            </w:r>
          </w:p>
        </w:tc>
        <w:tc>
          <w:tcPr>
            <w:tcW w:w="1622" w:type="pct"/>
            <w:tcBorders>
              <w:top w:val="nil"/>
              <w:left w:val="single" w:sz="4" w:space="0" w:color="auto"/>
              <w:bottom w:val="nil"/>
              <w:right w:val="single" w:sz="4" w:space="0" w:color="auto"/>
            </w:tcBorders>
            <w:shd w:val="clear" w:color="auto" w:fill="auto"/>
          </w:tcPr>
          <w:p w14:paraId="764CCE9A" w14:textId="77777777" w:rsidR="007D1204" w:rsidRPr="0085534E" w:rsidRDefault="007D1204" w:rsidP="00E953FA">
            <w:pPr>
              <w:pStyle w:val="TblTextLeft"/>
              <w:jc w:val="center"/>
              <w:rPr>
                <w:szCs w:val="22"/>
              </w:rPr>
            </w:pPr>
            <w:r w:rsidRPr="0085534E">
              <w:rPr>
                <w:szCs w:val="22"/>
              </w:rPr>
              <w:t>10 (6.5)</w:t>
            </w:r>
          </w:p>
        </w:tc>
      </w:tr>
      <w:tr w:rsidR="00FE779F" w:rsidRPr="0085534E" w14:paraId="2B0F1D09" w14:textId="77777777" w:rsidTr="00E953FA">
        <w:trPr>
          <w:cantSplit/>
          <w:jc w:val="center"/>
        </w:trPr>
        <w:tc>
          <w:tcPr>
            <w:tcW w:w="1814" w:type="pct"/>
            <w:tcBorders>
              <w:top w:val="nil"/>
              <w:left w:val="single" w:sz="4" w:space="0" w:color="auto"/>
              <w:bottom w:val="single" w:sz="4" w:space="0" w:color="auto"/>
              <w:right w:val="single" w:sz="4" w:space="0" w:color="auto"/>
            </w:tcBorders>
            <w:shd w:val="clear" w:color="auto" w:fill="auto"/>
          </w:tcPr>
          <w:p w14:paraId="19CEAE09" w14:textId="77777777" w:rsidR="007D1204" w:rsidRPr="0085534E" w:rsidRDefault="007D1204" w:rsidP="00CE64A4">
            <w:pPr>
              <w:pStyle w:val="TblTextLeft"/>
              <w:rPr>
                <w:szCs w:val="22"/>
              </w:rPr>
            </w:pPr>
            <w:r w:rsidRPr="0085534E">
              <w:rPr>
                <w:szCs w:val="22"/>
              </w:rPr>
              <w:t xml:space="preserve">Partial Response (PR) </w:t>
            </w:r>
            <w:r w:rsidRPr="0085534E">
              <w:rPr>
                <w:szCs w:val="22"/>
                <w:lang w:val="fr-FR"/>
              </w:rPr>
              <w:t>n(%)</w:t>
            </w:r>
          </w:p>
        </w:tc>
        <w:tc>
          <w:tcPr>
            <w:tcW w:w="1564" w:type="pct"/>
            <w:tcBorders>
              <w:top w:val="nil"/>
              <w:left w:val="single" w:sz="4" w:space="0" w:color="auto"/>
              <w:bottom w:val="single" w:sz="4" w:space="0" w:color="auto"/>
              <w:right w:val="single" w:sz="4" w:space="0" w:color="auto"/>
            </w:tcBorders>
            <w:shd w:val="clear" w:color="auto" w:fill="auto"/>
          </w:tcPr>
          <w:p w14:paraId="28F74FA2" w14:textId="77777777" w:rsidR="007D1204" w:rsidRPr="0085534E" w:rsidRDefault="007D1204" w:rsidP="00E953FA">
            <w:pPr>
              <w:pStyle w:val="TblTextLeft"/>
              <w:jc w:val="center"/>
              <w:rPr>
                <w:szCs w:val="22"/>
              </w:rPr>
            </w:pPr>
            <w:r w:rsidRPr="0085534E">
              <w:rPr>
                <w:szCs w:val="22"/>
              </w:rPr>
              <w:t>44 (28.6)</w:t>
            </w:r>
          </w:p>
        </w:tc>
        <w:tc>
          <w:tcPr>
            <w:tcW w:w="1622" w:type="pct"/>
            <w:tcBorders>
              <w:top w:val="nil"/>
              <w:left w:val="single" w:sz="4" w:space="0" w:color="auto"/>
              <w:bottom w:val="single" w:sz="4" w:space="0" w:color="auto"/>
              <w:right w:val="single" w:sz="4" w:space="0" w:color="auto"/>
            </w:tcBorders>
            <w:shd w:val="clear" w:color="auto" w:fill="auto"/>
          </w:tcPr>
          <w:p w14:paraId="32B6D4D1" w14:textId="77777777" w:rsidR="007D1204" w:rsidRPr="0085534E" w:rsidRDefault="007D1204" w:rsidP="00E953FA">
            <w:pPr>
              <w:pStyle w:val="TblTextLeft"/>
              <w:jc w:val="center"/>
              <w:rPr>
                <w:szCs w:val="22"/>
              </w:rPr>
            </w:pPr>
            <w:r w:rsidRPr="0085534E">
              <w:rPr>
                <w:szCs w:val="22"/>
              </w:rPr>
              <w:t>41 (26.8)</w:t>
            </w:r>
          </w:p>
        </w:tc>
      </w:tr>
      <w:tr w:rsidR="00FE779F" w:rsidRPr="0085534E" w14:paraId="113E8D15" w14:textId="77777777" w:rsidTr="00E953FA">
        <w:trPr>
          <w:cantSplit/>
          <w:jc w:val="center"/>
        </w:trPr>
        <w:tc>
          <w:tcPr>
            <w:tcW w:w="1814" w:type="pct"/>
            <w:tcBorders>
              <w:top w:val="single" w:sz="4" w:space="0" w:color="auto"/>
              <w:left w:val="single" w:sz="4" w:space="0" w:color="auto"/>
              <w:bottom w:val="nil"/>
              <w:right w:val="single" w:sz="4" w:space="0" w:color="auto"/>
            </w:tcBorders>
            <w:shd w:val="clear" w:color="auto" w:fill="auto"/>
          </w:tcPr>
          <w:p w14:paraId="7DD9A434" w14:textId="77777777" w:rsidR="007D1204" w:rsidRPr="0085534E" w:rsidRDefault="007D1204" w:rsidP="00CE64A4">
            <w:pPr>
              <w:pStyle w:val="TblTextLeft"/>
              <w:rPr>
                <w:szCs w:val="22"/>
              </w:rPr>
            </w:pPr>
            <w:r w:rsidRPr="0085534E">
              <w:rPr>
                <w:b/>
                <w:szCs w:val="22"/>
              </w:rPr>
              <w:t>VGPR or better</w:t>
            </w:r>
            <w:r w:rsidRPr="0085534E">
              <w:rPr>
                <w:szCs w:val="22"/>
              </w:rPr>
              <w:t xml:space="preserve"> n(%)</w:t>
            </w:r>
          </w:p>
          <w:p w14:paraId="217D591A" w14:textId="137141D2" w:rsidR="007D1204" w:rsidRPr="0085534E" w:rsidRDefault="007D1204" w:rsidP="00CE64A4">
            <w:pPr>
              <w:pStyle w:val="TblTextLeft"/>
              <w:rPr>
                <w:szCs w:val="22"/>
              </w:rPr>
            </w:pPr>
            <w:r w:rsidRPr="0085534E">
              <w:rPr>
                <w:szCs w:val="22"/>
              </w:rPr>
              <w:t>[95% CI]</w:t>
            </w:r>
            <w:r w:rsidR="00F04864" w:rsidRPr="0085534E">
              <w:rPr>
                <w:szCs w:val="22"/>
                <w:vertAlign w:val="superscript"/>
              </w:rPr>
              <w:t>c</w:t>
            </w:r>
          </w:p>
        </w:tc>
        <w:tc>
          <w:tcPr>
            <w:tcW w:w="1564" w:type="pct"/>
            <w:tcBorders>
              <w:top w:val="single" w:sz="4" w:space="0" w:color="auto"/>
              <w:left w:val="single" w:sz="4" w:space="0" w:color="auto"/>
              <w:bottom w:val="nil"/>
              <w:right w:val="single" w:sz="4" w:space="0" w:color="auto"/>
            </w:tcBorders>
            <w:shd w:val="clear" w:color="auto" w:fill="auto"/>
          </w:tcPr>
          <w:p w14:paraId="60CFF7CF" w14:textId="77777777" w:rsidR="007D1204" w:rsidRPr="0085534E" w:rsidRDefault="007D1204" w:rsidP="00E953FA">
            <w:pPr>
              <w:pStyle w:val="TblTextLeft"/>
              <w:jc w:val="center"/>
              <w:rPr>
                <w:szCs w:val="22"/>
              </w:rPr>
            </w:pPr>
            <w:r w:rsidRPr="0085534E">
              <w:rPr>
                <w:szCs w:val="22"/>
              </w:rPr>
              <w:t>49 (31.8)</w:t>
            </w:r>
          </w:p>
          <w:p w14:paraId="2562B756" w14:textId="77777777" w:rsidR="007D1204" w:rsidRPr="0085534E" w:rsidRDefault="007D1204" w:rsidP="00E953FA">
            <w:pPr>
              <w:pStyle w:val="TblTextLeft"/>
              <w:jc w:val="center"/>
              <w:rPr>
                <w:szCs w:val="22"/>
              </w:rPr>
            </w:pPr>
            <w:r w:rsidRPr="0085534E">
              <w:rPr>
                <w:szCs w:val="22"/>
              </w:rPr>
              <w:t>[0.2455-0.3980]</w:t>
            </w:r>
          </w:p>
        </w:tc>
        <w:tc>
          <w:tcPr>
            <w:tcW w:w="1622" w:type="pct"/>
            <w:tcBorders>
              <w:top w:val="single" w:sz="4" w:space="0" w:color="auto"/>
              <w:left w:val="single" w:sz="4" w:space="0" w:color="auto"/>
              <w:bottom w:val="nil"/>
              <w:right w:val="single" w:sz="4" w:space="0" w:color="auto"/>
            </w:tcBorders>
            <w:shd w:val="clear" w:color="auto" w:fill="auto"/>
          </w:tcPr>
          <w:p w14:paraId="572030BD" w14:textId="77777777" w:rsidR="007D1204" w:rsidRPr="0085534E" w:rsidRDefault="007D1204" w:rsidP="00E953FA">
            <w:pPr>
              <w:pStyle w:val="TblTextLeft"/>
              <w:jc w:val="center"/>
              <w:rPr>
                <w:szCs w:val="22"/>
              </w:rPr>
            </w:pPr>
            <w:r w:rsidRPr="0085534E">
              <w:rPr>
                <w:szCs w:val="22"/>
              </w:rPr>
              <w:t>13 (8.5)</w:t>
            </w:r>
          </w:p>
          <w:p w14:paraId="08FA9BFA" w14:textId="77777777" w:rsidR="007D1204" w:rsidRPr="0085534E" w:rsidRDefault="007D1204" w:rsidP="00E953FA">
            <w:pPr>
              <w:pStyle w:val="TblTextLeft"/>
              <w:jc w:val="center"/>
              <w:rPr>
                <w:szCs w:val="22"/>
              </w:rPr>
            </w:pPr>
            <w:r w:rsidRPr="0085534E">
              <w:rPr>
                <w:szCs w:val="22"/>
              </w:rPr>
              <w:t>[0.0460-0.1409]</w:t>
            </w:r>
          </w:p>
        </w:tc>
      </w:tr>
      <w:tr w:rsidR="00F04864" w:rsidRPr="0085534E" w14:paraId="236123E7" w14:textId="77777777" w:rsidTr="00E953FA">
        <w:trPr>
          <w:cantSplit/>
          <w:jc w:val="center"/>
        </w:trPr>
        <w:tc>
          <w:tcPr>
            <w:tcW w:w="1814" w:type="pct"/>
            <w:tcBorders>
              <w:top w:val="nil"/>
              <w:left w:val="single" w:sz="4" w:space="0" w:color="auto"/>
              <w:bottom w:val="nil"/>
              <w:right w:val="single" w:sz="4" w:space="0" w:color="auto"/>
            </w:tcBorders>
            <w:shd w:val="clear" w:color="auto" w:fill="auto"/>
          </w:tcPr>
          <w:p w14:paraId="73918EBD" w14:textId="79684681" w:rsidR="00F04864" w:rsidRPr="0085534E" w:rsidRDefault="00F04864" w:rsidP="00F04864">
            <w:pPr>
              <w:pStyle w:val="TblTextLeft"/>
              <w:rPr>
                <w:b/>
                <w:szCs w:val="22"/>
              </w:rPr>
            </w:pPr>
            <w:r w:rsidRPr="0085534E">
              <w:rPr>
                <w:szCs w:val="22"/>
              </w:rPr>
              <w:t>Odds ratio vs Pd [95% exact CI]</w:t>
            </w:r>
          </w:p>
        </w:tc>
        <w:tc>
          <w:tcPr>
            <w:tcW w:w="3186" w:type="pct"/>
            <w:gridSpan w:val="2"/>
            <w:tcBorders>
              <w:top w:val="nil"/>
              <w:left w:val="single" w:sz="4" w:space="0" w:color="auto"/>
              <w:bottom w:val="nil"/>
              <w:right w:val="single" w:sz="4" w:space="0" w:color="auto"/>
            </w:tcBorders>
            <w:shd w:val="clear" w:color="auto" w:fill="auto"/>
          </w:tcPr>
          <w:p w14:paraId="3D593C0A" w14:textId="034A8846" w:rsidR="00F04864" w:rsidRPr="0085534E" w:rsidRDefault="00F04864" w:rsidP="00E953FA">
            <w:pPr>
              <w:pStyle w:val="TblTextLeft"/>
              <w:jc w:val="center"/>
              <w:rPr>
                <w:szCs w:val="22"/>
              </w:rPr>
            </w:pPr>
            <w:r w:rsidRPr="0085534E">
              <w:rPr>
                <w:szCs w:val="22"/>
              </w:rPr>
              <w:t>5.026 [2.514-10.586]</w:t>
            </w:r>
          </w:p>
        </w:tc>
      </w:tr>
      <w:tr w:rsidR="00F04864" w:rsidRPr="0085534E" w14:paraId="6B7FAF9D" w14:textId="77777777" w:rsidTr="00E953FA">
        <w:trPr>
          <w:cantSplit/>
          <w:jc w:val="center"/>
        </w:trPr>
        <w:tc>
          <w:tcPr>
            <w:tcW w:w="1814" w:type="pct"/>
            <w:tcBorders>
              <w:top w:val="nil"/>
              <w:left w:val="single" w:sz="4" w:space="0" w:color="auto"/>
              <w:bottom w:val="single" w:sz="4" w:space="0" w:color="auto"/>
              <w:right w:val="single" w:sz="4" w:space="0" w:color="auto"/>
            </w:tcBorders>
            <w:shd w:val="clear" w:color="auto" w:fill="auto"/>
          </w:tcPr>
          <w:p w14:paraId="27B70824" w14:textId="7AF6D786" w:rsidR="00F04864" w:rsidRPr="0085534E" w:rsidRDefault="00F04864" w:rsidP="00F04864">
            <w:pPr>
              <w:pStyle w:val="TblTextLeft"/>
              <w:rPr>
                <w:b/>
                <w:szCs w:val="22"/>
              </w:rPr>
            </w:pPr>
            <w:r w:rsidRPr="0085534E">
              <w:rPr>
                <w:szCs w:val="22"/>
              </w:rPr>
              <w:t>p-value</w:t>
            </w:r>
            <w:r w:rsidRPr="0085534E">
              <w:rPr>
                <w:szCs w:val="22"/>
                <w:vertAlign w:val="superscript"/>
              </w:rPr>
              <w:t xml:space="preserve"> </w:t>
            </w:r>
            <w:r w:rsidRPr="0085534E">
              <w:rPr>
                <w:szCs w:val="22"/>
              </w:rPr>
              <w:t>(stratified Cochran-Mantel Haenszel)</w:t>
            </w:r>
            <w:r w:rsidR="00C6766B" w:rsidRPr="0085534E">
              <w:rPr>
                <w:szCs w:val="22"/>
                <w:vertAlign w:val="superscript"/>
              </w:rPr>
              <w:t>d</w:t>
            </w:r>
          </w:p>
        </w:tc>
        <w:tc>
          <w:tcPr>
            <w:tcW w:w="3186" w:type="pct"/>
            <w:gridSpan w:val="2"/>
            <w:tcBorders>
              <w:top w:val="nil"/>
              <w:left w:val="single" w:sz="4" w:space="0" w:color="auto"/>
              <w:bottom w:val="single" w:sz="4" w:space="0" w:color="auto"/>
              <w:right w:val="single" w:sz="4" w:space="0" w:color="auto"/>
            </w:tcBorders>
            <w:shd w:val="clear" w:color="auto" w:fill="auto"/>
          </w:tcPr>
          <w:p w14:paraId="33C018AF" w14:textId="452C1F23" w:rsidR="00F04864" w:rsidRPr="0085534E" w:rsidRDefault="00F04864" w:rsidP="00E953FA">
            <w:pPr>
              <w:pStyle w:val="TblTextLeft"/>
              <w:jc w:val="center"/>
              <w:rPr>
                <w:szCs w:val="22"/>
              </w:rPr>
            </w:pPr>
            <w:r w:rsidRPr="0085534E">
              <w:rPr>
                <w:szCs w:val="22"/>
              </w:rPr>
              <w:t>&lt;0.0001</w:t>
            </w:r>
          </w:p>
        </w:tc>
      </w:tr>
      <w:tr w:rsidR="00F04864" w:rsidRPr="0085534E" w14:paraId="352659DF" w14:textId="77777777" w:rsidTr="00E953FA">
        <w:trPr>
          <w:cantSplit/>
          <w:jc w:val="center"/>
        </w:trPr>
        <w:tc>
          <w:tcPr>
            <w:tcW w:w="1814" w:type="pct"/>
            <w:tcBorders>
              <w:top w:val="single" w:sz="4" w:space="0" w:color="auto"/>
              <w:left w:val="single" w:sz="4" w:space="0" w:color="auto"/>
              <w:bottom w:val="nil"/>
              <w:right w:val="single" w:sz="4" w:space="0" w:color="auto"/>
            </w:tcBorders>
            <w:shd w:val="clear" w:color="auto" w:fill="auto"/>
          </w:tcPr>
          <w:p w14:paraId="1C630FBE" w14:textId="3D20DF3F" w:rsidR="00F04864" w:rsidRPr="0085534E" w:rsidRDefault="00F04864" w:rsidP="00F04864">
            <w:pPr>
              <w:pStyle w:val="TblTextLeft"/>
              <w:rPr>
                <w:szCs w:val="22"/>
              </w:rPr>
            </w:pPr>
            <w:r w:rsidRPr="0085534E">
              <w:rPr>
                <w:b/>
                <w:szCs w:val="22"/>
              </w:rPr>
              <w:t>Duration of Response</w:t>
            </w:r>
            <w:r w:rsidR="00C6766B" w:rsidRPr="0085534E">
              <w:rPr>
                <w:szCs w:val="22"/>
                <w:vertAlign w:val="superscript"/>
              </w:rPr>
              <w:t>e</w:t>
            </w:r>
            <w:r w:rsidRPr="0085534E">
              <w:rPr>
                <w:szCs w:val="22"/>
                <w:vertAlign w:val="superscript"/>
              </w:rPr>
              <w:t xml:space="preserve"> </w:t>
            </w:r>
            <w:r w:rsidRPr="0085534E">
              <w:rPr>
                <w:b/>
                <w:szCs w:val="22"/>
              </w:rPr>
              <w:t>*</w:t>
            </w:r>
            <w:r w:rsidRPr="0085534E">
              <w:rPr>
                <w:szCs w:val="22"/>
              </w:rPr>
              <w:t xml:space="preserve">(PR or better) </w:t>
            </w:r>
          </w:p>
        </w:tc>
        <w:tc>
          <w:tcPr>
            <w:tcW w:w="1564" w:type="pct"/>
            <w:tcBorders>
              <w:top w:val="single" w:sz="4" w:space="0" w:color="auto"/>
              <w:left w:val="single" w:sz="4" w:space="0" w:color="auto"/>
              <w:bottom w:val="nil"/>
              <w:right w:val="single" w:sz="4" w:space="0" w:color="auto"/>
            </w:tcBorders>
            <w:shd w:val="clear" w:color="auto" w:fill="auto"/>
          </w:tcPr>
          <w:p w14:paraId="7F32780C" w14:textId="65FCC348" w:rsidR="00F04864" w:rsidRPr="0085534E" w:rsidRDefault="00F04864" w:rsidP="00E953FA">
            <w:pPr>
              <w:pStyle w:val="TblTextLeft"/>
              <w:rPr>
                <w:szCs w:val="22"/>
              </w:rPr>
            </w:pPr>
          </w:p>
        </w:tc>
        <w:tc>
          <w:tcPr>
            <w:tcW w:w="1622" w:type="pct"/>
            <w:tcBorders>
              <w:top w:val="single" w:sz="4" w:space="0" w:color="auto"/>
              <w:left w:val="single" w:sz="4" w:space="0" w:color="auto"/>
              <w:bottom w:val="nil"/>
              <w:right w:val="single" w:sz="4" w:space="0" w:color="auto"/>
            </w:tcBorders>
            <w:shd w:val="clear" w:color="auto" w:fill="auto"/>
          </w:tcPr>
          <w:p w14:paraId="175BBB1F" w14:textId="2EF1B07B" w:rsidR="00F04864" w:rsidRPr="0085534E" w:rsidRDefault="00F04864" w:rsidP="00E953FA">
            <w:pPr>
              <w:pStyle w:val="TblTextLeft"/>
              <w:rPr>
                <w:szCs w:val="22"/>
              </w:rPr>
            </w:pPr>
          </w:p>
        </w:tc>
      </w:tr>
      <w:tr w:rsidR="00E953FA" w:rsidRPr="0085534E" w14:paraId="43F4DB7B" w14:textId="77777777" w:rsidTr="00E953FA">
        <w:trPr>
          <w:cantSplit/>
          <w:jc w:val="center"/>
        </w:trPr>
        <w:tc>
          <w:tcPr>
            <w:tcW w:w="1814" w:type="pct"/>
            <w:tcBorders>
              <w:top w:val="nil"/>
              <w:left w:val="single" w:sz="4" w:space="0" w:color="auto"/>
              <w:bottom w:val="single" w:sz="4" w:space="0" w:color="auto"/>
              <w:right w:val="single" w:sz="4" w:space="0" w:color="auto"/>
            </w:tcBorders>
            <w:shd w:val="clear" w:color="auto" w:fill="auto"/>
          </w:tcPr>
          <w:p w14:paraId="528A0603" w14:textId="0E3C5F4E" w:rsidR="00E953FA" w:rsidRPr="0085534E" w:rsidRDefault="00E953FA" w:rsidP="00F04864">
            <w:pPr>
              <w:pStyle w:val="TblTextLeft"/>
              <w:rPr>
                <w:b/>
                <w:szCs w:val="22"/>
              </w:rPr>
            </w:pPr>
            <w:r w:rsidRPr="0085534E">
              <w:rPr>
                <w:szCs w:val="22"/>
              </w:rPr>
              <w:t>Median in months [95% CI]</w:t>
            </w:r>
            <w:r w:rsidRPr="0085534E">
              <w:rPr>
                <w:szCs w:val="22"/>
                <w:vertAlign w:val="superscript"/>
              </w:rPr>
              <w:t>f</w:t>
            </w:r>
          </w:p>
        </w:tc>
        <w:tc>
          <w:tcPr>
            <w:tcW w:w="1564" w:type="pct"/>
            <w:tcBorders>
              <w:top w:val="nil"/>
              <w:left w:val="single" w:sz="4" w:space="0" w:color="auto"/>
              <w:bottom w:val="single" w:sz="4" w:space="0" w:color="auto"/>
              <w:right w:val="single" w:sz="4" w:space="0" w:color="auto"/>
            </w:tcBorders>
            <w:shd w:val="clear" w:color="auto" w:fill="auto"/>
          </w:tcPr>
          <w:p w14:paraId="14158772" w14:textId="2CDC8317" w:rsidR="00E953FA" w:rsidRPr="0085534E" w:rsidRDefault="00E953FA" w:rsidP="00E953FA">
            <w:pPr>
              <w:pStyle w:val="TblTextLeft"/>
              <w:jc w:val="center"/>
              <w:rPr>
                <w:szCs w:val="22"/>
              </w:rPr>
            </w:pPr>
            <w:r w:rsidRPr="0085534E">
              <w:rPr>
                <w:szCs w:val="22"/>
              </w:rPr>
              <w:t>13.27 [10.612-NR]</w:t>
            </w:r>
          </w:p>
        </w:tc>
        <w:tc>
          <w:tcPr>
            <w:tcW w:w="1622" w:type="pct"/>
            <w:tcBorders>
              <w:top w:val="nil"/>
              <w:left w:val="single" w:sz="4" w:space="0" w:color="auto"/>
              <w:bottom w:val="single" w:sz="4" w:space="0" w:color="auto"/>
              <w:right w:val="single" w:sz="4" w:space="0" w:color="auto"/>
            </w:tcBorders>
            <w:shd w:val="clear" w:color="auto" w:fill="auto"/>
          </w:tcPr>
          <w:p w14:paraId="18F9D88A" w14:textId="090C2DBD" w:rsidR="00E953FA" w:rsidRPr="0085534E" w:rsidRDefault="00E953FA" w:rsidP="00E953FA">
            <w:pPr>
              <w:pStyle w:val="TblTextLeft"/>
              <w:jc w:val="center"/>
              <w:rPr>
                <w:szCs w:val="22"/>
              </w:rPr>
            </w:pPr>
            <w:r w:rsidRPr="0085534E">
              <w:rPr>
                <w:szCs w:val="22"/>
              </w:rPr>
              <w:t>11.07 [8.542-NR]</w:t>
            </w:r>
          </w:p>
        </w:tc>
      </w:tr>
      <w:tr w:rsidR="00F04864" w:rsidRPr="0085534E" w14:paraId="1E88DA4E" w14:textId="77777777" w:rsidTr="00E953FA">
        <w:trPr>
          <w:cantSplit/>
          <w:jc w:val="center"/>
        </w:trPr>
        <w:tc>
          <w:tcPr>
            <w:tcW w:w="1814" w:type="pct"/>
            <w:tcBorders>
              <w:top w:val="single" w:sz="4" w:space="0" w:color="auto"/>
              <w:left w:val="single" w:sz="4" w:space="0" w:color="auto"/>
              <w:bottom w:val="single" w:sz="4" w:space="0" w:color="auto"/>
              <w:right w:val="single" w:sz="4" w:space="0" w:color="auto"/>
            </w:tcBorders>
            <w:shd w:val="clear" w:color="auto" w:fill="auto"/>
          </w:tcPr>
          <w:p w14:paraId="3D9D824C" w14:textId="3121384C" w:rsidR="00F04864" w:rsidRPr="0085534E" w:rsidRDefault="00F04864" w:rsidP="00F04864">
            <w:pPr>
              <w:pStyle w:val="TblTextLeft"/>
              <w:rPr>
                <w:b/>
                <w:szCs w:val="22"/>
              </w:rPr>
            </w:pPr>
            <w:r w:rsidRPr="0085534E">
              <w:rPr>
                <w:b/>
                <w:szCs w:val="22"/>
              </w:rPr>
              <w:t>Minimal Residual Disease negative rate</w:t>
            </w:r>
            <w:r w:rsidR="00C6766B" w:rsidRPr="0085534E">
              <w:rPr>
                <w:szCs w:val="22"/>
                <w:vertAlign w:val="superscript"/>
              </w:rPr>
              <w:t>g</w:t>
            </w:r>
            <w:r w:rsidRPr="0085534E">
              <w:rPr>
                <w:b/>
                <w:szCs w:val="22"/>
              </w:rPr>
              <w:t xml:space="preserve"> (%)</w:t>
            </w:r>
            <w:r w:rsidRPr="0085534E">
              <w:rPr>
                <w:szCs w:val="22"/>
              </w:rPr>
              <w:t xml:space="preserve"> </w:t>
            </w:r>
          </w:p>
        </w:tc>
        <w:tc>
          <w:tcPr>
            <w:tcW w:w="1564" w:type="pct"/>
            <w:tcBorders>
              <w:top w:val="single" w:sz="4" w:space="0" w:color="auto"/>
              <w:left w:val="single" w:sz="4" w:space="0" w:color="auto"/>
              <w:bottom w:val="single" w:sz="4" w:space="0" w:color="auto"/>
              <w:right w:val="single" w:sz="4" w:space="0" w:color="auto"/>
            </w:tcBorders>
            <w:shd w:val="clear" w:color="auto" w:fill="auto"/>
          </w:tcPr>
          <w:p w14:paraId="5E9C6A56" w14:textId="6BBAD21B" w:rsidR="00F04864" w:rsidRPr="0085534E" w:rsidRDefault="00F04864" w:rsidP="00E953FA">
            <w:pPr>
              <w:pStyle w:val="TblTextLeft"/>
              <w:jc w:val="center"/>
              <w:rPr>
                <w:szCs w:val="22"/>
              </w:rPr>
            </w:pPr>
            <w:r w:rsidRPr="0085534E">
              <w:rPr>
                <w:szCs w:val="22"/>
              </w:rPr>
              <w:t>5.2</w:t>
            </w:r>
          </w:p>
        </w:tc>
        <w:tc>
          <w:tcPr>
            <w:tcW w:w="1622" w:type="pct"/>
            <w:tcBorders>
              <w:top w:val="single" w:sz="4" w:space="0" w:color="auto"/>
              <w:left w:val="single" w:sz="4" w:space="0" w:color="auto"/>
              <w:bottom w:val="single" w:sz="4" w:space="0" w:color="auto"/>
              <w:right w:val="single" w:sz="4" w:space="0" w:color="auto"/>
            </w:tcBorders>
            <w:shd w:val="clear" w:color="auto" w:fill="auto"/>
          </w:tcPr>
          <w:p w14:paraId="56866A25" w14:textId="77777777" w:rsidR="00F04864" w:rsidRPr="0085534E" w:rsidRDefault="00F04864" w:rsidP="00E953FA">
            <w:pPr>
              <w:pStyle w:val="TblTextLeft"/>
              <w:jc w:val="center"/>
              <w:rPr>
                <w:szCs w:val="22"/>
              </w:rPr>
            </w:pPr>
            <w:r w:rsidRPr="0085534E">
              <w:rPr>
                <w:szCs w:val="22"/>
              </w:rPr>
              <w:t>0</w:t>
            </w:r>
          </w:p>
          <w:p w14:paraId="31A83F15" w14:textId="791B5436" w:rsidR="00F04864" w:rsidRPr="0085534E" w:rsidRDefault="00F04864" w:rsidP="00E953FA">
            <w:pPr>
              <w:pStyle w:val="TblTextLeft"/>
              <w:jc w:val="center"/>
              <w:rPr>
                <w:szCs w:val="22"/>
              </w:rPr>
            </w:pPr>
          </w:p>
        </w:tc>
      </w:tr>
    </w:tbl>
    <w:p w14:paraId="52C25674" w14:textId="4FB9793E" w:rsidR="00157047" w:rsidRPr="0085534E" w:rsidRDefault="007D1204" w:rsidP="00CE64A4">
      <w:pPr>
        <w:pStyle w:val="TblFigFootnote"/>
      </w:pPr>
      <w:r w:rsidRPr="0085534E">
        <w:rPr>
          <w:vertAlign w:val="superscript"/>
        </w:rPr>
        <w:t>a</w:t>
      </w:r>
      <w:r w:rsidRPr="0085534E">
        <w:t xml:space="preserve"> </w:t>
      </w:r>
      <w:r w:rsidR="00157047" w:rsidRPr="0085534E">
        <w:t xml:space="preserve">PFS results were assessed by an Independent Response Committee based on central laboratory data for M-protein and central radiologic imaging review using the International Myeloma Working Group (IMWG) criteria. </w:t>
      </w:r>
    </w:p>
    <w:p w14:paraId="032B955E" w14:textId="6C78992E" w:rsidR="007D1204" w:rsidRPr="0085534E" w:rsidRDefault="00157047" w:rsidP="00CE64A4">
      <w:pPr>
        <w:pStyle w:val="TblFigFootnote"/>
      </w:pPr>
      <w:r w:rsidRPr="0085534E">
        <w:rPr>
          <w:vertAlign w:val="superscript"/>
        </w:rPr>
        <w:t>b</w:t>
      </w:r>
      <w:r w:rsidRPr="0085534E">
        <w:t xml:space="preserve"> </w:t>
      </w:r>
      <w:r w:rsidR="007D1204" w:rsidRPr="0085534E">
        <w:t>sCR, CR, VGPR and PR were evaluated by the IRC using the IMWG response criteria.</w:t>
      </w:r>
      <w:r w:rsidR="007D1204" w:rsidRPr="0085534E">
        <w:rPr>
          <w:highlight w:val="cyan"/>
        </w:rPr>
        <w:t xml:space="preserve"> </w:t>
      </w:r>
      <w:r w:rsidR="007D1204" w:rsidRPr="0085534E">
        <w:br/>
      </w:r>
      <w:r w:rsidRPr="0085534E">
        <w:rPr>
          <w:vertAlign w:val="superscript"/>
        </w:rPr>
        <w:t xml:space="preserve">c </w:t>
      </w:r>
      <w:r w:rsidR="007D1204" w:rsidRPr="0085534E">
        <w:t xml:space="preserve"> Estimated using Clopper-Pearson method.</w:t>
      </w:r>
    </w:p>
    <w:p w14:paraId="3A0DDF03" w14:textId="3F59FE2B" w:rsidR="007D1204" w:rsidRPr="0085534E" w:rsidRDefault="00157047" w:rsidP="00CE64A4">
      <w:pPr>
        <w:pStyle w:val="TblFigFootnote"/>
      </w:pPr>
      <w:r w:rsidRPr="0085534E">
        <w:rPr>
          <w:vertAlign w:val="superscript"/>
        </w:rPr>
        <w:t xml:space="preserve">d </w:t>
      </w:r>
      <w:r w:rsidR="007D1204" w:rsidRPr="0085534E">
        <w:t xml:space="preserve">Stratified on age (&lt;75 years versus &gt;75 years) and number of previous lines of therapy (2 or 3 versus &gt;3) according to IRT. </w:t>
      </w:r>
    </w:p>
    <w:p w14:paraId="413141D8" w14:textId="7C3AE703" w:rsidR="007D1204" w:rsidRPr="0085534E" w:rsidRDefault="00157047" w:rsidP="00CE64A4">
      <w:pPr>
        <w:pStyle w:val="TblFigFootnote"/>
      </w:pPr>
      <w:r w:rsidRPr="0085534E">
        <w:rPr>
          <w:vertAlign w:val="superscript"/>
        </w:rPr>
        <w:t xml:space="preserve">e </w:t>
      </w:r>
      <w:r w:rsidR="007D1204" w:rsidRPr="0085534E">
        <w:t>based on Responders in the ITT population. Kaplan-Meier estimates of duration of response.</w:t>
      </w:r>
    </w:p>
    <w:p w14:paraId="19B7DE74" w14:textId="4EB76AE8" w:rsidR="007D1204" w:rsidRPr="0085534E" w:rsidRDefault="00157047" w:rsidP="00CE64A4">
      <w:pPr>
        <w:pStyle w:val="TblFigFootnote"/>
        <w:rPr>
          <w:vertAlign w:val="superscript"/>
        </w:rPr>
      </w:pPr>
      <w:r w:rsidRPr="0085534E">
        <w:rPr>
          <w:vertAlign w:val="superscript"/>
        </w:rPr>
        <w:t xml:space="preserve">f </w:t>
      </w:r>
      <w:r w:rsidR="007D1204" w:rsidRPr="0085534E">
        <w:t>CI for Kaplan-Meier estimates are calculated with log-log transformation of survival function and methods of Brookmeyer and Crowle.</w:t>
      </w:r>
    </w:p>
    <w:p w14:paraId="3DDDB998" w14:textId="58E564A4" w:rsidR="007D1204" w:rsidRPr="0085534E" w:rsidRDefault="00157047" w:rsidP="00CE64A4">
      <w:pPr>
        <w:pStyle w:val="TblFigFootnote"/>
      </w:pPr>
      <w:r w:rsidRPr="0085534E">
        <w:rPr>
          <w:vertAlign w:val="superscript"/>
        </w:rPr>
        <w:t>g</w:t>
      </w:r>
      <w:r w:rsidRPr="0085534E">
        <w:rPr>
          <w:strike/>
          <w:vertAlign w:val="superscript"/>
        </w:rPr>
        <w:t xml:space="preserve"> </w:t>
      </w:r>
      <w:r w:rsidR="007D1204" w:rsidRPr="0085534E">
        <w:t>based on a sensitivity level of 10</w:t>
      </w:r>
      <w:r w:rsidR="007D1204" w:rsidRPr="0085534E">
        <w:rPr>
          <w:vertAlign w:val="superscript"/>
        </w:rPr>
        <w:t xml:space="preserve"> -5</w:t>
      </w:r>
      <w:r w:rsidR="007D1204" w:rsidRPr="0085534E">
        <w:t xml:space="preserve"> by NGS</w:t>
      </w:r>
    </w:p>
    <w:p w14:paraId="7E25D18F" w14:textId="77777777" w:rsidR="007D1204" w:rsidRPr="0085534E" w:rsidRDefault="007D1204" w:rsidP="00CE64A4">
      <w:pPr>
        <w:pStyle w:val="TblFigFootnote"/>
      </w:pPr>
      <w:r w:rsidRPr="0085534E">
        <w:t>* Cut-off date of 11-Oct-2018. Median follow-up time=11.60 months. HR&lt;1 favors IPd arm.</w:t>
      </w:r>
    </w:p>
    <w:p w14:paraId="0BE556E2" w14:textId="77777777" w:rsidR="007D1204" w:rsidRPr="0085534E" w:rsidRDefault="004C4FBA" w:rsidP="00CE64A4">
      <w:pPr>
        <w:pStyle w:val="TblFigFootnote"/>
      </w:pPr>
      <w:r w:rsidRPr="0085534E">
        <w:t>NR: not reached</w:t>
      </w:r>
    </w:p>
    <w:p w14:paraId="7842E05C" w14:textId="75AAB6A4" w:rsidR="007D1204" w:rsidRPr="0085534E" w:rsidRDefault="007D1204" w:rsidP="007D1204">
      <w:pPr>
        <w:autoSpaceDE w:val="0"/>
        <w:autoSpaceDN w:val="0"/>
        <w:adjustRightInd w:val="0"/>
        <w:rPr>
          <w:color w:val="auto"/>
          <w:szCs w:val="22"/>
        </w:rPr>
      </w:pPr>
      <w:r w:rsidRPr="0085534E">
        <w:rPr>
          <w:color w:val="auto"/>
          <w:szCs w:val="22"/>
        </w:rPr>
        <w:t xml:space="preserve">In patients with high-risk cytogenetics (central laboratory assessment), median PFS was 7.49 (95% CI: 2.628 to NC) in the IPd group and 3.745 (95% CI: 2.793 to 7.885) in the Pd group (HR=0.655; 95% CI: 0.334 to 1.283). PFS improvements in the IPd group were also observed in patients &gt;75 years (HR=0.479; 95% CI: 0.242 to 0.946), with ISS stage III at study entry (HR=0.635; 95% CI: 0.363 to 1.110), with baseline creatinine clearance &lt; 60 ml/min/1.73 m² (HR=0.502; 95% CI: 0.297 to 0.847), with &gt; 3 prior lines of therapy (HR=0.590; 95% CI: 0.356 to 0.977), in patients refractory to prior therapy  with lenalidomide (HR=0.593; 95% CI: 0.431 to 0.816) or proteasome inhibitor (HR=0.578; 95% CI: 0.405 to 0.824) and in those refractory to lenalidomide at the last line before to the study entry (HR= 0.601; 95%CI: 0.436 to 0.828). </w:t>
      </w:r>
    </w:p>
    <w:p w14:paraId="569273BC" w14:textId="2659815D" w:rsidR="00CE64A4" w:rsidRPr="0085534E" w:rsidRDefault="007D1204" w:rsidP="00CE6159">
      <w:pPr>
        <w:autoSpaceDE w:val="0"/>
        <w:autoSpaceDN w:val="0"/>
        <w:adjustRightInd w:val="0"/>
        <w:rPr>
          <w:color w:val="auto"/>
          <w:szCs w:val="22"/>
        </w:rPr>
      </w:pPr>
      <w:r w:rsidRPr="0085534E">
        <w:rPr>
          <w:color w:val="auto"/>
          <w:szCs w:val="22"/>
        </w:rPr>
        <w:t xml:space="preserve">The median time to first response in responders was 35 days in IPd group versus 58 days in Pd group. </w:t>
      </w:r>
      <w:r w:rsidR="008E7308" w:rsidRPr="0085534E">
        <w:rPr>
          <w:color w:val="auto"/>
        </w:rPr>
        <w:t xml:space="preserve">At the time for the analysis for PFS, </w:t>
      </w:r>
      <w:r w:rsidR="008E7308" w:rsidRPr="0085534E">
        <w:rPr>
          <w:color w:val="auto"/>
          <w:szCs w:val="22"/>
        </w:rPr>
        <w:t>m</w:t>
      </w:r>
      <w:r w:rsidRPr="0085534E">
        <w:rPr>
          <w:color w:val="auto"/>
          <w:szCs w:val="22"/>
        </w:rPr>
        <w:t xml:space="preserve">edian overall survival was not reached for </w:t>
      </w:r>
      <w:r w:rsidRPr="0085534E">
        <w:rPr>
          <w:color w:val="auto"/>
          <w:szCs w:val="22"/>
        </w:rPr>
        <w:lastRenderedPageBreak/>
        <w:t>either treatment group. At a median follow-up time of 11.6 months, 27.9% of deaths in the IPd group and 36.6% of deaths in the Pd group had occurred. The hazard ratio for OS was 0.687 (95% CI: 0.461-1.023, p-value=0.0631).</w:t>
      </w:r>
    </w:p>
    <w:p w14:paraId="3827446B" w14:textId="77777777" w:rsidR="00EF5223" w:rsidRDefault="00C121D4" w:rsidP="00C121D4">
      <w:pPr>
        <w:pStyle w:val="Caption"/>
        <w:rPr>
          <w:szCs w:val="22"/>
        </w:rPr>
      </w:pPr>
      <w:r w:rsidRPr="0085534E">
        <w:rPr>
          <w:b w:val="0"/>
          <w:szCs w:val="22"/>
        </w:rPr>
        <w:t xml:space="preserve"> </w:t>
      </w:r>
      <w:bookmarkStart w:id="10" w:name="_Ref7435804"/>
      <w:r w:rsidRPr="0085534E">
        <w:t>Figure </w:t>
      </w:r>
      <w:r w:rsidRPr="0085534E">
        <w:fldChar w:fldCharType="begin"/>
      </w:r>
      <w:r w:rsidRPr="0085534E">
        <w:instrText xml:space="preserve"> SEQ Figure \* ARABIC </w:instrText>
      </w:r>
      <w:r w:rsidRPr="0085534E">
        <w:fldChar w:fldCharType="separate"/>
      </w:r>
      <w:r w:rsidR="00312638">
        <w:rPr>
          <w:noProof/>
        </w:rPr>
        <w:t>1</w:t>
      </w:r>
      <w:r w:rsidRPr="0085534E">
        <w:fldChar w:fldCharType="end"/>
      </w:r>
      <w:bookmarkEnd w:id="10"/>
      <w:r w:rsidRPr="0085534E">
        <w:t xml:space="preserve"> ­ </w:t>
      </w:r>
      <w:r w:rsidRPr="0085534E">
        <w:rPr>
          <w:szCs w:val="22"/>
        </w:rPr>
        <w:t>Kaplan-Meier Curves of PFS – ITT population – ICARIA-MM (assessment by the IRC)</w:t>
      </w:r>
    </w:p>
    <w:p w14:paraId="4B6ED6A7" w14:textId="2655799D" w:rsidR="00CE64A4" w:rsidRPr="0085534E" w:rsidRDefault="00CE64A4" w:rsidP="00EF5223">
      <w:pPr>
        <w:rPr>
          <w:szCs w:val="22"/>
        </w:rPr>
      </w:pPr>
      <w:r w:rsidRPr="0085534E">
        <w:rPr>
          <w:noProof/>
          <w:lang w:val="en-AU" w:eastAsia="en-AU"/>
        </w:rPr>
        <w:drawing>
          <wp:inline distT="0" distB="0" distL="0" distR="0" wp14:anchorId="682AAF16" wp14:editId="488BBE60">
            <wp:extent cx="4189946" cy="26149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0008" cy="2633691"/>
                    </a:xfrm>
                    <a:prstGeom prst="rect">
                      <a:avLst/>
                    </a:prstGeom>
                    <a:noFill/>
                    <a:ln>
                      <a:noFill/>
                    </a:ln>
                  </pic:spPr>
                </pic:pic>
              </a:graphicData>
            </a:graphic>
          </wp:inline>
        </w:drawing>
      </w:r>
    </w:p>
    <w:p w14:paraId="5D0F8620" w14:textId="77777777" w:rsidR="00EF5223" w:rsidRDefault="00C121D4" w:rsidP="00C121D4">
      <w:pPr>
        <w:pStyle w:val="Caption"/>
        <w:rPr>
          <w:noProof/>
          <w:lang w:val="en-AU" w:eastAsia="zh-CN"/>
        </w:rPr>
      </w:pPr>
      <w:bookmarkStart w:id="11" w:name="_Ref7435810"/>
      <w:r w:rsidRPr="0085534E">
        <w:t>Figure </w:t>
      </w:r>
      <w:r w:rsidRPr="0085534E">
        <w:fldChar w:fldCharType="begin"/>
      </w:r>
      <w:r w:rsidRPr="0085534E">
        <w:instrText xml:space="preserve"> SEQ Figure \* ARABIC </w:instrText>
      </w:r>
      <w:r w:rsidRPr="0085534E">
        <w:fldChar w:fldCharType="separate"/>
      </w:r>
      <w:r w:rsidR="00312638">
        <w:rPr>
          <w:noProof/>
        </w:rPr>
        <w:t>2</w:t>
      </w:r>
      <w:r w:rsidRPr="0085534E">
        <w:fldChar w:fldCharType="end"/>
      </w:r>
      <w:bookmarkEnd w:id="11"/>
      <w:r w:rsidRPr="0085534E">
        <w:t xml:space="preserve"> ­ </w:t>
      </w:r>
      <w:r w:rsidRPr="0085534E">
        <w:rPr>
          <w:bCs w:val="0"/>
          <w:szCs w:val="22"/>
        </w:rPr>
        <w:t xml:space="preserve">Kaplan-Meier curves of OS – ITT population – </w:t>
      </w:r>
      <w:r w:rsidRPr="0085534E">
        <w:rPr>
          <w:szCs w:val="22"/>
        </w:rPr>
        <w:t>ICARIA-MM</w:t>
      </w:r>
      <w:r w:rsidRPr="0085534E">
        <w:rPr>
          <w:noProof/>
          <w:lang w:val="en-AU" w:eastAsia="zh-CN"/>
        </w:rPr>
        <w:t xml:space="preserve"> </w:t>
      </w:r>
    </w:p>
    <w:p w14:paraId="762D98F6" w14:textId="44B48999" w:rsidR="007D1204" w:rsidRPr="0085534E" w:rsidRDefault="007D1204" w:rsidP="00EF5223">
      <w:r w:rsidRPr="0085534E">
        <w:rPr>
          <w:noProof/>
          <w:lang w:val="en-AU" w:eastAsia="en-AU"/>
        </w:rPr>
        <w:drawing>
          <wp:inline distT="0" distB="0" distL="0" distR="0" wp14:anchorId="34134B7B" wp14:editId="63438905">
            <wp:extent cx="5010169" cy="29233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7250" cy="2927441"/>
                    </a:xfrm>
                    <a:prstGeom prst="rect">
                      <a:avLst/>
                    </a:prstGeom>
                    <a:noFill/>
                    <a:ln>
                      <a:noFill/>
                    </a:ln>
                  </pic:spPr>
                </pic:pic>
              </a:graphicData>
            </a:graphic>
          </wp:inline>
        </w:drawing>
      </w:r>
    </w:p>
    <w:tbl>
      <w:tblPr>
        <w:tblW w:w="8746" w:type="dxa"/>
        <w:tblLayout w:type="fixed"/>
        <w:tblCellMar>
          <w:left w:w="0" w:type="dxa"/>
          <w:right w:w="0" w:type="dxa"/>
        </w:tblCellMar>
        <w:tblLook w:val="0000" w:firstRow="0" w:lastRow="0" w:firstColumn="0" w:lastColumn="0" w:noHBand="0" w:noVBand="0"/>
      </w:tblPr>
      <w:tblGrid>
        <w:gridCol w:w="8746"/>
      </w:tblGrid>
      <w:tr w:rsidR="00FE779F" w:rsidRPr="0085534E" w14:paraId="3A4F5F09" w14:textId="77777777" w:rsidTr="0095758A">
        <w:trPr>
          <w:cantSplit/>
          <w:trHeight w:val="468"/>
        </w:trPr>
        <w:tc>
          <w:tcPr>
            <w:tcW w:w="8746" w:type="dxa"/>
            <w:tcBorders>
              <w:top w:val="nil"/>
              <w:left w:val="nil"/>
              <w:bottom w:val="nil"/>
              <w:right w:val="nil"/>
            </w:tcBorders>
            <w:shd w:val="clear" w:color="auto" w:fill="FFFFFF"/>
          </w:tcPr>
          <w:p w14:paraId="4E51FC78" w14:textId="77777777" w:rsidR="007D1204" w:rsidRPr="0085534E" w:rsidRDefault="007D1204" w:rsidP="00AB7EA7">
            <w:pPr>
              <w:pStyle w:val="TblFigFootnote"/>
            </w:pPr>
            <w:r w:rsidRPr="0085534E">
              <w:t>Cutoff date = 11-Oct-2018</w:t>
            </w:r>
          </w:p>
        </w:tc>
      </w:tr>
    </w:tbl>
    <w:p w14:paraId="4D1AC386" w14:textId="77777777" w:rsidR="007D1204" w:rsidRPr="0085534E" w:rsidRDefault="007D1204" w:rsidP="007D1204">
      <w:pPr>
        <w:autoSpaceDE w:val="0"/>
        <w:autoSpaceDN w:val="0"/>
        <w:adjustRightInd w:val="0"/>
        <w:rPr>
          <w:color w:val="auto"/>
          <w:szCs w:val="22"/>
        </w:rPr>
      </w:pPr>
      <w:r w:rsidRPr="0085534E">
        <w:rPr>
          <w:color w:val="auto"/>
          <w:szCs w:val="22"/>
        </w:rPr>
        <w:t>Among patients with creatinine clearance &lt;50 mL/min/1.73m</w:t>
      </w:r>
      <w:r w:rsidRPr="0085534E">
        <w:rPr>
          <w:color w:val="auto"/>
          <w:szCs w:val="22"/>
          <w:vertAlign w:val="superscript"/>
        </w:rPr>
        <w:t>2</w:t>
      </w:r>
      <w:r w:rsidRPr="0085534E">
        <w:rPr>
          <w:color w:val="auto"/>
          <w:szCs w:val="22"/>
        </w:rPr>
        <w:t xml:space="preserve"> at baseline, complete renal response (≥60 mL/min/1.73m</w:t>
      </w:r>
      <w:r w:rsidRPr="0085534E">
        <w:rPr>
          <w:color w:val="auto"/>
          <w:szCs w:val="22"/>
          <w:vertAlign w:val="superscript"/>
        </w:rPr>
        <w:t>2</w:t>
      </w:r>
      <w:r w:rsidRPr="0085534E">
        <w:rPr>
          <w:color w:val="auto"/>
          <w:szCs w:val="22"/>
        </w:rPr>
        <w:t xml:space="preserve"> at ≥1 postbaseline assessment) was observed for 71.9% of patients in the IPd group and 38.1% in the Pd group.  Sustained complete renal response (&gt;60 days) occurred in 31.3% of patients in the IPd group and in 19.0% in the Pd group (see section 4.2). </w:t>
      </w:r>
    </w:p>
    <w:p w14:paraId="16CBD448" w14:textId="77777777" w:rsidR="007D1204" w:rsidRPr="0085534E" w:rsidRDefault="007D1204" w:rsidP="007D1204">
      <w:pPr>
        <w:rPr>
          <w:color w:val="auto"/>
          <w:szCs w:val="22"/>
        </w:rPr>
      </w:pPr>
      <w:r w:rsidRPr="0085534E">
        <w:rPr>
          <w:color w:val="auto"/>
          <w:szCs w:val="22"/>
        </w:rPr>
        <w:lastRenderedPageBreak/>
        <w:t xml:space="preserve">Overall, the quality of life assessed by Global Health Status Score (QLQ-C30) </w:t>
      </w:r>
      <w:r w:rsidRPr="0085534E">
        <w:rPr>
          <w:color w:val="auto"/>
        </w:rPr>
        <w:t>was maintained</w:t>
      </w:r>
      <w:r w:rsidRPr="0085534E">
        <w:rPr>
          <w:color w:val="auto"/>
          <w:szCs w:val="22"/>
        </w:rPr>
        <w:t xml:space="preserve"> during treatment and similar in both treatment groups.</w:t>
      </w:r>
    </w:p>
    <w:p w14:paraId="249B9783" w14:textId="77777777" w:rsidR="007D1204" w:rsidRPr="0085534E" w:rsidRDefault="007D1204" w:rsidP="007D1204">
      <w:pPr>
        <w:rPr>
          <w:i/>
          <w:color w:val="auto"/>
        </w:rPr>
      </w:pPr>
      <w:r w:rsidRPr="0085534E">
        <w:rPr>
          <w:i/>
          <w:color w:val="auto"/>
        </w:rPr>
        <w:t>TCD14079</w:t>
      </w:r>
    </w:p>
    <w:p w14:paraId="00104FC4" w14:textId="554B5E32" w:rsidR="0070445F" w:rsidRPr="0085534E" w:rsidRDefault="0070445F" w:rsidP="0070445F">
      <w:pPr>
        <w:rPr>
          <w:bCs/>
          <w:iCs/>
          <w:color w:val="auto"/>
          <w:szCs w:val="22"/>
        </w:rPr>
      </w:pPr>
      <w:r w:rsidRPr="0085534E">
        <w:rPr>
          <w:bCs/>
          <w:iCs/>
          <w:color w:val="auto"/>
          <w:szCs w:val="22"/>
        </w:rPr>
        <w:t xml:space="preserve">In a multicenter, 2-part, open-label, non-comparative Phase Ib study (TCD14079 Part A and B), </w:t>
      </w:r>
      <w:r w:rsidR="00957ADE" w:rsidRPr="0085534E">
        <w:rPr>
          <w:color w:val="auto"/>
          <w:lang w:val="en-AU"/>
        </w:rPr>
        <w:t>Sarclisa</w:t>
      </w:r>
      <w:r w:rsidR="00957ADE" w:rsidRPr="0085534E">
        <w:rPr>
          <w:color w:val="auto"/>
        </w:rPr>
        <w:t xml:space="preserve"> </w:t>
      </w:r>
      <w:r w:rsidRPr="0085534E">
        <w:rPr>
          <w:bCs/>
          <w:iCs/>
          <w:color w:val="auto"/>
          <w:szCs w:val="22"/>
        </w:rPr>
        <w:t>10 mg/kg was administered in combination with pomalidomide and low-dose dexamethasone (Isa-Pd) to patients with relapsed/ refractory multiple myeloma (same treatment regimen and similar patient population and characteristics as in ICARIA-MM). The median duration of treatment was 41.0 weeks.   Of the 31 patients evaluable for efficacy in Part A, the ORR was 64.5% and the median PFS was 17.58 months (95% CI: 6.538 to not reached) with a median duration of follow-up of 8.6 months. Efficacy results were consistent with ICARIA-MM results. The Part B of the study investigated a fixed infusion volume (see section 4.8).</w:t>
      </w:r>
    </w:p>
    <w:p w14:paraId="5927075B" w14:textId="77777777" w:rsidR="000E1A58" w:rsidRPr="0085534E" w:rsidRDefault="000E1A58" w:rsidP="000E1A58">
      <w:pPr>
        <w:rPr>
          <w:color w:val="auto"/>
          <w:lang w:val="en-GB"/>
        </w:rPr>
      </w:pPr>
    </w:p>
    <w:p w14:paraId="49522113" w14:textId="77777777" w:rsidR="001A3992" w:rsidRPr="0085534E" w:rsidRDefault="001A3992" w:rsidP="001A3992">
      <w:pPr>
        <w:pStyle w:val="Heading2"/>
        <w:spacing w:before="0" w:after="120"/>
        <w:rPr>
          <w:lang w:val="en-AU"/>
        </w:rPr>
      </w:pPr>
      <w:r w:rsidRPr="0085534E">
        <w:rPr>
          <w:lang w:val="en-AU"/>
        </w:rPr>
        <w:t xml:space="preserve">Pharmacokinetic properties </w:t>
      </w:r>
    </w:p>
    <w:p w14:paraId="6ECBA8C5" w14:textId="77777777" w:rsidR="0070445F" w:rsidRPr="0085534E" w:rsidRDefault="0070445F" w:rsidP="0070445F">
      <w:pPr>
        <w:keepNext/>
        <w:shd w:val="clear" w:color="auto" w:fill="FFFFFF"/>
        <w:rPr>
          <w:rFonts w:eastAsia="Times New Roman"/>
          <w:color w:val="auto"/>
          <w:sz w:val="22"/>
          <w:szCs w:val="22"/>
          <w:lang w:val="en-GB"/>
        </w:rPr>
      </w:pPr>
      <w:r w:rsidRPr="0085534E">
        <w:rPr>
          <w:color w:val="auto"/>
          <w:szCs w:val="22"/>
        </w:rPr>
        <w:t xml:space="preserve">The pharmacokinetics of isatuximab were assessed in 476 patients with multiple myeloma treated with isatuximab intravenous infusion as a single agent or in combination with pomalidomide/ dexamethasone, at doses ranging from 1 to 20 mg/kg, administered either once weekly; every 2 weeks; or every 2 weeks for 8 weeks followed by every 4 weeks; or every week for 4 weeks followed by every 2 weeks. </w:t>
      </w:r>
    </w:p>
    <w:p w14:paraId="161689BA" w14:textId="77777777" w:rsidR="0070445F" w:rsidRPr="0085534E" w:rsidRDefault="0070445F" w:rsidP="0070445F">
      <w:pPr>
        <w:shd w:val="clear" w:color="auto" w:fill="FFFFFF"/>
        <w:rPr>
          <w:color w:val="auto"/>
          <w:szCs w:val="22"/>
        </w:rPr>
      </w:pPr>
      <w:r w:rsidRPr="0085534E">
        <w:rPr>
          <w:color w:val="auto"/>
          <w:szCs w:val="22"/>
        </w:rPr>
        <w:t xml:space="preserve">Isatuximab displays nonlinear pharmacokinetics with target-mediated drug disposition due to its binding to CD38 receptor. </w:t>
      </w:r>
    </w:p>
    <w:p w14:paraId="79AE574B" w14:textId="15501F9E" w:rsidR="0070445F" w:rsidRPr="0085534E" w:rsidRDefault="0070445F" w:rsidP="0070445F">
      <w:pPr>
        <w:shd w:val="clear" w:color="auto" w:fill="FFFFFF"/>
        <w:rPr>
          <w:color w:val="auto"/>
          <w:szCs w:val="22"/>
        </w:rPr>
      </w:pPr>
      <w:r w:rsidRPr="0085534E">
        <w:rPr>
          <w:color w:val="auto"/>
          <w:szCs w:val="22"/>
        </w:rPr>
        <w:t xml:space="preserve">Isatuximab exposure (area under the plasma concentration-time curve over the dosing interval AUC) increases in a greater than dose proportional manner from 1 to 20 mg/kg following every 2 weeks schedule, while no deviation to the dose proportionality is observed between 5 and 20 mg/kg </w:t>
      </w:r>
      <w:r w:rsidRPr="0085534E">
        <w:rPr>
          <w:color w:val="auto"/>
        </w:rPr>
        <w:t>following every week for 4 weeks followed by every 2 weeks schedule</w:t>
      </w:r>
      <w:r w:rsidRPr="0085534E">
        <w:rPr>
          <w:color w:val="auto"/>
          <w:szCs w:val="22"/>
        </w:rPr>
        <w:t>. After isatuximab 10 mg/kg administration every week for 4 weeks followed by every 2 weeks, the median time to reach steady state was 8 weeks with a 3.1-fold accumulation., The mean (CV%) predicted maximum plasma concentration C</w:t>
      </w:r>
      <w:r w:rsidRPr="0085534E">
        <w:rPr>
          <w:color w:val="auto"/>
          <w:szCs w:val="22"/>
          <w:vertAlign w:val="subscript"/>
        </w:rPr>
        <w:t>max</w:t>
      </w:r>
      <w:r w:rsidRPr="0085534E">
        <w:rPr>
          <w:color w:val="auto"/>
          <w:szCs w:val="22"/>
        </w:rPr>
        <w:t xml:space="preserve"> and AUC at steady state were 351 µg/mL (36.0%) and 72,600 µg.h/mL (51.7%), respectively.  </w:t>
      </w:r>
    </w:p>
    <w:p w14:paraId="5CAFE8E6" w14:textId="77777777" w:rsidR="00EF5223" w:rsidRDefault="0070445F" w:rsidP="0070445F">
      <w:pPr>
        <w:numPr>
          <w:ilvl w:val="12"/>
          <w:numId w:val="0"/>
        </w:numPr>
        <w:tabs>
          <w:tab w:val="left" w:pos="0"/>
        </w:tabs>
        <w:ind w:right="-2"/>
        <w:rPr>
          <w:b/>
          <w:color w:val="auto"/>
        </w:rPr>
      </w:pPr>
      <w:r w:rsidRPr="0085534E">
        <w:rPr>
          <w:b/>
          <w:color w:val="auto"/>
        </w:rPr>
        <w:t>Distribution</w:t>
      </w:r>
    </w:p>
    <w:p w14:paraId="3057D753" w14:textId="4E3B86D1" w:rsidR="0070445F" w:rsidRPr="0085534E" w:rsidRDefault="0070445F" w:rsidP="0070445F">
      <w:pPr>
        <w:numPr>
          <w:ilvl w:val="12"/>
          <w:numId w:val="0"/>
        </w:numPr>
        <w:tabs>
          <w:tab w:val="left" w:pos="0"/>
        </w:tabs>
        <w:ind w:right="-2"/>
        <w:rPr>
          <w:rFonts w:eastAsia="Times New Roman"/>
          <w:color w:val="auto"/>
          <w:sz w:val="22"/>
          <w:szCs w:val="20"/>
          <w:lang w:val="en-GB"/>
        </w:rPr>
      </w:pPr>
      <w:r w:rsidRPr="0085534E">
        <w:rPr>
          <w:color w:val="auto"/>
        </w:rPr>
        <w:t xml:space="preserve">The estimated total volume of distribution of </w:t>
      </w:r>
      <w:r w:rsidRPr="0085534E">
        <w:rPr>
          <w:color w:val="auto"/>
          <w:szCs w:val="22"/>
        </w:rPr>
        <w:t xml:space="preserve">isatuximab </w:t>
      </w:r>
      <w:r w:rsidRPr="0085534E">
        <w:rPr>
          <w:color w:val="auto"/>
        </w:rPr>
        <w:t>is 8.75 L.</w:t>
      </w:r>
    </w:p>
    <w:p w14:paraId="05EC12CF" w14:textId="77777777" w:rsidR="00EF5223" w:rsidRDefault="0070445F" w:rsidP="0070445F">
      <w:pPr>
        <w:pStyle w:val="00-Paragraph"/>
        <w:spacing w:after="0"/>
        <w:rPr>
          <w:b/>
        </w:rPr>
      </w:pPr>
      <w:r w:rsidRPr="0085534E">
        <w:rPr>
          <w:b/>
        </w:rPr>
        <w:t>Metabolism</w:t>
      </w:r>
    </w:p>
    <w:p w14:paraId="34EC6764" w14:textId="306957E3" w:rsidR="0070445F" w:rsidRPr="0085534E" w:rsidRDefault="0070445F" w:rsidP="0070445F">
      <w:pPr>
        <w:pStyle w:val="00-Paragraph"/>
        <w:spacing w:after="0"/>
        <w:rPr>
          <w:szCs w:val="22"/>
        </w:rPr>
      </w:pPr>
      <w:r w:rsidRPr="0085534E">
        <w:rPr>
          <w:sz w:val="24"/>
        </w:rPr>
        <w:t>As a large protein, isatuximab is expected to be metabolized by non-saturable proteolytic catabolism processes.</w:t>
      </w:r>
    </w:p>
    <w:p w14:paraId="3D5535A4" w14:textId="77777777" w:rsidR="008F31BE" w:rsidRPr="0085534E" w:rsidRDefault="008F31BE" w:rsidP="0070445F">
      <w:pPr>
        <w:pStyle w:val="00-Paragraph"/>
        <w:spacing w:after="0"/>
        <w:rPr>
          <w:szCs w:val="22"/>
        </w:rPr>
      </w:pPr>
    </w:p>
    <w:p w14:paraId="7DA87E9B" w14:textId="77777777" w:rsidR="009B6BD3" w:rsidRPr="0085534E" w:rsidRDefault="0070445F" w:rsidP="008F31BE">
      <w:pPr>
        <w:keepNext/>
        <w:numPr>
          <w:ilvl w:val="12"/>
          <w:numId w:val="0"/>
        </w:numPr>
        <w:spacing w:before="0"/>
        <w:rPr>
          <w:b/>
          <w:color w:val="auto"/>
          <w:lang w:val="en-GB"/>
        </w:rPr>
      </w:pPr>
      <w:r w:rsidRPr="0085534E">
        <w:rPr>
          <w:b/>
          <w:color w:val="auto"/>
        </w:rPr>
        <w:t>Elimination</w:t>
      </w:r>
    </w:p>
    <w:p w14:paraId="024E9ACF" w14:textId="440DECE1" w:rsidR="0070445F" w:rsidRPr="0085534E" w:rsidRDefault="0070445F" w:rsidP="008F31BE">
      <w:pPr>
        <w:keepNext/>
        <w:numPr>
          <w:ilvl w:val="12"/>
          <w:numId w:val="0"/>
        </w:numPr>
        <w:spacing w:before="0"/>
        <w:rPr>
          <w:b/>
          <w:color w:val="auto"/>
          <w:lang w:val="en-GB"/>
        </w:rPr>
      </w:pPr>
      <w:r w:rsidRPr="0085534E">
        <w:rPr>
          <w:color w:val="auto"/>
        </w:rPr>
        <w:t xml:space="preserve">Isatuximab </w:t>
      </w:r>
      <w:r w:rsidRPr="0085534E">
        <w:rPr>
          <w:rFonts w:eastAsia="Times New Roman"/>
          <w:color w:val="auto"/>
        </w:rPr>
        <w:t>is eliminated by</w:t>
      </w:r>
      <w:r w:rsidRPr="0085534E">
        <w:rPr>
          <w:color w:val="auto"/>
        </w:rPr>
        <w:t xml:space="preserve"> two parallel pathways, a nonlinear target-mediated pathway predominating at low concentrations, and a nonspecific linear pathway predominating at higher concentrations. In the therapeutic plasma concentrations range, the linear </w:t>
      </w:r>
      <w:r w:rsidRPr="0085534E">
        <w:rPr>
          <w:rFonts w:eastAsia="Times New Roman"/>
          <w:color w:val="auto"/>
        </w:rPr>
        <w:t xml:space="preserve">pathway </w:t>
      </w:r>
      <w:r w:rsidRPr="0085534E">
        <w:rPr>
          <w:color w:val="auto"/>
        </w:rPr>
        <w:t xml:space="preserve">is </w:t>
      </w:r>
      <w:r w:rsidRPr="0085534E">
        <w:rPr>
          <w:color w:val="auto"/>
        </w:rPr>
        <w:lastRenderedPageBreak/>
        <w:t>predominant and decreases over time by 50% to a steady state value of 0.00955 L/h (0.229 L/day). This is associated with a terminal half-life of 28 days.</w:t>
      </w:r>
    </w:p>
    <w:p w14:paraId="4A6DCA25" w14:textId="77777777" w:rsidR="005F58A9" w:rsidRPr="0085534E" w:rsidRDefault="005F58A9" w:rsidP="0070445F">
      <w:pPr>
        <w:pStyle w:val="00-Paragraph"/>
        <w:spacing w:before="0" w:after="0"/>
        <w:rPr>
          <w:szCs w:val="22"/>
        </w:rPr>
      </w:pPr>
    </w:p>
    <w:p w14:paraId="34D2BFBF" w14:textId="77777777" w:rsidR="0070445F" w:rsidRPr="0085534E" w:rsidRDefault="0070445F" w:rsidP="008F31BE">
      <w:pPr>
        <w:pStyle w:val="00-Paragraph"/>
        <w:spacing w:after="0"/>
        <w:rPr>
          <w:b/>
          <w:szCs w:val="22"/>
        </w:rPr>
      </w:pPr>
      <w:r w:rsidRPr="0085534E">
        <w:rPr>
          <w:b/>
          <w:szCs w:val="22"/>
        </w:rPr>
        <w:t>Drug Interactions</w:t>
      </w:r>
    </w:p>
    <w:p w14:paraId="1412DA0E" w14:textId="77777777" w:rsidR="0070445F" w:rsidRPr="0085534E" w:rsidRDefault="0070445F" w:rsidP="008F31BE">
      <w:pPr>
        <w:pStyle w:val="ListParagraph"/>
        <w:spacing w:before="120"/>
        <w:ind w:left="0"/>
        <w:rPr>
          <w:rFonts w:ascii="Times New Roman" w:hAnsi="Times New Roman"/>
          <w:color w:val="auto"/>
          <w:szCs w:val="22"/>
        </w:rPr>
      </w:pPr>
      <w:r w:rsidRPr="0085534E">
        <w:rPr>
          <w:rFonts w:ascii="Times New Roman" w:hAnsi="Times New Roman"/>
          <w:color w:val="auto"/>
        </w:rPr>
        <w:t>The pharmacokinetics of isatuximab and pomalidomide were not influenced by their coadministration.</w:t>
      </w:r>
    </w:p>
    <w:p w14:paraId="3244127E" w14:textId="77777777" w:rsidR="00AF3556" w:rsidRPr="0085534E" w:rsidRDefault="00AF3556" w:rsidP="00B00719">
      <w:pPr>
        <w:pStyle w:val="00-Paragraph"/>
        <w:spacing w:before="0" w:after="0"/>
        <w:rPr>
          <w:szCs w:val="22"/>
        </w:rPr>
      </w:pPr>
    </w:p>
    <w:p w14:paraId="52C1C2DA" w14:textId="53E492EB" w:rsidR="0070445F" w:rsidRPr="0085534E" w:rsidRDefault="00257A3D" w:rsidP="0070445F">
      <w:pPr>
        <w:pStyle w:val="00-Paragraph"/>
        <w:spacing w:before="0" w:after="0"/>
        <w:rPr>
          <w:b/>
          <w:szCs w:val="22"/>
        </w:rPr>
      </w:pPr>
      <w:r w:rsidRPr="0085534E">
        <w:rPr>
          <w:b/>
          <w:szCs w:val="22"/>
        </w:rPr>
        <w:t>Special population</w:t>
      </w:r>
    </w:p>
    <w:p w14:paraId="6E5D0A6C" w14:textId="79BE7E8C" w:rsidR="0070445F" w:rsidRPr="0085534E" w:rsidRDefault="0070445F" w:rsidP="0070445F">
      <w:pPr>
        <w:pStyle w:val="ListParagraph"/>
        <w:ind w:left="0"/>
        <w:rPr>
          <w:rFonts w:ascii="Times New Roman" w:hAnsi="Times New Roman"/>
          <w:color w:val="auto"/>
          <w:szCs w:val="22"/>
        </w:rPr>
      </w:pPr>
      <w:r w:rsidRPr="0085534E">
        <w:rPr>
          <w:rFonts w:ascii="Times New Roman" w:hAnsi="Times New Roman"/>
          <w:i/>
          <w:color w:val="auto"/>
        </w:rPr>
        <w:t>Age,</w:t>
      </w:r>
      <w:r w:rsidRPr="0085534E">
        <w:rPr>
          <w:rFonts w:ascii="Times New Roman" w:hAnsi="Times New Roman"/>
          <w:color w:val="auto"/>
        </w:rPr>
        <w:t xml:space="preserve"> </w:t>
      </w:r>
      <w:r w:rsidRPr="0085534E">
        <w:rPr>
          <w:rFonts w:ascii="Times New Roman" w:hAnsi="Times New Roman"/>
          <w:i/>
          <w:color w:val="auto"/>
        </w:rPr>
        <w:t>gender and race</w:t>
      </w:r>
      <w:r w:rsidRPr="0085534E">
        <w:rPr>
          <w:rFonts w:ascii="Times New Roman" w:hAnsi="Times New Roman"/>
          <w:i/>
          <w:color w:val="auto"/>
        </w:rPr>
        <w:br/>
      </w:r>
      <w:r w:rsidRPr="0085534E">
        <w:rPr>
          <w:rFonts w:ascii="Times New Roman" w:hAnsi="Times New Roman"/>
          <w:color w:val="auto"/>
        </w:rPr>
        <w:t>The population pharmacokinetic analyses of 476 patients aged 36 to 85 years showed comparable exposure to isatuximab in patients &lt; 75 years old versus &gt; 75 years old (n=70).  Gender and race had no clinically meaningful effect on isatuximab pharmacokinetics.</w:t>
      </w:r>
    </w:p>
    <w:p w14:paraId="0265BA4A" w14:textId="77777777" w:rsidR="0070445F" w:rsidRPr="0085534E" w:rsidRDefault="0070445F" w:rsidP="0070445F">
      <w:pPr>
        <w:pStyle w:val="ListParagraph"/>
        <w:ind w:left="0"/>
        <w:rPr>
          <w:rFonts w:ascii="Times New Roman" w:hAnsi="Times New Roman"/>
          <w:i/>
          <w:color w:val="auto"/>
        </w:rPr>
      </w:pPr>
    </w:p>
    <w:p w14:paraId="13A84F79" w14:textId="77777777" w:rsidR="0070445F" w:rsidRPr="0085534E" w:rsidRDefault="0070445F" w:rsidP="0070445F">
      <w:pPr>
        <w:pStyle w:val="ListParagraph"/>
        <w:keepNext/>
        <w:ind w:left="0"/>
        <w:rPr>
          <w:rFonts w:ascii="Times New Roman" w:hAnsi="Times New Roman"/>
          <w:color w:val="auto"/>
        </w:rPr>
      </w:pPr>
      <w:r w:rsidRPr="0085534E">
        <w:rPr>
          <w:rFonts w:ascii="Times New Roman" w:hAnsi="Times New Roman"/>
          <w:i/>
          <w:color w:val="auto"/>
        </w:rPr>
        <w:t>Weight</w:t>
      </w:r>
      <w:r w:rsidRPr="0085534E">
        <w:rPr>
          <w:rFonts w:ascii="Times New Roman" w:hAnsi="Times New Roman"/>
          <w:color w:val="auto"/>
        </w:rPr>
        <w:br/>
        <w:t>Isatuximab exposure (AUC) at steady state decreased with increasing body weight.</w:t>
      </w:r>
    </w:p>
    <w:p w14:paraId="3AFD9D57" w14:textId="77777777" w:rsidR="0070445F" w:rsidRPr="0085534E" w:rsidRDefault="0070445F" w:rsidP="0070445F">
      <w:pPr>
        <w:pStyle w:val="ListParagraph"/>
        <w:keepNext/>
        <w:ind w:left="0"/>
        <w:rPr>
          <w:rFonts w:ascii="Times New Roman" w:hAnsi="Times New Roman"/>
          <w:color w:val="auto"/>
        </w:rPr>
      </w:pPr>
    </w:p>
    <w:p w14:paraId="2E89EEEB" w14:textId="77777777" w:rsidR="0070445F" w:rsidRPr="0085534E" w:rsidRDefault="0070445F" w:rsidP="0070445F">
      <w:pPr>
        <w:pStyle w:val="ListParagraph"/>
        <w:keepNext/>
        <w:ind w:left="0"/>
        <w:rPr>
          <w:rFonts w:ascii="Times New Roman" w:hAnsi="Times New Roman"/>
          <w:i/>
          <w:color w:val="auto"/>
        </w:rPr>
      </w:pPr>
      <w:r w:rsidRPr="0085534E">
        <w:rPr>
          <w:rFonts w:ascii="Times New Roman" w:hAnsi="Times New Roman"/>
          <w:i/>
          <w:color w:val="auto"/>
        </w:rPr>
        <w:t>Hepatic Impairment</w:t>
      </w:r>
    </w:p>
    <w:p w14:paraId="7C9F7ED1" w14:textId="77777777" w:rsidR="0070445F" w:rsidRPr="0085534E" w:rsidRDefault="0070445F" w:rsidP="0070445F">
      <w:pPr>
        <w:pStyle w:val="ListParagraph"/>
        <w:keepNext/>
        <w:ind w:left="0"/>
        <w:rPr>
          <w:rFonts w:ascii="Times New Roman" w:hAnsi="Times New Roman"/>
          <w:color w:val="auto"/>
        </w:rPr>
      </w:pPr>
      <w:r w:rsidRPr="0085534E">
        <w:rPr>
          <w:rFonts w:ascii="Times New Roman" w:hAnsi="Times New Roman"/>
          <w:color w:val="auto"/>
        </w:rPr>
        <w:t>No formal studies of isatuximab in patients with hepatic impairment have been conducted. Out of the 476 patients of the population pharmacokinetic analyses, 65 patients presented with mild hepatic impairment [total bilirubin 1 to 1.5 times upper limit of normal (ULN) or aspartate amino transferase (AST) &gt; ULN] and 1 patient had moderate hepatic impairment (total bilirubin&gt; 1.5 to 3 times ULN and any AST). Mild hepatic impairment had no clinically meaningful effect on the pharmacokinetics of isatuximab. The effect of moderate (total bilirubin &gt;1.5 times to 3 times ULN and any AST) and severe hepatic impairment (total bilirubin &gt;3 times ULN and any AST) on isatuximab pharmacokinetics is unknown.</w:t>
      </w:r>
    </w:p>
    <w:p w14:paraId="0DD102C7" w14:textId="77777777" w:rsidR="0070445F" w:rsidRPr="0085534E" w:rsidRDefault="0070445F" w:rsidP="0070445F">
      <w:pPr>
        <w:pStyle w:val="ListParagraph"/>
        <w:ind w:left="0"/>
        <w:rPr>
          <w:rFonts w:ascii="Times New Roman" w:hAnsi="Times New Roman"/>
          <w:i/>
          <w:color w:val="auto"/>
        </w:rPr>
      </w:pPr>
    </w:p>
    <w:p w14:paraId="266440AB" w14:textId="77777777" w:rsidR="0070445F" w:rsidRPr="0085534E" w:rsidRDefault="0070445F" w:rsidP="0070445F">
      <w:pPr>
        <w:pStyle w:val="ListParagraph"/>
        <w:keepNext/>
        <w:ind w:left="0"/>
        <w:rPr>
          <w:rFonts w:ascii="Times New Roman" w:hAnsi="Times New Roman"/>
          <w:i/>
          <w:color w:val="auto"/>
        </w:rPr>
      </w:pPr>
      <w:r w:rsidRPr="0085534E">
        <w:rPr>
          <w:rFonts w:ascii="Times New Roman" w:hAnsi="Times New Roman"/>
          <w:i/>
          <w:color w:val="auto"/>
        </w:rPr>
        <w:t>Renal Impairment</w:t>
      </w:r>
    </w:p>
    <w:p w14:paraId="6F11B8AF" w14:textId="27F1F877" w:rsidR="0070445F" w:rsidRPr="0085534E" w:rsidRDefault="0070445F" w:rsidP="0070445F">
      <w:pPr>
        <w:pStyle w:val="ListParagraph"/>
        <w:keepNext/>
        <w:ind w:left="0"/>
        <w:rPr>
          <w:rFonts w:ascii="Times New Roman" w:hAnsi="Times New Roman"/>
          <w:color w:val="auto"/>
        </w:rPr>
      </w:pPr>
      <w:r w:rsidRPr="0085534E">
        <w:rPr>
          <w:rFonts w:ascii="Times New Roman" w:hAnsi="Times New Roman"/>
          <w:color w:val="auto"/>
        </w:rPr>
        <w:t>No formal studies of isatuximab in patients with renal impairment have been conducted. The population pharmacokinetic analyses on 476 patients included 192 patients with mild renal impairment (60 mL/min/1.73 m</w:t>
      </w:r>
      <w:r w:rsidRPr="0085534E">
        <w:rPr>
          <w:rFonts w:ascii="Times New Roman" w:hAnsi="Times New Roman"/>
          <w:color w:val="auto"/>
          <w:vertAlign w:val="superscript"/>
        </w:rPr>
        <w:t>2</w:t>
      </w:r>
      <w:r w:rsidRPr="0085534E">
        <w:rPr>
          <w:rFonts w:ascii="Times New Roman" w:hAnsi="Times New Roman"/>
          <w:color w:val="auto"/>
        </w:rPr>
        <w:t xml:space="preserve"> </w:t>
      </w:r>
      <w:r w:rsidR="00EF5223">
        <w:rPr>
          <w:rFonts w:ascii="Times New Roman" w:hAnsi="Times New Roman"/>
          <w:color w:val="auto"/>
        </w:rPr>
        <w:sym w:font="Symbol" w:char="F0A3"/>
      </w:r>
      <w:r w:rsidRPr="0085534E">
        <w:rPr>
          <w:rFonts w:ascii="Times New Roman" w:hAnsi="Times New Roman"/>
          <w:color w:val="auto"/>
        </w:rPr>
        <w:t xml:space="preserve"> estimated glomerular filtration rate (e-GFR) &lt;90 mL/min/1.73 m</w:t>
      </w:r>
      <w:r w:rsidRPr="0085534E">
        <w:rPr>
          <w:rFonts w:ascii="Times New Roman" w:hAnsi="Times New Roman"/>
          <w:color w:val="auto"/>
          <w:vertAlign w:val="superscript"/>
        </w:rPr>
        <w:t>2</w:t>
      </w:r>
      <w:r w:rsidRPr="0085534E">
        <w:rPr>
          <w:rFonts w:ascii="Times New Roman" w:hAnsi="Times New Roman"/>
          <w:color w:val="auto"/>
        </w:rPr>
        <w:t>), 163 patients with moderate renal impairment (30 mL/min/1.73 m</w:t>
      </w:r>
      <w:r w:rsidRPr="0085534E">
        <w:rPr>
          <w:rFonts w:ascii="Times New Roman" w:hAnsi="Times New Roman"/>
          <w:color w:val="auto"/>
          <w:vertAlign w:val="superscript"/>
        </w:rPr>
        <w:t>2</w:t>
      </w:r>
      <w:r w:rsidR="00EF5223">
        <w:rPr>
          <w:rFonts w:ascii="Times New Roman" w:hAnsi="Times New Roman"/>
          <w:color w:val="auto"/>
        </w:rPr>
        <w:sym w:font="Symbol" w:char="F0A3"/>
      </w:r>
      <w:r w:rsidRPr="0085534E">
        <w:rPr>
          <w:rFonts w:ascii="Times New Roman" w:hAnsi="Times New Roman"/>
          <w:color w:val="auto"/>
        </w:rPr>
        <w:t xml:space="preserve"> e-GFR &lt; 60 mL/min/1.73 m</w:t>
      </w:r>
      <w:r w:rsidRPr="0085534E">
        <w:rPr>
          <w:rFonts w:ascii="Times New Roman" w:hAnsi="Times New Roman"/>
          <w:color w:val="auto"/>
          <w:vertAlign w:val="superscript"/>
        </w:rPr>
        <w:t>2</w:t>
      </w:r>
      <w:r w:rsidRPr="0085534E">
        <w:rPr>
          <w:rFonts w:ascii="Times New Roman" w:hAnsi="Times New Roman"/>
          <w:color w:val="auto"/>
        </w:rPr>
        <w:t>) and 12 patients with severe renal impairment (e-GFR &lt;30 mL/min/1.73 m</w:t>
      </w:r>
      <w:r w:rsidRPr="0085534E">
        <w:rPr>
          <w:rFonts w:ascii="Times New Roman" w:hAnsi="Times New Roman"/>
          <w:color w:val="auto"/>
          <w:vertAlign w:val="superscript"/>
        </w:rPr>
        <w:t>2</w:t>
      </w:r>
      <w:r w:rsidRPr="0085534E">
        <w:rPr>
          <w:rFonts w:ascii="Times New Roman" w:hAnsi="Times New Roman"/>
          <w:color w:val="auto"/>
        </w:rPr>
        <w:t>). Analyses suggested no clinically meaningful effect of mild to severe renal impairment on isatuximab pharmacokinetics compared to normal renal function.</w:t>
      </w:r>
    </w:p>
    <w:p w14:paraId="15E7063E" w14:textId="77777777" w:rsidR="0070445F" w:rsidRPr="0085534E" w:rsidRDefault="0070445F" w:rsidP="0070445F">
      <w:pPr>
        <w:pStyle w:val="ListParagraph"/>
        <w:ind w:left="0"/>
        <w:rPr>
          <w:rFonts w:ascii="Times New Roman" w:hAnsi="Times New Roman"/>
          <w:color w:val="auto"/>
        </w:rPr>
      </w:pPr>
    </w:p>
    <w:p w14:paraId="5AE724F4" w14:textId="77777777" w:rsidR="0070445F" w:rsidRPr="0085534E" w:rsidRDefault="0070445F" w:rsidP="0070445F">
      <w:pPr>
        <w:pStyle w:val="ListParagraph"/>
        <w:ind w:left="0"/>
        <w:rPr>
          <w:rFonts w:ascii="Times New Roman" w:hAnsi="Times New Roman"/>
          <w:i/>
          <w:color w:val="auto"/>
        </w:rPr>
      </w:pPr>
      <w:r w:rsidRPr="0085534E">
        <w:rPr>
          <w:rFonts w:ascii="Times New Roman" w:hAnsi="Times New Roman"/>
          <w:i/>
          <w:color w:val="auto"/>
        </w:rPr>
        <w:t>Pediatric</w:t>
      </w:r>
    </w:p>
    <w:p w14:paraId="708199D3" w14:textId="7C1E4438" w:rsidR="0070445F" w:rsidRPr="0085534E" w:rsidRDefault="00A43393" w:rsidP="0070445F">
      <w:pPr>
        <w:pStyle w:val="ListParagraph"/>
        <w:ind w:left="0"/>
        <w:rPr>
          <w:rFonts w:ascii="Times New Roman" w:hAnsi="Times New Roman"/>
          <w:color w:val="auto"/>
        </w:rPr>
      </w:pPr>
      <w:r w:rsidRPr="0085534E">
        <w:rPr>
          <w:rFonts w:ascii="Times New Roman" w:hAnsi="Times New Roman"/>
          <w:color w:val="auto"/>
        </w:rPr>
        <w:t>S</w:t>
      </w:r>
      <w:r w:rsidR="00CB5C26" w:rsidRPr="0085534E">
        <w:rPr>
          <w:rFonts w:ascii="Times New Roman" w:hAnsi="Times New Roman"/>
          <w:color w:val="auto"/>
        </w:rPr>
        <w:t>arclisa</w:t>
      </w:r>
      <w:r w:rsidR="0070445F" w:rsidRPr="0085534E">
        <w:rPr>
          <w:rFonts w:ascii="Times New Roman" w:hAnsi="Times New Roman"/>
          <w:color w:val="auto"/>
        </w:rPr>
        <w:t xml:space="preserve"> was not evaluated in patients under 18 years of age.</w:t>
      </w:r>
    </w:p>
    <w:p w14:paraId="36F73727" w14:textId="77777777" w:rsidR="0070445F" w:rsidRPr="0085534E" w:rsidRDefault="0070445F" w:rsidP="0070445F">
      <w:pPr>
        <w:pStyle w:val="ListParagraph"/>
        <w:ind w:left="0"/>
        <w:rPr>
          <w:rFonts w:ascii="Times New Roman" w:hAnsi="Times New Roman"/>
          <w:color w:val="auto"/>
        </w:rPr>
      </w:pPr>
    </w:p>
    <w:p w14:paraId="450BA49D" w14:textId="77777777" w:rsidR="001A3992" w:rsidRPr="0085534E" w:rsidRDefault="0070445F" w:rsidP="0070445F">
      <w:pPr>
        <w:pStyle w:val="Heading2"/>
        <w:spacing w:before="0" w:after="120"/>
        <w:rPr>
          <w:lang w:val="en-AU"/>
        </w:rPr>
      </w:pPr>
      <w:r w:rsidRPr="0085534E">
        <w:rPr>
          <w:lang w:val="en-AU"/>
        </w:rPr>
        <w:t xml:space="preserve"> </w:t>
      </w:r>
      <w:r w:rsidR="001A3992" w:rsidRPr="0085534E">
        <w:rPr>
          <w:lang w:val="en-AU"/>
        </w:rPr>
        <w:t>Preclinical safety data</w:t>
      </w:r>
    </w:p>
    <w:p w14:paraId="6AB705E1" w14:textId="77777777" w:rsidR="001A3992" w:rsidRPr="0085534E" w:rsidRDefault="001A3992" w:rsidP="0057652B">
      <w:pPr>
        <w:pStyle w:val="Heading3"/>
        <w:numPr>
          <w:ilvl w:val="0"/>
          <w:numId w:val="0"/>
        </w:numPr>
        <w:spacing w:before="0"/>
        <w:rPr>
          <w:lang w:val="en-AU"/>
        </w:rPr>
      </w:pPr>
      <w:r w:rsidRPr="0085534E">
        <w:rPr>
          <w:lang w:val="en-AU"/>
        </w:rPr>
        <w:t>Genotoxicity</w:t>
      </w:r>
    </w:p>
    <w:p w14:paraId="0A6989B2" w14:textId="0E5E8700" w:rsidR="00B00719" w:rsidRPr="0085534E" w:rsidRDefault="00B00719" w:rsidP="0057652B">
      <w:pPr>
        <w:spacing w:before="0"/>
        <w:rPr>
          <w:noProof/>
          <w:color w:val="auto"/>
          <w:szCs w:val="22"/>
        </w:rPr>
      </w:pPr>
      <w:r w:rsidRPr="0085534E">
        <w:rPr>
          <w:color w:val="auto"/>
          <w:szCs w:val="22"/>
        </w:rPr>
        <w:t xml:space="preserve">Genotoxicity </w:t>
      </w:r>
      <w:r w:rsidRPr="0085534E">
        <w:rPr>
          <w:noProof/>
          <w:color w:val="auto"/>
          <w:szCs w:val="22"/>
        </w:rPr>
        <w:t xml:space="preserve">studies have not been conducted with </w:t>
      </w:r>
      <w:r w:rsidR="00A43393" w:rsidRPr="0085534E">
        <w:rPr>
          <w:noProof/>
          <w:color w:val="auto"/>
          <w:szCs w:val="22"/>
        </w:rPr>
        <w:t>SARCLISA</w:t>
      </w:r>
      <w:r w:rsidRPr="0085534E">
        <w:rPr>
          <w:noProof/>
          <w:color w:val="auto"/>
          <w:szCs w:val="22"/>
        </w:rPr>
        <w:t>.</w:t>
      </w:r>
      <w:r w:rsidR="00AA2699" w:rsidRPr="0085534E">
        <w:rPr>
          <w:noProof/>
          <w:color w:val="auto"/>
          <w:szCs w:val="22"/>
        </w:rPr>
        <w:t xml:space="preserve"> As a large protein molecule, isatuximab is not expected to interact with DNA or other chromosomal material.</w:t>
      </w:r>
    </w:p>
    <w:p w14:paraId="0DD415EF" w14:textId="77777777" w:rsidR="00BC364A" w:rsidRPr="0085534E" w:rsidRDefault="00BC364A" w:rsidP="00BC364A">
      <w:pPr>
        <w:spacing w:before="120"/>
        <w:rPr>
          <w:color w:val="auto"/>
          <w:lang w:val="fr-FR"/>
        </w:rPr>
      </w:pPr>
    </w:p>
    <w:p w14:paraId="1C5A2201" w14:textId="77777777" w:rsidR="001A3992" w:rsidRPr="0085534E" w:rsidRDefault="001A3992" w:rsidP="0057652B">
      <w:pPr>
        <w:pStyle w:val="Heading3"/>
        <w:numPr>
          <w:ilvl w:val="0"/>
          <w:numId w:val="0"/>
        </w:numPr>
        <w:spacing w:before="0"/>
        <w:ind w:left="680" w:hanging="680"/>
        <w:rPr>
          <w:lang w:val="en-AU"/>
        </w:rPr>
      </w:pPr>
      <w:r w:rsidRPr="0085534E">
        <w:rPr>
          <w:lang w:val="en-AU"/>
        </w:rPr>
        <w:t>Carcinogenicity</w:t>
      </w:r>
    </w:p>
    <w:p w14:paraId="48D75256" w14:textId="5DAD7C0E" w:rsidR="00B00719" w:rsidRPr="0085534E" w:rsidRDefault="00B00719" w:rsidP="0057652B">
      <w:pPr>
        <w:spacing w:before="0"/>
        <w:rPr>
          <w:noProof/>
          <w:color w:val="auto"/>
          <w:szCs w:val="22"/>
        </w:rPr>
      </w:pPr>
      <w:r w:rsidRPr="0085534E">
        <w:rPr>
          <w:noProof/>
          <w:color w:val="auto"/>
          <w:szCs w:val="22"/>
        </w:rPr>
        <w:t xml:space="preserve">Carcinogenicity studies have not been conducted with </w:t>
      </w:r>
      <w:r w:rsidR="00A43393" w:rsidRPr="0085534E">
        <w:rPr>
          <w:noProof/>
          <w:color w:val="auto"/>
          <w:szCs w:val="22"/>
        </w:rPr>
        <w:t>S</w:t>
      </w:r>
      <w:r w:rsidR="00CB5C26" w:rsidRPr="0085534E">
        <w:rPr>
          <w:noProof/>
          <w:color w:val="auto"/>
          <w:szCs w:val="22"/>
        </w:rPr>
        <w:t>arclisa</w:t>
      </w:r>
      <w:r w:rsidRPr="0085534E">
        <w:rPr>
          <w:noProof/>
          <w:color w:val="auto"/>
          <w:szCs w:val="22"/>
        </w:rPr>
        <w:t>.</w:t>
      </w:r>
    </w:p>
    <w:p w14:paraId="077E7C25" w14:textId="77777777" w:rsidR="00024098" w:rsidRPr="0085534E" w:rsidRDefault="00024098" w:rsidP="00024098">
      <w:pPr>
        <w:rPr>
          <w:color w:val="auto"/>
        </w:rPr>
      </w:pPr>
    </w:p>
    <w:p w14:paraId="1A6D552F" w14:textId="77777777" w:rsidR="001A3992" w:rsidRPr="0085534E" w:rsidRDefault="001A3992" w:rsidP="00024098">
      <w:pPr>
        <w:pStyle w:val="Heading1"/>
        <w:keepNext w:val="0"/>
        <w:pageBreakBefore w:val="0"/>
        <w:spacing w:before="0" w:after="120"/>
        <w:rPr>
          <w:lang w:val="en-AU"/>
        </w:rPr>
      </w:pPr>
      <w:r w:rsidRPr="0085534E">
        <w:rPr>
          <w:lang w:val="en-AU"/>
        </w:rPr>
        <w:lastRenderedPageBreak/>
        <w:t>Pharmaceutical particulars</w:t>
      </w:r>
    </w:p>
    <w:p w14:paraId="6F69B953" w14:textId="77777777" w:rsidR="001A3992" w:rsidRPr="0085534E" w:rsidRDefault="001A3992" w:rsidP="001A3992">
      <w:pPr>
        <w:pStyle w:val="Heading2"/>
        <w:spacing w:before="0" w:after="120"/>
        <w:rPr>
          <w:lang w:val="en-AU"/>
        </w:rPr>
      </w:pPr>
      <w:r w:rsidRPr="0085534E">
        <w:rPr>
          <w:lang w:val="en-AU"/>
        </w:rPr>
        <w:t xml:space="preserve">List of excipients </w:t>
      </w:r>
    </w:p>
    <w:p w14:paraId="45F78968" w14:textId="77777777" w:rsidR="00B00719" w:rsidRPr="0085534E" w:rsidRDefault="00B00719" w:rsidP="00B00719">
      <w:pPr>
        <w:spacing w:before="0"/>
        <w:rPr>
          <w:color w:val="auto"/>
          <w:lang w:val="en-AU"/>
        </w:rPr>
      </w:pPr>
      <w:r w:rsidRPr="0085534E">
        <w:rPr>
          <w:color w:val="auto"/>
          <w:lang w:val="en-AU"/>
        </w:rPr>
        <w:t>Sucrose</w:t>
      </w:r>
    </w:p>
    <w:p w14:paraId="445F361E" w14:textId="77777777" w:rsidR="00B00719" w:rsidRPr="0085534E" w:rsidRDefault="00B00719" w:rsidP="00B00719">
      <w:pPr>
        <w:spacing w:before="0"/>
        <w:rPr>
          <w:color w:val="auto"/>
          <w:lang w:val="en-AU"/>
        </w:rPr>
      </w:pPr>
      <w:r w:rsidRPr="0085534E">
        <w:rPr>
          <w:color w:val="auto"/>
          <w:lang w:val="en-AU"/>
        </w:rPr>
        <w:t>Histidine hydrochloride monohydrate</w:t>
      </w:r>
    </w:p>
    <w:p w14:paraId="13AC06DA" w14:textId="77777777" w:rsidR="00B00719" w:rsidRPr="0085534E" w:rsidRDefault="00B00719" w:rsidP="00B00719">
      <w:pPr>
        <w:spacing w:before="0"/>
        <w:rPr>
          <w:color w:val="auto"/>
          <w:lang w:val="en-AU"/>
        </w:rPr>
      </w:pPr>
      <w:r w:rsidRPr="0085534E">
        <w:rPr>
          <w:color w:val="auto"/>
          <w:lang w:val="en-AU"/>
        </w:rPr>
        <w:t xml:space="preserve">Histidine </w:t>
      </w:r>
    </w:p>
    <w:p w14:paraId="498F8687" w14:textId="77777777" w:rsidR="00B00719" w:rsidRPr="0085534E" w:rsidRDefault="00B00719" w:rsidP="00B00719">
      <w:pPr>
        <w:spacing w:before="0"/>
        <w:rPr>
          <w:color w:val="auto"/>
          <w:lang w:val="en-AU"/>
        </w:rPr>
      </w:pPr>
      <w:r w:rsidRPr="0085534E">
        <w:rPr>
          <w:color w:val="auto"/>
          <w:lang w:val="en-AU"/>
        </w:rPr>
        <w:t xml:space="preserve">Polysorbate 80  </w:t>
      </w:r>
    </w:p>
    <w:p w14:paraId="2228BEC3" w14:textId="77777777" w:rsidR="00B00719" w:rsidRPr="0085534E" w:rsidRDefault="00B00719" w:rsidP="00B00719">
      <w:pPr>
        <w:spacing w:before="0"/>
        <w:rPr>
          <w:color w:val="auto"/>
          <w:lang w:val="en-AU"/>
        </w:rPr>
      </w:pPr>
      <w:r w:rsidRPr="0085534E">
        <w:rPr>
          <w:color w:val="auto"/>
          <w:lang w:val="en-AU"/>
        </w:rPr>
        <w:t xml:space="preserve">Water for injections     </w:t>
      </w:r>
    </w:p>
    <w:p w14:paraId="102B10E4" w14:textId="77777777" w:rsidR="00466BF1" w:rsidRPr="0085534E" w:rsidRDefault="00466BF1" w:rsidP="007C4C57">
      <w:pPr>
        <w:rPr>
          <w:color w:val="auto"/>
          <w:lang w:val="en-AU"/>
        </w:rPr>
      </w:pPr>
    </w:p>
    <w:p w14:paraId="5F33AA55" w14:textId="77777777" w:rsidR="001A3992" w:rsidRPr="0085534E" w:rsidRDefault="001A3992" w:rsidP="001A3992">
      <w:pPr>
        <w:pStyle w:val="Heading2"/>
        <w:keepLines/>
        <w:spacing w:before="0" w:after="120"/>
        <w:rPr>
          <w:lang w:val="en-AU"/>
        </w:rPr>
      </w:pPr>
      <w:r w:rsidRPr="0085534E">
        <w:rPr>
          <w:lang w:val="en-AU"/>
        </w:rPr>
        <w:t xml:space="preserve">Incompatibilities </w:t>
      </w:r>
    </w:p>
    <w:p w14:paraId="5C1A5EDC" w14:textId="526824B9" w:rsidR="004C4FBA" w:rsidRPr="0085534E" w:rsidRDefault="004C4FBA" w:rsidP="004C4FBA">
      <w:pPr>
        <w:rPr>
          <w:noProof/>
          <w:color w:val="auto"/>
          <w:szCs w:val="22"/>
        </w:rPr>
      </w:pPr>
      <w:r w:rsidRPr="0085534E">
        <w:rPr>
          <w:noProof/>
          <w:color w:val="auto"/>
          <w:szCs w:val="22"/>
        </w:rPr>
        <w:t xml:space="preserve">This medicinal product must not be mixed with other medicinal products except those mentioned in section </w:t>
      </w:r>
      <w:r w:rsidR="00FE779F" w:rsidRPr="0085534E">
        <w:rPr>
          <w:noProof/>
          <w:color w:val="auto"/>
          <w:szCs w:val="22"/>
        </w:rPr>
        <w:t>4.2</w:t>
      </w:r>
      <w:r w:rsidRPr="0085534E">
        <w:rPr>
          <w:noProof/>
          <w:color w:val="auto"/>
          <w:szCs w:val="22"/>
        </w:rPr>
        <w:t>.</w:t>
      </w:r>
    </w:p>
    <w:p w14:paraId="7AB611E8" w14:textId="77777777" w:rsidR="00194D6E" w:rsidRPr="0085534E" w:rsidRDefault="00194D6E" w:rsidP="00194D6E">
      <w:pPr>
        <w:rPr>
          <w:color w:val="auto"/>
        </w:rPr>
      </w:pPr>
    </w:p>
    <w:p w14:paraId="35D9F861" w14:textId="77777777" w:rsidR="001A3992" w:rsidRPr="0085534E" w:rsidRDefault="001A3992" w:rsidP="001A3992">
      <w:pPr>
        <w:pStyle w:val="Heading2"/>
        <w:spacing w:before="0" w:after="120"/>
        <w:rPr>
          <w:lang w:val="en-AU"/>
        </w:rPr>
      </w:pPr>
      <w:r w:rsidRPr="0085534E">
        <w:rPr>
          <w:lang w:val="en-AU"/>
        </w:rPr>
        <w:t xml:space="preserve">Shelf life </w:t>
      </w:r>
    </w:p>
    <w:p w14:paraId="061A67E6" w14:textId="77777777" w:rsidR="00B00719" w:rsidRPr="0085534E" w:rsidRDefault="0024632F" w:rsidP="00194D6E">
      <w:pPr>
        <w:rPr>
          <w:color w:val="auto"/>
        </w:rPr>
      </w:pPr>
      <w:r w:rsidRPr="0085534E">
        <w:rPr>
          <w:color w:val="auto"/>
        </w:rPr>
        <w:t>In Australia, information on the shelf life can be found on the public summary of the Australian Register of Therapeutic Goods (ARTG). The expiry date can be found on the packaging.</w:t>
      </w:r>
    </w:p>
    <w:p w14:paraId="3E10A10C" w14:textId="45631676" w:rsidR="00B00719" w:rsidRPr="0085534E" w:rsidRDefault="00B00719" w:rsidP="00B00719">
      <w:pPr>
        <w:rPr>
          <w:color w:val="auto"/>
        </w:rPr>
      </w:pPr>
      <w:r w:rsidRPr="0085534E">
        <w:rPr>
          <w:color w:val="auto"/>
          <w:lang w:val="en-AU"/>
        </w:rPr>
        <w:t xml:space="preserve"> </w:t>
      </w:r>
      <w:r w:rsidRPr="0085534E">
        <w:rPr>
          <w:color w:val="auto"/>
        </w:rPr>
        <w:t>After dilution</w:t>
      </w:r>
      <w:r w:rsidRPr="0085534E">
        <w:rPr>
          <w:color w:val="auto"/>
        </w:rPr>
        <w:br/>
      </w:r>
      <w:r w:rsidRPr="0085534E">
        <w:rPr>
          <w:noProof/>
          <w:color w:val="auto"/>
          <w:szCs w:val="22"/>
        </w:rPr>
        <w:t xml:space="preserve">Microbiological, chemical and physical in-use stability of </w:t>
      </w:r>
      <w:r w:rsidR="00A43393" w:rsidRPr="0085534E">
        <w:rPr>
          <w:color w:val="auto"/>
        </w:rPr>
        <w:t>SARCLISA</w:t>
      </w:r>
      <w:r w:rsidRPr="0085534E">
        <w:rPr>
          <w:color w:val="auto"/>
        </w:rPr>
        <w:t xml:space="preserve"> </w:t>
      </w:r>
      <w:r w:rsidRPr="0085534E">
        <w:rPr>
          <w:noProof/>
          <w:color w:val="auto"/>
          <w:szCs w:val="22"/>
        </w:rPr>
        <w:t xml:space="preserve">infusion solution has been demonstrated for 48 hours at </w:t>
      </w:r>
      <w:r w:rsidRPr="0085534E">
        <w:rPr>
          <w:color w:val="auto"/>
        </w:rPr>
        <w:t>2°C - 8°C, followed by 8 hours (including the infusion time) at room temperature</w:t>
      </w:r>
      <w:r w:rsidRPr="0085534E">
        <w:rPr>
          <w:noProof/>
          <w:color w:val="auto"/>
          <w:szCs w:val="22"/>
        </w:rPr>
        <w:t xml:space="preserve">. </w:t>
      </w:r>
      <w:r w:rsidRPr="0085534E">
        <w:rPr>
          <w:color w:val="auto"/>
        </w:rPr>
        <w:t>No protection from light is required for storage in the infusion bag.</w:t>
      </w:r>
    </w:p>
    <w:p w14:paraId="0561764D" w14:textId="5654B8E4" w:rsidR="00594BA8" w:rsidRPr="0085534E" w:rsidRDefault="00594BA8" w:rsidP="00B00719">
      <w:pPr>
        <w:rPr>
          <w:noProof/>
          <w:color w:val="auto"/>
          <w:szCs w:val="22"/>
        </w:rPr>
      </w:pPr>
      <w:r w:rsidRPr="0085534E">
        <w:rPr>
          <w:noProof/>
          <w:color w:val="auto"/>
          <w:szCs w:val="22"/>
        </w:rPr>
        <w:t>Sarclisa is for single use in one patient only. Discard any residue</w:t>
      </w:r>
      <w:r w:rsidR="00245ECE" w:rsidRPr="0085534E">
        <w:rPr>
          <w:noProof/>
          <w:color w:val="auto"/>
          <w:szCs w:val="22"/>
        </w:rPr>
        <w:t>.</w:t>
      </w:r>
    </w:p>
    <w:p w14:paraId="1EFF0F92" w14:textId="77777777" w:rsidR="0024632F" w:rsidRPr="0085534E" w:rsidRDefault="0024632F" w:rsidP="00194D6E">
      <w:pPr>
        <w:rPr>
          <w:color w:val="auto"/>
        </w:rPr>
      </w:pPr>
    </w:p>
    <w:p w14:paraId="3A050F15" w14:textId="77777777" w:rsidR="001A3992" w:rsidRPr="0085534E" w:rsidRDefault="001A3992" w:rsidP="001A3992">
      <w:pPr>
        <w:pStyle w:val="Heading2"/>
        <w:keepLines/>
        <w:spacing w:before="0" w:after="120"/>
        <w:rPr>
          <w:lang w:val="en-AU"/>
        </w:rPr>
      </w:pPr>
      <w:r w:rsidRPr="0085534E">
        <w:rPr>
          <w:lang w:val="en-AU"/>
        </w:rPr>
        <w:t xml:space="preserve">Special precautions for storage </w:t>
      </w:r>
    </w:p>
    <w:p w14:paraId="150D25CF" w14:textId="461BA982" w:rsidR="009164FF" w:rsidRPr="0085534E" w:rsidRDefault="009164FF" w:rsidP="00B00719">
      <w:pPr>
        <w:spacing w:before="0"/>
        <w:rPr>
          <w:strike/>
          <w:color w:val="auto"/>
        </w:rPr>
      </w:pPr>
      <w:r w:rsidRPr="0085534E">
        <w:rPr>
          <w:color w:val="auto"/>
        </w:rPr>
        <w:t>Store at 2°C to 8°C (Refrigerate</w:t>
      </w:r>
      <w:r w:rsidR="00EC0520" w:rsidRPr="0085534E">
        <w:rPr>
          <w:color w:val="auto"/>
        </w:rPr>
        <w:t>)</w:t>
      </w:r>
      <w:r w:rsidRPr="0085534E">
        <w:rPr>
          <w:color w:val="auto"/>
        </w:rPr>
        <w:t>. Do not freeze</w:t>
      </w:r>
      <w:r w:rsidR="0034515F" w:rsidRPr="0085534E">
        <w:rPr>
          <w:color w:val="auto"/>
        </w:rPr>
        <w:t>. Do not shake</w:t>
      </w:r>
      <w:r w:rsidR="005B4D05" w:rsidRPr="0085534E">
        <w:rPr>
          <w:color w:val="auto"/>
        </w:rPr>
        <w:t xml:space="preserve">. </w:t>
      </w:r>
    </w:p>
    <w:p w14:paraId="34704579" w14:textId="7288B6EC" w:rsidR="00B00719" w:rsidRPr="0085534E" w:rsidRDefault="00F5516A" w:rsidP="00B00719">
      <w:pPr>
        <w:spacing w:before="0"/>
        <w:rPr>
          <w:color w:val="auto"/>
        </w:rPr>
      </w:pPr>
      <w:r w:rsidRPr="0085534E">
        <w:rPr>
          <w:color w:val="auto"/>
        </w:rPr>
        <w:t>Keep</w:t>
      </w:r>
      <w:r w:rsidR="00B00719" w:rsidRPr="0085534E">
        <w:rPr>
          <w:color w:val="auto"/>
        </w:rPr>
        <w:t xml:space="preserve"> in the original package in order to protect from light. </w:t>
      </w:r>
    </w:p>
    <w:p w14:paraId="5226138A" w14:textId="77777777" w:rsidR="00B00719" w:rsidRPr="0085534E" w:rsidRDefault="00B00719" w:rsidP="00B00719">
      <w:pPr>
        <w:spacing w:before="0"/>
        <w:rPr>
          <w:color w:val="auto"/>
        </w:rPr>
      </w:pPr>
      <w:r w:rsidRPr="0085534E">
        <w:rPr>
          <w:noProof/>
          <w:color w:val="auto"/>
          <w:szCs w:val="22"/>
        </w:rPr>
        <w:t xml:space="preserve">For storage conditions after dilution of the medicinal product, see section 6.3. </w:t>
      </w:r>
    </w:p>
    <w:p w14:paraId="19C87425" w14:textId="77777777" w:rsidR="00D70EC1" w:rsidRPr="0085534E" w:rsidRDefault="00D70EC1" w:rsidP="00D70EC1">
      <w:pPr>
        <w:rPr>
          <w:color w:val="auto"/>
        </w:rPr>
      </w:pPr>
    </w:p>
    <w:p w14:paraId="3A1C6F35" w14:textId="77777777" w:rsidR="001A3992" w:rsidRPr="0085534E" w:rsidRDefault="001A3992" w:rsidP="001A3992">
      <w:pPr>
        <w:pStyle w:val="Heading2"/>
        <w:spacing w:before="0" w:after="120"/>
        <w:rPr>
          <w:lang w:val="en-AU"/>
        </w:rPr>
      </w:pPr>
      <w:r w:rsidRPr="0085534E">
        <w:rPr>
          <w:lang w:val="en-AU"/>
        </w:rPr>
        <w:t xml:space="preserve">Nature and contents of container </w:t>
      </w:r>
    </w:p>
    <w:p w14:paraId="6FE30DD5" w14:textId="3C12CF9B" w:rsidR="00B00719" w:rsidRPr="0085534E" w:rsidRDefault="00A43393" w:rsidP="00B00719">
      <w:pPr>
        <w:keepNext/>
        <w:autoSpaceDE w:val="0"/>
        <w:autoSpaceDN w:val="0"/>
        <w:adjustRightInd w:val="0"/>
        <w:rPr>
          <w:rFonts w:eastAsia="SimSun"/>
          <w:color w:val="auto"/>
          <w:szCs w:val="22"/>
        </w:rPr>
      </w:pPr>
      <w:r w:rsidRPr="0085534E">
        <w:rPr>
          <w:rFonts w:eastAsia="SimSun"/>
          <w:color w:val="auto"/>
          <w:szCs w:val="22"/>
        </w:rPr>
        <w:t>S</w:t>
      </w:r>
      <w:r w:rsidR="00957ADE" w:rsidRPr="0085534E">
        <w:rPr>
          <w:rFonts w:eastAsia="SimSun"/>
          <w:color w:val="auto"/>
          <w:szCs w:val="22"/>
        </w:rPr>
        <w:t>arclisa</w:t>
      </w:r>
      <w:r w:rsidR="00B00719" w:rsidRPr="0085534E">
        <w:rPr>
          <w:rFonts w:eastAsia="SimSun"/>
          <w:color w:val="auto"/>
          <w:szCs w:val="22"/>
        </w:rPr>
        <w:t xml:space="preserve"> 100 mg/ 5mL concentrate</w:t>
      </w:r>
      <w:r w:rsidR="00957ADE" w:rsidRPr="0085534E">
        <w:rPr>
          <w:rFonts w:eastAsia="SimSun"/>
          <w:color w:val="auto"/>
          <w:szCs w:val="22"/>
        </w:rPr>
        <w:t xml:space="preserve">d injection </w:t>
      </w:r>
      <w:r w:rsidR="00B00719" w:rsidRPr="0085534E">
        <w:rPr>
          <w:rFonts w:eastAsia="SimSun"/>
          <w:color w:val="auto"/>
          <w:szCs w:val="22"/>
        </w:rPr>
        <w:t>for infusion vial</w:t>
      </w:r>
    </w:p>
    <w:p w14:paraId="74968C74" w14:textId="658810D9" w:rsidR="00B00719" w:rsidRPr="0085534E" w:rsidRDefault="00B00719" w:rsidP="00B00719">
      <w:pPr>
        <w:numPr>
          <w:ilvl w:val="0"/>
          <w:numId w:val="30"/>
        </w:numPr>
        <w:spacing w:before="0"/>
        <w:rPr>
          <w:rFonts w:eastAsia="SimSun"/>
          <w:color w:val="auto"/>
          <w:szCs w:val="22"/>
        </w:rPr>
      </w:pPr>
      <w:r w:rsidRPr="0085534E">
        <w:rPr>
          <w:color w:val="auto"/>
        </w:rPr>
        <w:t>5 ml concentrate</w:t>
      </w:r>
      <w:r w:rsidR="0034515F" w:rsidRPr="0085534E">
        <w:rPr>
          <w:color w:val="auto"/>
        </w:rPr>
        <w:t xml:space="preserve">d </w:t>
      </w:r>
      <w:r w:rsidR="00957ADE" w:rsidRPr="0085534E">
        <w:rPr>
          <w:color w:val="auto"/>
        </w:rPr>
        <w:t xml:space="preserve">injection </w:t>
      </w:r>
      <w:r w:rsidRPr="0085534E">
        <w:rPr>
          <w:color w:val="auto"/>
        </w:rPr>
        <w:t xml:space="preserve">containing 100 mg of isatuximab (fill volume: 5.4 mL) in a 6 mL type I </w:t>
      </w:r>
      <w:r w:rsidR="00CE00DF" w:rsidRPr="0085534E">
        <w:rPr>
          <w:color w:val="auto"/>
          <w:lang w:val="en-AU"/>
        </w:rPr>
        <w:t>colourless</w:t>
      </w:r>
      <w:r w:rsidRPr="0085534E">
        <w:rPr>
          <w:color w:val="auto"/>
        </w:rPr>
        <w:t xml:space="preserve"> clear glass vial closed with ETFE (copolymer of ethylene and tetrafluoroethylene)-coated bromobutyl stoppers. The stoppered vials are crimped with an aluminium seal with a gray flip-off button.</w:t>
      </w:r>
      <w:r w:rsidRPr="0085534E">
        <w:rPr>
          <w:rFonts w:eastAsia="SimSun"/>
          <w:color w:val="auto"/>
          <w:szCs w:val="22"/>
        </w:rPr>
        <w:t xml:space="preserve"> </w:t>
      </w:r>
      <w:r w:rsidRPr="0085534E">
        <w:rPr>
          <w:color w:val="auto"/>
        </w:rPr>
        <w:t>The fill volume has been established to ensure removal of 5 mL.</w:t>
      </w:r>
    </w:p>
    <w:p w14:paraId="4E972385" w14:textId="77777777" w:rsidR="00B00719" w:rsidRPr="0085534E" w:rsidRDefault="00B00719" w:rsidP="0057652B">
      <w:pPr>
        <w:keepNext/>
        <w:numPr>
          <w:ilvl w:val="0"/>
          <w:numId w:val="30"/>
        </w:numPr>
        <w:spacing w:before="0"/>
        <w:rPr>
          <w:color w:val="auto"/>
        </w:rPr>
      </w:pPr>
      <w:r w:rsidRPr="0085534E">
        <w:rPr>
          <w:color w:val="auto"/>
        </w:rPr>
        <w:t xml:space="preserve">Pack size of one or three single-use vials. </w:t>
      </w:r>
      <w:r w:rsidRPr="0085534E">
        <w:rPr>
          <w:rFonts w:eastAsia="SimSun"/>
          <w:color w:val="auto"/>
          <w:szCs w:val="22"/>
        </w:rPr>
        <w:t xml:space="preserve"> </w:t>
      </w:r>
    </w:p>
    <w:p w14:paraId="173A7604" w14:textId="46081D13" w:rsidR="00B00719" w:rsidRPr="0085534E" w:rsidRDefault="00957ADE" w:rsidP="00B00719">
      <w:pPr>
        <w:autoSpaceDE w:val="0"/>
        <w:autoSpaceDN w:val="0"/>
        <w:adjustRightInd w:val="0"/>
        <w:rPr>
          <w:rFonts w:eastAsia="SimSun"/>
          <w:color w:val="auto"/>
          <w:szCs w:val="22"/>
        </w:rPr>
      </w:pPr>
      <w:r w:rsidRPr="0085534E">
        <w:rPr>
          <w:rFonts w:eastAsia="SimSun"/>
          <w:color w:val="auto"/>
          <w:szCs w:val="22"/>
        </w:rPr>
        <w:t>Sarclisa</w:t>
      </w:r>
      <w:r w:rsidR="00B00719" w:rsidRPr="0085534E">
        <w:rPr>
          <w:rFonts w:eastAsia="SimSun"/>
          <w:color w:val="auto"/>
          <w:szCs w:val="22"/>
        </w:rPr>
        <w:t xml:space="preserve"> 500 mg/25 mL concentrate</w:t>
      </w:r>
      <w:r w:rsidRPr="0085534E">
        <w:rPr>
          <w:rFonts w:eastAsia="SimSun"/>
          <w:color w:val="auto"/>
          <w:szCs w:val="22"/>
        </w:rPr>
        <w:t>d injection</w:t>
      </w:r>
      <w:r w:rsidR="00B00719" w:rsidRPr="0085534E">
        <w:rPr>
          <w:rFonts w:eastAsia="SimSun"/>
          <w:color w:val="auto"/>
          <w:szCs w:val="22"/>
        </w:rPr>
        <w:t xml:space="preserve"> for infusion vial</w:t>
      </w:r>
    </w:p>
    <w:p w14:paraId="38CE42FB" w14:textId="533462E7" w:rsidR="00B00719" w:rsidRPr="0085534E" w:rsidRDefault="00B00719" w:rsidP="00B00719">
      <w:pPr>
        <w:numPr>
          <w:ilvl w:val="0"/>
          <w:numId w:val="30"/>
        </w:numPr>
        <w:autoSpaceDE w:val="0"/>
        <w:autoSpaceDN w:val="0"/>
        <w:adjustRightInd w:val="0"/>
        <w:spacing w:before="0"/>
        <w:rPr>
          <w:rFonts w:eastAsia="SimSun"/>
          <w:color w:val="auto"/>
          <w:szCs w:val="22"/>
        </w:rPr>
      </w:pPr>
      <w:r w:rsidRPr="0085534E">
        <w:rPr>
          <w:color w:val="auto"/>
        </w:rPr>
        <w:t>25 ml concentrate</w:t>
      </w:r>
      <w:r w:rsidR="0034515F" w:rsidRPr="0085534E">
        <w:rPr>
          <w:color w:val="auto"/>
        </w:rPr>
        <w:t xml:space="preserve">d </w:t>
      </w:r>
      <w:r w:rsidR="00957ADE" w:rsidRPr="0085534E">
        <w:rPr>
          <w:color w:val="auto"/>
        </w:rPr>
        <w:t>injection</w:t>
      </w:r>
      <w:r w:rsidRPr="0085534E">
        <w:rPr>
          <w:color w:val="auto"/>
        </w:rPr>
        <w:t xml:space="preserve"> containing 500 mg of isatuximab (fill volume: 26.0 mL) in a 30 mL type I </w:t>
      </w:r>
      <w:r w:rsidR="00CE00DF" w:rsidRPr="0085534E">
        <w:rPr>
          <w:color w:val="auto"/>
          <w:lang w:val="en-AU"/>
        </w:rPr>
        <w:t>colourless</w:t>
      </w:r>
      <w:r w:rsidRPr="0085534E">
        <w:rPr>
          <w:color w:val="auto"/>
        </w:rPr>
        <w:t xml:space="preserve"> clear glass vial closed with ETFE (copolymer of ethylene </w:t>
      </w:r>
      <w:r w:rsidRPr="0085534E">
        <w:rPr>
          <w:color w:val="auto"/>
        </w:rPr>
        <w:lastRenderedPageBreak/>
        <w:t xml:space="preserve">and tetrafluoroethylene)-coated bromobutyl stoppers. The stoppered vials are crimped with an aluminium seal with a blue flip-off button. </w:t>
      </w:r>
      <w:r w:rsidRPr="0085534E">
        <w:rPr>
          <w:rFonts w:eastAsia="SimSun"/>
          <w:color w:val="auto"/>
          <w:szCs w:val="22"/>
        </w:rPr>
        <w:t>The fill volume has been established to ensure removal of 25 mL.</w:t>
      </w:r>
    </w:p>
    <w:p w14:paraId="5BEC749E" w14:textId="77777777" w:rsidR="00B00719" w:rsidRPr="0085534E" w:rsidRDefault="00B00719" w:rsidP="00B00719">
      <w:pPr>
        <w:numPr>
          <w:ilvl w:val="0"/>
          <w:numId w:val="30"/>
        </w:numPr>
        <w:spacing w:before="0"/>
        <w:rPr>
          <w:color w:val="auto"/>
        </w:rPr>
      </w:pPr>
      <w:r w:rsidRPr="0085534E">
        <w:rPr>
          <w:color w:val="auto"/>
        </w:rPr>
        <w:t>Pack size of one single-use vial.</w:t>
      </w:r>
    </w:p>
    <w:p w14:paraId="1942BEA6" w14:textId="77777777" w:rsidR="00B00719" w:rsidRPr="0085534E" w:rsidRDefault="00B00719" w:rsidP="00B00719">
      <w:pPr>
        <w:rPr>
          <w:noProof/>
          <w:color w:val="auto"/>
          <w:szCs w:val="22"/>
        </w:rPr>
      </w:pPr>
      <w:r w:rsidRPr="0085534E">
        <w:rPr>
          <w:noProof/>
          <w:color w:val="auto"/>
          <w:szCs w:val="22"/>
        </w:rPr>
        <w:t>Not all pack sizes may be marketed.</w:t>
      </w:r>
    </w:p>
    <w:p w14:paraId="30989356" w14:textId="77777777" w:rsidR="007C4C57" w:rsidRPr="0085534E" w:rsidRDefault="007C4C57" w:rsidP="004F0E4A">
      <w:pPr>
        <w:rPr>
          <w:snapToGrid w:val="0"/>
          <w:color w:val="auto"/>
        </w:rPr>
      </w:pPr>
    </w:p>
    <w:p w14:paraId="68592A73" w14:textId="77777777" w:rsidR="001A3992" w:rsidRPr="0085534E" w:rsidRDefault="001A3992" w:rsidP="001A3992">
      <w:pPr>
        <w:pStyle w:val="Heading2"/>
        <w:spacing w:before="0" w:after="120"/>
        <w:rPr>
          <w:lang w:val="en-AU"/>
        </w:rPr>
      </w:pPr>
      <w:r w:rsidRPr="0085534E">
        <w:rPr>
          <w:lang w:val="en-AU"/>
        </w:rPr>
        <w:t xml:space="preserve">Special precautions for disposal </w:t>
      </w:r>
    </w:p>
    <w:p w14:paraId="05818B13" w14:textId="77777777" w:rsidR="00D70EC1" w:rsidRPr="0085534E" w:rsidRDefault="00D70EC1" w:rsidP="00D70EC1">
      <w:pPr>
        <w:rPr>
          <w:color w:val="auto"/>
        </w:rPr>
      </w:pPr>
      <w:r w:rsidRPr="0085534E">
        <w:rPr>
          <w:color w:val="auto"/>
        </w:rPr>
        <w:t>In Australia, any unused medicine or waste material should be disposed of by taking to your local pharmacy.</w:t>
      </w:r>
    </w:p>
    <w:p w14:paraId="55C0F93F" w14:textId="77777777" w:rsidR="00717E34" w:rsidRPr="0085534E" w:rsidRDefault="00717E34" w:rsidP="00717E34">
      <w:pPr>
        <w:rPr>
          <w:color w:val="auto"/>
          <w:lang w:val="en-AU"/>
        </w:rPr>
      </w:pPr>
    </w:p>
    <w:p w14:paraId="6726B934" w14:textId="77777777" w:rsidR="001A3992" w:rsidRPr="0085534E" w:rsidRDefault="001A3992" w:rsidP="001A3992">
      <w:pPr>
        <w:pStyle w:val="Heading2"/>
        <w:spacing w:before="0" w:after="120"/>
        <w:rPr>
          <w:lang w:val="en-AU"/>
        </w:rPr>
      </w:pPr>
      <w:r w:rsidRPr="0085534E">
        <w:rPr>
          <w:lang w:val="en-AU"/>
        </w:rPr>
        <w:t>Physicochemical properties</w:t>
      </w:r>
    </w:p>
    <w:p w14:paraId="22A56B6D" w14:textId="5BC85AF7" w:rsidR="00C121D4" w:rsidRPr="0085534E" w:rsidRDefault="00C121D4" w:rsidP="00C121D4">
      <w:pPr>
        <w:rPr>
          <w:color w:val="auto"/>
        </w:rPr>
      </w:pPr>
      <w:r w:rsidRPr="0085534E">
        <w:rPr>
          <w:color w:val="auto"/>
        </w:rPr>
        <w:t>The protein structure of isatuximab is composed of 2 kappa light chains each with molecular weight of approximately 23 kDa and 2 IgG1 heavy chains each with a molecular weight of approximately 49 kDa (deglycosylated form) linked through disulfide bridges. Each light chain consists of 214 amino acid residues and each heavy chain consists of 450 amino acid residues.</w:t>
      </w:r>
    </w:p>
    <w:p w14:paraId="30568E4C" w14:textId="0A010C6D" w:rsidR="00245ECE" w:rsidRPr="0085534E" w:rsidRDefault="00245ECE" w:rsidP="00C121D4">
      <w:pPr>
        <w:rPr>
          <w:color w:val="auto"/>
        </w:rPr>
      </w:pPr>
      <w:r w:rsidRPr="0085534E">
        <w:rPr>
          <w:color w:val="auto"/>
        </w:rPr>
        <w:t>CAS</w:t>
      </w:r>
      <w:r w:rsidR="00996C81" w:rsidRPr="0085534E">
        <w:rPr>
          <w:color w:val="auto"/>
        </w:rPr>
        <w:t xml:space="preserve"> number</w:t>
      </w:r>
      <w:r w:rsidRPr="0085534E">
        <w:rPr>
          <w:color w:val="auto"/>
        </w:rPr>
        <w:t>: 1461640-62-9</w:t>
      </w:r>
    </w:p>
    <w:p w14:paraId="40B34F57" w14:textId="77777777" w:rsidR="00C121D4" w:rsidRPr="0085534E" w:rsidRDefault="00C121D4" w:rsidP="00C121D4">
      <w:pPr>
        <w:rPr>
          <w:b/>
          <w:color w:val="auto"/>
        </w:rPr>
      </w:pPr>
    </w:p>
    <w:p w14:paraId="39F7940C" w14:textId="77777777" w:rsidR="001A3992" w:rsidRPr="0085534E" w:rsidRDefault="001A3992" w:rsidP="00024098">
      <w:pPr>
        <w:pStyle w:val="Heading1"/>
        <w:keepNext w:val="0"/>
        <w:pageBreakBefore w:val="0"/>
        <w:spacing w:before="0" w:after="120"/>
        <w:rPr>
          <w:lang w:val="en-AU"/>
        </w:rPr>
      </w:pPr>
      <w:r w:rsidRPr="0085534E">
        <w:rPr>
          <w:lang w:val="en-AU"/>
        </w:rPr>
        <w:t>Medicine schedule (Poisons Standard)</w:t>
      </w:r>
    </w:p>
    <w:p w14:paraId="69F76939" w14:textId="77777777" w:rsidR="00024098" w:rsidRPr="0085534E" w:rsidRDefault="0034515F" w:rsidP="00024098">
      <w:pPr>
        <w:rPr>
          <w:color w:val="auto"/>
          <w:lang w:val="en-AU"/>
        </w:rPr>
      </w:pPr>
      <w:r w:rsidRPr="0085534E">
        <w:rPr>
          <w:color w:val="auto"/>
          <w:lang w:val="en-AU"/>
        </w:rPr>
        <w:t>Prescription Only Medicine (Schedule 4)</w:t>
      </w:r>
    </w:p>
    <w:p w14:paraId="538C99E1" w14:textId="77777777" w:rsidR="0034515F" w:rsidRPr="0085534E" w:rsidRDefault="0034515F" w:rsidP="00024098">
      <w:pPr>
        <w:rPr>
          <w:color w:val="auto"/>
          <w:lang w:val="en-AU"/>
        </w:rPr>
      </w:pPr>
    </w:p>
    <w:p w14:paraId="53F83556" w14:textId="77777777" w:rsidR="001A3992" w:rsidRPr="0085534E" w:rsidRDefault="001A3992" w:rsidP="00024098">
      <w:pPr>
        <w:pStyle w:val="Heading1"/>
        <w:keepNext w:val="0"/>
        <w:pageBreakBefore w:val="0"/>
        <w:spacing w:before="0" w:after="120"/>
        <w:rPr>
          <w:lang w:val="en-AU"/>
        </w:rPr>
      </w:pPr>
      <w:r w:rsidRPr="0085534E">
        <w:rPr>
          <w:lang w:val="en-AU"/>
        </w:rPr>
        <w:t>Sponsor</w:t>
      </w:r>
    </w:p>
    <w:p w14:paraId="742313F5" w14:textId="77777777" w:rsidR="009164FF" w:rsidRPr="0085534E" w:rsidRDefault="009164FF" w:rsidP="009164FF">
      <w:pPr>
        <w:rPr>
          <w:color w:val="auto"/>
          <w:lang w:val="it-IT"/>
        </w:rPr>
      </w:pPr>
      <w:r w:rsidRPr="0085534E">
        <w:rPr>
          <w:color w:val="auto"/>
          <w:lang w:val="it-IT"/>
        </w:rPr>
        <w:t>Australia</w:t>
      </w:r>
    </w:p>
    <w:p w14:paraId="00C1978B" w14:textId="77777777" w:rsidR="009164FF" w:rsidRPr="0085534E" w:rsidRDefault="009164FF" w:rsidP="009164FF">
      <w:pPr>
        <w:spacing w:before="120"/>
        <w:rPr>
          <w:color w:val="auto"/>
          <w:lang w:val="it-IT"/>
        </w:rPr>
      </w:pPr>
      <w:r w:rsidRPr="0085534E">
        <w:rPr>
          <w:color w:val="auto"/>
          <w:lang w:val="it-IT"/>
        </w:rPr>
        <w:t>sanofi-aventis australia pty ltd</w:t>
      </w:r>
      <w:r w:rsidRPr="0085534E">
        <w:rPr>
          <w:color w:val="auto"/>
          <w:lang w:val="it-IT"/>
        </w:rPr>
        <w:br/>
        <w:t>12-24 Talavera Road</w:t>
      </w:r>
      <w:r w:rsidRPr="0085534E">
        <w:rPr>
          <w:color w:val="auto"/>
          <w:lang w:val="it-IT"/>
        </w:rPr>
        <w:br/>
        <w:t>Macquarie Park NSW 2113</w:t>
      </w:r>
    </w:p>
    <w:p w14:paraId="1BBCD4F7" w14:textId="77777777" w:rsidR="009164FF" w:rsidRPr="0085534E" w:rsidRDefault="009164FF" w:rsidP="009164FF">
      <w:pPr>
        <w:spacing w:before="0"/>
        <w:rPr>
          <w:color w:val="auto"/>
          <w:lang w:val="it-IT"/>
        </w:rPr>
      </w:pPr>
      <w:r w:rsidRPr="0085534E">
        <w:rPr>
          <w:color w:val="auto"/>
          <w:lang w:val="it-IT"/>
        </w:rPr>
        <w:t>Toll Free Number (medical information): 1800 818 806</w:t>
      </w:r>
    </w:p>
    <w:p w14:paraId="3642B7DF" w14:textId="77777777" w:rsidR="009164FF" w:rsidRPr="0085534E" w:rsidRDefault="009164FF" w:rsidP="009164FF">
      <w:pPr>
        <w:spacing w:before="0"/>
        <w:rPr>
          <w:color w:val="auto"/>
          <w:lang w:val="it-IT"/>
        </w:rPr>
      </w:pPr>
      <w:r w:rsidRPr="0085534E">
        <w:rPr>
          <w:color w:val="auto"/>
          <w:lang w:val="it-IT"/>
        </w:rPr>
        <w:t>E-mail: medinfo.australia@sanofi.com</w:t>
      </w:r>
    </w:p>
    <w:p w14:paraId="3894C7AE" w14:textId="77777777" w:rsidR="009164FF" w:rsidRPr="0085534E" w:rsidRDefault="009164FF" w:rsidP="009164FF">
      <w:pPr>
        <w:rPr>
          <w:color w:val="auto"/>
          <w:lang w:val="it-IT"/>
        </w:rPr>
      </w:pPr>
      <w:r w:rsidRPr="0085534E">
        <w:rPr>
          <w:color w:val="auto"/>
          <w:lang w:val="it-IT"/>
        </w:rPr>
        <w:t>New Zealand</w:t>
      </w:r>
    </w:p>
    <w:p w14:paraId="3EBD4251" w14:textId="77777777" w:rsidR="009164FF" w:rsidRPr="0085534E" w:rsidRDefault="009164FF" w:rsidP="009164FF">
      <w:pPr>
        <w:spacing w:before="120"/>
        <w:rPr>
          <w:color w:val="auto"/>
          <w:lang w:val="it-IT"/>
        </w:rPr>
      </w:pPr>
      <w:r w:rsidRPr="0085534E">
        <w:rPr>
          <w:color w:val="auto"/>
          <w:lang w:val="it-IT"/>
        </w:rPr>
        <w:t>sanofi-aventis new zealand limited</w:t>
      </w:r>
    </w:p>
    <w:p w14:paraId="7DA5EAAC" w14:textId="77777777" w:rsidR="009164FF" w:rsidRPr="0085534E" w:rsidRDefault="009164FF" w:rsidP="009164FF">
      <w:pPr>
        <w:spacing w:before="0"/>
        <w:rPr>
          <w:color w:val="auto"/>
          <w:lang w:val="it-IT"/>
        </w:rPr>
      </w:pPr>
      <w:r w:rsidRPr="0085534E">
        <w:rPr>
          <w:color w:val="auto"/>
          <w:lang w:val="it-IT"/>
        </w:rPr>
        <w:t>Level 8, 56 Cawley Street</w:t>
      </w:r>
    </w:p>
    <w:p w14:paraId="763767C8" w14:textId="33BF20B2" w:rsidR="009164FF" w:rsidRPr="0085534E" w:rsidRDefault="0041645E" w:rsidP="009164FF">
      <w:pPr>
        <w:spacing w:before="0"/>
        <w:rPr>
          <w:color w:val="auto"/>
          <w:lang w:val="it-IT"/>
        </w:rPr>
      </w:pPr>
      <w:r w:rsidRPr="0085534E">
        <w:rPr>
          <w:color w:val="auto"/>
          <w:lang w:val="it-IT"/>
        </w:rPr>
        <w:t xml:space="preserve">Ellerslie, </w:t>
      </w:r>
      <w:r w:rsidR="009164FF" w:rsidRPr="0085534E">
        <w:rPr>
          <w:color w:val="auto"/>
          <w:lang w:val="it-IT"/>
        </w:rPr>
        <w:t>Auckland</w:t>
      </w:r>
    </w:p>
    <w:p w14:paraId="68CF0727" w14:textId="77777777" w:rsidR="009164FF" w:rsidRPr="0085534E" w:rsidRDefault="009164FF" w:rsidP="009164FF">
      <w:pPr>
        <w:spacing w:before="0"/>
        <w:rPr>
          <w:color w:val="auto"/>
          <w:lang w:val="it-IT"/>
        </w:rPr>
      </w:pPr>
      <w:r w:rsidRPr="0085534E">
        <w:rPr>
          <w:color w:val="auto"/>
          <w:lang w:val="it-IT"/>
        </w:rPr>
        <w:t>Toll Free Number (medical information): 0800 283 684</w:t>
      </w:r>
    </w:p>
    <w:p w14:paraId="695246D2" w14:textId="77777777" w:rsidR="009164FF" w:rsidRPr="0085534E" w:rsidRDefault="009164FF" w:rsidP="009164FF">
      <w:pPr>
        <w:spacing w:before="0"/>
        <w:rPr>
          <w:color w:val="auto"/>
          <w:lang w:val="it-IT"/>
        </w:rPr>
      </w:pPr>
      <w:r w:rsidRPr="0085534E">
        <w:rPr>
          <w:color w:val="auto"/>
          <w:lang w:val="it-IT"/>
        </w:rPr>
        <w:t>Email: medinfo.australia@sanofi.com</w:t>
      </w:r>
    </w:p>
    <w:p w14:paraId="3AF71D1F" w14:textId="3528FB20" w:rsidR="001A3992" w:rsidRDefault="001A3992" w:rsidP="00EF5223">
      <w:pPr>
        <w:pStyle w:val="Heading1"/>
        <w:keepNext w:val="0"/>
        <w:pageBreakBefore w:val="0"/>
        <w:spacing w:before="120" w:after="120"/>
        <w:rPr>
          <w:lang w:val="en-AU"/>
        </w:rPr>
      </w:pPr>
      <w:r w:rsidRPr="0085534E">
        <w:rPr>
          <w:lang w:val="en-AU"/>
        </w:rPr>
        <w:t xml:space="preserve">Date of first approval  </w:t>
      </w:r>
    </w:p>
    <w:p w14:paraId="0036CD80" w14:textId="59D17C3A" w:rsidR="000B7303" w:rsidRPr="000B7303" w:rsidRDefault="000B7303" w:rsidP="000B7303">
      <w:pPr>
        <w:rPr>
          <w:lang w:val="en-AU"/>
        </w:rPr>
      </w:pPr>
      <w:r>
        <w:rPr>
          <w:lang w:val="en-AU"/>
        </w:rPr>
        <w:t>06 May 2020</w:t>
      </w:r>
    </w:p>
    <w:p w14:paraId="35250734" w14:textId="77777777" w:rsidR="00477BD3" w:rsidRPr="0085534E" w:rsidRDefault="00477BD3" w:rsidP="00477BD3">
      <w:pPr>
        <w:rPr>
          <w:color w:val="auto"/>
          <w:lang w:val="en-AU"/>
        </w:rPr>
      </w:pPr>
    </w:p>
    <w:p w14:paraId="689220AB" w14:textId="54979BA1" w:rsidR="001A3992" w:rsidRDefault="001A3992" w:rsidP="00024098">
      <w:pPr>
        <w:pStyle w:val="Heading1"/>
        <w:keepNext w:val="0"/>
        <w:pageBreakBefore w:val="0"/>
        <w:spacing w:before="0" w:after="120"/>
        <w:rPr>
          <w:lang w:val="en-AU"/>
        </w:rPr>
      </w:pPr>
      <w:r w:rsidRPr="0085534E">
        <w:rPr>
          <w:lang w:val="en-AU"/>
        </w:rPr>
        <w:t xml:space="preserve">Date of revision </w:t>
      </w:r>
    </w:p>
    <w:p w14:paraId="08DBF2EE" w14:textId="77777777" w:rsidR="000B7303" w:rsidRPr="000B7303" w:rsidRDefault="000B7303" w:rsidP="000B7303">
      <w:pPr>
        <w:rPr>
          <w:lang w:val="en-AU"/>
        </w:rPr>
      </w:pPr>
    </w:p>
    <w:p w14:paraId="48FC249A" w14:textId="77777777" w:rsidR="001A3992" w:rsidRPr="0085534E" w:rsidRDefault="001A3992" w:rsidP="001A3992">
      <w:pPr>
        <w:pStyle w:val="Heading2"/>
        <w:numPr>
          <w:ilvl w:val="0"/>
          <w:numId w:val="0"/>
        </w:numPr>
        <w:spacing w:before="0" w:after="120"/>
        <w:rPr>
          <w:lang w:val="en-AU"/>
        </w:rPr>
      </w:pPr>
      <w:r w:rsidRPr="0085534E">
        <w:rPr>
          <w:lang w:val="en-AU"/>
        </w:rPr>
        <w:t>Summary table of changes</w:t>
      </w:r>
    </w:p>
    <w:tbl>
      <w:tblPr>
        <w:tblStyle w:val="LightGrid"/>
        <w:tblW w:w="0" w:type="auto"/>
        <w:tblCellMar>
          <w:top w:w="57" w:type="dxa"/>
          <w:bottom w:w="57" w:type="dxa"/>
        </w:tblCellMar>
        <w:tblLook w:val="06A0" w:firstRow="1" w:lastRow="0" w:firstColumn="1" w:lastColumn="0" w:noHBand="1" w:noVBand="1"/>
      </w:tblPr>
      <w:tblGrid>
        <w:gridCol w:w="1371"/>
        <w:gridCol w:w="7635"/>
      </w:tblGrid>
      <w:tr w:rsidR="00FE779F" w:rsidRPr="0085534E" w14:paraId="79786A32" w14:textId="77777777" w:rsidTr="004D0F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F2F2F2" w:themeFill="background1" w:themeFillShade="F2"/>
            <w:vAlign w:val="center"/>
          </w:tcPr>
          <w:p w14:paraId="0C14F1AE" w14:textId="77777777" w:rsidR="00ED0937" w:rsidRPr="0085534E" w:rsidRDefault="00ED0937" w:rsidP="004D0FD8">
            <w:pPr>
              <w:rPr>
                <w:color w:val="auto"/>
                <w:sz w:val="20"/>
                <w:lang w:val="en-AU"/>
              </w:rPr>
            </w:pPr>
            <w:r w:rsidRPr="0085534E">
              <w:rPr>
                <w:color w:val="auto"/>
                <w:sz w:val="20"/>
                <w:lang w:val="en-AU"/>
              </w:rPr>
              <w:t>Section Changed</w:t>
            </w:r>
          </w:p>
        </w:tc>
        <w:tc>
          <w:tcPr>
            <w:tcW w:w="7858" w:type="dxa"/>
            <w:shd w:val="clear" w:color="auto" w:fill="F2F2F2" w:themeFill="background1" w:themeFillShade="F2"/>
            <w:vAlign w:val="center"/>
          </w:tcPr>
          <w:p w14:paraId="1A884980" w14:textId="77777777" w:rsidR="00ED0937" w:rsidRPr="0085534E" w:rsidRDefault="00ED0937" w:rsidP="004D0FD8">
            <w:pPr>
              <w:cnfStyle w:val="100000000000" w:firstRow="1" w:lastRow="0" w:firstColumn="0" w:lastColumn="0" w:oddVBand="0" w:evenVBand="0" w:oddHBand="0" w:evenHBand="0" w:firstRowFirstColumn="0" w:firstRowLastColumn="0" w:lastRowFirstColumn="0" w:lastRowLastColumn="0"/>
              <w:rPr>
                <w:color w:val="auto"/>
                <w:sz w:val="20"/>
                <w:lang w:val="en-AU"/>
              </w:rPr>
            </w:pPr>
            <w:r w:rsidRPr="0085534E">
              <w:rPr>
                <w:color w:val="auto"/>
                <w:sz w:val="20"/>
                <w:lang w:val="en-AU"/>
              </w:rPr>
              <w:t>Summary of new information</w:t>
            </w:r>
          </w:p>
        </w:tc>
      </w:tr>
      <w:tr w:rsidR="00FE779F" w:rsidRPr="0085534E" w14:paraId="6BDCE712" w14:textId="77777777" w:rsidTr="004D0FD8">
        <w:tc>
          <w:tcPr>
            <w:cnfStyle w:val="001000000000" w:firstRow="0" w:lastRow="0" w:firstColumn="1" w:lastColumn="0" w:oddVBand="0" w:evenVBand="0" w:oddHBand="0" w:evenHBand="0" w:firstRowFirstColumn="0" w:firstRowLastColumn="0" w:lastRowFirstColumn="0" w:lastRowLastColumn="0"/>
            <w:tcW w:w="1384" w:type="dxa"/>
            <w:vAlign w:val="center"/>
          </w:tcPr>
          <w:p w14:paraId="1B8EF0EF" w14:textId="77777777" w:rsidR="00ED0937" w:rsidRPr="0085534E" w:rsidRDefault="00ED0937" w:rsidP="004D0FD8">
            <w:pPr>
              <w:rPr>
                <w:color w:val="auto"/>
                <w:lang w:val="en-AU"/>
              </w:rPr>
            </w:pPr>
          </w:p>
        </w:tc>
        <w:tc>
          <w:tcPr>
            <w:tcW w:w="7858" w:type="dxa"/>
            <w:vAlign w:val="center"/>
          </w:tcPr>
          <w:p w14:paraId="55BDC289" w14:textId="77777777" w:rsidR="00ED0937" w:rsidRPr="0085534E" w:rsidRDefault="00ED0937" w:rsidP="004D0FD8">
            <w:pPr>
              <w:cnfStyle w:val="000000000000" w:firstRow="0" w:lastRow="0" w:firstColumn="0" w:lastColumn="0" w:oddVBand="0" w:evenVBand="0" w:oddHBand="0" w:evenHBand="0" w:firstRowFirstColumn="0" w:firstRowLastColumn="0" w:lastRowFirstColumn="0" w:lastRowLastColumn="0"/>
              <w:rPr>
                <w:color w:val="auto"/>
                <w:lang w:val="en-AU"/>
              </w:rPr>
            </w:pPr>
          </w:p>
        </w:tc>
      </w:tr>
      <w:tr w:rsidR="00FE779F" w:rsidRPr="0085534E" w14:paraId="4742348A" w14:textId="77777777" w:rsidTr="004D0FD8">
        <w:tc>
          <w:tcPr>
            <w:cnfStyle w:val="001000000000" w:firstRow="0" w:lastRow="0" w:firstColumn="1" w:lastColumn="0" w:oddVBand="0" w:evenVBand="0" w:oddHBand="0" w:evenHBand="0" w:firstRowFirstColumn="0" w:firstRowLastColumn="0" w:lastRowFirstColumn="0" w:lastRowLastColumn="0"/>
            <w:tcW w:w="1384" w:type="dxa"/>
            <w:vAlign w:val="center"/>
          </w:tcPr>
          <w:p w14:paraId="14998D8F" w14:textId="77777777" w:rsidR="00ED0937" w:rsidRPr="0085534E" w:rsidRDefault="00ED0937" w:rsidP="004D0FD8">
            <w:pPr>
              <w:rPr>
                <w:color w:val="auto"/>
                <w:lang w:val="en-AU"/>
              </w:rPr>
            </w:pPr>
          </w:p>
        </w:tc>
        <w:tc>
          <w:tcPr>
            <w:tcW w:w="7858" w:type="dxa"/>
            <w:vAlign w:val="center"/>
          </w:tcPr>
          <w:p w14:paraId="61D86FB4" w14:textId="77777777" w:rsidR="00ED0937" w:rsidRPr="0085534E" w:rsidRDefault="00ED0937" w:rsidP="004D0FD8">
            <w:pPr>
              <w:cnfStyle w:val="000000000000" w:firstRow="0" w:lastRow="0" w:firstColumn="0" w:lastColumn="0" w:oddVBand="0" w:evenVBand="0" w:oddHBand="0" w:evenHBand="0" w:firstRowFirstColumn="0" w:firstRowLastColumn="0" w:lastRowFirstColumn="0" w:lastRowLastColumn="0"/>
              <w:rPr>
                <w:color w:val="auto"/>
                <w:lang w:val="en-AU"/>
              </w:rPr>
            </w:pPr>
          </w:p>
        </w:tc>
      </w:tr>
      <w:tr w:rsidR="00FE779F" w:rsidRPr="0085534E" w14:paraId="24E6E97C" w14:textId="77777777" w:rsidTr="004D0FD8">
        <w:tc>
          <w:tcPr>
            <w:cnfStyle w:val="001000000000" w:firstRow="0" w:lastRow="0" w:firstColumn="1" w:lastColumn="0" w:oddVBand="0" w:evenVBand="0" w:oddHBand="0" w:evenHBand="0" w:firstRowFirstColumn="0" w:firstRowLastColumn="0" w:lastRowFirstColumn="0" w:lastRowLastColumn="0"/>
            <w:tcW w:w="1384" w:type="dxa"/>
            <w:vAlign w:val="center"/>
          </w:tcPr>
          <w:p w14:paraId="51E67E67" w14:textId="77777777" w:rsidR="00ED0937" w:rsidRPr="0085534E" w:rsidRDefault="00ED0937" w:rsidP="004D0FD8">
            <w:pPr>
              <w:rPr>
                <w:color w:val="auto"/>
                <w:lang w:val="en-AU"/>
              </w:rPr>
            </w:pPr>
          </w:p>
        </w:tc>
        <w:tc>
          <w:tcPr>
            <w:tcW w:w="7858" w:type="dxa"/>
            <w:vAlign w:val="center"/>
          </w:tcPr>
          <w:p w14:paraId="128C2151" w14:textId="77777777" w:rsidR="00ED0937" w:rsidRPr="0085534E" w:rsidRDefault="00ED0937" w:rsidP="004D0FD8">
            <w:pPr>
              <w:cnfStyle w:val="000000000000" w:firstRow="0" w:lastRow="0" w:firstColumn="0" w:lastColumn="0" w:oddVBand="0" w:evenVBand="0" w:oddHBand="0" w:evenHBand="0" w:firstRowFirstColumn="0" w:firstRowLastColumn="0" w:lastRowFirstColumn="0" w:lastRowLastColumn="0"/>
              <w:rPr>
                <w:color w:val="auto"/>
                <w:lang w:val="en-AU"/>
              </w:rPr>
            </w:pPr>
          </w:p>
        </w:tc>
      </w:tr>
    </w:tbl>
    <w:p w14:paraId="651298C1" w14:textId="77777777" w:rsidR="00960CD5" w:rsidRPr="0085534E" w:rsidRDefault="00960CD5" w:rsidP="00EF5223">
      <w:pPr>
        <w:spacing w:after="120"/>
        <w:rPr>
          <w:color w:val="auto"/>
          <w:lang w:val="en-AU"/>
        </w:rPr>
      </w:pPr>
    </w:p>
    <w:sectPr w:rsidR="00960CD5" w:rsidRPr="0085534E">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28269" w14:textId="77777777" w:rsidR="00EE5260" w:rsidRDefault="00EE5260" w:rsidP="001A3992">
      <w:r>
        <w:separator/>
      </w:r>
    </w:p>
  </w:endnote>
  <w:endnote w:type="continuationSeparator" w:id="0">
    <w:p w14:paraId="0282ED6A" w14:textId="77777777" w:rsidR="00EE5260" w:rsidRDefault="00EE5260" w:rsidP="001A3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EA1D1" w14:textId="77777777" w:rsidR="00EE5260" w:rsidRDefault="00EE5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2A3CE" w14:textId="60A4CC2C" w:rsidR="00EE5260" w:rsidRPr="008875EC" w:rsidRDefault="00EE5260">
    <w:pPr>
      <w:pStyle w:val="Footer"/>
      <w:rPr>
        <w:lang w:val="fr-FR"/>
      </w:rPr>
    </w:pPr>
    <w:r w:rsidRPr="00CE6159">
      <w:rPr>
        <w:lang w:val="fr-FR"/>
      </w:rPr>
      <w:t>sarclisa-ccdsv1-piv1-</w:t>
    </w:r>
    <w:r>
      <w:rPr>
        <w:lang w:val="fr-FR"/>
      </w:rPr>
      <w:t>06may20</w:t>
    </w:r>
    <w:r w:rsidRPr="008875EC">
      <w:rPr>
        <w:lang w:val="fr-FR"/>
      </w:rPr>
      <w:tab/>
    </w:r>
    <w:sdt>
      <w:sdtPr>
        <w:id w:val="-1619370226"/>
        <w:docPartObj>
          <w:docPartGallery w:val="Page Numbers (Bottom of Page)"/>
          <w:docPartUnique/>
        </w:docPartObj>
      </w:sdtPr>
      <w:sdtContent>
        <w:sdt>
          <w:sdtPr>
            <w:id w:val="-1705238520"/>
            <w:docPartObj>
              <w:docPartGallery w:val="Page Numbers (Top of Page)"/>
              <w:docPartUnique/>
            </w:docPartObj>
          </w:sdtPr>
          <w:sdtContent>
            <w:r w:rsidRPr="008875EC">
              <w:rPr>
                <w:lang w:val="fr-FR"/>
              </w:rPr>
              <w:t xml:space="preserve">Page </w:t>
            </w:r>
            <w:r>
              <w:rPr>
                <w:b/>
                <w:bCs/>
                <w:sz w:val="24"/>
                <w:szCs w:val="24"/>
              </w:rPr>
              <w:fldChar w:fldCharType="begin"/>
            </w:r>
            <w:r w:rsidRPr="008875EC">
              <w:rPr>
                <w:b/>
                <w:bCs/>
                <w:lang w:val="fr-FR"/>
              </w:rPr>
              <w:instrText xml:space="preserve"> PAGE </w:instrText>
            </w:r>
            <w:r>
              <w:rPr>
                <w:b/>
                <w:bCs/>
                <w:sz w:val="24"/>
                <w:szCs w:val="24"/>
              </w:rPr>
              <w:fldChar w:fldCharType="separate"/>
            </w:r>
            <w:r w:rsidR="006D2AA6">
              <w:rPr>
                <w:b/>
                <w:bCs/>
                <w:noProof/>
                <w:lang w:val="fr-FR"/>
              </w:rPr>
              <w:t>1</w:t>
            </w:r>
            <w:r>
              <w:rPr>
                <w:b/>
                <w:bCs/>
                <w:sz w:val="24"/>
                <w:szCs w:val="24"/>
              </w:rPr>
              <w:fldChar w:fldCharType="end"/>
            </w:r>
            <w:r w:rsidRPr="008875EC">
              <w:rPr>
                <w:lang w:val="fr-FR"/>
              </w:rPr>
              <w:t xml:space="preserve"> of </w:t>
            </w:r>
            <w:r>
              <w:rPr>
                <w:b/>
                <w:bCs/>
                <w:sz w:val="24"/>
                <w:szCs w:val="24"/>
              </w:rPr>
              <w:fldChar w:fldCharType="begin"/>
            </w:r>
            <w:r w:rsidRPr="008875EC">
              <w:rPr>
                <w:b/>
                <w:bCs/>
                <w:lang w:val="fr-FR"/>
              </w:rPr>
              <w:instrText xml:space="preserve"> NUMPAGES  </w:instrText>
            </w:r>
            <w:r>
              <w:rPr>
                <w:b/>
                <w:bCs/>
                <w:sz w:val="24"/>
                <w:szCs w:val="24"/>
              </w:rPr>
              <w:fldChar w:fldCharType="separate"/>
            </w:r>
            <w:r w:rsidR="006D2AA6">
              <w:rPr>
                <w:b/>
                <w:bCs/>
                <w:noProof/>
                <w:lang w:val="fr-FR"/>
              </w:rPr>
              <w:t>20</w:t>
            </w:r>
            <w:r>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BB7B9" w14:textId="77777777" w:rsidR="00EE5260" w:rsidRDefault="00EE5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71673" w14:textId="77777777" w:rsidR="00EE5260" w:rsidRDefault="00EE5260" w:rsidP="001A3992">
      <w:r>
        <w:separator/>
      </w:r>
    </w:p>
  </w:footnote>
  <w:footnote w:type="continuationSeparator" w:id="0">
    <w:p w14:paraId="7BED6D4F" w14:textId="77777777" w:rsidR="00EE5260" w:rsidRDefault="00EE5260" w:rsidP="001A3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628B8" w14:textId="77777777" w:rsidR="00EE5260" w:rsidRDefault="00EE52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shd w:val="clear" w:color="auto" w:fill="E4F2E0"/>
      <w:tblLook w:val="04A0" w:firstRow="1" w:lastRow="0" w:firstColumn="1" w:lastColumn="0" w:noHBand="0" w:noVBand="1"/>
    </w:tblPr>
    <w:tblGrid>
      <w:gridCol w:w="8720"/>
    </w:tblGrid>
    <w:tr w:rsidR="00EE5260" w:rsidRPr="000B2145" w14:paraId="75056AA1" w14:textId="77777777" w:rsidTr="00E32E2F">
      <w:trPr>
        <w:trHeight w:val="590"/>
      </w:trPr>
      <w:tc>
        <w:tcPr>
          <w:tcW w:w="8720" w:type="dxa"/>
          <w:shd w:val="clear" w:color="auto" w:fill="E4F2E0"/>
        </w:tcPr>
        <w:p w14:paraId="665F6729" w14:textId="5343AB02" w:rsidR="00EE5260" w:rsidRPr="000B2145" w:rsidRDefault="00EE5260" w:rsidP="00E32E2F">
          <w:pPr>
            <w:pStyle w:val="Footer"/>
            <w:rPr>
              <w:b/>
              <w:szCs w:val="18"/>
            </w:rPr>
          </w:pPr>
          <w:r w:rsidRPr="00EA0C3C">
            <w:rPr>
              <w:b/>
              <w:szCs w:val="18"/>
            </w:rPr>
            <w:t>Attachment 1:</w:t>
          </w:r>
          <w:r>
            <w:rPr>
              <w:b/>
              <w:szCs w:val="18"/>
            </w:rPr>
            <w:t xml:space="preserve"> </w:t>
          </w:r>
          <w:r w:rsidRPr="00A268B1">
            <w:rPr>
              <w:b/>
              <w:szCs w:val="18"/>
            </w:rPr>
            <w:t>AusPAR – Sarclisa – isatuximab - Sanofi-Aventis Australia Pty Ltd - PM-2019-02568-1-6</w:t>
          </w:r>
          <w:r>
            <w:rPr>
              <w:b/>
              <w:szCs w:val="18"/>
            </w:rPr>
            <w:t xml:space="preserve"> </w:t>
          </w:r>
          <w:r w:rsidRPr="00A268B1">
            <w:rPr>
              <w:b/>
              <w:szCs w:val="18"/>
            </w:rPr>
            <w:t>FINAL 2 November 2020</w:t>
          </w:r>
          <w:r>
            <w:rPr>
              <w:b/>
              <w:szCs w:val="18"/>
            </w:rPr>
            <w:t xml:space="preserve">. </w:t>
          </w:r>
          <w:r w:rsidRPr="000B2145">
            <w:rPr>
              <w:b/>
              <w:szCs w:val="18"/>
            </w:rPr>
            <w:t>This is the Product Information that was approved with the submission described in this AusPAR. It may have been superseded. For the most recent PI, please refer to the TGA website at &lt;</w:t>
          </w:r>
          <w:hyperlink r:id="rId1" w:history="1">
            <w:r w:rsidRPr="000B2145">
              <w:rPr>
                <w:rStyle w:val="Hyperlink"/>
                <w:b/>
                <w:szCs w:val="18"/>
              </w:rPr>
              <w:t>https://www.tga.gov.au/product-information-pi</w:t>
            </w:r>
          </w:hyperlink>
          <w:r w:rsidRPr="000B2145">
            <w:rPr>
              <w:b/>
              <w:szCs w:val="18"/>
              <w:u w:val="single"/>
            </w:rPr>
            <w:t>&gt;</w:t>
          </w:r>
        </w:p>
      </w:tc>
    </w:tr>
  </w:tbl>
  <w:p w14:paraId="3ECDFDEF" w14:textId="77777777" w:rsidR="00EE5260" w:rsidRDefault="00EE52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385A9" w14:textId="77777777" w:rsidR="00EE5260" w:rsidRDefault="00EE5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3F3E"/>
    <w:multiLevelType w:val="hybridMultilevel"/>
    <w:tmpl w:val="5AB64ADE"/>
    <w:lvl w:ilvl="0" w:tplc="D7DCCC6C">
      <w:start w:val="1"/>
      <w:numFmt w:val="bullet"/>
      <w:pStyle w:val="ListAlphabeticalLevel1"/>
      <w:lvlText w:val=""/>
      <w:lvlJc w:val="left"/>
      <w:pPr>
        <w:ind w:left="720" w:hanging="360"/>
      </w:pPr>
      <w:rPr>
        <w:rFonts w:ascii="Symbol" w:hAnsi="Symbol" w:hint="default"/>
      </w:rPr>
    </w:lvl>
    <w:lvl w:ilvl="1" w:tplc="D3FABC90">
      <w:start w:val="1"/>
      <w:numFmt w:val="bullet"/>
      <w:lvlText w:val="o"/>
      <w:lvlJc w:val="left"/>
      <w:pPr>
        <w:ind w:left="1440" w:hanging="360"/>
      </w:pPr>
      <w:rPr>
        <w:rFonts w:ascii="Courier New" w:hAnsi="Courier New" w:cs="Courier New" w:hint="default"/>
      </w:rPr>
    </w:lvl>
    <w:lvl w:ilvl="2" w:tplc="9752C2F8" w:tentative="1">
      <w:start w:val="1"/>
      <w:numFmt w:val="bullet"/>
      <w:lvlText w:val=""/>
      <w:lvlJc w:val="left"/>
      <w:pPr>
        <w:ind w:left="2160" w:hanging="360"/>
      </w:pPr>
      <w:rPr>
        <w:rFonts w:ascii="Wingdings" w:hAnsi="Wingdings" w:hint="default"/>
      </w:rPr>
    </w:lvl>
    <w:lvl w:ilvl="3" w:tplc="2E7EEB2C" w:tentative="1">
      <w:start w:val="1"/>
      <w:numFmt w:val="bullet"/>
      <w:lvlText w:val=""/>
      <w:lvlJc w:val="left"/>
      <w:pPr>
        <w:ind w:left="2880" w:hanging="360"/>
      </w:pPr>
      <w:rPr>
        <w:rFonts w:ascii="Symbol" w:hAnsi="Symbol" w:hint="default"/>
      </w:rPr>
    </w:lvl>
    <w:lvl w:ilvl="4" w:tplc="77100446" w:tentative="1">
      <w:start w:val="1"/>
      <w:numFmt w:val="bullet"/>
      <w:lvlText w:val="o"/>
      <w:lvlJc w:val="left"/>
      <w:pPr>
        <w:ind w:left="3600" w:hanging="360"/>
      </w:pPr>
      <w:rPr>
        <w:rFonts w:ascii="Courier New" w:hAnsi="Courier New" w:cs="Courier New" w:hint="default"/>
      </w:rPr>
    </w:lvl>
    <w:lvl w:ilvl="5" w:tplc="45B0D1A8" w:tentative="1">
      <w:start w:val="1"/>
      <w:numFmt w:val="bullet"/>
      <w:lvlText w:val=""/>
      <w:lvlJc w:val="left"/>
      <w:pPr>
        <w:ind w:left="4320" w:hanging="360"/>
      </w:pPr>
      <w:rPr>
        <w:rFonts w:ascii="Wingdings" w:hAnsi="Wingdings" w:hint="default"/>
      </w:rPr>
    </w:lvl>
    <w:lvl w:ilvl="6" w:tplc="D190031C" w:tentative="1">
      <w:start w:val="1"/>
      <w:numFmt w:val="bullet"/>
      <w:lvlText w:val=""/>
      <w:lvlJc w:val="left"/>
      <w:pPr>
        <w:ind w:left="5040" w:hanging="360"/>
      </w:pPr>
      <w:rPr>
        <w:rFonts w:ascii="Symbol" w:hAnsi="Symbol" w:hint="default"/>
      </w:rPr>
    </w:lvl>
    <w:lvl w:ilvl="7" w:tplc="869C76F4" w:tentative="1">
      <w:start w:val="1"/>
      <w:numFmt w:val="bullet"/>
      <w:lvlText w:val="o"/>
      <w:lvlJc w:val="left"/>
      <w:pPr>
        <w:ind w:left="5760" w:hanging="360"/>
      </w:pPr>
      <w:rPr>
        <w:rFonts w:ascii="Courier New" w:hAnsi="Courier New" w:cs="Courier New" w:hint="default"/>
      </w:rPr>
    </w:lvl>
    <w:lvl w:ilvl="8" w:tplc="068206DE" w:tentative="1">
      <w:start w:val="1"/>
      <w:numFmt w:val="bullet"/>
      <w:lvlText w:val=""/>
      <w:lvlJc w:val="left"/>
      <w:pPr>
        <w:ind w:left="6480" w:hanging="360"/>
      </w:pPr>
      <w:rPr>
        <w:rFonts w:ascii="Wingdings" w:hAnsi="Wingdings" w:hint="default"/>
      </w:rPr>
    </w:lvl>
  </w:abstractNum>
  <w:abstractNum w:abstractNumId="1" w15:restartNumberingAfterBreak="0">
    <w:nsid w:val="08B24EDD"/>
    <w:multiLevelType w:val="hybridMultilevel"/>
    <w:tmpl w:val="548CD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7660B4"/>
    <w:multiLevelType w:val="hybridMultilevel"/>
    <w:tmpl w:val="870431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0268D4"/>
    <w:multiLevelType w:val="multilevel"/>
    <w:tmpl w:val="723CCA24"/>
    <w:name w:val="LT_Heading"/>
    <w:lvl w:ilvl="0">
      <w:start w:val="1"/>
      <w:numFmt w:val="decimal"/>
      <w:lvlRestart w:val="0"/>
      <w:pStyle w:val="Heading1"/>
      <w:lvlText w:val="%1"/>
      <w:lvlJc w:val="left"/>
      <w:pPr>
        <w:tabs>
          <w:tab w:val="num" w:pos="680"/>
        </w:tabs>
        <w:ind w:left="680" w:hanging="680"/>
      </w:pPr>
    </w:lvl>
    <w:lvl w:ilvl="1">
      <w:start w:val="1"/>
      <w:numFmt w:val="decimal"/>
      <w:pStyle w:val="Heading2"/>
      <w:lvlText w:val="%1.%2"/>
      <w:lvlJc w:val="left"/>
      <w:pPr>
        <w:tabs>
          <w:tab w:val="num" w:pos="680"/>
        </w:tabs>
        <w:ind w:left="680" w:hanging="680"/>
      </w:pPr>
    </w:lvl>
    <w:lvl w:ilvl="2">
      <w:start w:val="1"/>
      <w:numFmt w:val="decimal"/>
      <w:pStyle w:val="Heading3"/>
      <w:lvlText w:val="%1.%2.%3"/>
      <w:lvlJc w:val="left"/>
      <w:pPr>
        <w:tabs>
          <w:tab w:val="num" w:pos="680"/>
        </w:tabs>
        <w:ind w:left="680" w:hanging="680"/>
      </w:pPr>
    </w:lvl>
    <w:lvl w:ilvl="3">
      <w:start w:val="1"/>
      <w:numFmt w:val="decimal"/>
      <w:pStyle w:val="Heading4"/>
      <w:lvlText w:val="%1.%2.%3.%4"/>
      <w:lvlJc w:val="left"/>
      <w:pPr>
        <w:tabs>
          <w:tab w:val="num" w:pos="862"/>
        </w:tabs>
        <w:ind w:left="862" w:hanging="862"/>
      </w:pPr>
    </w:lvl>
    <w:lvl w:ilvl="4">
      <w:start w:val="1"/>
      <w:numFmt w:val="decimal"/>
      <w:pStyle w:val="Heading5"/>
      <w:lvlText w:val="%1.%2.%3.%4.%5"/>
      <w:lvlJc w:val="left"/>
      <w:pPr>
        <w:tabs>
          <w:tab w:val="num" w:pos="1009"/>
        </w:tabs>
        <w:ind w:left="1009" w:hanging="1009"/>
      </w:pPr>
    </w:lvl>
    <w:lvl w:ilvl="5">
      <w:start w:val="1"/>
      <w:numFmt w:val="decimal"/>
      <w:pStyle w:val="Heading6"/>
      <w:lvlText w:val="%1.%2.%3.%4.%5.%6"/>
      <w:lvlJc w:val="left"/>
      <w:pPr>
        <w:tabs>
          <w:tab w:val="num" w:pos="1151"/>
        </w:tabs>
        <w:ind w:left="1151" w:hanging="1151"/>
      </w:pPr>
    </w:lvl>
    <w:lvl w:ilvl="6">
      <w:start w:val="1"/>
      <w:numFmt w:val="decimal"/>
      <w:pStyle w:val="Heading7"/>
      <w:lvlText w:val="%1.%2.%3.%4.%5.%6.%7"/>
      <w:lvlJc w:val="left"/>
      <w:pPr>
        <w:tabs>
          <w:tab w:val="num" w:pos="1298"/>
        </w:tabs>
        <w:ind w:left="1298" w:hanging="1298"/>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2"/>
        </w:tabs>
        <w:ind w:left="1582" w:hanging="1582"/>
      </w:pPr>
    </w:lvl>
  </w:abstractNum>
  <w:abstractNum w:abstractNumId="5" w15:restartNumberingAfterBreak="0">
    <w:nsid w:val="0C8E5153"/>
    <w:multiLevelType w:val="multilevel"/>
    <w:tmpl w:val="B642B60E"/>
    <w:lvl w:ilvl="0">
      <w:start w:val="1"/>
      <w:numFmt w:val="bullet"/>
      <w:lvlRestart w:val="0"/>
      <w:pStyle w:val="ListBulletLevel1"/>
      <w:lvlText w:val=""/>
      <w:lvlJc w:val="left"/>
      <w:pPr>
        <w:tabs>
          <w:tab w:val="num" w:pos="720"/>
        </w:tabs>
        <w:ind w:left="720" w:hanging="357"/>
      </w:pPr>
      <w:rPr>
        <w:rFonts w:ascii="Symbol" w:hAnsi="Symbol" w:hint="default"/>
      </w:rPr>
    </w:lvl>
    <w:lvl w:ilvl="1">
      <w:start w:val="1"/>
      <w:numFmt w:val="bullet"/>
      <w:lvlText w:val=""/>
      <w:lvlJc w:val="left"/>
      <w:pPr>
        <w:tabs>
          <w:tab w:val="num" w:pos="1083"/>
        </w:tabs>
        <w:ind w:left="1083" w:hanging="363"/>
      </w:pPr>
      <w:rPr>
        <w:rFonts w:ascii="Symbol" w:hAnsi="Symbol" w:hint="default"/>
      </w:rPr>
    </w:lvl>
    <w:lvl w:ilvl="2">
      <w:start w:val="1"/>
      <w:numFmt w:val="bullet"/>
      <w:lvlText w:val=""/>
      <w:lvlJc w:val="left"/>
      <w:pPr>
        <w:tabs>
          <w:tab w:val="num" w:pos="1440"/>
        </w:tabs>
        <w:ind w:left="1440" w:hanging="357"/>
      </w:pPr>
      <w:rPr>
        <w:rFonts w:ascii="Symbol" w:hAnsi="Symbol" w:hint="default"/>
      </w:rPr>
    </w:lvl>
    <w:lvl w:ilvl="3">
      <w:start w:val="1"/>
      <w:numFmt w:val="bullet"/>
      <w:lvlText w:val=""/>
      <w:lvlJc w:val="left"/>
      <w:pPr>
        <w:tabs>
          <w:tab w:val="num" w:pos="1803"/>
        </w:tabs>
        <w:ind w:left="1803" w:hanging="363"/>
      </w:pPr>
      <w:rPr>
        <w:rFonts w:ascii="Symbol" w:hAnsi="Symbol" w:hint="default"/>
      </w:rPr>
    </w:lvl>
    <w:lvl w:ilvl="4">
      <w:start w:val="1"/>
      <w:numFmt w:val="bullet"/>
      <w:lvlText w:val=""/>
      <w:lvlJc w:val="left"/>
      <w:pPr>
        <w:tabs>
          <w:tab w:val="num" w:pos="2160"/>
        </w:tabs>
        <w:ind w:left="2160" w:hanging="357"/>
      </w:pPr>
      <w:rPr>
        <w:rFonts w:ascii="Symbol" w:hAnsi="Symbol" w:hint="default"/>
      </w:rPr>
    </w:lvl>
    <w:lvl w:ilvl="5">
      <w:start w:val="1"/>
      <w:numFmt w:val="bullet"/>
      <w:lvlText w:val=""/>
      <w:lvlJc w:val="left"/>
      <w:pPr>
        <w:tabs>
          <w:tab w:val="num" w:pos="2523"/>
        </w:tabs>
        <w:ind w:left="2523" w:hanging="363"/>
      </w:pPr>
      <w:rPr>
        <w:rFonts w:ascii="Symbol" w:hAnsi="Symbol" w:hint="default"/>
      </w:rPr>
    </w:lvl>
    <w:lvl w:ilvl="6">
      <w:start w:val="1"/>
      <w:numFmt w:val="bullet"/>
      <w:lvlText w:val=""/>
      <w:lvlJc w:val="left"/>
      <w:pPr>
        <w:tabs>
          <w:tab w:val="num" w:pos="2880"/>
        </w:tabs>
        <w:ind w:left="2880" w:hanging="357"/>
      </w:pPr>
      <w:rPr>
        <w:rFonts w:ascii="Symbol" w:hAnsi="Symbol" w:hint="default"/>
      </w:rPr>
    </w:lvl>
    <w:lvl w:ilvl="7">
      <w:start w:val="1"/>
      <w:numFmt w:val="bullet"/>
      <w:lvlText w:val=""/>
      <w:lvlJc w:val="left"/>
      <w:pPr>
        <w:tabs>
          <w:tab w:val="num" w:pos="3243"/>
        </w:tabs>
        <w:ind w:left="3243" w:hanging="363"/>
      </w:pPr>
      <w:rPr>
        <w:rFonts w:ascii="Symbol" w:hAnsi="Symbol" w:hint="default"/>
      </w:rPr>
    </w:lvl>
    <w:lvl w:ilvl="8">
      <w:start w:val="1"/>
      <w:numFmt w:val="bullet"/>
      <w:lvlText w:val=""/>
      <w:lvlJc w:val="left"/>
      <w:pPr>
        <w:tabs>
          <w:tab w:val="num" w:pos="3600"/>
        </w:tabs>
        <w:ind w:left="3600" w:hanging="357"/>
      </w:pPr>
      <w:rPr>
        <w:rFonts w:ascii="Symbol" w:hAnsi="Symbol" w:hint="default"/>
      </w:rPr>
    </w:lvl>
  </w:abstractNum>
  <w:abstractNum w:abstractNumId="6" w15:restartNumberingAfterBreak="0">
    <w:nsid w:val="0E563DE3"/>
    <w:multiLevelType w:val="multilevel"/>
    <w:tmpl w:val="EA961A4C"/>
    <w:lvl w:ilvl="0">
      <w:start w:val="1"/>
      <w:numFmt w:val="lowerLetter"/>
      <w:lvlRestart w:val="0"/>
      <w:lvlText w:val="%1)"/>
      <w:lvlJc w:val="left"/>
      <w:pPr>
        <w:tabs>
          <w:tab w:val="num" w:pos="1083"/>
        </w:tabs>
        <w:ind w:left="1083" w:hanging="363"/>
      </w:pPr>
    </w:lvl>
    <w:lvl w:ilvl="1">
      <w:start w:val="1"/>
      <w:numFmt w:val="lowerLetter"/>
      <w:lvlText w:val="%2)"/>
      <w:lvlJc w:val="left"/>
      <w:pPr>
        <w:tabs>
          <w:tab w:val="num" w:pos="1440"/>
        </w:tabs>
        <w:ind w:left="1440" w:hanging="357"/>
      </w:pPr>
    </w:lvl>
    <w:lvl w:ilvl="2">
      <w:start w:val="1"/>
      <w:numFmt w:val="lowerLetter"/>
      <w:lvlText w:val="%3)"/>
      <w:lvlJc w:val="left"/>
      <w:pPr>
        <w:tabs>
          <w:tab w:val="num" w:pos="1803"/>
        </w:tabs>
        <w:ind w:left="1803" w:hanging="363"/>
      </w:pPr>
    </w:lvl>
    <w:lvl w:ilvl="3">
      <w:start w:val="1"/>
      <w:numFmt w:val="lowerLetter"/>
      <w:lvlText w:val="%4)"/>
      <w:lvlJc w:val="left"/>
      <w:pPr>
        <w:tabs>
          <w:tab w:val="num" w:pos="2160"/>
        </w:tabs>
        <w:ind w:left="2160" w:hanging="357"/>
      </w:pPr>
    </w:lvl>
    <w:lvl w:ilvl="4">
      <w:start w:val="1"/>
      <w:numFmt w:val="lowerLetter"/>
      <w:lvlText w:val="%5)"/>
      <w:lvlJc w:val="left"/>
      <w:pPr>
        <w:tabs>
          <w:tab w:val="num" w:pos="2523"/>
        </w:tabs>
        <w:ind w:left="2523" w:hanging="363"/>
      </w:pPr>
    </w:lvl>
    <w:lvl w:ilvl="5">
      <w:start w:val="1"/>
      <w:numFmt w:val="lowerLetter"/>
      <w:lvlText w:val="%6)"/>
      <w:lvlJc w:val="left"/>
      <w:pPr>
        <w:tabs>
          <w:tab w:val="num" w:pos="2880"/>
        </w:tabs>
        <w:ind w:left="2880" w:hanging="357"/>
      </w:pPr>
    </w:lvl>
    <w:lvl w:ilvl="6">
      <w:start w:val="1"/>
      <w:numFmt w:val="lowerLetter"/>
      <w:lvlText w:val="%7)"/>
      <w:lvlJc w:val="left"/>
      <w:pPr>
        <w:tabs>
          <w:tab w:val="num" w:pos="3243"/>
        </w:tabs>
        <w:ind w:left="3243" w:hanging="363"/>
      </w:pPr>
    </w:lvl>
    <w:lvl w:ilvl="7">
      <w:start w:val="1"/>
      <w:numFmt w:val="lowerLetter"/>
      <w:lvlText w:val="%8)"/>
      <w:lvlJc w:val="left"/>
      <w:pPr>
        <w:tabs>
          <w:tab w:val="num" w:pos="3600"/>
        </w:tabs>
        <w:ind w:left="3600" w:hanging="357"/>
      </w:pPr>
    </w:lvl>
    <w:lvl w:ilvl="8">
      <w:start w:val="1"/>
      <w:numFmt w:val="lowerLetter"/>
      <w:lvlText w:val="%9)"/>
      <w:lvlJc w:val="left"/>
      <w:pPr>
        <w:tabs>
          <w:tab w:val="num" w:pos="3957"/>
        </w:tabs>
        <w:ind w:left="3957" w:hanging="357"/>
      </w:pPr>
    </w:lvl>
  </w:abstractNum>
  <w:abstractNum w:abstractNumId="7" w15:restartNumberingAfterBreak="0">
    <w:nsid w:val="13CF1C02"/>
    <w:multiLevelType w:val="multilevel"/>
    <w:tmpl w:val="EC448D7A"/>
    <w:lvl w:ilvl="0">
      <w:start w:val="1"/>
      <w:numFmt w:val="none"/>
      <w:lvlText w:val=""/>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941CB9"/>
    <w:multiLevelType w:val="multilevel"/>
    <w:tmpl w:val="408EFD72"/>
    <w:lvl w:ilvl="0">
      <w:start w:val="5"/>
      <w:numFmt w:val="decimal"/>
      <w:lvlText w:val="%1"/>
      <w:lvlJc w:val="left"/>
      <w:pPr>
        <w:ind w:left="712" w:hanging="570"/>
      </w:pPr>
      <w:rPr>
        <w:rFonts w:hint="default"/>
        <w:lang w:val="en-AU" w:eastAsia="en-AU" w:bidi="en-AU"/>
      </w:rPr>
    </w:lvl>
    <w:lvl w:ilvl="1">
      <w:start w:val="1"/>
      <w:numFmt w:val="decimal"/>
      <w:lvlText w:val="%1.%2"/>
      <w:lvlJc w:val="left"/>
      <w:pPr>
        <w:ind w:left="712" w:hanging="570"/>
      </w:pPr>
      <w:rPr>
        <w:rFonts w:ascii="Cambria" w:eastAsia="Cambria" w:hAnsi="Cambria" w:cs="Cambria" w:hint="default"/>
        <w:b/>
        <w:bCs/>
        <w:spacing w:val="-2"/>
        <w:w w:val="100"/>
        <w:sz w:val="22"/>
        <w:szCs w:val="22"/>
        <w:lang w:val="en-AU" w:eastAsia="en-AU" w:bidi="en-AU"/>
      </w:rPr>
    </w:lvl>
    <w:lvl w:ilvl="2">
      <w:numFmt w:val="bullet"/>
      <w:lvlText w:val=""/>
      <w:lvlJc w:val="left"/>
      <w:pPr>
        <w:ind w:left="513" w:hanging="228"/>
      </w:pPr>
      <w:rPr>
        <w:rFonts w:ascii="Symbol" w:eastAsia="Symbol" w:hAnsi="Symbol" w:cs="Symbol" w:hint="default"/>
        <w:w w:val="100"/>
        <w:sz w:val="22"/>
        <w:szCs w:val="22"/>
        <w:lang w:val="en-AU" w:eastAsia="en-AU" w:bidi="en-AU"/>
      </w:rPr>
    </w:lvl>
    <w:lvl w:ilvl="3">
      <w:numFmt w:val="bullet"/>
      <w:lvlText w:val="•"/>
      <w:lvlJc w:val="left"/>
      <w:pPr>
        <w:ind w:left="2725" w:hanging="228"/>
      </w:pPr>
      <w:rPr>
        <w:rFonts w:hint="default"/>
        <w:lang w:val="en-AU" w:eastAsia="en-AU" w:bidi="en-AU"/>
      </w:rPr>
    </w:lvl>
    <w:lvl w:ilvl="4">
      <w:numFmt w:val="bullet"/>
      <w:lvlText w:val="•"/>
      <w:lvlJc w:val="left"/>
      <w:pPr>
        <w:ind w:left="3728" w:hanging="228"/>
      </w:pPr>
      <w:rPr>
        <w:rFonts w:hint="default"/>
        <w:lang w:val="en-AU" w:eastAsia="en-AU" w:bidi="en-AU"/>
      </w:rPr>
    </w:lvl>
    <w:lvl w:ilvl="5">
      <w:numFmt w:val="bullet"/>
      <w:lvlText w:val="•"/>
      <w:lvlJc w:val="left"/>
      <w:pPr>
        <w:ind w:left="4731" w:hanging="228"/>
      </w:pPr>
      <w:rPr>
        <w:rFonts w:hint="default"/>
        <w:lang w:val="en-AU" w:eastAsia="en-AU" w:bidi="en-AU"/>
      </w:rPr>
    </w:lvl>
    <w:lvl w:ilvl="6">
      <w:numFmt w:val="bullet"/>
      <w:lvlText w:val="•"/>
      <w:lvlJc w:val="left"/>
      <w:pPr>
        <w:ind w:left="5734" w:hanging="228"/>
      </w:pPr>
      <w:rPr>
        <w:rFonts w:hint="default"/>
        <w:lang w:val="en-AU" w:eastAsia="en-AU" w:bidi="en-AU"/>
      </w:rPr>
    </w:lvl>
    <w:lvl w:ilvl="7">
      <w:numFmt w:val="bullet"/>
      <w:lvlText w:val="•"/>
      <w:lvlJc w:val="left"/>
      <w:pPr>
        <w:ind w:left="6737" w:hanging="228"/>
      </w:pPr>
      <w:rPr>
        <w:rFonts w:hint="default"/>
        <w:lang w:val="en-AU" w:eastAsia="en-AU" w:bidi="en-AU"/>
      </w:rPr>
    </w:lvl>
    <w:lvl w:ilvl="8">
      <w:numFmt w:val="bullet"/>
      <w:lvlText w:val="•"/>
      <w:lvlJc w:val="left"/>
      <w:pPr>
        <w:ind w:left="7740" w:hanging="228"/>
      </w:pPr>
      <w:rPr>
        <w:rFonts w:hint="default"/>
        <w:lang w:val="en-AU" w:eastAsia="en-AU" w:bidi="en-AU"/>
      </w:rPr>
    </w:lvl>
  </w:abstractNum>
  <w:abstractNum w:abstractNumId="9" w15:restartNumberingAfterBreak="0">
    <w:nsid w:val="1A777B51"/>
    <w:multiLevelType w:val="hybridMultilevel"/>
    <w:tmpl w:val="DB444814"/>
    <w:lvl w:ilvl="0" w:tplc="0A8C03C6">
      <w:start w:val="1"/>
      <w:numFmt w:val="bullet"/>
      <w:lvlText w:val=""/>
      <w:lvlJc w:val="left"/>
      <w:pPr>
        <w:tabs>
          <w:tab w:val="num" w:pos="720"/>
        </w:tabs>
        <w:ind w:left="720" w:hanging="360"/>
      </w:pPr>
      <w:rPr>
        <w:rFonts w:ascii="Symbol" w:hAnsi="Symbol" w:hint="default"/>
      </w:rPr>
    </w:lvl>
    <w:lvl w:ilvl="1" w:tplc="0BD68D80">
      <w:start w:val="1"/>
      <w:numFmt w:val="bullet"/>
      <w:lvlText w:val="o"/>
      <w:lvlJc w:val="left"/>
      <w:pPr>
        <w:tabs>
          <w:tab w:val="num" w:pos="1440"/>
        </w:tabs>
        <w:ind w:left="1440" w:hanging="360"/>
      </w:pPr>
      <w:rPr>
        <w:rFonts w:ascii="Courier New" w:hAnsi="Courier New" w:cs="Courier New" w:hint="default"/>
      </w:rPr>
    </w:lvl>
    <w:lvl w:ilvl="2" w:tplc="E4C29F04">
      <w:start w:val="1"/>
      <w:numFmt w:val="bullet"/>
      <w:lvlText w:val=""/>
      <w:lvlJc w:val="left"/>
      <w:pPr>
        <w:tabs>
          <w:tab w:val="num" w:pos="2160"/>
        </w:tabs>
        <w:ind w:left="2160" w:hanging="360"/>
      </w:pPr>
      <w:rPr>
        <w:rFonts w:ascii="Wingdings" w:hAnsi="Wingdings" w:hint="default"/>
      </w:rPr>
    </w:lvl>
    <w:lvl w:ilvl="3" w:tplc="C88ADD36">
      <w:start w:val="1"/>
      <w:numFmt w:val="bullet"/>
      <w:lvlText w:val=""/>
      <w:lvlJc w:val="left"/>
      <w:pPr>
        <w:tabs>
          <w:tab w:val="num" w:pos="2880"/>
        </w:tabs>
        <w:ind w:left="2880" w:hanging="360"/>
      </w:pPr>
      <w:rPr>
        <w:rFonts w:ascii="Symbol" w:hAnsi="Symbol" w:hint="default"/>
      </w:rPr>
    </w:lvl>
    <w:lvl w:ilvl="4" w:tplc="EFFAE2C2" w:tentative="1">
      <w:start w:val="1"/>
      <w:numFmt w:val="bullet"/>
      <w:lvlText w:val="o"/>
      <w:lvlJc w:val="left"/>
      <w:pPr>
        <w:tabs>
          <w:tab w:val="num" w:pos="3600"/>
        </w:tabs>
        <w:ind w:left="3600" w:hanging="360"/>
      </w:pPr>
      <w:rPr>
        <w:rFonts w:ascii="Courier New" w:hAnsi="Courier New" w:cs="Courier New" w:hint="default"/>
      </w:rPr>
    </w:lvl>
    <w:lvl w:ilvl="5" w:tplc="E0A24D02" w:tentative="1">
      <w:start w:val="1"/>
      <w:numFmt w:val="bullet"/>
      <w:lvlText w:val=""/>
      <w:lvlJc w:val="left"/>
      <w:pPr>
        <w:tabs>
          <w:tab w:val="num" w:pos="4320"/>
        </w:tabs>
        <w:ind w:left="4320" w:hanging="360"/>
      </w:pPr>
      <w:rPr>
        <w:rFonts w:ascii="Wingdings" w:hAnsi="Wingdings" w:hint="default"/>
      </w:rPr>
    </w:lvl>
    <w:lvl w:ilvl="6" w:tplc="C17A02A4" w:tentative="1">
      <w:start w:val="1"/>
      <w:numFmt w:val="bullet"/>
      <w:lvlText w:val=""/>
      <w:lvlJc w:val="left"/>
      <w:pPr>
        <w:tabs>
          <w:tab w:val="num" w:pos="5040"/>
        </w:tabs>
        <w:ind w:left="5040" w:hanging="360"/>
      </w:pPr>
      <w:rPr>
        <w:rFonts w:ascii="Symbol" w:hAnsi="Symbol" w:hint="default"/>
      </w:rPr>
    </w:lvl>
    <w:lvl w:ilvl="7" w:tplc="C07CC634" w:tentative="1">
      <w:start w:val="1"/>
      <w:numFmt w:val="bullet"/>
      <w:lvlText w:val="o"/>
      <w:lvlJc w:val="left"/>
      <w:pPr>
        <w:tabs>
          <w:tab w:val="num" w:pos="5760"/>
        </w:tabs>
        <w:ind w:left="5760" w:hanging="360"/>
      </w:pPr>
      <w:rPr>
        <w:rFonts w:ascii="Courier New" w:hAnsi="Courier New" w:cs="Courier New" w:hint="default"/>
      </w:rPr>
    </w:lvl>
    <w:lvl w:ilvl="8" w:tplc="578AAFB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C41614"/>
    <w:multiLevelType w:val="multilevel"/>
    <w:tmpl w:val="56767712"/>
    <w:lvl w:ilvl="0">
      <w:start w:val="1"/>
      <w:numFmt w:val="decimal"/>
      <w:lvlRestart w:val="0"/>
      <w:pStyle w:val="Heading1NoNumbering"/>
      <w:lvlText w:val="%1."/>
      <w:lvlJc w:val="left"/>
      <w:pPr>
        <w:tabs>
          <w:tab w:val="num" w:pos="720"/>
        </w:tabs>
        <w:ind w:left="720" w:hanging="357"/>
      </w:pPr>
      <w:rPr>
        <w:rFonts w:hint="default"/>
      </w:rPr>
    </w:lvl>
    <w:lvl w:ilvl="1">
      <w:start w:val="1"/>
      <w:numFmt w:val="decimal"/>
      <w:lvlText w:val="%2."/>
      <w:lvlJc w:val="left"/>
      <w:pPr>
        <w:tabs>
          <w:tab w:val="num" w:pos="1083"/>
        </w:tabs>
        <w:ind w:left="1083" w:hanging="363"/>
      </w:pPr>
      <w:rPr>
        <w:rFonts w:hint="default"/>
      </w:rPr>
    </w:lvl>
    <w:lvl w:ilvl="2">
      <w:start w:val="1"/>
      <w:numFmt w:val="decimal"/>
      <w:lvlText w:val="%3."/>
      <w:lvlJc w:val="left"/>
      <w:pPr>
        <w:tabs>
          <w:tab w:val="num" w:pos="1440"/>
        </w:tabs>
        <w:ind w:left="1440" w:hanging="357"/>
      </w:pPr>
      <w:rPr>
        <w:rFonts w:hint="default"/>
      </w:rPr>
    </w:lvl>
    <w:lvl w:ilvl="3">
      <w:start w:val="1"/>
      <w:numFmt w:val="decimal"/>
      <w:lvlText w:val="%4."/>
      <w:lvlJc w:val="left"/>
      <w:pPr>
        <w:tabs>
          <w:tab w:val="num" w:pos="1803"/>
        </w:tabs>
        <w:ind w:left="1803" w:hanging="363"/>
      </w:pPr>
      <w:rPr>
        <w:rFonts w:hint="default"/>
      </w:rPr>
    </w:lvl>
    <w:lvl w:ilvl="4">
      <w:start w:val="1"/>
      <w:numFmt w:val="decimal"/>
      <w:lvlText w:val="%5."/>
      <w:lvlJc w:val="left"/>
      <w:pPr>
        <w:tabs>
          <w:tab w:val="num" w:pos="2160"/>
        </w:tabs>
        <w:ind w:left="2160" w:hanging="357"/>
      </w:pPr>
      <w:rPr>
        <w:rFonts w:hint="default"/>
      </w:rPr>
    </w:lvl>
    <w:lvl w:ilvl="5">
      <w:start w:val="1"/>
      <w:numFmt w:val="decimal"/>
      <w:lvlText w:val="%6."/>
      <w:lvlJc w:val="left"/>
      <w:pPr>
        <w:tabs>
          <w:tab w:val="num" w:pos="2523"/>
        </w:tabs>
        <w:ind w:left="2523" w:hanging="363"/>
      </w:pPr>
      <w:rPr>
        <w:rFonts w:hint="default"/>
      </w:rPr>
    </w:lvl>
    <w:lvl w:ilvl="6">
      <w:start w:val="1"/>
      <w:numFmt w:val="decimal"/>
      <w:lvlText w:val="%7."/>
      <w:lvlJc w:val="left"/>
      <w:pPr>
        <w:tabs>
          <w:tab w:val="num" w:pos="2880"/>
        </w:tabs>
        <w:ind w:left="2880" w:hanging="357"/>
      </w:pPr>
      <w:rPr>
        <w:rFonts w:hint="default"/>
      </w:rPr>
    </w:lvl>
    <w:lvl w:ilvl="7">
      <w:start w:val="1"/>
      <w:numFmt w:val="decimal"/>
      <w:lvlText w:val="%8."/>
      <w:lvlJc w:val="left"/>
      <w:pPr>
        <w:tabs>
          <w:tab w:val="num" w:pos="3243"/>
        </w:tabs>
        <w:ind w:left="3243" w:hanging="363"/>
      </w:pPr>
      <w:rPr>
        <w:rFonts w:hint="default"/>
      </w:rPr>
    </w:lvl>
    <w:lvl w:ilvl="8">
      <w:start w:val="1"/>
      <w:numFmt w:val="decimal"/>
      <w:lvlText w:val="%9."/>
      <w:lvlJc w:val="left"/>
      <w:pPr>
        <w:tabs>
          <w:tab w:val="num" w:pos="3600"/>
        </w:tabs>
        <w:ind w:left="3600" w:hanging="357"/>
      </w:pPr>
      <w:rPr>
        <w:rFonts w:hint="default"/>
      </w:rPr>
    </w:lvl>
  </w:abstractNum>
  <w:abstractNum w:abstractNumId="11" w15:restartNumberingAfterBreak="0">
    <w:nsid w:val="20452A19"/>
    <w:multiLevelType w:val="hybridMultilevel"/>
    <w:tmpl w:val="25102594"/>
    <w:name w:val="LT_Heading2"/>
    <w:lvl w:ilvl="0" w:tplc="F5FA20AA">
      <w:start w:val="1"/>
      <w:numFmt w:val="bullet"/>
      <w:lvlText w:val=""/>
      <w:lvlJc w:val="left"/>
      <w:pPr>
        <w:ind w:left="720" w:hanging="360"/>
      </w:pPr>
      <w:rPr>
        <w:rFonts w:ascii="Symbol" w:hAnsi="Symbol" w:hint="default"/>
      </w:rPr>
    </w:lvl>
    <w:lvl w:ilvl="1" w:tplc="88EC5300" w:tentative="1">
      <w:start w:val="1"/>
      <w:numFmt w:val="bullet"/>
      <w:lvlText w:val="o"/>
      <w:lvlJc w:val="left"/>
      <w:pPr>
        <w:ind w:left="1440" w:hanging="360"/>
      </w:pPr>
      <w:rPr>
        <w:rFonts w:ascii="Courier New" w:hAnsi="Courier New" w:cs="Courier New" w:hint="default"/>
      </w:rPr>
    </w:lvl>
    <w:lvl w:ilvl="2" w:tplc="A872CF44" w:tentative="1">
      <w:start w:val="1"/>
      <w:numFmt w:val="bullet"/>
      <w:lvlText w:val=""/>
      <w:lvlJc w:val="left"/>
      <w:pPr>
        <w:ind w:left="2160" w:hanging="360"/>
      </w:pPr>
      <w:rPr>
        <w:rFonts w:ascii="Wingdings" w:hAnsi="Wingdings" w:hint="default"/>
      </w:rPr>
    </w:lvl>
    <w:lvl w:ilvl="3" w:tplc="ECAAD40A" w:tentative="1">
      <w:start w:val="1"/>
      <w:numFmt w:val="bullet"/>
      <w:lvlText w:val=""/>
      <w:lvlJc w:val="left"/>
      <w:pPr>
        <w:ind w:left="2880" w:hanging="360"/>
      </w:pPr>
      <w:rPr>
        <w:rFonts w:ascii="Symbol" w:hAnsi="Symbol" w:hint="default"/>
      </w:rPr>
    </w:lvl>
    <w:lvl w:ilvl="4" w:tplc="FBEE6414" w:tentative="1">
      <w:start w:val="1"/>
      <w:numFmt w:val="bullet"/>
      <w:lvlText w:val="o"/>
      <w:lvlJc w:val="left"/>
      <w:pPr>
        <w:ind w:left="3600" w:hanging="360"/>
      </w:pPr>
      <w:rPr>
        <w:rFonts w:ascii="Courier New" w:hAnsi="Courier New" w:cs="Courier New" w:hint="default"/>
      </w:rPr>
    </w:lvl>
    <w:lvl w:ilvl="5" w:tplc="F12EFB1A" w:tentative="1">
      <w:start w:val="1"/>
      <w:numFmt w:val="bullet"/>
      <w:lvlText w:val=""/>
      <w:lvlJc w:val="left"/>
      <w:pPr>
        <w:ind w:left="4320" w:hanging="360"/>
      </w:pPr>
      <w:rPr>
        <w:rFonts w:ascii="Wingdings" w:hAnsi="Wingdings" w:hint="default"/>
      </w:rPr>
    </w:lvl>
    <w:lvl w:ilvl="6" w:tplc="A7A265F6" w:tentative="1">
      <w:start w:val="1"/>
      <w:numFmt w:val="bullet"/>
      <w:lvlText w:val=""/>
      <w:lvlJc w:val="left"/>
      <w:pPr>
        <w:ind w:left="5040" w:hanging="360"/>
      </w:pPr>
      <w:rPr>
        <w:rFonts w:ascii="Symbol" w:hAnsi="Symbol" w:hint="default"/>
      </w:rPr>
    </w:lvl>
    <w:lvl w:ilvl="7" w:tplc="0FF69506" w:tentative="1">
      <w:start w:val="1"/>
      <w:numFmt w:val="bullet"/>
      <w:lvlText w:val="o"/>
      <w:lvlJc w:val="left"/>
      <w:pPr>
        <w:ind w:left="5760" w:hanging="360"/>
      </w:pPr>
      <w:rPr>
        <w:rFonts w:ascii="Courier New" w:hAnsi="Courier New" w:cs="Courier New" w:hint="default"/>
      </w:rPr>
    </w:lvl>
    <w:lvl w:ilvl="8" w:tplc="9304A254" w:tentative="1">
      <w:start w:val="1"/>
      <w:numFmt w:val="bullet"/>
      <w:lvlText w:val=""/>
      <w:lvlJc w:val="left"/>
      <w:pPr>
        <w:ind w:left="6480" w:hanging="360"/>
      </w:pPr>
      <w:rPr>
        <w:rFonts w:ascii="Wingdings" w:hAnsi="Wingdings" w:hint="default"/>
      </w:rPr>
    </w:lvl>
  </w:abstractNum>
  <w:abstractNum w:abstractNumId="12" w15:restartNumberingAfterBreak="0">
    <w:nsid w:val="24435439"/>
    <w:multiLevelType w:val="hybridMultilevel"/>
    <w:tmpl w:val="D23AB816"/>
    <w:lvl w:ilvl="0" w:tplc="040C0001">
      <w:start w:val="1"/>
      <w:numFmt w:val="bullet"/>
      <w:pStyle w:val="TblTextbulletedlis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F014EB"/>
    <w:multiLevelType w:val="hybridMultilevel"/>
    <w:tmpl w:val="7EACEB02"/>
    <w:lvl w:ilvl="0" w:tplc="71F082E0">
      <w:start w:val="1"/>
      <w:numFmt w:val="decimal"/>
      <w:lvlText w:val="%1."/>
      <w:lvlJc w:val="left"/>
      <w:pPr>
        <w:ind w:left="400" w:hanging="720"/>
      </w:pPr>
      <w:rPr>
        <w:rFonts w:ascii="Cambria" w:eastAsia="Cambria" w:hAnsi="Cambria" w:cs="Cambria" w:hint="default"/>
        <w:w w:val="100"/>
        <w:sz w:val="22"/>
        <w:szCs w:val="22"/>
        <w:lang w:val="en-AU" w:eastAsia="en-AU" w:bidi="en-AU"/>
      </w:rPr>
    </w:lvl>
    <w:lvl w:ilvl="1" w:tplc="62F49640">
      <w:numFmt w:val="bullet"/>
      <w:lvlText w:val="•"/>
      <w:lvlJc w:val="left"/>
      <w:pPr>
        <w:ind w:left="1426" w:hanging="720"/>
      </w:pPr>
      <w:rPr>
        <w:rFonts w:hint="default"/>
        <w:lang w:val="en-AU" w:eastAsia="en-AU" w:bidi="en-AU"/>
      </w:rPr>
    </w:lvl>
    <w:lvl w:ilvl="2" w:tplc="AE5A4C0E">
      <w:numFmt w:val="bullet"/>
      <w:lvlText w:val="•"/>
      <w:lvlJc w:val="left"/>
      <w:pPr>
        <w:ind w:left="2453" w:hanging="720"/>
      </w:pPr>
      <w:rPr>
        <w:rFonts w:hint="default"/>
        <w:lang w:val="en-AU" w:eastAsia="en-AU" w:bidi="en-AU"/>
      </w:rPr>
    </w:lvl>
    <w:lvl w:ilvl="3" w:tplc="0D20C0C6">
      <w:numFmt w:val="bullet"/>
      <w:lvlText w:val="•"/>
      <w:lvlJc w:val="left"/>
      <w:pPr>
        <w:ind w:left="3479" w:hanging="720"/>
      </w:pPr>
      <w:rPr>
        <w:rFonts w:hint="default"/>
        <w:lang w:val="en-AU" w:eastAsia="en-AU" w:bidi="en-AU"/>
      </w:rPr>
    </w:lvl>
    <w:lvl w:ilvl="4" w:tplc="0BC24C7E">
      <w:numFmt w:val="bullet"/>
      <w:lvlText w:val="•"/>
      <w:lvlJc w:val="left"/>
      <w:pPr>
        <w:ind w:left="4506" w:hanging="720"/>
      </w:pPr>
      <w:rPr>
        <w:rFonts w:hint="default"/>
        <w:lang w:val="en-AU" w:eastAsia="en-AU" w:bidi="en-AU"/>
      </w:rPr>
    </w:lvl>
    <w:lvl w:ilvl="5" w:tplc="FF40F7D6">
      <w:numFmt w:val="bullet"/>
      <w:lvlText w:val="•"/>
      <w:lvlJc w:val="left"/>
      <w:pPr>
        <w:ind w:left="5533" w:hanging="720"/>
      </w:pPr>
      <w:rPr>
        <w:rFonts w:hint="default"/>
        <w:lang w:val="en-AU" w:eastAsia="en-AU" w:bidi="en-AU"/>
      </w:rPr>
    </w:lvl>
    <w:lvl w:ilvl="6" w:tplc="6598CF60">
      <w:numFmt w:val="bullet"/>
      <w:lvlText w:val="•"/>
      <w:lvlJc w:val="left"/>
      <w:pPr>
        <w:ind w:left="6559" w:hanging="720"/>
      </w:pPr>
      <w:rPr>
        <w:rFonts w:hint="default"/>
        <w:lang w:val="en-AU" w:eastAsia="en-AU" w:bidi="en-AU"/>
      </w:rPr>
    </w:lvl>
    <w:lvl w:ilvl="7" w:tplc="1BAA9C52">
      <w:numFmt w:val="bullet"/>
      <w:lvlText w:val="•"/>
      <w:lvlJc w:val="left"/>
      <w:pPr>
        <w:ind w:left="7586" w:hanging="720"/>
      </w:pPr>
      <w:rPr>
        <w:rFonts w:hint="default"/>
        <w:lang w:val="en-AU" w:eastAsia="en-AU" w:bidi="en-AU"/>
      </w:rPr>
    </w:lvl>
    <w:lvl w:ilvl="8" w:tplc="5F826BD0">
      <w:numFmt w:val="bullet"/>
      <w:lvlText w:val="•"/>
      <w:lvlJc w:val="left"/>
      <w:pPr>
        <w:ind w:left="8613" w:hanging="720"/>
      </w:pPr>
      <w:rPr>
        <w:rFonts w:hint="default"/>
        <w:lang w:val="en-AU" w:eastAsia="en-AU" w:bidi="en-AU"/>
      </w:rPr>
    </w:lvl>
  </w:abstractNum>
  <w:abstractNum w:abstractNumId="14" w15:restartNumberingAfterBreak="0">
    <w:nsid w:val="2E4D086B"/>
    <w:multiLevelType w:val="multilevel"/>
    <w:tmpl w:val="98FEE14A"/>
    <w:lvl w:ilvl="0">
      <w:start w:val="1"/>
      <w:numFmt w:val="upperLetter"/>
      <w:lvlRestart w:val="0"/>
      <w:lvlText w:val="%1)"/>
      <w:lvlJc w:val="left"/>
      <w:pPr>
        <w:tabs>
          <w:tab w:val="num" w:pos="720"/>
        </w:tabs>
        <w:ind w:left="720" w:hanging="357"/>
      </w:pPr>
    </w:lvl>
    <w:lvl w:ilvl="1">
      <w:start w:val="1"/>
      <w:numFmt w:val="upperLetter"/>
      <w:lvlText w:val="%2)"/>
      <w:lvlJc w:val="left"/>
      <w:pPr>
        <w:tabs>
          <w:tab w:val="num" w:pos="1083"/>
        </w:tabs>
        <w:ind w:left="1083" w:hanging="363"/>
      </w:pPr>
    </w:lvl>
    <w:lvl w:ilvl="2">
      <w:start w:val="1"/>
      <w:numFmt w:val="upperLetter"/>
      <w:lvlText w:val="%3)"/>
      <w:lvlJc w:val="left"/>
      <w:pPr>
        <w:tabs>
          <w:tab w:val="num" w:pos="1440"/>
        </w:tabs>
        <w:ind w:left="1440" w:hanging="357"/>
      </w:pPr>
    </w:lvl>
    <w:lvl w:ilvl="3">
      <w:start w:val="1"/>
      <w:numFmt w:val="upperLetter"/>
      <w:lvlText w:val="%4)"/>
      <w:lvlJc w:val="left"/>
      <w:pPr>
        <w:tabs>
          <w:tab w:val="num" w:pos="1803"/>
        </w:tabs>
        <w:ind w:left="1803" w:hanging="363"/>
      </w:pPr>
    </w:lvl>
    <w:lvl w:ilvl="4">
      <w:start w:val="1"/>
      <w:numFmt w:val="upperLetter"/>
      <w:lvlText w:val="%5)"/>
      <w:lvlJc w:val="left"/>
      <w:pPr>
        <w:tabs>
          <w:tab w:val="num" w:pos="2160"/>
        </w:tabs>
        <w:ind w:left="2160" w:hanging="357"/>
      </w:pPr>
    </w:lvl>
    <w:lvl w:ilvl="5">
      <w:start w:val="1"/>
      <w:numFmt w:val="upperLetter"/>
      <w:lvlText w:val="%6)"/>
      <w:lvlJc w:val="left"/>
      <w:pPr>
        <w:tabs>
          <w:tab w:val="num" w:pos="2523"/>
        </w:tabs>
        <w:ind w:left="2523" w:hanging="363"/>
      </w:pPr>
    </w:lvl>
    <w:lvl w:ilvl="6">
      <w:start w:val="1"/>
      <w:numFmt w:val="upperLetter"/>
      <w:lvlText w:val="%7)"/>
      <w:lvlJc w:val="left"/>
      <w:pPr>
        <w:tabs>
          <w:tab w:val="num" w:pos="2880"/>
        </w:tabs>
        <w:ind w:left="2880" w:hanging="357"/>
      </w:pPr>
    </w:lvl>
    <w:lvl w:ilvl="7">
      <w:start w:val="1"/>
      <w:numFmt w:val="upperLetter"/>
      <w:lvlText w:val="%8)"/>
      <w:lvlJc w:val="left"/>
      <w:pPr>
        <w:tabs>
          <w:tab w:val="num" w:pos="3243"/>
        </w:tabs>
        <w:ind w:left="3243" w:hanging="363"/>
      </w:pPr>
    </w:lvl>
    <w:lvl w:ilvl="8">
      <w:start w:val="1"/>
      <w:numFmt w:val="upperLetter"/>
      <w:lvlText w:val="%8)"/>
      <w:lvlJc w:val="left"/>
      <w:pPr>
        <w:tabs>
          <w:tab w:val="num" w:pos="3600"/>
        </w:tabs>
        <w:ind w:left="3600" w:hanging="357"/>
      </w:pPr>
    </w:lvl>
  </w:abstractNum>
  <w:abstractNum w:abstractNumId="15" w15:restartNumberingAfterBreak="0">
    <w:nsid w:val="351057A5"/>
    <w:multiLevelType w:val="hybridMultilevel"/>
    <w:tmpl w:val="0952D56A"/>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6A76F60"/>
    <w:multiLevelType w:val="multilevel"/>
    <w:tmpl w:val="C71ABB6C"/>
    <w:lvl w:ilvl="0">
      <w:start w:val="1"/>
      <w:numFmt w:val="bullet"/>
      <w:lvlRestart w:val="0"/>
      <w:lvlText w:val="-"/>
      <w:lvlJc w:val="left"/>
      <w:pPr>
        <w:tabs>
          <w:tab w:val="num" w:pos="1083"/>
        </w:tabs>
        <w:ind w:left="1083" w:hanging="363"/>
      </w:pPr>
      <w:rPr>
        <w:rFonts w:ascii="Times New Roman" w:hAnsi="Times New Roman" w:cs="Times New Roman" w:hint="default"/>
      </w:rPr>
    </w:lvl>
    <w:lvl w:ilvl="1">
      <w:start w:val="1"/>
      <w:numFmt w:val="bullet"/>
      <w:lvlText w:val="-"/>
      <w:lvlJc w:val="left"/>
      <w:pPr>
        <w:tabs>
          <w:tab w:val="num" w:pos="1440"/>
        </w:tabs>
        <w:ind w:left="1440" w:hanging="357"/>
      </w:pPr>
      <w:rPr>
        <w:rFonts w:ascii="Times New Roman" w:hAnsi="Times New Roman" w:cs="Times New Roman" w:hint="default"/>
      </w:rPr>
    </w:lvl>
    <w:lvl w:ilvl="2">
      <w:start w:val="1"/>
      <w:numFmt w:val="bullet"/>
      <w:lvlText w:val="-"/>
      <w:lvlJc w:val="left"/>
      <w:pPr>
        <w:tabs>
          <w:tab w:val="num" w:pos="1803"/>
        </w:tabs>
        <w:ind w:left="1803" w:hanging="363"/>
      </w:pPr>
      <w:rPr>
        <w:rFonts w:ascii="Times New Roman" w:hAnsi="Times New Roman" w:cs="Times New Roman" w:hint="default"/>
      </w:rPr>
    </w:lvl>
    <w:lvl w:ilvl="3">
      <w:start w:val="1"/>
      <w:numFmt w:val="bullet"/>
      <w:lvlText w:val="-"/>
      <w:lvlJc w:val="left"/>
      <w:pPr>
        <w:tabs>
          <w:tab w:val="num" w:pos="2160"/>
        </w:tabs>
        <w:ind w:left="2160" w:hanging="357"/>
      </w:pPr>
      <w:rPr>
        <w:rFonts w:ascii="Times New Roman" w:hAnsi="Times New Roman" w:cs="Times New Roman" w:hint="default"/>
      </w:rPr>
    </w:lvl>
    <w:lvl w:ilvl="4">
      <w:start w:val="1"/>
      <w:numFmt w:val="bullet"/>
      <w:lvlText w:val="-"/>
      <w:lvlJc w:val="left"/>
      <w:pPr>
        <w:tabs>
          <w:tab w:val="num" w:pos="2523"/>
        </w:tabs>
        <w:ind w:left="2523" w:hanging="363"/>
      </w:pPr>
      <w:rPr>
        <w:rFonts w:ascii="Times New Roman" w:hAnsi="Times New Roman" w:cs="Times New Roman" w:hint="default"/>
      </w:rPr>
    </w:lvl>
    <w:lvl w:ilvl="5">
      <w:start w:val="1"/>
      <w:numFmt w:val="bullet"/>
      <w:lvlText w:val="-"/>
      <w:lvlJc w:val="left"/>
      <w:pPr>
        <w:tabs>
          <w:tab w:val="num" w:pos="2880"/>
        </w:tabs>
        <w:ind w:left="2880" w:hanging="357"/>
      </w:pPr>
      <w:rPr>
        <w:rFonts w:ascii="Times New Roman" w:hAnsi="Times New Roman" w:cs="Times New Roman" w:hint="default"/>
      </w:rPr>
    </w:lvl>
    <w:lvl w:ilvl="6">
      <w:start w:val="1"/>
      <w:numFmt w:val="bullet"/>
      <w:lvlText w:val="-"/>
      <w:lvlJc w:val="left"/>
      <w:pPr>
        <w:tabs>
          <w:tab w:val="num" w:pos="3243"/>
        </w:tabs>
        <w:ind w:left="3243" w:hanging="363"/>
      </w:pPr>
      <w:rPr>
        <w:rFonts w:ascii="Times New Roman" w:hAnsi="Times New Roman" w:cs="Times New Roman" w:hint="default"/>
      </w:rPr>
    </w:lvl>
    <w:lvl w:ilvl="7">
      <w:start w:val="1"/>
      <w:numFmt w:val="bullet"/>
      <w:lvlText w:val="-"/>
      <w:lvlJc w:val="left"/>
      <w:pPr>
        <w:tabs>
          <w:tab w:val="num" w:pos="3600"/>
        </w:tabs>
        <w:ind w:left="3600" w:hanging="357"/>
      </w:pPr>
      <w:rPr>
        <w:rFonts w:ascii="Times New Roman" w:hAnsi="Times New Roman" w:cs="Times New Roman" w:hint="default"/>
      </w:rPr>
    </w:lvl>
    <w:lvl w:ilvl="8">
      <w:start w:val="1"/>
      <w:numFmt w:val="bullet"/>
      <w:lvlText w:val="-"/>
      <w:lvlJc w:val="left"/>
      <w:pPr>
        <w:tabs>
          <w:tab w:val="num" w:pos="3957"/>
        </w:tabs>
        <w:ind w:left="3957" w:hanging="357"/>
      </w:pPr>
      <w:rPr>
        <w:rFonts w:ascii="Times New Roman" w:hAnsi="Times New Roman" w:cs="Times New Roman" w:hint="default"/>
      </w:rPr>
    </w:lvl>
  </w:abstractNum>
  <w:abstractNum w:abstractNumId="17" w15:restartNumberingAfterBreak="0">
    <w:nsid w:val="398B4D5B"/>
    <w:multiLevelType w:val="hybridMultilevel"/>
    <w:tmpl w:val="AC0E0E38"/>
    <w:lvl w:ilvl="0" w:tplc="38F0A65A">
      <w:start w:val="1"/>
      <w:numFmt w:val="bullet"/>
      <w:lvlText w:val=""/>
      <w:lvlJc w:val="left"/>
      <w:pPr>
        <w:tabs>
          <w:tab w:val="num" w:pos="720"/>
        </w:tabs>
        <w:ind w:left="720" w:hanging="360"/>
      </w:pPr>
      <w:rPr>
        <w:rFonts w:ascii="Symbol" w:hAnsi="Symbol" w:hint="default"/>
      </w:rPr>
    </w:lvl>
    <w:lvl w:ilvl="1" w:tplc="435A52F0" w:tentative="1">
      <w:start w:val="1"/>
      <w:numFmt w:val="bullet"/>
      <w:lvlText w:val="o"/>
      <w:lvlJc w:val="left"/>
      <w:pPr>
        <w:tabs>
          <w:tab w:val="num" w:pos="1440"/>
        </w:tabs>
        <w:ind w:left="1440" w:hanging="360"/>
      </w:pPr>
      <w:rPr>
        <w:rFonts w:ascii="Courier New" w:hAnsi="Courier New" w:cs="Courier New" w:hint="default"/>
      </w:rPr>
    </w:lvl>
    <w:lvl w:ilvl="2" w:tplc="4AC85AE6" w:tentative="1">
      <w:start w:val="1"/>
      <w:numFmt w:val="bullet"/>
      <w:lvlText w:val=""/>
      <w:lvlJc w:val="left"/>
      <w:pPr>
        <w:tabs>
          <w:tab w:val="num" w:pos="2160"/>
        </w:tabs>
        <w:ind w:left="2160" w:hanging="360"/>
      </w:pPr>
      <w:rPr>
        <w:rFonts w:ascii="Wingdings" w:hAnsi="Wingdings" w:hint="default"/>
      </w:rPr>
    </w:lvl>
    <w:lvl w:ilvl="3" w:tplc="A17A5674" w:tentative="1">
      <w:start w:val="1"/>
      <w:numFmt w:val="bullet"/>
      <w:lvlText w:val=""/>
      <w:lvlJc w:val="left"/>
      <w:pPr>
        <w:tabs>
          <w:tab w:val="num" w:pos="2880"/>
        </w:tabs>
        <w:ind w:left="2880" w:hanging="360"/>
      </w:pPr>
      <w:rPr>
        <w:rFonts w:ascii="Symbol" w:hAnsi="Symbol" w:hint="default"/>
      </w:rPr>
    </w:lvl>
    <w:lvl w:ilvl="4" w:tplc="F73074F2" w:tentative="1">
      <w:start w:val="1"/>
      <w:numFmt w:val="bullet"/>
      <w:lvlText w:val="o"/>
      <w:lvlJc w:val="left"/>
      <w:pPr>
        <w:tabs>
          <w:tab w:val="num" w:pos="3600"/>
        </w:tabs>
        <w:ind w:left="3600" w:hanging="360"/>
      </w:pPr>
      <w:rPr>
        <w:rFonts w:ascii="Courier New" w:hAnsi="Courier New" w:cs="Courier New" w:hint="default"/>
      </w:rPr>
    </w:lvl>
    <w:lvl w:ilvl="5" w:tplc="067C2FF4" w:tentative="1">
      <w:start w:val="1"/>
      <w:numFmt w:val="bullet"/>
      <w:lvlText w:val=""/>
      <w:lvlJc w:val="left"/>
      <w:pPr>
        <w:tabs>
          <w:tab w:val="num" w:pos="4320"/>
        </w:tabs>
        <w:ind w:left="4320" w:hanging="360"/>
      </w:pPr>
      <w:rPr>
        <w:rFonts w:ascii="Wingdings" w:hAnsi="Wingdings" w:hint="default"/>
      </w:rPr>
    </w:lvl>
    <w:lvl w:ilvl="6" w:tplc="2FB69E50" w:tentative="1">
      <w:start w:val="1"/>
      <w:numFmt w:val="bullet"/>
      <w:lvlText w:val=""/>
      <w:lvlJc w:val="left"/>
      <w:pPr>
        <w:tabs>
          <w:tab w:val="num" w:pos="5040"/>
        </w:tabs>
        <w:ind w:left="5040" w:hanging="360"/>
      </w:pPr>
      <w:rPr>
        <w:rFonts w:ascii="Symbol" w:hAnsi="Symbol" w:hint="default"/>
      </w:rPr>
    </w:lvl>
    <w:lvl w:ilvl="7" w:tplc="E6B2BD26" w:tentative="1">
      <w:start w:val="1"/>
      <w:numFmt w:val="bullet"/>
      <w:lvlText w:val="o"/>
      <w:lvlJc w:val="left"/>
      <w:pPr>
        <w:tabs>
          <w:tab w:val="num" w:pos="5760"/>
        </w:tabs>
        <w:ind w:left="5760" w:hanging="360"/>
      </w:pPr>
      <w:rPr>
        <w:rFonts w:ascii="Courier New" w:hAnsi="Courier New" w:cs="Courier New" w:hint="default"/>
      </w:rPr>
    </w:lvl>
    <w:lvl w:ilvl="8" w:tplc="035E883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077D09"/>
    <w:multiLevelType w:val="hybridMultilevel"/>
    <w:tmpl w:val="404C08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7507084"/>
    <w:multiLevelType w:val="hybridMultilevel"/>
    <w:tmpl w:val="B916056E"/>
    <w:lvl w:ilvl="0" w:tplc="04070001">
      <w:start w:val="1"/>
      <w:numFmt w:val="bullet"/>
      <w:pStyle w:val="ListNumbered"/>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225032"/>
    <w:multiLevelType w:val="hybridMultilevel"/>
    <w:tmpl w:val="87D8CF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331808"/>
    <w:multiLevelType w:val="multilevel"/>
    <w:tmpl w:val="F1BEA42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25B1A7F"/>
    <w:multiLevelType w:val="hybridMultilevel"/>
    <w:tmpl w:val="A33494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76F49FC"/>
    <w:multiLevelType w:val="hybridMultilevel"/>
    <w:tmpl w:val="76C6F65E"/>
    <w:lvl w:ilvl="0" w:tplc="B6D458F6">
      <w:start w:val="1"/>
      <w:numFmt w:val="bullet"/>
      <w:lvlText w:val=""/>
      <w:lvlJc w:val="left"/>
      <w:pPr>
        <w:ind w:left="720" w:hanging="360"/>
      </w:pPr>
      <w:rPr>
        <w:rFonts w:ascii="Symbol" w:hAnsi="Symbol" w:hint="default"/>
      </w:rPr>
    </w:lvl>
    <w:lvl w:ilvl="1" w:tplc="2B861E2E" w:tentative="1">
      <w:start w:val="1"/>
      <w:numFmt w:val="bullet"/>
      <w:lvlText w:val="o"/>
      <w:lvlJc w:val="left"/>
      <w:pPr>
        <w:ind w:left="1440" w:hanging="360"/>
      </w:pPr>
      <w:rPr>
        <w:rFonts w:ascii="Courier New" w:hAnsi="Courier New" w:cs="Courier New" w:hint="default"/>
      </w:rPr>
    </w:lvl>
    <w:lvl w:ilvl="2" w:tplc="217048C2" w:tentative="1">
      <w:start w:val="1"/>
      <w:numFmt w:val="bullet"/>
      <w:lvlText w:val=""/>
      <w:lvlJc w:val="left"/>
      <w:pPr>
        <w:ind w:left="2160" w:hanging="360"/>
      </w:pPr>
      <w:rPr>
        <w:rFonts w:ascii="Wingdings" w:hAnsi="Wingdings" w:hint="default"/>
      </w:rPr>
    </w:lvl>
    <w:lvl w:ilvl="3" w:tplc="A084768C" w:tentative="1">
      <w:start w:val="1"/>
      <w:numFmt w:val="bullet"/>
      <w:lvlText w:val=""/>
      <w:lvlJc w:val="left"/>
      <w:pPr>
        <w:ind w:left="2880" w:hanging="360"/>
      </w:pPr>
      <w:rPr>
        <w:rFonts w:ascii="Symbol" w:hAnsi="Symbol" w:hint="default"/>
      </w:rPr>
    </w:lvl>
    <w:lvl w:ilvl="4" w:tplc="68529E7A" w:tentative="1">
      <w:start w:val="1"/>
      <w:numFmt w:val="bullet"/>
      <w:lvlText w:val="o"/>
      <w:lvlJc w:val="left"/>
      <w:pPr>
        <w:ind w:left="3600" w:hanging="360"/>
      </w:pPr>
      <w:rPr>
        <w:rFonts w:ascii="Courier New" w:hAnsi="Courier New" w:cs="Courier New" w:hint="default"/>
      </w:rPr>
    </w:lvl>
    <w:lvl w:ilvl="5" w:tplc="1C7898D6" w:tentative="1">
      <w:start w:val="1"/>
      <w:numFmt w:val="bullet"/>
      <w:lvlText w:val=""/>
      <w:lvlJc w:val="left"/>
      <w:pPr>
        <w:ind w:left="4320" w:hanging="360"/>
      </w:pPr>
      <w:rPr>
        <w:rFonts w:ascii="Wingdings" w:hAnsi="Wingdings" w:hint="default"/>
      </w:rPr>
    </w:lvl>
    <w:lvl w:ilvl="6" w:tplc="B8C4B418" w:tentative="1">
      <w:start w:val="1"/>
      <w:numFmt w:val="bullet"/>
      <w:lvlText w:val=""/>
      <w:lvlJc w:val="left"/>
      <w:pPr>
        <w:ind w:left="5040" w:hanging="360"/>
      </w:pPr>
      <w:rPr>
        <w:rFonts w:ascii="Symbol" w:hAnsi="Symbol" w:hint="default"/>
      </w:rPr>
    </w:lvl>
    <w:lvl w:ilvl="7" w:tplc="79483B02" w:tentative="1">
      <w:start w:val="1"/>
      <w:numFmt w:val="bullet"/>
      <w:lvlText w:val="o"/>
      <w:lvlJc w:val="left"/>
      <w:pPr>
        <w:ind w:left="5760" w:hanging="360"/>
      </w:pPr>
      <w:rPr>
        <w:rFonts w:ascii="Courier New" w:hAnsi="Courier New" w:cs="Courier New" w:hint="default"/>
      </w:rPr>
    </w:lvl>
    <w:lvl w:ilvl="8" w:tplc="1B68DD56" w:tentative="1">
      <w:start w:val="1"/>
      <w:numFmt w:val="bullet"/>
      <w:lvlText w:val=""/>
      <w:lvlJc w:val="left"/>
      <w:pPr>
        <w:ind w:left="6480" w:hanging="360"/>
      </w:pPr>
      <w:rPr>
        <w:rFonts w:ascii="Wingdings" w:hAnsi="Wingdings" w:hint="default"/>
      </w:rPr>
    </w:lvl>
  </w:abstractNum>
  <w:abstractNum w:abstractNumId="25" w15:restartNumberingAfterBreak="0">
    <w:nsid w:val="67FE48D7"/>
    <w:multiLevelType w:val="multilevel"/>
    <w:tmpl w:val="6AEC6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9A63BD"/>
    <w:multiLevelType w:val="hybridMultilevel"/>
    <w:tmpl w:val="1326ED9A"/>
    <w:lvl w:ilvl="0" w:tplc="21FC0356">
      <w:start w:val="1"/>
      <w:numFmt w:val="bullet"/>
      <w:lvlText w:val=""/>
      <w:lvlJc w:val="left"/>
      <w:pPr>
        <w:tabs>
          <w:tab w:val="num" w:pos="720"/>
        </w:tabs>
        <w:ind w:left="720" w:hanging="360"/>
      </w:pPr>
      <w:rPr>
        <w:rFonts w:ascii="Symbol" w:hAnsi="Symbol" w:hint="default"/>
      </w:rPr>
    </w:lvl>
    <w:lvl w:ilvl="1" w:tplc="4B5ED714" w:tentative="1">
      <w:start w:val="1"/>
      <w:numFmt w:val="bullet"/>
      <w:lvlText w:val="o"/>
      <w:lvlJc w:val="left"/>
      <w:pPr>
        <w:tabs>
          <w:tab w:val="num" w:pos="1440"/>
        </w:tabs>
        <w:ind w:left="1440" w:hanging="360"/>
      </w:pPr>
      <w:rPr>
        <w:rFonts w:ascii="Courier New" w:hAnsi="Courier New" w:hint="default"/>
      </w:rPr>
    </w:lvl>
    <w:lvl w:ilvl="2" w:tplc="B52E5C42" w:tentative="1">
      <w:start w:val="1"/>
      <w:numFmt w:val="bullet"/>
      <w:lvlText w:val=""/>
      <w:lvlJc w:val="left"/>
      <w:pPr>
        <w:tabs>
          <w:tab w:val="num" w:pos="2160"/>
        </w:tabs>
        <w:ind w:left="2160" w:hanging="360"/>
      </w:pPr>
      <w:rPr>
        <w:rFonts w:ascii="Wingdings" w:hAnsi="Wingdings" w:hint="default"/>
      </w:rPr>
    </w:lvl>
    <w:lvl w:ilvl="3" w:tplc="AAE81816" w:tentative="1">
      <w:start w:val="1"/>
      <w:numFmt w:val="bullet"/>
      <w:lvlText w:val=""/>
      <w:lvlJc w:val="left"/>
      <w:pPr>
        <w:tabs>
          <w:tab w:val="num" w:pos="2880"/>
        </w:tabs>
        <w:ind w:left="2880" w:hanging="360"/>
      </w:pPr>
      <w:rPr>
        <w:rFonts w:ascii="Symbol" w:hAnsi="Symbol" w:hint="default"/>
      </w:rPr>
    </w:lvl>
    <w:lvl w:ilvl="4" w:tplc="53A41B44" w:tentative="1">
      <w:start w:val="1"/>
      <w:numFmt w:val="bullet"/>
      <w:lvlText w:val="o"/>
      <w:lvlJc w:val="left"/>
      <w:pPr>
        <w:tabs>
          <w:tab w:val="num" w:pos="3600"/>
        </w:tabs>
        <w:ind w:left="3600" w:hanging="360"/>
      </w:pPr>
      <w:rPr>
        <w:rFonts w:ascii="Courier New" w:hAnsi="Courier New" w:hint="default"/>
      </w:rPr>
    </w:lvl>
    <w:lvl w:ilvl="5" w:tplc="5E160C4C" w:tentative="1">
      <w:start w:val="1"/>
      <w:numFmt w:val="bullet"/>
      <w:lvlText w:val=""/>
      <w:lvlJc w:val="left"/>
      <w:pPr>
        <w:tabs>
          <w:tab w:val="num" w:pos="4320"/>
        </w:tabs>
        <w:ind w:left="4320" w:hanging="360"/>
      </w:pPr>
      <w:rPr>
        <w:rFonts w:ascii="Wingdings" w:hAnsi="Wingdings" w:hint="default"/>
      </w:rPr>
    </w:lvl>
    <w:lvl w:ilvl="6" w:tplc="2F6467E6" w:tentative="1">
      <w:start w:val="1"/>
      <w:numFmt w:val="bullet"/>
      <w:lvlText w:val=""/>
      <w:lvlJc w:val="left"/>
      <w:pPr>
        <w:tabs>
          <w:tab w:val="num" w:pos="5040"/>
        </w:tabs>
        <w:ind w:left="5040" w:hanging="360"/>
      </w:pPr>
      <w:rPr>
        <w:rFonts w:ascii="Symbol" w:hAnsi="Symbol" w:hint="default"/>
      </w:rPr>
    </w:lvl>
    <w:lvl w:ilvl="7" w:tplc="73DE8C22" w:tentative="1">
      <w:start w:val="1"/>
      <w:numFmt w:val="bullet"/>
      <w:lvlText w:val="o"/>
      <w:lvlJc w:val="left"/>
      <w:pPr>
        <w:tabs>
          <w:tab w:val="num" w:pos="5760"/>
        </w:tabs>
        <w:ind w:left="5760" w:hanging="360"/>
      </w:pPr>
      <w:rPr>
        <w:rFonts w:ascii="Courier New" w:hAnsi="Courier New" w:hint="default"/>
      </w:rPr>
    </w:lvl>
    <w:lvl w:ilvl="8" w:tplc="7C7AC90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667922"/>
    <w:multiLevelType w:val="multilevel"/>
    <w:tmpl w:val="AA306ADA"/>
    <w:name w:val="List_Bulleted_level_12"/>
    <w:lvl w:ilvl="0">
      <w:start w:val="1"/>
      <w:numFmt w:val="bullet"/>
      <w:lvlText w:val=""/>
      <w:lvlJc w:val="left"/>
      <w:pPr>
        <w:tabs>
          <w:tab w:val="num" w:pos="720"/>
        </w:tabs>
        <w:ind w:left="720" w:hanging="357"/>
      </w:pPr>
      <w:rPr>
        <w:rFonts w:ascii="Symbol" w:hAnsi="Symbol" w:hint="default"/>
        <w:sz w:val="24"/>
      </w:rPr>
    </w:lvl>
    <w:lvl w:ilvl="1">
      <w:start w:val="1"/>
      <w:numFmt w:val="bullet"/>
      <w:lvlText w:val=""/>
      <w:lvlJc w:val="left"/>
      <w:pPr>
        <w:tabs>
          <w:tab w:val="num" w:pos="1083"/>
        </w:tabs>
        <w:ind w:left="1083" w:hanging="363"/>
      </w:pPr>
      <w:rPr>
        <w:rFonts w:ascii="Symbol" w:hAnsi="Symbol" w:hint="default"/>
      </w:rPr>
    </w:lvl>
    <w:lvl w:ilvl="2">
      <w:start w:val="1"/>
      <w:numFmt w:val="bullet"/>
      <w:lvlText w:val=""/>
      <w:lvlJc w:val="left"/>
      <w:pPr>
        <w:tabs>
          <w:tab w:val="num" w:pos="1440"/>
        </w:tabs>
        <w:ind w:left="1440" w:hanging="357"/>
      </w:pPr>
      <w:rPr>
        <w:rFonts w:ascii="Symbol" w:hAnsi="Symbol" w:hint="default"/>
      </w:rPr>
    </w:lvl>
    <w:lvl w:ilvl="3">
      <w:start w:val="1"/>
      <w:numFmt w:val="bullet"/>
      <w:lvlText w:val=""/>
      <w:lvlJc w:val="left"/>
      <w:pPr>
        <w:tabs>
          <w:tab w:val="num" w:pos="1803"/>
        </w:tabs>
        <w:ind w:left="1803" w:hanging="363"/>
      </w:pPr>
      <w:rPr>
        <w:rFonts w:ascii="Symbol" w:hAnsi="Symbol" w:hint="default"/>
      </w:rPr>
    </w:lvl>
    <w:lvl w:ilvl="4">
      <w:start w:val="1"/>
      <w:numFmt w:val="bullet"/>
      <w:lvlText w:val=""/>
      <w:lvlJc w:val="left"/>
      <w:pPr>
        <w:tabs>
          <w:tab w:val="num" w:pos="2160"/>
        </w:tabs>
        <w:ind w:left="2160" w:hanging="357"/>
      </w:pPr>
      <w:rPr>
        <w:rFonts w:ascii="Symbol" w:hAnsi="Symbol" w:hint="default"/>
      </w:rPr>
    </w:lvl>
    <w:lvl w:ilvl="5">
      <w:start w:val="1"/>
      <w:numFmt w:val="bullet"/>
      <w:lvlText w:val=""/>
      <w:lvlJc w:val="left"/>
      <w:pPr>
        <w:tabs>
          <w:tab w:val="num" w:pos="2523"/>
        </w:tabs>
        <w:ind w:left="2523" w:hanging="363"/>
      </w:pPr>
      <w:rPr>
        <w:rFonts w:ascii="Symbol" w:hAnsi="Symbol" w:hint="default"/>
      </w:rPr>
    </w:lvl>
    <w:lvl w:ilvl="6">
      <w:start w:val="1"/>
      <w:numFmt w:val="bullet"/>
      <w:lvlText w:val=""/>
      <w:lvlJc w:val="left"/>
      <w:pPr>
        <w:tabs>
          <w:tab w:val="num" w:pos="2880"/>
        </w:tabs>
        <w:ind w:left="2880" w:hanging="357"/>
      </w:pPr>
      <w:rPr>
        <w:rFonts w:ascii="Symbol" w:hAnsi="Symbol" w:hint="default"/>
      </w:rPr>
    </w:lvl>
    <w:lvl w:ilvl="7">
      <w:start w:val="1"/>
      <w:numFmt w:val="bullet"/>
      <w:lvlText w:val=""/>
      <w:lvlJc w:val="left"/>
      <w:pPr>
        <w:tabs>
          <w:tab w:val="num" w:pos="3243"/>
        </w:tabs>
        <w:ind w:left="3243" w:hanging="363"/>
      </w:pPr>
      <w:rPr>
        <w:rFonts w:ascii="Symbol" w:hAnsi="Symbol" w:hint="default"/>
      </w:rPr>
    </w:lvl>
    <w:lvl w:ilvl="8">
      <w:start w:val="1"/>
      <w:numFmt w:val="bullet"/>
      <w:lvlText w:val=""/>
      <w:lvlJc w:val="left"/>
      <w:pPr>
        <w:tabs>
          <w:tab w:val="num" w:pos="3600"/>
        </w:tabs>
        <w:ind w:left="3600" w:hanging="357"/>
      </w:pPr>
      <w:rPr>
        <w:rFonts w:ascii="Symbol" w:hAnsi="Symbol" w:hint="default"/>
      </w:rPr>
    </w:lvl>
  </w:abstractNum>
  <w:abstractNum w:abstractNumId="28" w15:restartNumberingAfterBreak="0">
    <w:nsid w:val="70332797"/>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043130E"/>
    <w:multiLevelType w:val="hybridMultilevel"/>
    <w:tmpl w:val="4F30402C"/>
    <w:lvl w:ilvl="0" w:tplc="5FF48554">
      <w:start w:val="1"/>
      <w:numFmt w:val="decimal"/>
      <w:lvlText w:val="%1."/>
      <w:lvlJc w:val="left"/>
      <w:pPr>
        <w:ind w:left="878" w:hanging="360"/>
      </w:pPr>
      <w:rPr>
        <w:rFonts w:ascii="Cambria" w:eastAsia="Cambria" w:hAnsi="Cambria" w:cs="Cambria" w:hint="default"/>
        <w:w w:val="100"/>
        <w:sz w:val="22"/>
        <w:szCs w:val="22"/>
        <w:lang w:val="en-AU" w:eastAsia="en-AU" w:bidi="en-AU"/>
      </w:rPr>
    </w:lvl>
    <w:lvl w:ilvl="1" w:tplc="5C547E7C">
      <w:numFmt w:val="bullet"/>
      <w:lvlText w:val="•"/>
      <w:lvlJc w:val="left"/>
      <w:pPr>
        <w:ind w:left="1738" w:hanging="360"/>
      </w:pPr>
      <w:rPr>
        <w:rFonts w:hint="default"/>
        <w:lang w:val="en-AU" w:eastAsia="en-AU" w:bidi="en-AU"/>
      </w:rPr>
    </w:lvl>
    <w:lvl w:ilvl="2" w:tplc="0270C178">
      <w:numFmt w:val="bullet"/>
      <w:lvlText w:val="•"/>
      <w:lvlJc w:val="left"/>
      <w:pPr>
        <w:ind w:left="2597" w:hanging="360"/>
      </w:pPr>
      <w:rPr>
        <w:rFonts w:hint="default"/>
        <w:lang w:val="en-AU" w:eastAsia="en-AU" w:bidi="en-AU"/>
      </w:rPr>
    </w:lvl>
    <w:lvl w:ilvl="3" w:tplc="C27ECF68">
      <w:numFmt w:val="bullet"/>
      <w:lvlText w:val="•"/>
      <w:lvlJc w:val="left"/>
      <w:pPr>
        <w:ind w:left="3455" w:hanging="360"/>
      </w:pPr>
      <w:rPr>
        <w:rFonts w:hint="default"/>
        <w:lang w:val="en-AU" w:eastAsia="en-AU" w:bidi="en-AU"/>
      </w:rPr>
    </w:lvl>
    <w:lvl w:ilvl="4" w:tplc="5108155A">
      <w:numFmt w:val="bullet"/>
      <w:lvlText w:val="•"/>
      <w:lvlJc w:val="left"/>
      <w:pPr>
        <w:ind w:left="4314" w:hanging="360"/>
      </w:pPr>
      <w:rPr>
        <w:rFonts w:hint="default"/>
        <w:lang w:val="en-AU" w:eastAsia="en-AU" w:bidi="en-AU"/>
      </w:rPr>
    </w:lvl>
    <w:lvl w:ilvl="5" w:tplc="9E5E1728">
      <w:numFmt w:val="bullet"/>
      <w:lvlText w:val="•"/>
      <w:lvlJc w:val="left"/>
      <w:pPr>
        <w:ind w:left="5173" w:hanging="360"/>
      </w:pPr>
      <w:rPr>
        <w:rFonts w:hint="default"/>
        <w:lang w:val="en-AU" w:eastAsia="en-AU" w:bidi="en-AU"/>
      </w:rPr>
    </w:lvl>
    <w:lvl w:ilvl="6" w:tplc="96BC2CEC">
      <w:numFmt w:val="bullet"/>
      <w:lvlText w:val="•"/>
      <w:lvlJc w:val="left"/>
      <w:pPr>
        <w:ind w:left="6031" w:hanging="360"/>
      </w:pPr>
      <w:rPr>
        <w:rFonts w:hint="default"/>
        <w:lang w:val="en-AU" w:eastAsia="en-AU" w:bidi="en-AU"/>
      </w:rPr>
    </w:lvl>
    <w:lvl w:ilvl="7" w:tplc="E3306D82">
      <w:numFmt w:val="bullet"/>
      <w:lvlText w:val="•"/>
      <w:lvlJc w:val="left"/>
      <w:pPr>
        <w:ind w:left="6890" w:hanging="360"/>
      </w:pPr>
      <w:rPr>
        <w:rFonts w:hint="default"/>
        <w:lang w:val="en-AU" w:eastAsia="en-AU" w:bidi="en-AU"/>
      </w:rPr>
    </w:lvl>
    <w:lvl w:ilvl="8" w:tplc="7A7A0F00">
      <w:numFmt w:val="bullet"/>
      <w:lvlText w:val="•"/>
      <w:lvlJc w:val="left"/>
      <w:pPr>
        <w:ind w:left="7749" w:hanging="360"/>
      </w:pPr>
      <w:rPr>
        <w:rFonts w:hint="default"/>
        <w:lang w:val="en-AU" w:eastAsia="en-AU" w:bidi="en-AU"/>
      </w:rPr>
    </w:lvl>
  </w:abstractNum>
  <w:abstractNum w:abstractNumId="30" w15:restartNumberingAfterBreak="0">
    <w:nsid w:val="71192A58"/>
    <w:multiLevelType w:val="multilevel"/>
    <w:tmpl w:val="6EAC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CE414F"/>
    <w:multiLevelType w:val="hybridMultilevel"/>
    <w:tmpl w:val="99F61858"/>
    <w:lvl w:ilvl="0" w:tplc="D3A890CA">
      <w:start w:val="1"/>
      <w:numFmt w:val="bullet"/>
      <w:lvlText w:val=""/>
      <w:lvlJc w:val="left"/>
      <w:pPr>
        <w:tabs>
          <w:tab w:val="num" w:pos="360"/>
        </w:tabs>
        <w:ind w:left="360" w:hanging="360"/>
      </w:pPr>
      <w:rPr>
        <w:rFonts w:ascii="Symbol" w:hAnsi="Symbol" w:hint="default"/>
      </w:rPr>
    </w:lvl>
    <w:lvl w:ilvl="1" w:tplc="1B62E944" w:tentative="1">
      <w:start w:val="1"/>
      <w:numFmt w:val="bullet"/>
      <w:lvlText w:val="o"/>
      <w:lvlJc w:val="left"/>
      <w:pPr>
        <w:tabs>
          <w:tab w:val="num" w:pos="1080"/>
        </w:tabs>
        <w:ind w:left="1080" w:hanging="360"/>
      </w:pPr>
      <w:rPr>
        <w:rFonts w:ascii="Courier New" w:hAnsi="Courier New" w:cs="Courier New" w:hint="default"/>
      </w:rPr>
    </w:lvl>
    <w:lvl w:ilvl="2" w:tplc="52DE62E0" w:tentative="1">
      <w:start w:val="1"/>
      <w:numFmt w:val="bullet"/>
      <w:lvlText w:val=""/>
      <w:lvlJc w:val="left"/>
      <w:pPr>
        <w:tabs>
          <w:tab w:val="num" w:pos="1800"/>
        </w:tabs>
        <w:ind w:left="1800" w:hanging="360"/>
      </w:pPr>
      <w:rPr>
        <w:rFonts w:ascii="Wingdings" w:hAnsi="Wingdings" w:hint="default"/>
      </w:rPr>
    </w:lvl>
    <w:lvl w:ilvl="3" w:tplc="C3D2F596" w:tentative="1">
      <w:start w:val="1"/>
      <w:numFmt w:val="bullet"/>
      <w:lvlText w:val=""/>
      <w:lvlJc w:val="left"/>
      <w:pPr>
        <w:tabs>
          <w:tab w:val="num" w:pos="2520"/>
        </w:tabs>
        <w:ind w:left="2520" w:hanging="360"/>
      </w:pPr>
      <w:rPr>
        <w:rFonts w:ascii="Symbol" w:hAnsi="Symbol" w:hint="default"/>
      </w:rPr>
    </w:lvl>
    <w:lvl w:ilvl="4" w:tplc="1BD639AE" w:tentative="1">
      <w:start w:val="1"/>
      <w:numFmt w:val="bullet"/>
      <w:lvlText w:val="o"/>
      <w:lvlJc w:val="left"/>
      <w:pPr>
        <w:tabs>
          <w:tab w:val="num" w:pos="3240"/>
        </w:tabs>
        <w:ind w:left="3240" w:hanging="360"/>
      </w:pPr>
      <w:rPr>
        <w:rFonts w:ascii="Courier New" w:hAnsi="Courier New" w:cs="Courier New" w:hint="default"/>
      </w:rPr>
    </w:lvl>
    <w:lvl w:ilvl="5" w:tplc="42E24FF6" w:tentative="1">
      <w:start w:val="1"/>
      <w:numFmt w:val="bullet"/>
      <w:lvlText w:val=""/>
      <w:lvlJc w:val="left"/>
      <w:pPr>
        <w:tabs>
          <w:tab w:val="num" w:pos="3960"/>
        </w:tabs>
        <w:ind w:left="3960" w:hanging="360"/>
      </w:pPr>
      <w:rPr>
        <w:rFonts w:ascii="Wingdings" w:hAnsi="Wingdings" w:hint="default"/>
      </w:rPr>
    </w:lvl>
    <w:lvl w:ilvl="6" w:tplc="FBFC985E" w:tentative="1">
      <w:start w:val="1"/>
      <w:numFmt w:val="bullet"/>
      <w:lvlText w:val=""/>
      <w:lvlJc w:val="left"/>
      <w:pPr>
        <w:tabs>
          <w:tab w:val="num" w:pos="4680"/>
        </w:tabs>
        <w:ind w:left="4680" w:hanging="360"/>
      </w:pPr>
      <w:rPr>
        <w:rFonts w:ascii="Symbol" w:hAnsi="Symbol" w:hint="default"/>
      </w:rPr>
    </w:lvl>
    <w:lvl w:ilvl="7" w:tplc="F02AFA6C" w:tentative="1">
      <w:start w:val="1"/>
      <w:numFmt w:val="bullet"/>
      <w:lvlText w:val="o"/>
      <w:lvlJc w:val="left"/>
      <w:pPr>
        <w:tabs>
          <w:tab w:val="num" w:pos="5400"/>
        </w:tabs>
        <w:ind w:left="5400" w:hanging="360"/>
      </w:pPr>
      <w:rPr>
        <w:rFonts w:ascii="Courier New" w:hAnsi="Courier New" w:cs="Courier New" w:hint="default"/>
      </w:rPr>
    </w:lvl>
    <w:lvl w:ilvl="8" w:tplc="C11AB5AC"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2613446"/>
    <w:multiLevelType w:val="hybridMultilevel"/>
    <w:tmpl w:val="D384F4F4"/>
    <w:lvl w:ilvl="0" w:tplc="ED465E08">
      <w:start w:val="1"/>
      <w:numFmt w:val="bullet"/>
      <w:pStyle w:val="List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311220D"/>
    <w:multiLevelType w:val="hybridMultilevel"/>
    <w:tmpl w:val="E814E93A"/>
    <w:lvl w:ilvl="0" w:tplc="0C090001">
      <w:start w:val="1"/>
      <w:numFmt w:val="bullet"/>
      <w:pStyle w:val="ListBulletLevel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6C59A9"/>
    <w:multiLevelType w:val="multilevel"/>
    <w:tmpl w:val="5B240ADE"/>
    <w:lvl w:ilvl="0">
      <w:start w:val="1"/>
      <w:numFmt w:val="bullet"/>
      <w:lvlRestart w:val="0"/>
      <w:lvlText w:val=""/>
      <w:lvlJc w:val="left"/>
      <w:pPr>
        <w:tabs>
          <w:tab w:val="num" w:pos="720"/>
        </w:tabs>
        <w:ind w:left="720" w:hanging="357"/>
      </w:pPr>
      <w:rPr>
        <w:rFonts w:ascii="Symbol" w:hAnsi="Symbol" w:hint="default"/>
        <w:sz w:val="24"/>
      </w:rPr>
    </w:lvl>
    <w:lvl w:ilvl="1">
      <w:start w:val="1"/>
      <w:numFmt w:val="bullet"/>
      <w:lvlText w:val=""/>
      <w:lvlJc w:val="left"/>
      <w:pPr>
        <w:tabs>
          <w:tab w:val="num" w:pos="1083"/>
        </w:tabs>
        <w:ind w:left="1083" w:hanging="363"/>
      </w:pPr>
      <w:rPr>
        <w:rFonts w:ascii="Symbol" w:hAnsi="Symbol" w:cs="Times New Roman" w:hint="default"/>
        <w:sz w:val="21"/>
      </w:rPr>
    </w:lvl>
    <w:lvl w:ilvl="2">
      <w:start w:val="1"/>
      <w:numFmt w:val="bullet"/>
      <w:lvlText w:val=""/>
      <w:lvlJc w:val="left"/>
      <w:pPr>
        <w:tabs>
          <w:tab w:val="num" w:pos="1440"/>
        </w:tabs>
        <w:ind w:left="1440" w:hanging="357"/>
      </w:pPr>
      <w:rPr>
        <w:rFonts w:ascii="Symbol" w:hAnsi="Symbol" w:cs="Times New Roman" w:hint="default"/>
        <w:sz w:val="21"/>
      </w:rPr>
    </w:lvl>
    <w:lvl w:ilvl="3">
      <w:start w:val="1"/>
      <w:numFmt w:val="bullet"/>
      <w:lvlText w:val=""/>
      <w:lvlJc w:val="left"/>
      <w:pPr>
        <w:tabs>
          <w:tab w:val="num" w:pos="1803"/>
        </w:tabs>
        <w:ind w:left="1803" w:hanging="363"/>
      </w:pPr>
      <w:rPr>
        <w:rFonts w:ascii="Symbol" w:hAnsi="Symbol" w:hint="default"/>
      </w:rPr>
    </w:lvl>
    <w:lvl w:ilvl="4">
      <w:start w:val="1"/>
      <w:numFmt w:val="bullet"/>
      <w:lvlText w:val=""/>
      <w:lvlJc w:val="left"/>
      <w:pPr>
        <w:tabs>
          <w:tab w:val="num" w:pos="2160"/>
        </w:tabs>
        <w:ind w:left="2160" w:hanging="357"/>
      </w:pPr>
      <w:rPr>
        <w:rFonts w:ascii="Symbol" w:hAnsi="Symbol" w:hint="default"/>
      </w:rPr>
    </w:lvl>
    <w:lvl w:ilvl="5">
      <w:start w:val="1"/>
      <w:numFmt w:val="bullet"/>
      <w:lvlText w:val=""/>
      <w:lvlJc w:val="left"/>
      <w:pPr>
        <w:tabs>
          <w:tab w:val="num" w:pos="2523"/>
        </w:tabs>
        <w:ind w:left="2523" w:hanging="363"/>
      </w:pPr>
      <w:rPr>
        <w:rFonts w:ascii="Symbol" w:hAnsi="Symbol" w:hint="default"/>
      </w:rPr>
    </w:lvl>
    <w:lvl w:ilvl="6">
      <w:start w:val="1"/>
      <w:numFmt w:val="bullet"/>
      <w:lvlText w:val=""/>
      <w:lvlJc w:val="left"/>
      <w:pPr>
        <w:tabs>
          <w:tab w:val="num" w:pos="2880"/>
        </w:tabs>
        <w:ind w:left="2880" w:hanging="357"/>
      </w:pPr>
      <w:rPr>
        <w:rFonts w:ascii="Symbol" w:hAnsi="Symbol" w:hint="default"/>
      </w:rPr>
    </w:lvl>
    <w:lvl w:ilvl="7">
      <w:start w:val="1"/>
      <w:numFmt w:val="bullet"/>
      <w:lvlText w:val=""/>
      <w:lvlJc w:val="left"/>
      <w:pPr>
        <w:tabs>
          <w:tab w:val="num" w:pos="3243"/>
        </w:tabs>
        <w:ind w:left="3243" w:hanging="363"/>
      </w:pPr>
      <w:rPr>
        <w:rFonts w:ascii="Symbol" w:hAnsi="Symbol" w:hint="default"/>
      </w:rPr>
    </w:lvl>
    <w:lvl w:ilvl="8">
      <w:start w:val="1"/>
      <w:numFmt w:val="bullet"/>
      <w:lvlText w:val=""/>
      <w:lvlJc w:val="left"/>
      <w:pPr>
        <w:tabs>
          <w:tab w:val="num" w:pos="3600"/>
        </w:tabs>
        <w:ind w:left="3600" w:hanging="357"/>
      </w:pPr>
      <w:rPr>
        <w:rFonts w:ascii="Symbol" w:hAnsi="Symbol" w:hint="default"/>
      </w:rPr>
    </w:lvl>
  </w:abstractNum>
  <w:abstractNum w:abstractNumId="35" w15:restartNumberingAfterBreak="0">
    <w:nsid w:val="7FB401D6"/>
    <w:multiLevelType w:val="hybridMultilevel"/>
    <w:tmpl w:val="270C463E"/>
    <w:lvl w:ilvl="0" w:tplc="47169C8E">
      <w:start w:val="1"/>
      <w:numFmt w:val="bullet"/>
      <w:pStyle w:val="ListAlphabeticalLevel2"/>
      <w:lvlText w:val=""/>
      <w:lvlJc w:val="left"/>
      <w:pPr>
        <w:ind w:left="720" w:hanging="360"/>
      </w:pPr>
      <w:rPr>
        <w:rFonts w:ascii="Symbol" w:hAnsi="Symbol" w:hint="default"/>
      </w:rPr>
    </w:lvl>
    <w:lvl w:ilvl="1" w:tplc="9C8EA102">
      <w:start w:val="1"/>
      <w:numFmt w:val="bullet"/>
      <w:lvlText w:val="o"/>
      <w:lvlJc w:val="left"/>
      <w:pPr>
        <w:ind w:left="1440" w:hanging="360"/>
      </w:pPr>
      <w:rPr>
        <w:rFonts w:ascii="Courier New" w:hAnsi="Courier New" w:cs="Courier New" w:hint="default"/>
      </w:rPr>
    </w:lvl>
    <w:lvl w:ilvl="2" w:tplc="68E44F20">
      <w:start w:val="1"/>
      <w:numFmt w:val="bullet"/>
      <w:lvlText w:val=""/>
      <w:lvlJc w:val="left"/>
      <w:pPr>
        <w:ind w:left="2160" w:hanging="360"/>
      </w:pPr>
      <w:rPr>
        <w:rFonts w:ascii="Wingdings" w:hAnsi="Wingdings" w:hint="default"/>
      </w:rPr>
    </w:lvl>
    <w:lvl w:ilvl="3" w:tplc="06B4840C" w:tentative="1">
      <w:start w:val="1"/>
      <w:numFmt w:val="bullet"/>
      <w:lvlText w:val=""/>
      <w:lvlJc w:val="left"/>
      <w:pPr>
        <w:ind w:left="2880" w:hanging="360"/>
      </w:pPr>
      <w:rPr>
        <w:rFonts w:ascii="Symbol" w:hAnsi="Symbol" w:hint="default"/>
      </w:rPr>
    </w:lvl>
    <w:lvl w:ilvl="4" w:tplc="4CE436FA" w:tentative="1">
      <w:start w:val="1"/>
      <w:numFmt w:val="bullet"/>
      <w:lvlText w:val="o"/>
      <w:lvlJc w:val="left"/>
      <w:pPr>
        <w:ind w:left="3600" w:hanging="360"/>
      </w:pPr>
      <w:rPr>
        <w:rFonts w:ascii="Courier New" w:hAnsi="Courier New" w:cs="Courier New" w:hint="default"/>
      </w:rPr>
    </w:lvl>
    <w:lvl w:ilvl="5" w:tplc="7A8CD14E" w:tentative="1">
      <w:start w:val="1"/>
      <w:numFmt w:val="bullet"/>
      <w:lvlText w:val=""/>
      <w:lvlJc w:val="left"/>
      <w:pPr>
        <w:ind w:left="4320" w:hanging="360"/>
      </w:pPr>
      <w:rPr>
        <w:rFonts w:ascii="Wingdings" w:hAnsi="Wingdings" w:hint="default"/>
      </w:rPr>
    </w:lvl>
    <w:lvl w:ilvl="6" w:tplc="1B02A5F6" w:tentative="1">
      <w:start w:val="1"/>
      <w:numFmt w:val="bullet"/>
      <w:lvlText w:val=""/>
      <w:lvlJc w:val="left"/>
      <w:pPr>
        <w:ind w:left="5040" w:hanging="360"/>
      </w:pPr>
      <w:rPr>
        <w:rFonts w:ascii="Symbol" w:hAnsi="Symbol" w:hint="default"/>
      </w:rPr>
    </w:lvl>
    <w:lvl w:ilvl="7" w:tplc="6E1CB406" w:tentative="1">
      <w:start w:val="1"/>
      <w:numFmt w:val="bullet"/>
      <w:lvlText w:val="o"/>
      <w:lvlJc w:val="left"/>
      <w:pPr>
        <w:ind w:left="5760" w:hanging="360"/>
      </w:pPr>
      <w:rPr>
        <w:rFonts w:ascii="Courier New" w:hAnsi="Courier New" w:cs="Courier New" w:hint="default"/>
      </w:rPr>
    </w:lvl>
    <w:lvl w:ilvl="8" w:tplc="CEECC570" w:tentative="1">
      <w:start w:val="1"/>
      <w:numFmt w:val="bullet"/>
      <w:lvlText w:val=""/>
      <w:lvlJc w:val="left"/>
      <w:pPr>
        <w:ind w:left="6480" w:hanging="360"/>
      </w:pPr>
      <w:rPr>
        <w:rFonts w:ascii="Wingdings" w:hAnsi="Wingdings" w:hint="default"/>
      </w:rPr>
    </w:lvl>
  </w:abstractNum>
  <w:num w:numId="1">
    <w:abstractNumId w:val="28"/>
  </w:num>
  <w:num w:numId="2">
    <w:abstractNumId w:val="3"/>
  </w:num>
  <w:num w:numId="3">
    <w:abstractNumId w:val="0"/>
  </w:num>
  <w:num w:numId="4">
    <w:abstractNumId w:val="19"/>
  </w:num>
  <w:num w:numId="5">
    <w:abstractNumId w:val="35"/>
  </w:num>
  <w:num w:numId="6">
    <w:abstractNumId w:val="32"/>
  </w:num>
  <w:num w:numId="7">
    <w:abstractNumId w:val="24"/>
  </w:num>
  <w:num w:numId="8">
    <w:abstractNumId w:val="33"/>
  </w:num>
  <w:num w:numId="9">
    <w:abstractNumId w:val="12"/>
  </w:num>
  <w:num w:numId="10">
    <w:abstractNumId w:val="23"/>
  </w:num>
  <w:num w:numId="11">
    <w:abstractNumId w:val="7"/>
  </w:num>
  <w:num w:numId="12">
    <w:abstractNumId w:val="21"/>
  </w:num>
  <w:num w:numId="13">
    <w:abstractNumId w:val="14"/>
  </w:num>
  <w:num w:numId="14">
    <w:abstractNumId w:val="10"/>
  </w:num>
  <w:num w:numId="15">
    <w:abstractNumId w:val="6"/>
  </w:num>
  <w:num w:numId="16">
    <w:abstractNumId w:val="5"/>
  </w:num>
  <w:num w:numId="17">
    <w:abstractNumId w:val="34"/>
  </w:num>
  <w:num w:numId="18">
    <w:abstractNumId w:val="16"/>
  </w:num>
  <w:num w:numId="19">
    <w:abstractNumId w:val="31"/>
  </w:num>
  <w:num w:numId="20">
    <w:abstractNumId w:val="17"/>
  </w:num>
  <w:num w:numId="21">
    <w:abstractNumId w:val="20"/>
  </w:num>
  <w:num w:numId="22">
    <w:abstractNumId w:val="4"/>
  </w:num>
  <w:num w:numId="23">
    <w:abstractNumId w:val="26"/>
  </w:num>
  <w:num w:numId="24">
    <w:abstractNumId w:val="4"/>
  </w:num>
  <w:num w:numId="25">
    <w:abstractNumId w:val="4"/>
  </w:num>
  <w:num w:numId="26">
    <w:abstractNumId w:val="30"/>
  </w:num>
  <w:num w:numId="27">
    <w:abstractNumId w:val="25"/>
  </w:num>
  <w:num w:numId="28">
    <w:abstractNumId w:val="27"/>
  </w:num>
  <w:num w:numId="29">
    <w:abstractNumId w:val="1"/>
  </w:num>
  <w:num w:numId="30">
    <w:abstractNumId w:val="11"/>
  </w:num>
  <w:num w:numId="31">
    <w:abstractNumId w:val="9"/>
  </w:num>
  <w:num w:numId="32">
    <w:abstractNumId w:val="27"/>
  </w:num>
  <w:num w:numId="33">
    <w:abstractNumId w:val="2"/>
  </w:num>
  <w:num w:numId="34">
    <w:abstractNumId w:val="9"/>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18"/>
  </w:num>
  <w:num w:numId="41">
    <w:abstractNumId w:val="8"/>
  </w:num>
  <w:num w:numId="42">
    <w:abstractNumId w:val="13"/>
  </w:num>
  <w:num w:numId="43">
    <w:abstractNumId w:val="29"/>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E5"/>
    <w:rsid w:val="00024098"/>
    <w:rsid w:val="000423D7"/>
    <w:rsid w:val="00045841"/>
    <w:rsid w:val="00054669"/>
    <w:rsid w:val="00056B70"/>
    <w:rsid w:val="000660B9"/>
    <w:rsid w:val="00075308"/>
    <w:rsid w:val="000911AA"/>
    <w:rsid w:val="00091B2B"/>
    <w:rsid w:val="0009670D"/>
    <w:rsid w:val="00097241"/>
    <w:rsid w:val="000A1104"/>
    <w:rsid w:val="000A4A1A"/>
    <w:rsid w:val="000B539A"/>
    <w:rsid w:val="000B7303"/>
    <w:rsid w:val="000D5028"/>
    <w:rsid w:val="000E1A58"/>
    <w:rsid w:val="000E4C53"/>
    <w:rsid w:val="000E7E40"/>
    <w:rsid w:val="000F2577"/>
    <w:rsid w:val="000F29DD"/>
    <w:rsid w:val="000F314B"/>
    <w:rsid w:val="00101B49"/>
    <w:rsid w:val="001110ED"/>
    <w:rsid w:val="001134B0"/>
    <w:rsid w:val="0012230A"/>
    <w:rsid w:val="00125B2E"/>
    <w:rsid w:val="00125EE3"/>
    <w:rsid w:val="00157047"/>
    <w:rsid w:val="00171F34"/>
    <w:rsid w:val="0017665F"/>
    <w:rsid w:val="00176726"/>
    <w:rsid w:val="00181599"/>
    <w:rsid w:val="00193C30"/>
    <w:rsid w:val="00194733"/>
    <w:rsid w:val="00194D6E"/>
    <w:rsid w:val="001A2A38"/>
    <w:rsid w:val="001A3992"/>
    <w:rsid w:val="001A613B"/>
    <w:rsid w:val="001B519B"/>
    <w:rsid w:val="001B7BC9"/>
    <w:rsid w:val="001D1D65"/>
    <w:rsid w:val="001D7E36"/>
    <w:rsid w:val="001E27D6"/>
    <w:rsid w:val="001E33FC"/>
    <w:rsid w:val="001F690A"/>
    <w:rsid w:val="00200B68"/>
    <w:rsid w:val="00207150"/>
    <w:rsid w:val="00210D4F"/>
    <w:rsid w:val="00217C97"/>
    <w:rsid w:val="0022349C"/>
    <w:rsid w:val="002245D3"/>
    <w:rsid w:val="00245ECE"/>
    <w:rsid w:val="0024632F"/>
    <w:rsid w:val="00251D10"/>
    <w:rsid w:val="002539CB"/>
    <w:rsid w:val="00255BC4"/>
    <w:rsid w:val="0025773B"/>
    <w:rsid w:val="00257A3D"/>
    <w:rsid w:val="00257BD3"/>
    <w:rsid w:val="00260F7A"/>
    <w:rsid w:val="002761C3"/>
    <w:rsid w:val="00276EC6"/>
    <w:rsid w:val="002816C1"/>
    <w:rsid w:val="0028528C"/>
    <w:rsid w:val="00286FFE"/>
    <w:rsid w:val="00287803"/>
    <w:rsid w:val="00292D82"/>
    <w:rsid w:val="002B254D"/>
    <w:rsid w:val="002B6795"/>
    <w:rsid w:val="002B69AB"/>
    <w:rsid w:val="002C1437"/>
    <w:rsid w:val="002C495F"/>
    <w:rsid w:val="002C6481"/>
    <w:rsid w:val="002E277D"/>
    <w:rsid w:val="002F6715"/>
    <w:rsid w:val="0030011A"/>
    <w:rsid w:val="00304B73"/>
    <w:rsid w:val="003050E7"/>
    <w:rsid w:val="00306C51"/>
    <w:rsid w:val="00307108"/>
    <w:rsid w:val="00312638"/>
    <w:rsid w:val="00327596"/>
    <w:rsid w:val="003315FC"/>
    <w:rsid w:val="00336DDE"/>
    <w:rsid w:val="0034515F"/>
    <w:rsid w:val="00347D8E"/>
    <w:rsid w:val="0035394E"/>
    <w:rsid w:val="00357371"/>
    <w:rsid w:val="00360668"/>
    <w:rsid w:val="00360D87"/>
    <w:rsid w:val="00362201"/>
    <w:rsid w:val="0038408E"/>
    <w:rsid w:val="00384ED5"/>
    <w:rsid w:val="00385433"/>
    <w:rsid w:val="003934EB"/>
    <w:rsid w:val="003A3CE7"/>
    <w:rsid w:val="003B70BD"/>
    <w:rsid w:val="003B754C"/>
    <w:rsid w:val="003C1822"/>
    <w:rsid w:val="003C3FB2"/>
    <w:rsid w:val="003D2CF6"/>
    <w:rsid w:val="003D4461"/>
    <w:rsid w:val="003D549E"/>
    <w:rsid w:val="003E3F40"/>
    <w:rsid w:val="003F0363"/>
    <w:rsid w:val="003F4F38"/>
    <w:rsid w:val="003F5C7C"/>
    <w:rsid w:val="004026A5"/>
    <w:rsid w:val="004032BD"/>
    <w:rsid w:val="00405BCD"/>
    <w:rsid w:val="00407FF3"/>
    <w:rsid w:val="004133E3"/>
    <w:rsid w:val="00413911"/>
    <w:rsid w:val="0041645E"/>
    <w:rsid w:val="00420E61"/>
    <w:rsid w:val="00425F6F"/>
    <w:rsid w:val="00426181"/>
    <w:rsid w:val="00431ACD"/>
    <w:rsid w:val="00464893"/>
    <w:rsid w:val="00466BF1"/>
    <w:rsid w:val="0047124B"/>
    <w:rsid w:val="00477871"/>
    <w:rsid w:val="00477BD3"/>
    <w:rsid w:val="00485888"/>
    <w:rsid w:val="004866BB"/>
    <w:rsid w:val="00487719"/>
    <w:rsid w:val="004A05C7"/>
    <w:rsid w:val="004A2556"/>
    <w:rsid w:val="004B287D"/>
    <w:rsid w:val="004C1E89"/>
    <w:rsid w:val="004C4FBA"/>
    <w:rsid w:val="004D0FD8"/>
    <w:rsid w:val="004E562D"/>
    <w:rsid w:val="004E56B1"/>
    <w:rsid w:val="004F0E4A"/>
    <w:rsid w:val="00501D97"/>
    <w:rsid w:val="005032A9"/>
    <w:rsid w:val="00504E1B"/>
    <w:rsid w:val="00512BA0"/>
    <w:rsid w:val="00514ED3"/>
    <w:rsid w:val="0052457D"/>
    <w:rsid w:val="00524836"/>
    <w:rsid w:val="00531025"/>
    <w:rsid w:val="005449E9"/>
    <w:rsid w:val="00546459"/>
    <w:rsid w:val="005528DB"/>
    <w:rsid w:val="00560D82"/>
    <w:rsid w:val="00563625"/>
    <w:rsid w:val="00571398"/>
    <w:rsid w:val="0057652B"/>
    <w:rsid w:val="00576C60"/>
    <w:rsid w:val="00583CCF"/>
    <w:rsid w:val="005843A5"/>
    <w:rsid w:val="00593005"/>
    <w:rsid w:val="00594BA8"/>
    <w:rsid w:val="005A5380"/>
    <w:rsid w:val="005A6919"/>
    <w:rsid w:val="005B4D05"/>
    <w:rsid w:val="005C00D0"/>
    <w:rsid w:val="005C550E"/>
    <w:rsid w:val="005C6663"/>
    <w:rsid w:val="005D1068"/>
    <w:rsid w:val="005D5556"/>
    <w:rsid w:val="005E46AC"/>
    <w:rsid w:val="005F2E9F"/>
    <w:rsid w:val="005F3C56"/>
    <w:rsid w:val="005F58A9"/>
    <w:rsid w:val="005F750C"/>
    <w:rsid w:val="00603D95"/>
    <w:rsid w:val="00604070"/>
    <w:rsid w:val="00611AFB"/>
    <w:rsid w:val="00620AD7"/>
    <w:rsid w:val="0062272E"/>
    <w:rsid w:val="0062537C"/>
    <w:rsid w:val="006300D9"/>
    <w:rsid w:val="00645065"/>
    <w:rsid w:val="0064520D"/>
    <w:rsid w:val="006763AD"/>
    <w:rsid w:val="00685C26"/>
    <w:rsid w:val="00686587"/>
    <w:rsid w:val="00687172"/>
    <w:rsid w:val="00690BBC"/>
    <w:rsid w:val="00690EF5"/>
    <w:rsid w:val="0069200C"/>
    <w:rsid w:val="00693EEF"/>
    <w:rsid w:val="006B335D"/>
    <w:rsid w:val="006B49F1"/>
    <w:rsid w:val="006D2AA6"/>
    <w:rsid w:val="006D5068"/>
    <w:rsid w:val="006E17A8"/>
    <w:rsid w:val="006F34DC"/>
    <w:rsid w:val="006F3841"/>
    <w:rsid w:val="00703FA3"/>
    <w:rsid w:val="0070445F"/>
    <w:rsid w:val="0070667A"/>
    <w:rsid w:val="00715C4C"/>
    <w:rsid w:val="00716166"/>
    <w:rsid w:val="00717E34"/>
    <w:rsid w:val="0073179C"/>
    <w:rsid w:val="00734065"/>
    <w:rsid w:val="00742CF3"/>
    <w:rsid w:val="00744556"/>
    <w:rsid w:val="00755C2D"/>
    <w:rsid w:val="00763D3F"/>
    <w:rsid w:val="00770D0C"/>
    <w:rsid w:val="00776D3D"/>
    <w:rsid w:val="007836FE"/>
    <w:rsid w:val="00797087"/>
    <w:rsid w:val="007A6067"/>
    <w:rsid w:val="007C4C57"/>
    <w:rsid w:val="007D03C7"/>
    <w:rsid w:val="007D1204"/>
    <w:rsid w:val="007D18E0"/>
    <w:rsid w:val="007E7CAB"/>
    <w:rsid w:val="007E7EF2"/>
    <w:rsid w:val="007F29FD"/>
    <w:rsid w:val="007F5866"/>
    <w:rsid w:val="00820104"/>
    <w:rsid w:val="0085534E"/>
    <w:rsid w:val="00864838"/>
    <w:rsid w:val="00876424"/>
    <w:rsid w:val="00882EEE"/>
    <w:rsid w:val="008875EC"/>
    <w:rsid w:val="0089220D"/>
    <w:rsid w:val="00893735"/>
    <w:rsid w:val="008A0D47"/>
    <w:rsid w:val="008A7B19"/>
    <w:rsid w:val="008B1CB4"/>
    <w:rsid w:val="008C2E12"/>
    <w:rsid w:val="008D4F83"/>
    <w:rsid w:val="008D530E"/>
    <w:rsid w:val="008E4B46"/>
    <w:rsid w:val="008E7308"/>
    <w:rsid w:val="008F31BE"/>
    <w:rsid w:val="008F54CF"/>
    <w:rsid w:val="008F5621"/>
    <w:rsid w:val="00902D2C"/>
    <w:rsid w:val="009142EB"/>
    <w:rsid w:val="009164FF"/>
    <w:rsid w:val="00930D8B"/>
    <w:rsid w:val="009466D4"/>
    <w:rsid w:val="00951EA0"/>
    <w:rsid w:val="00955580"/>
    <w:rsid w:val="0095758A"/>
    <w:rsid w:val="00957ADE"/>
    <w:rsid w:val="00960CD5"/>
    <w:rsid w:val="00962985"/>
    <w:rsid w:val="00993517"/>
    <w:rsid w:val="00996C81"/>
    <w:rsid w:val="009A7F66"/>
    <w:rsid w:val="009B1A82"/>
    <w:rsid w:val="009B6A68"/>
    <w:rsid w:val="009B6BD3"/>
    <w:rsid w:val="009C07E0"/>
    <w:rsid w:val="009D6A61"/>
    <w:rsid w:val="009D7F7B"/>
    <w:rsid w:val="009E4A3A"/>
    <w:rsid w:val="009F4900"/>
    <w:rsid w:val="00A313BF"/>
    <w:rsid w:val="00A4003D"/>
    <w:rsid w:val="00A4034F"/>
    <w:rsid w:val="00A43393"/>
    <w:rsid w:val="00A53DB0"/>
    <w:rsid w:val="00A5720E"/>
    <w:rsid w:val="00A62078"/>
    <w:rsid w:val="00A62F6D"/>
    <w:rsid w:val="00A6485D"/>
    <w:rsid w:val="00A80E34"/>
    <w:rsid w:val="00A94D45"/>
    <w:rsid w:val="00AA0FB6"/>
    <w:rsid w:val="00AA2699"/>
    <w:rsid w:val="00AA41E3"/>
    <w:rsid w:val="00AB7EA7"/>
    <w:rsid w:val="00AD358B"/>
    <w:rsid w:val="00AD7DFB"/>
    <w:rsid w:val="00AE1BE4"/>
    <w:rsid w:val="00AE5799"/>
    <w:rsid w:val="00AE74DF"/>
    <w:rsid w:val="00AF1BDA"/>
    <w:rsid w:val="00AF3556"/>
    <w:rsid w:val="00AF6730"/>
    <w:rsid w:val="00B00719"/>
    <w:rsid w:val="00B14C17"/>
    <w:rsid w:val="00B22294"/>
    <w:rsid w:val="00B337EC"/>
    <w:rsid w:val="00B35EE8"/>
    <w:rsid w:val="00B608D3"/>
    <w:rsid w:val="00B8054E"/>
    <w:rsid w:val="00B82635"/>
    <w:rsid w:val="00B87FF3"/>
    <w:rsid w:val="00B97055"/>
    <w:rsid w:val="00BB623E"/>
    <w:rsid w:val="00BC364A"/>
    <w:rsid w:val="00BC5855"/>
    <w:rsid w:val="00BE3C8D"/>
    <w:rsid w:val="00BF043D"/>
    <w:rsid w:val="00BF29A6"/>
    <w:rsid w:val="00C05E97"/>
    <w:rsid w:val="00C06693"/>
    <w:rsid w:val="00C121D4"/>
    <w:rsid w:val="00C20BD0"/>
    <w:rsid w:val="00C2752E"/>
    <w:rsid w:val="00C301BA"/>
    <w:rsid w:val="00C43229"/>
    <w:rsid w:val="00C64465"/>
    <w:rsid w:val="00C6712A"/>
    <w:rsid w:val="00C6766B"/>
    <w:rsid w:val="00C702DE"/>
    <w:rsid w:val="00C7199E"/>
    <w:rsid w:val="00C84362"/>
    <w:rsid w:val="00C84788"/>
    <w:rsid w:val="00C91ADD"/>
    <w:rsid w:val="00C932C0"/>
    <w:rsid w:val="00C95448"/>
    <w:rsid w:val="00C966C9"/>
    <w:rsid w:val="00C971E9"/>
    <w:rsid w:val="00CA5C63"/>
    <w:rsid w:val="00CA5CE3"/>
    <w:rsid w:val="00CA6CCF"/>
    <w:rsid w:val="00CA73C2"/>
    <w:rsid w:val="00CB202F"/>
    <w:rsid w:val="00CB4CF4"/>
    <w:rsid w:val="00CB5827"/>
    <w:rsid w:val="00CB5BB4"/>
    <w:rsid w:val="00CB5C26"/>
    <w:rsid w:val="00CC795E"/>
    <w:rsid w:val="00CD52E2"/>
    <w:rsid w:val="00CE00DF"/>
    <w:rsid w:val="00CE1F11"/>
    <w:rsid w:val="00CE6159"/>
    <w:rsid w:val="00CE64A4"/>
    <w:rsid w:val="00CF1D04"/>
    <w:rsid w:val="00CF5DAA"/>
    <w:rsid w:val="00D066EF"/>
    <w:rsid w:val="00D22BA6"/>
    <w:rsid w:val="00D31662"/>
    <w:rsid w:val="00D35922"/>
    <w:rsid w:val="00D43B04"/>
    <w:rsid w:val="00D44BA0"/>
    <w:rsid w:val="00D70EC1"/>
    <w:rsid w:val="00D827B4"/>
    <w:rsid w:val="00D86276"/>
    <w:rsid w:val="00D93431"/>
    <w:rsid w:val="00D9435E"/>
    <w:rsid w:val="00D94B0B"/>
    <w:rsid w:val="00DA4D4D"/>
    <w:rsid w:val="00DA6434"/>
    <w:rsid w:val="00DA7D78"/>
    <w:rsid w:val="00DB4CFE"/>
    <w:rsid w:val="00DD1FB2"/>
    <w:rsid w:val="00DE08F0"/>
    <w:rsid w:val="00DE2723"/>
    <w:rsid w:val="00DE6E59"/>
    <w:rsid w:val="00DF0D21"/>
    <w:rsid w:val="00DF1215"/>
    <w:rsid w:val="00DF5E99"/>
    <w:rsid w:val="00E112BE"/>
    <w:rsid w:val="00E118E3"/>
    <w:rsid w:val="00E17195"/>
    <w:rsid w:val="00E23E95"/>
    <w:rsid w:val="00E25D6F"/>
    <w:rsid w:val="00E32D53"/>
    <w:rsid w:val="00E32E2F"/>
    <w:rsid w:val="00E347A0"/>
    <w:rsid w:val="00E3604D"/>
    <w:rsid w:val="00E4254E"/>
    <w:rsid w:val="00E477C3"/>
    <w:rsid w:val="00E53688"/>
    <w:rsid w:val="00E55E35"/>
    <w:rsid w:val="00E627B4"/>
    <w:rsid w:val="00E65D6B"/>
    <w:rsid w:val="00E67EFC"/>
    <w:rsid w:val="00E71F4B"/>
    <w:rsid w:val="00E74A56"/>
    <w:rsid w:val="00E809DB"/>
    <w:rsid w:val="00E90487"/>
    <w:rsid w:val="00E953FA"/>
    <w:rsid w:val="00EA09BE"/>
    <w:rsid w:val="00EC0520"/>
    <w:rsid w:val="00ED0937"/>
    <w:rsid w:val="00ED2051"/>
    <w:rsid w:val="00ED51AE"/>
    <w:rsid w:val="00ED7593"/>
    <w:rsid w:val="00EE4AC1"/>
    <w:rsid w:val="00EE5260"/>
    <w:rsid w:val="00EE67F3"/>
    <w:rsid w:val="00EF0957"/>
    <w:rsid w:val="00EF3629"/>
    <w:rsid w:val="00EF4C5E"/>
    <w:rsid w:val="00EF5223"/>
    <w:rsid w:val="00EF7909"/>
    <w:rsid w:val="00F027D4"/>
    <w:rsid w:val="00F028BD"/>
    <w:rsid w:val="00F04864"/>
    <w:rsid w:val="00F234BC"/>
    <w:rsid w:val="00F33C93"/>
    <w:rsid w:val="00F448D5"/>
    <w:rsid w:val="00F45898"/>
    <w:rsid w:val="00F46037"/>
    <w:rsid w:val="00F52741"/>
    <w:rsid w:val="00F542A7"/>
    <w:rsid w:val="00F5516A"/>
    <w:rsid w:val="00F67E60"/>
    <w:rsid w:val="00F716EE"/>
    <w:rsid w:val="00F77B7A"/>
    <w:rsid w:val="00F87A9E"/>
    <w:rsid w:val="00F87E6C"/>
    <w:rsid w:val="00FA210D"/>
    <w:rsid w:val="00FA52FD"/>
    <w:rsid w:val="00FB23E5"/>
    <w:rsid w:val="00FC2B9A"/>
    <w:rsid w:val="00FD3E22"/>
    <w:rsid w:val="00FD4643"/>
    <w:rsid w:val="00FD6435"/>
    <w:rsid w:val="00FE4278"/>
    <w:rsid w:val="00FE43D5"/>
    <w:rsid w:val="00FE647A"/>
    <w:rsid w:val="00FE6919"/>
    <w:rsid w:val="00FE779F"/>
    <w:rsid w:val="00FF6A27"/>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1CA121"/>
  <w15:docId w15:val="{98DC6B7C-9482-4CBD-9B56-FBFB735D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B7A"/>
    <w:pPr>
      <w:spacing w:before="240" w:after="0" w:line="240" w:lineRule="auto"/>
    </w:pPr>
    <w:rPr>
      <w:rFonts w:ascii="Times New Roman" w:eastAsia="MS Mincho" w:hAnsi="Times New Roman" w:cs="Times New Roman"/>
      <w:color w:val="000000"/>
      <w:sz w:val="24"/>
      <w:szCs w:val="24"/>
      <w:lang w:val="en-US"/>
    </w:rPr>
  </w:style>
  <w:style w:type="paragraph" w:styleId="Heading1">
    <w:name w:val="heading 1"/>
    <w:next w:val="Normal"/>
    <w:link w:val="Heading1Char"/>
    <w:qFormat/>
    <w:rsid w:val="00312638"/>
    <w:pPr>
      <w:keepNext/>
      <w:pageBreakBefore/>
      <w:numPr>
        <w:numId w:val="22"/>
      </w:numPr>
      <w:spacing w:before="480" w:after="0" w:line="240" w:lineRule="auto"/>
      <w:outlineLvl w:val="0"/>
    </w:pPr>
    <w:rPr>
      <w:rFonts w:ascii="Arial" w:eastAsia="MS Gothic" w:hAnsi="Arial" w:cs="Arial"/>
      <w:b/>
      <w:bCs/>
      <w:caps/>
      <w:kern w:val="32"/>
      <w:sz w:val="28"/>
      <w:szCs w:val="32"/>
      <w:lang w:val="en-US"/>
    </w:rPr>
  </w:style>
  <w:style w:type="paragraph" w:styleId="Heading2">
    <w:name w:val="heading 2"/>
    <w:basedOn w:val="Heading1"/>
    <w:next w:val="Normal"/>
    <w:link w:val="Heading2Char"/>
    <w:qFormat/>
    <w:rsid w:val="00312638"/>
    <w:pPr>
      <w:pageBreakBefore w:val="0"/>
      <w:numPr>
        <w:ilvl w:val="1"/>
      </w:numPr>
      <w:outlineLvl w:val="1"/>
    </w:pPr>
    <w:rPr>
      <w:bCs w:val="0"/>
      <w:iCs/>
      <w:sz w:val="22"/>
      <w:szCs w:val="28"/>
    </w:rPr>
  </w:style>
  <w:style w:type="paragraph" w:styleId="Heading3">
    <w:name w:val="heading 3"/>
    <w:basedOn w:val="Heading1"/>
    <w:next w:val="Normal"/>
    <w:link w:val="Heading3Char"/>
    <w:qFormat/>
    <w:rsid w:val="00312638"/>
    <w:pPr>
      <w:pageBreakBefore w:val="0"/>
      <w:numPr>
        <w:ilvl w:val="2"/>
      </w:numPr>
      <w:spacing w:before="360"/>
      <w:outlineLvl w:val="2"/>
    </w:pPr>
    <w:rPr>
      <w:bCs w:val="0"/>
      <w:caps w:val="0"/>
      <w:sz w:val="22"/>
      <w:szCs w:val="26"/>
    </w:rPr>
  </w:style>
  <w:style w:type="paragraph" w:styleId="Heading4">
    <w:name w:val="heading 4"/>
    <w:basedOn w:val="Heading1"/>
    <w:next w:val="Normal"/>
    <w:link w:val="Heading4Char"/>
    <w:qFormat/>
    <w:rsid w:val="00312638"/>
    <w:pPr>
      <w:pageBreakBefore w:val="0"/>
      <w:numPr>
        <w:ilvl w:val="3"/>
      </w:numPr>
      <w:spacing w:before="360"/>
      <w:outlineLvl w:val="3"/>
    </w:pPr>
    <w:rPr>
      <w:bCs w:val="0"/>
      <w:i/>
      <w:caps w:val="0"/>
      <w:sz w:val="22"/>
      <w:szCs w:val="28"/>
    </w:rPr>
  </w:style>
  <w:style w:type="paragraph" w:styleId="Heading5">
    <w:name w:val="heading 5"/>
    <w:basedOn w:val="Heading1"/>
    <w:next w:val="Normal"/>
    <w:link w:val="Heading5Char"/>
    <w:qFormat/>
    <w:rsid w:val="00312638"/>
    <w:pPr>
      <w:pageBreakBefore w:val="0"/>
      <w:numPr>
        <w:ilvl w:val="4"/>
      </w:numPr>
      <w:spacing w:before="360"/>
      <w:outlineLvl w:val="4"/>
    </w:pPr>
    <w:rPr>
      <w:b w:val="0"/>
      <w:bCs w:val="0"/>
      <w:i/>
      <w:iCs/>
      <w:caps w:val="0"/>
      <w:sz w:val="22"/>
      <w:szCs w:val="26"/>
    </w:rPr>
  </w:style>
  <w:style w:type="paragraph" w:styleId="Heading6">
    <w:name w:val="heading 6"/>
    <w:basedOn w:val="Heading1"/>
    <w:next w:val="Normal"/>
    <w:link w:val="Heading6Char"/>
    <w:qFormat/>
    <w:rsid w:val="00312638"/>
    <w:pPr>
      <w:pageBreakBefore w:val="0"/>
      <w:numPr>
        <w:ilvl w:val="5"/>
      </w:numPr>
      <w:spacing w:before="360"/>
      <w:outlineLvl w:val="5"/>
    </w:pPr>
    <w:rPr>
      <w:b w:val="0"/>
      <w:bCs w:val="0"/>
      <w:caps w:val="0"/>
      <w:sz w:val="22"/>
      <w:szCs w:val="22"/>
    </w:rPr>
  </w:style>
  <w:style w:type="paragraph" w:styleId="Heading7">
    <w:name w:val="heading 7"/>
    <w:basedOn w:val="Heading6"/>
    <w:next w:val="Normal"/>
    <w:link w:val="Heading7Char"/>
    <w:qFormat/>
    <w:rsid w:val="00312638"/>
    <w:pPr>
      <w:numPr>
        <w:ilvl w:val="6"/>
      </w:numPr>
      <w:outlineLvl w:val="6"/>
    </w:pPr>
  </w:style>
  <w:style w:type="paragraph" w:styleId="Heading8">
    <w:name w:val="heading 8"/>
    <w:basedOn w:val="Heading6"/>
    <w:next w:val="Normal"/>
    <w:link w:val="Heading8Char"/>
    <w:qFormat/>
    <w:rsid w:val="00312638"/>
    <w:pPr>
      <w:numPr>
        <w:ilvl w:val="7"/>
      </w:numPr>
      <w:outlineLvl w:val="7"/>
    </w:pPr>
    <w:rPr>
      <w:iCs/>
    </w:rPr>
  </w:style>
  <w:style w:type="paragraph" w:styleId="Heading9">
    <w:name w:val="heading 9"/>
    <w:basedOn w:val="Heading6"/>
    <w:next w:val="Normal"/>
    <w:link w:val="Heading9Char"/>
    <w:qFormat/>
    <w:rsid w:val="00312638"/>
    <w:pPr>
      <w:numPr>
        <w:ilvl w:val="8"/>
      </w:numPr>
      <w:tabs>
        <w:tab w:val="left" w:pos="1797"/>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6FFE"/>
    <w:rPr>
      <w:rFonts w:ascii="Arial" w:eastAsia="MS Gothic" w:hAnsi="Arial" w:cs="Arial"/>
      <w:b/>
      <w:bCs/>
      <w:caps/>
      <w:kern w:val="32"/>
      <w:sz w:val="28"/>
      <w:szCs w:val="32"/>
      <w:lang w:val="en-US"/>
    </w:rPr>
  </w:style>
  <w:style w:type="character" w:customStyle="1" w:styleId="Heading2Char">
    <w:name w:val="Heading 2 Char"/>
    <w:basedOn w:val="DefaultParagraphFont"/>
    <w:link w:val="Heading2"/>
    <w:rsid w:val="00286FFE"/>
    <w:rPr>
      <w:rFonts w:ascii="Arial" w:eastAsia="MS Gothic" w:hAnsi="Arial" w:cs="Arial"/>
      <w:b/>
      <w:iCs/>
      <w:caps/>
      <w:kern w:val="32"/>
      <w:szCs w:val="28"/>
      <w:lang w:val="en-US"/>
    </w:rPr>
  </w:style>
  <w:style w:type="character" w:customStyle="1" w:styleId="Heading3Char">
    <w:name w:val="Heading 3 Char"/>
    <w:basedOn w:val="DefaultParagraphFont"/>
    <w:link w:val="Heading3"/>
    <w:rsid w:val="00286FFE"/>
    <w:rPr>
      <w:rFonts w:ascii="Arial" w:eastAsia="MS Gothic" w:hAnsi="Arial" w:cs="Arial"/>
      <w:b/>
      <w:kern w:val="32"/>
      <w:szCs w:val="26"/>
      <w:lang w:val="en-US"/>
    </w:rPr>
  </w:style>
  <w:style w:type="character" w:customStyle="1" w:styleId="Heading4Char">
    <w:name w:val="Heading 4 Char"/>
    <w:basedOn w:val="DefaultParagraphFont"/>
    <w:link w:val="Heading4"/>
    <w:rsid w:val="00286FFE"/>
    <w:rPr>
      <w:rFonts w:ascii="Arial" w:eastAsia="MS Gothic" w:hAnsi="Arial" w:cs="Arial"/>
      <w:b/>
      <w:i/>
      <w:kern w:val="32"/>
      <w:szCs w:val="28"/>
      <w:lang w:val="en-US"/>
    </w:rPr>
  </w:style>
  <w:style w:type="character" w:customStyle="1" w:styleId="Heading5Char">
    <w:name w:val="Heading 5 Char"/>
    <w:basedOn w:val="DefaultParagraphFont"/>
    <w:link w:val="Heading5"/>
    <w:rsid w:val="00286FFE"/>
    <w:rPr>
      <w:rFonts w:ascii="Arial" w:eastAsia="MS Gothic" w:hAnsi="Arial" w:cs="Arial"/>
      <w:i/>
      <w:iCs/>
      <w:kern w:val="32"/>
      <w:szCs w:val="26"/>
      <w:lang w:val="en-US"/>
    </w:rPr>
  </w:style>
  <w:style w:type="character" w:customStyle="1" w:styleId="Heading6Char">
    <w:name w:val="Heading 6 Char"/>
    <w:basedOn w:val="DefaultParagraphFont"/>
    <w:link w:val="Heading6"/>
    <w:rsid w:val="00286FFE"/>
    <w:rPr>
      <w:rFonts w:ascii="Arial" w:eastAsia="MS Gothic" w:hAnsi="Arial" w:cs="Arial"/>
      <w:kern w:val="32"/>
      <w:lang w:val="en-US"/>
    </w:rPr>
  </w:style>
  <w:style w:type="character" w:customStyle="1" w:styleId="Heading7Char">
    <w:name w:val="Heading 7 Char"/>
    <w:basedOn w:val="DefaultParagraphFont"/>
    <w:link w:val="Heading7"/>
    <w:rsid w:val="00286FFE"/>
    <w:rPr>
      <w:rFonts w:ascii="Arial" w:eastAsia="MS Gothic" w:hAnsi="Arial" w:cs="Arial"/>
      <w:kern w:val="32"/>
      <w:lang w:val="en-US"/>
    </w:rPr>
  </w:style>
  <w:style w:type="character" w:customStyle="1" w:styleId="Heading8Char">
    <w:name w:val="Heading 8 Char"/>
    <w:basedOn w:val="DefaultParagraphFont"/>
    <w:link w:val="Heading8"/>
    <w:rsid w:val="00286FFE"/>
    <w:rPr>
      <w:rFonts w:ascii="Arial" w:eastAsia="MS Gothic" w:hAnsi="Arial" w:cs="Arial"/>
      <w:iCs/>
      <w:kern w:val="32"/>
      <w:lang w:val="en-US"/>
    </w:rPr>
  </w:style>
  <w:style w:type="character" w:customStyle="1" w:styleId="Heading9Char">
    <w:name w:val="Heading 9 Char"/>
    <w:basedOn w:val="DefaultParagraphFont"/>
    <w:link w:val="Heading9"/>
    <w:rsid w:val="00286FFE"/>
    <w:rPr>
      <w:rFonts w:ascii="Arial" w:eastAsia="MS Gothic" w:hAnsi="Arial" w:cs="Arial"/>
      <w:kern w:val="32"/>
      <w:lang w:val="en-US"/>
    </w:rPr>
  </w:style>
  <w:style w:type="paragraph" w:styleId="ListParagraph">
    <w:name w:val="List Paragraph"/>
    <w:basedOn w:val="Normal"/>
    <w:uiPriority w:val="1"/>
    <w:qFormat/>
    <w:rsid w:val="001A3992"/>
    <w:pPr>
      <w:ind w:left="720"/>
      <w:contextualSpacing/>
    </w:pPr>
    <w:rPr>
      <w:rFonts w:ascii="Cambria" w:hAnsi="Cambria"/>
    </w:rPr>
  </w:style>
  <w:style w:type="character" w:styleId="CommentReference">
    <w:name w:val="annotation reference"/>
    <w:basedOn w:val="DefaultParagraphFont"/>
    <w:uiPriority w:val="99"/>
    <w:unhideWhenUsed/>
    <w:rsid w:val="001A3992"/>
    <w:rPr>
      <w:sz w:val="16"/>
      <w:szCs w:val="16"/>
    </w:rPr>
  </w:style>
  <w:style w:type="paragraph" w:styleId="CommentText">
    <w:name w:val="annotation text"/>
    <w:basedOn w:val="Normal"/>
    <w:link w:val="CommentTextChar"/>
    <w:uiPriority w:val="99"/>
    <w:unhideWhenUsed/>
    <w:rsid w:val="001A3992"/>
    <w:rPr>
      <w:rFonts w:ascii="Cambria" w:hAnsi="Cambria"/>
      <w:sz w:val="20"/>
      <w:szCs w:val="20"/>
    </w:rPr>
  </w:style>
  <w:style w:type="character" w:customStyle="1" w:styleId="CommentTextChar">
    <w:name w:val="Comment Text Char"/>
    <w:basedOn w:val="DefaultParagraphFont"/>
    <w:link w:val="CommentText"/>
    <w:rsid w:val="001A3992"/>
    <w:rPr>
      <w:rFonts w:ascii="Cambria" w:hAnsi="Cambria"/>
      <w:sz w:val="20"/>
      <w:szCs w:val="20"/>
    </w:rPr>
  </w:style>
  <w:style w:type="paragraph" w:styleId="FootnoteText">
    <w:name w:val="footnote text"/>
    <w:basedOn w:val="Normal"/>
    <w:link w:val="FootnoteTextChar"/>
    <w:uiPriority w:val="99"/>
    <w:rsid w:val="00F77B7A"/>
    <w:pPr>
      <w:spacing w:before="20"/>
      <w:ind w:left="113" w:hanging="113"/>
    </w:pPr>
    <w:rPr>
      <w:sz w:val="22"/>
      <w:szCs w:val="20"/>
    </w:rPr>
  </w:style>
  <w:style w:type="character" w:customStyle="1" w:styleId="FootnoteTextChar">
    <w:name w:val="Footnote Text Char"/>
    <w:basedOn w:val="DefaultParagraphFont"/>
    <w:link w:val="FootnoteText"/>
    <w:uiPriority w:val="99"/>
    <w:rsid w:val="001A3992"/>
    <w:rPr>
      <w:rFonts w:ascii="Times New Roman" w:eastAsia="MS Mincho" w:hAnsi="Times New Roman" w:cs="Times New Roman"/>
      <w:color w:val="000000"/>
      <w:szCs w:val="20"/>
      <w:lang w:val="en-US"/>
    </w:rPr>
  </w:style>
  <w:style w:type="character" w:styleId="FootnoteReference">
    <w:name w:val="footnote reference"/>
    <w:uiPriority w:val="99"/>
    <w:rsid w:val="00F77B7A"/>
    <w:rPr>
      <w:rFonts w:ascii="Times New Roman" w:eastAsia="MS Mincho" w:hAnsi="Times New Roman"/>
      <w:color w:val="0000FF"/>
      <w:sz w:val="18"/>
      <w:vertAlign w:val="superscript"/>
    </w:rPr>
  </w:style>
  <w:style w:type="paragraph" w:styleId="ListBullet">
    <w:name w:val="List Bullet"/>
    <w:basedOn w:val="Normal"/>
    <w:rsid w:val="00F77B7A"/>
    <w:pPr>
      <w:numPr>
        <w:numId w:val="6"/>
      </w:numPr>
    </w:pPr>
  </w:style>
  <w:style w:type="character" w:styleId="Hyperlink">
    <w:name w:val="Hyperlink"/>
    <w:uiPriority w:val="99"/>
    <w:rsid w:val="00F77B7A"/>
    <w:rPr>
      <w:color w:val="0000FF"/>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link w:val="FooterChar"/>
    <w:rsid w:val="00F77B7A"/>
    <w:pPr>
      <w:tabs>
        <w:tab w:val="right" w:pos="9469"/>
      </w:tabs>
      <w:spacing w:after="0" w:line="240" w:lineRule="auto"/>
    </w:pPr>
    <w:rPr>
      <w:rFonts w:ascii="Arial" w:eastAsia="MS Gothic" w:hAnsi="Arial" w:cs="Times New Roman"/>
      <w:sz w:val="18"/>
      <w:szCs w:val="20"/>
      <w:lang w:val="en-US"/>
    </w:rPr>
  </w:style>
  <w:style w:type="character" w:customStyle="1" w:styleId="FooterChar">
    <w:name w:val="Footer Char"/>
    <w:basedOn w:val="DefaultParagraphFont"/>
    <w:link w:val="Footer"/>
    <w:rsid w:val="001A3992"/>
    <w:rPr>
      <w:rFonts w:ascii="Arial" w:eastAsia="MS Gothic" w:hAnsi="Arial" w:cs="Times New Roman"/>
      <w:sz w:val="18"/>
      <w:szCs w:val="20"/>
      <w:lang w:val="en-US"/>
    </w:rPr>
  </w:style>
  <w:style w:type="paragraph" w:styleId="BalloonText">
    <w:name w:val="Balloon Text"/>
    <w:basedOn w:val="Normal"/>
    <w:link w:val="BalloonTextChar"/>
    <w:uiPriority w:val="99"/>
    <w:semiHidden/>
    <w:unhideWhenUsed/>
    <w:rsid w:val="001A3992"/>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Header">
    <w:name w:val="header"/>
    <w:link w:val="HeaderChar"/>
    <w:uiPriority w:val="99"/>
    <w:rsid w:val="00F77B7A"/>
    <w:pPr>
      <w:tabs>
        <w:tab w:val="left" w:pos="4536"/>
        <w:tab w:val="right" w:pos="9480"/>
      </w:tabs>
      <w:spacing w:after="0" w:line="240" w:lineRule="auto"/>
    </w:pPr>
    <w:rPr>
      <w:rFonts w:ascii="Arial" w:eastAsia="MS Gothic" w:hAnsi="Arial" w:cs="Times New Roman"/>
      <w:sz w:val="18"/>
      <w:szCs w:val="20"/>
      <w:lang w:val="en-US"/>
    </w:rPr>
  </w:style>
  <w:style w:type="character" w:customStyle="1" w:styleId="HeaderChar">
    <w:name w:val="Header Char"/>
    <w:basedOn w:val="DefaultParagraphFont"/>
    <w:link w:val="Header"/>
    <w:uiPriority w:val="99"/>
    <w:rsid w:val="00CA6CCF"/>
    <w:rPr>
      <w:rFonts w:ascii="Arial" w:eastAsia="MS Gothic" w:hAnsi="Arial" w:cs="Times New Roman"/>
      <w:sz w:val="18"/>
      <w:szCs w:val="20"/>
      <w:lang w:val="en-US"/>
    </w:rPr>
  </w:style>
  <w:style w:type="paragraph" w:customStyle="1" w:styleId="wcpTableContent">
    <w:name w:val="wcp_TableContent"/>
    <w:basedOn w:val="Normal"/>
    <w:rsid w:val="00C301BA"/>
    <w:pPr>
      <w:spacing w:before="40" w:after="40"/>
    </w:pPr>
    <w:rPr>
      <w:rFonts w:eastAsia="Times New Roman"/>
      <w:szCs w:val="20"/>
    </w:rPr>
  </w:style>
  <w:style w:type="paragraph" w:styleId="BodyTextIndent2">
    <w:name w:val="Body Text Indent 2"/>
    <w:basedOn w:val="Normal"/>
    <w:link w:val="BodyTextIndent2Char"/>
    <w:rsid w:val="000E1A58"/>
    <w:pPr>
      <w:ind w:left="567"/>
      <w:jc w:val="both"/>
    </w:pPr>
    <w:rPr>
      <w:rFonts w:ascii="Arial" w:eastAsia="Times New Roman" w:hAnsi="Arial"/>
      <w:szCs w:val="20"/>
      <w:lang w:val="en-GB"/>
    </w:rPr>
  </w:style>
  <w:style w:type="character" w:customStyle="1" w:styleId="BodyTextIndent2Char">
    <w:name w:val="Body Text Indent 2 Char"/>
    <w:basedOn w:val="DefaultParagraphFont"/>
    <w:link w:val="BodyTextIndent2"/>
    <w:rsid w:val="000E1A58"/>
    <w:rPr>
      <w:rFonts w:ascii="Arial" w:eastAsia="Times New Roman" w:hAnsi="Arial" w:cs="Times New Roman"/>
      <w:sz w:val="24"/>
      <w:szCs w:val="20"/>
      <w:lang w:val="en-GB"/>
    </w:rPr>
  </w:style>
  <w:style w:type="paragraph" w:styleId="BodyText">
    <w:name w:val="Body Text"/>
    <w:basedOn w:val="Normal"/>
    <w:link w:val="BodyTextChar"/>
    <w:uiPriority w:val="99"/>
    <w:unhideWhenUsed/>
    <w:rsid w:val="000E1A58"/>
    <w:pPr>
      <w:spacing w:after="120"/>
    </w:pPr>
  </w:style>
  <w:style w:type="character" w:customStyle="1" w:styleId="BodyTextChar">
    <w:name w:val="Body Text Char"/>
    <w:basedOn w:val="DefaultParagraphFont"/>
    <w:link w:val="BodyText"/>
    <w:uiPriority w:val="99"/>
    <w:rsid w:val="000E1A58"/>
  </w:style>
  <w:style w:type="paragraph" w:styleId="BodyText3">
    <w:name w:val="Body Text 3"/>
    <w:basedOn w:val="Normal"/>
    <w:link w:val="BodyText3Char"/>
    <w:uiPriority w:val="99"/>
    <w:semiHidden/>
    <w:unhideWhenUsed/>
    <w:rsid w:val="00514ED3"/>
    <w:pPr>
      <w:spacing w:after="120"/>
    </w:pPr>
    <w:rPr>
      <w:sz w:val="16"/>
      <w:szCs w:val="16"/>
    </w:rPr>
  </w:style>
  <w:style w:type="character" w:customStyle="1" w:styleId="BodyText3Char">
    <w:name w:val="Body Text 3 Char"/>
    <w:basedOn w:val="DefaultParagraphFont"/>
    <w:link w:val="BodyText3"/>
    <w:uiPriority w:val="99"/>
    <w:semiHidden/>
    <w:rsid w:val="00514ED3"/>
    <w:rPr>
      <w:sz w:val="16"/>
      <w:szCs w:val="16"/>
    </w:rPr>
  </w:style>
  <w:style w:type="paragraph" w:customStyle="1" w:styleId="Heading1NoTOC">
    <w:name w:val="Heading 1 NoTOC"/>
    <w:basedOn w:val="Heading1"/>
    <w:rsid w:val="00F77B7A"/>
    <w:pPr>
      <w:numPr>
        <w:numId w:val="0"/>
      </w:numPr>
      <w:outlineLvl w:val="9"/>
    </w:pPr>
  </w:style>
  <w:style w:type="paragraph" w:styleId="Title">
    <w:name w:val="Title"/>
    <w:next w:val="Normal"/>
    <w:link w:val="TitleChar"/>
    <w:qFormat/>
    <w:rsid w:val="00F77B7A"/>
    <w:pPr>
      <w:keepNext/>
      <w:spacing w:before="600" w:after="480" w:line="240" w:lineRule="auto"/>
      <w:jc w:val="center"/>
      <w:outlineLvl w:val="0"/>
    </w:pPr>
    <w:rPr>
      <w:rFonts w:ascii="Arial" w:eastAsia="MS Gothic" w:hAnsi="Arial" w:cs="Arial"/>
      <w:b/>
      <w:bCs/>
      <w:caps/>
      <w:szCs w:val="32"/>
      <w:lang w:val="en-US"/>
    </w:rPr>
  </w:style>
  <w:style w:type="character" w:customStyle="1" w:styleId="TitleChar">
    <w:name w:val="Title Char"/>
    <w:basedOn w:val="DefaultParagraphFont"/>
    <w:link w:val="Title"/>
    <w:rsid w:val="00C971E9"/>
    <w:rPr>
      <w:rFonts w:ascii="Arial" w:eastAsia="MS Gothic" w:hAnsi="Arial" w:cs="Arial"/>
      <w:b/>
      <w:bCs/>
      <w:caps/>
      <w:szCs w:val="32"/>
      <w:lang w:val="en-US"/>
    </w:rPr>
  </w:style>
  <w:style w:type="paragraph" w:customStyle="1" w:styleId="TitleNoToc">
    <w:name w:val="Title NoToc"/>
    <w:basedOn w:val="Title"/>
    <w:next w:val="Normal"/>
    <w:rsid w:val="00F77B7A"/>
    <w:pPr>
      <w:outlineLvl w:val="9"/>
    </w:pPr>
  </w:style>
  <w:style w:type="character" w:customStyle="1" w:styleId="InstructionsTextChar">
    <w:name w:val="Instructions Text Char"/>
    <w:link w:val="InstructionsText"/>
    <w:rsid w:val="00F77B7A"/>
    <w:rPr>
      <w:rFonts w:eastAsia="MS Mincho"/>
      <w:color w:val="000000"/>
      <w:sz w:val="24"/>
      <w:szCs w:val="24"/>
      <w:shd w:val="clear" w:color="auto" w:fill="FFCC66"/>
      <w:lang w:val="en-US"/>
    </w:rPr>
  </w:style>
  <w:style w:type="paragraph" w:customStyle="1" w:styleId="ListNumbered">
    <w:name w:val="List Numbered"/>
    <w:basedOn w:val="Normal"/>
    <w:rsid w:val="00F77B7A"/>
    <w:pPr>
      <w:numPr>
        <w:numId w:val="4"/>
      </w:numPr>
      <w:spacing w:before="120"/>
    </w:pPr>
  </w:style>
  <w:style w:type="paragraph" w:customStyle="1" w:styleId="ListBulletLevel1">
    <w:name w:val="List Bullet Level 1"/>
    <w:basedOn w:val="Normal"/>
    <w:rsid w:val="00F77B7A"/>
    <w:pPr>
      <w:numPr>
        <w:numId w:val="16"/>
      </w:numPr>
      <w:spacing w:before="120"/>
    </w:pPr>
  </w:style>
  <w:style w:type="paragraph" w:customStyle="1" w:styleId="ListAlphabeticalLevel1">
    <w:name w:val="List Alphabetical Level 1"/>
    <w:basedOn w:val="Normal"/>
    <w:rsid w:val="00F77B7A"/>
    <w:pPr>
      <w:numPr>
        <w:numId w:val="3"/>
      </w:numPr>
      <w:spacing w:before="120"/>
    </w:pPr>
  </w:style>
  <w:style w:type="paragraph" w:styleId="Bibliography">
    <w:name w:val="Bibliography"/>
    <w:basedOn w:val="Normal"/>
    <w:next w:val="Normal"/>
    <w:rsid w:val="00F77B7A"/>
    <w:pPr>
      <w:ind w:left="357" w:hanging="357"/>
    </w:pPr>
  </w:style>
  <w:style w:type="paragraph" w:customStyle="1" w:styleId="ListBulletLevel2">
    <w:name w:val="List Bullet Level 2"/>
    <w:basedOn w:val="Normal"/>
    <w:rsid w:val="00F77B7A"/>
    <w:pPr>
      <w:numPr>
        <w:numId w:val="8"/>
      </w:numPr>
      <w:spacing w:before="120"/>
    </w:pPr>
    <w:rPr>
      <w:szCs w:val="20"/>
    </w:rPr>
  </w:style>
  <w:style w:type="paragraph" w:styleId="Caption">
    <w:name w:val="caption"/>
    <w:next w:val="Normal"/>
    <w:qFormat/>
    <w:rsid w:val="00F77B7A"/>
    <w:pPr>
      <w:keepNext/>
      <w:spacing w:before="360" w:after="120" w:line="240" w:lineRule="auto"/>
      <w:jc w:val="center"/>
    </w:pPr>
    <w:rPr>
      <w:rFonts w:ascii="Arial" w:eastAsia="MS Gothic" w:hAnsi="Arial" w:cs="Arial"/>
      <w:b/>
      <w:bCs/>
      <w:sz w:val="20"/>
      <w:szCs w:val="20"/>
      <w:lang w:val="en-US"/>
    </w:rPr>
  </w:style>
  <w:style w:type="paragraph" w:customStyle="1" w:styleId="InstructionsText">
    <w:name w:val="Instructions Text"/>
    <w:basedOn w:val="Normal"/>
    <w:next w:val="Normal"/>
    <w:link w:val="InstructionsTextChar"/>
    <w:rsid w:val="00F77B7A"/>
    <w:pPr>
      <w:shd w:val="clear" w:color="auto" w:fill="FFCC66"/>
      <w:spacing w:before="40" w:after="40"/>
    </w:pPr>
    <w:rPr>
      <w:rFonts w:asciiTheme="minorHAnsi" w:hAnsiTheme="minorHAnsi" w:cstheme="minorBidi"/>
    </w:rPr>
  </w:style>
  <w:style w:type="paragraph" w:customStyle="1" w:styleId="Heading1NoNumbering">
    <w:name w:val="Heading 1 NoNumbering"/>
    <w:basedOn w:val="Heading1"/>
    <w:next w:val="Normal"/>
    <w:rsid w:val="00F77B7A"/>
    <w:pPr>
      <w:numPr>
        <w:numId w:val="14"/>
      </w:numPr>
    </w:pPr>
  </w:style>
  <w:style w:type="paragraph" w:customStyle="1" w:styleId="TblTextCenter">
    <w:name w:val="Tbl Text Center"/>
    <w:basedOn w:val="TblTextLeft"/>
    <w:rsid w:val="00F77B7A"/>
    <w:pPr>
      <w:jc w:val="center"/>
    </w:pPr>
  </w:style>
  <w:style w:type="paragraph" w:customStyle="1" w:styleId="TblTextLeft">
    <w:name w:val="Tbl Text Left"/>
    <w:rsid w:val="00F77B7A"/>
    <w:pPr>
      <w:spacing w:before="60" w:after="60" w:line="240" w:lineRule="auto"/>
    </w:pPr>
    <w:rPr>
      <w:rFonts w:ascii="Arial Narrow" w:eastAsia="MS Gothic" w:hAnsi="Arial Narrow" w:cs="Times New Roman"/>
      <w:sz w:val="20"/>
      <w:szCs w:val="20"/>
      <w:lang w:val="en-US"/>
    </w:rPr>
  </w:style>
  <w:style w:type="paragraph" w:customStyle="1" w:styleId="TblHeadingLeft">
    <w:name w:val="Tbl Heading Left"/>
    <w:rsid w:val="00F77B7A"/>
    <w:pPr>
      <w:spacing w:before="60" w:after="60" w:line="240" w:lineRule="auto"/>
    </w:pPr>
    <w:rPr>
      <w:rFonts w:ascii="Arial" w:eastAsia="MS Gothic" w:hAnsi="Arial" w:cs="Arial"/>
      <w:b/>
      <w:noProof/>
      <w:sz w:val="20"/>
      <w:szCs w:val="20"/>
      <w:lang w:val="de-DE"/>
    </w:rPr>
  </w:style>
  <w:style w:type="paragraph" w:customStyle="1" w:styleId="TblFigFootnote">
    <w:name w:val="Tbl Fig Footnote"/>
    <w:rsid w:val="00F77B7A"/>
    <w:pPr>
      <w:keepLines/>
      <w:adjustRightInd w:val="0"/>
      <w:snapToGrid w:val="0"/>
      <w:spacing w:before="20" w:after="20" w:line="240" w:lineRule="auto"/>
    </w:pPr>
    <w:rPr>
      <w:rFonts w:ascii="Arial Narrow" w:eastAsia="MS Gothic" w:hAnsi="Arial Narrow" w:cs="Times New Roman"/>
      <w:sz w:val="18"/>
      <w:szCs w:val="20"/>
      <w:lang w:val="en-US"/>
    </w:rPr>
  </w:style>
  <w:style w:type="paragraph" w:customStyle="1" w:styleId="TblHeadingCenter">
    <w:name w:val="Tbl Heading Center"/>
    <w:basedOn w:val="TblHeadingLeft"/>
    <w:rsid w:val="00F77B7A"/>
    <w:pPr>
      <w:jc w:val="center"/>
    </w:pPr>
  </w:style>
  <w:style w:type="paragraph" w:customStyle="1" w:styleId="HeaderLandscape">
    <w:name w:val="Header Landscape"/>
    <w:basedOn w:val="Header"/>
    <w:rsid w:val="00F77B7A"/>
    <w:pPr>
      <w:tabs>
        <w:tab w:val="clear" w:pos="4536"/>
        <w:tab w:val="clear" w:pos="9480"/>
        <w:tab w:val="left" w:pos="6804"/>
        <w:tab w:val="right" w:pos="14118"/>
      </w:tabs>
    </w:pPr>
  </w:style>
  <w:style w:type="paragraph" w:customStyle="1" w:styleId="FooterLandscape">
    <w:name w:val="Footer Landscape"/>
    <w:basedOn w:val="Footer"/>
    <w:rsid w:val="00F77B7A"/>
    <w:pPr>
      <w:tabs>
        <w:tab w:val="clear" w:pos="9469"/>
        <w:tab w:val="right" w:pos="14118"/>
      </w:tabs>
    </w:pPr>
  </w:style>
  <w:style w:type="character" w:customStyle="1" w:styleId="TblFigFootnoteReference">
    <w:name w:val="Tbl Fig Footnote Reference"/>
    <w:rsid w:val="00F77B7A"/>
    <w:rPr>
      <w:rFonts w:ascii="Arial Narrow" w:eastAsia="MS Gothic" w:hAnsi="Arial Narrow"/>
      <w:i/>
      <w:dstrike w:val="0"/>
      <w:noProof w:val="0"/>
      <w:position w:val="6"/>
      <w:sz w:val="18"/>
      <w:vertAlign w:val="baseline"/>
      <w:lang w:val="en-US"/>
    </w:rPr>
  </w:style>
  <w:style w:type="paragraph" w:customStyle="1" w:styleId="xCover">
    <w:name w:val="xCover"/>
    <w:rsid w:val="00F77B7A"/>
    <w:pPr>
      <w:spacing w:before="120" w:after="0" w:line="240" w:lineRule="auto"/>
    </w:pPr>
    <w:rPr>
      <w:rFonts w:ascii="Arial" w:eastAsia="MS Gothic" w:hAnsi="Arial" w:cs="Times New Roman"/>
      <w:sz w:val="20"/>
      <w:szCs w:val="20"/>
      <w:lang w:val="en-US"/>
    </w:rPr>
  </w:style>
  <w:style w:type="paragraph" w:customStyle="1" w:styleId="xCoverAddress">
    <w:name w:val="xCoverAddress"/>
    <w:basedOn w:val="xCover"/>
    <w:rsid w:val="00F77B7A"/>
    <w:pPr>
      <w:spacing w:before="0"/>
    </w:pPr>
  </w:style>
  <w:style w:type="paragraph" w:customStyle="1" w:styleId="xCoverDocType">
    <w:name w:val="xCoverDocType"/>
    <w:basedOn w:val="xCover"/>
    <w:rsid w:val="00F77B7A"/>
    <w:pPr>
      <w:spacing w:before="360"/>
      <w:jc w:val="center"/>
    </w:pPr>
    <w:rPr>
      <w:b/>
      <w:caps/>
      <w:sz w:val="28"/>
    </w:rPr>
  </w:style>
  <w:style w:type="paragraph" w:customStyle="1" w:styleId="xCoverDocTitle">
    <w:name w:val="xCoverDocTitle"/>
    <w:basedOn w:val="xCover"/>
    <w:rsid w:val="00F77B7A"/>
    <w:pPr>
      <w:spacing w:before="240"/>
      <w:jc w:val="center"/>
    </w:pPr>
    <w:rPr>
      <w:b/>
      <w:sz w:val="24"/>
    </w:rPr>
  </w:style>
  <w:style w:type="paragraph" w:styleId="EndnoteText">
    <w:name w:val="endnote text"/>
    <w:basedOn w:val="Normal"/>
    <w:link w:val="EndnoteTextChar"/>
    <w:semiHidden/>
    <w:rsid w:val="00F77B7A"/>
    <w:rPr>
      <w:sz w:val="22"/>
      <w:szCs w:val="20"/>
    </w:rPr>
  </w:style>
  <w:style w:type="character" w:customStyle="1" w:styleId="EndnoteTextChar">
    <w:name w:val="Endnote Text Char"/>
    <w:basedOn w:val="DefaultParagraphFont"/>
    <w:link w:val="EndnoteText"/>
    <w:semiHidden/>
    <w:rsid w:val="00C971E9"/>
    <w:rPr>
      <w:rFonts w:ascii="Times New Roman" w:eastAsia="MS Mincho" w:hAnsi="Times New Roman" w:cs="Times New Roman"/>
      <w:color w:val="000000"/>
      <w:szCs w:val="20"/>
      <w:lang w:val="en-US"/>
    </w:rPr>
  </w:style>
  <w:style w:type="character" w:styleId="EndnoteReference">
    <w:name w:val="endnote reference"/>
    <w:semiHidden/>
    <w:rsid w:val="00F77B7A"/>
    <w:rPr>
      <w:vertAlign w:val="superscript"/>
    </w:rPr>
  </w:style>
  <w:style w:type="paragraph" w:styleId="MacroText">
    <w:name w:val="macro"/>
    <w:link w:val="MacroTextChar"/>
    <w:semiHidden/>
    <w:rsid w:val="00F77B7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US"/>
    </w:rPr>
  </w:style>
  <w:style w:type="character" w:customStyle="1" w:styleId="MacroTextChar">
    <w:name w:val="Macro Text Char"/>
    <w:basedOn w:val="DefaultParagraphFont"/>
    <w:link w:val="MacroText"/>
    <w:semiHidden/>
    <w:rsid w:val="00C971E9"/>
    <w:rPr>
      <w:rFonts w:ascii="Courier New" w:eastAsia="Times New Roman" w:hAnsi="Courier New" w:cs="Times New Roman"/>
      <w:sz w:val="20"/>
      <w:szCs w:val="20"/>
      <w:lang w:val="en-US"/>
    </w:rPr>
  </w:style>
  <w:style w:type="paragraph" w:styleId="TableofFigures">
    <w:name w:val="table of figures"/>
    <w:next w:val="Normal"/>
    <w:semiHidden/>
    <w:rsid w:val="00F77B7A"/>
    <w:pPr>
      <w:tabs>
        <w:tab w:val="right" w:leader="dot" w:pos="9468"/>
      </w:tabs>
      <w:spacing w:before="120" w:after="0" w:line="240" w:lineRule="auto"/>
    </w:pPr>
    <w:rPr>
      <w:rFonts w:ascii="Arial" w:eastAsia="Times New Roman" w:hAnsi="Arial" w:cs="Times New Roman"/>
      <w:sz w:val="20"/>
      <w:szCs w:val="20"/>
      <w:lang w:val="en-US"/>
    </w:rPr>
  </w:style>
  <w:style w:type="paragraph" w:styleId="TableofAuthorities">
    <w:name w:val="table of authorities"/>
    <w:basedOn w:val="Normal"/>
    <w:next w:val="Normal"/>
    <w:semiHidden/>
    <w:rsid w:val="00F77B7A"/>
    <w:pPr>
      <w:ind w:left="240" w:hanging="240"/>
    </w:pPr>
  </w:style>
  <w:style w:type="character" w:customStyle="1" w:styleId="ReplaceText">
    <w:name w:val="Replace Text"/>
    <w:rsid w:val="00F77B7A"/>
    <w:rPr>
      <w:color w:val="FF00FF"/>
    </w:rPr>
  </w:style>
  <w:style w:type="paragraph" w:styleId="TOC1">
    <w:name w:val="toc 1"/>
    <w:next w:val="Normal"/>
    <w:uiPriority w:val="39"/>
    <w:rsid w:val="00F77B7A"/>
    <w:pPr>
      <w:tabs>
        <w:tab w:val="right" w:leader="dot" w:pos="9468"/>
      </w:tabs>
      <w:spacing w:before="240" w:after="0" w:line="240" w:lineRule="auto"/>
      <w:ind w:left="851" w:right="567" w:hanging="851"/>
    </w:pPr>
    <w:rPr>
      <w:rFonts w:ascii="Arial" w:eastAsia="Times New Roman" w:hAnsi="Arial" w:cs="Times New Roman"/>
      <w:b/>
      <w:caps/>
      <w:sz w:val="20"/>
      <w:szCs w:val="20"/>
      <w:lang w:val="en-US"/>
    </w:rPr>
  </w:style>
  <w:style w:type="paragraph" w:customStyle="1" w:styleId="ListAlphabeticalLevel2">
    <w:name w:val="List Alphabetical Level 2"/>
    <w:basedOn w:val="ListNumbered"/>
    <w:rsid w:val="00F77B7A"/>
    <w:pPr>
      <w:numPr>
        <w:numId w:val="5"/>
      </w:numPr>
    </w:pPr>
  </w:style>
  <w:style w:type="paragraph" w:styleId="Index1">
    <w:name w:val="index 1"/>
    <w:basedOn w:val="Normal"/>
    <w:next w:val="Normal"/>
    <w:semiHidden/>
    <w:rsid w:val="00F77B7A"/>
    <w:pPr>
      <w:tabs>
        <w:tab w:val="left" w:pos="1701"/>
        <w:tab w:val="left" w:pos="3402"/>
        <w:tab w:val="left" w:pos="5103"/>
      </w:tabs>
      <w:spacing w:before="0"/>
      <w:ind w:left="1701" w:hanging="1701"/>
    </w:pPr>
  </w:style>
  <w:style w:type="paragraph" w:styleId="TOAHeading">
    <w:name w:val="toa heading"/>
    <w:basedOn w:val="Normal"/>
    <w:next w:val="Normal"/>
    <w:semiHidden/>
    <w:rsid w:val="00F77B7A"/>
    <w:pPr>
      <w:spacing w:before="120"/>
    </w:pPr>
    <w:rPr>
      <w:rFonts w:ascii="Arial" w:hAnsi="Arial" w:cs="Arial"/>
      <w:b/>
      <w:bCs/>
    </w:rPr>
  </w:style>
  <w:style w:type="character" w:customStyle="1" w:styleId="Reference">
    <w:name w:val="Reference"/>
    <w:rsid w:val="00F77B7A"/>
    <w:rPr>
      <w:color w:val="0000FF"/>
    </w:rPr>
  </w:style>
  <w:style w:type="paragraph" w:customStyle="1" w:styleId="TblTextbulletedlist">
    <w:name w:val="Tbl Text bulleted list"/>
    <w:basedOn w:val="TblTextLeft"/>
    <w:rsid w:val="00F77B7A"/>
    <w:pPr>
      <w:numPr>
        <w:numId w:val="9"/>
      </w:numPr>
      <w:tabs>
        <w:tab w:val="left" w:pos="216"/>
      </w:tabs>
      <w:spacing w:before="0" w:after="0"/>
      <w:ind w:left="216" w:hanging="216"/>
    </w:pPr>
  </w:style>
  <w:style w:type="paragraph" w:styleId="TOC2">
    <w:name w:val="toc 2"/>
    <w:basedOn w:val="TOC1"/>
    <w:next w:val="Normal"/>
    <w:semiHidden/>
    <w:rsid w:val="00F77B7A"/>
    <w:rPr>
      <w:b w:val="0"/>
    </w:rPr>
  </w:style>
  <w:style w:type="character" w:styleId="PageNumber">
    <w:name w:val="page number"/>
    <w:basedOn w:val="DefaultParagraphFont"/>
    <w:rsid w:val="00F77B7A"/>
  </w:style>
  <w:style w:type="paragraph" w:styleId="TOC3">
    <w:name w:val="toc 3"/>
    <w:basedOn w:val="TOC1"/>
    <w:next w:val="Normal"/>
    <w:semiHidden/>
    <w:rsid w:val="00F77B7A"/>
    <w:pPr>
      <w:spacing w:before="120"/>
    </w:pPr>
    <w:rPr>
      <w:b w:val="0"/>
      <w:caps w:val="0"/>
    </w:rPr>
  </w:style>
  <w:style w:type="paragraph" w:styleId="TOC4">
    <w:name w:val="toc 4"/>
    <w:basedOn w:val="TOC1"/>
    <w:next w:val="Normal"/>
    <w:semiHidden/>
    <w:rsid w:val="00F77B7A"/>
    <w:pPr>
      <w:spacing w:before="40"/>
    </w:pPr>
    <w:rPr>
      <w:b w:val="0"/>
      <w:caps w:val="0"/>
      <w:szCs w:val="22"/>
    </w:rPr>
  </w:style>
  <w:style w:type="paragraph" w:styleId="TOC5">
    <w:name w:val="toc 5"/>
    <w:basedOn w:val="TOC1"/>
    <w:next w:val="Normal"/>
    <w:semiHidden/>
    <w:rsid w:val="00F77B7A"/>
    <w:pPr>
      <w:spacing w:before="0"/>
    </w:pPr>
    <w:rPr>
      <w:b w:val="0"/>
      <w:caps w:val="0"/>
    </w:rPr>
  </w:style>
  <w:style w:type="paragraph" w:styleId="TOC6">
    <w:name w:val="toc 6"/>
    <w:basedOn w:val="TOC1"/>
    <w:next w:val="Normal"/>
    <w:semiHidden/>
    <w:rsid w:val="00F77B7A"/>
    <w:pPr>
      <w:spacing w:before="0"/>
    </w:pPr>
    <w:rPr>
      <w:b w:val="0"/>
      <w:caps w:val="0"/>
    </w:rPr>
  </w:style>
  <w:style w:type="paragraph" w:styleId="TOC7">
    <w:name w:val="toc 7"/>
    <w:basedOn w:val="TOC6"/>
    <w:next w:val="Normal"/>
    <w:semiHidden/>
    <w:rsid w:val="00F77B7A"/>
  </w:style>
  <w:style w:type="paragraph" w:styleId="TOC8">
    <w:name w:val="toc 8"/>
    <w:basedOn w:val="TOC6"/>
    <w:next w:val="Normal"/>
    <w:semiHidden/>
    <w:rsid w:val="00F77B7A"/>
  </w:style>
  <w:style w:type="paragraph" w:styleId="TOC9">
    <w:name w:val="toc 9"/>
    <w:basedOn w:val="TOC6"/>
    <w:next w:val="Normal"/>
    <w:semiHidden/>
    <w:rsid w:val="00F77B7A"/>
  </w:style>
  <w:style w:type="character" w:customStyle="1" w:styleId="TblFigFootnoteChar">
    <w:name w:val="Tbl Fig Footnote Char"/>
    <w:rsid w:val="00F77B7A"/>
    <w:rPr>
      <w:rFonts w:ascii="Arial Narrow" w:eastAsia="MS Gothic" w:hAnsi="Arial Narrow"/>
      <w:sz w:val="18"/>
      <w:lang w:val="en-US" w:eastAsia="en-US" w:bidi="ar-SA"/>
    </w:rPr>
  </w:style>
  <w:style w:type="character" w:styleId="FollowedHyperlink">
    <w:name w:val="FollowedHyperlink"/>
    <w:rsid w:val="00F77B7A"/>
    <w:rPr>
      <w:color w:val="800080"/>
      <w:u w:val="single"/>
    </w:rPr>
  </w:style>
  <w:style w:type="paragraph" w:styleId="BodyText2">
    <w:name w:val="Body Text 2"/>
    <w:basedOn w:val="Normal"/>
    <w:link w:val="BodyText2Char"/>
    <w:uiPriority w:val="99"/>
    <w:unhideWhenUsed/>
    <w:rsid w:val="00BC364A"/>
    <w:pPr>
      <w:spacing w:after="120" w:line="480" w:lineRule="auto"/>
    </w:pPr>
  </w:style>
  <w:style w:type="character" w:customStyle="1" w:styleId="BodyText2Char">
    <w:name w:val="Body Text 2 Char"/>
    <w:basedOn w:val="DefaultParagraphFont"/>
    <w:link w:val="BodyText2"/>
    <w:uiPriority w:val="99"/>
    <w:rsid w:val="00BC364A"/>
    <w:rPr>
      <w:rFonts w:ascii="Times New Roman" w:eastAsia="MS Mincho" w:hAnsi="Times New Roman" w:cs="Times New Roman"/>
      <w:color w:val="000000"/>
      <w:sz w:val="24"/>
      <w:szCs w:val="24"/>
      <w:lang w:val="en-US"/>
    </w:rPr>
  </w:style>
  <w:style w:type="paragraph" w:customStyle="1" w:styleId="wcpTableColHeader">
    <w:name w:val="wcp_TableColHeader"/>
    <w:basedOn w:val="Normal"/>
    <w:rsid w:val="000911AA"/>
    <w:pPr>
      <w:keepNext/>
      <w:spacing w:before="120" w:after="120"/>
      <w:jc w:val="center"/>
    </w:pPr>
    <w:rPr>
      <w:rFonts w:eastAsia="Times New Roman"/>
      <w:b/>
      <w:color w:val="auto"/>
      <w:sz w:val="22"/>
      <w:szCs w:val="20"/>
    </w:rPr>
  </w:style>
  <w:style w:type="character" w:customStyle="1" w:styleId="apple-converted-space">
    <w:name w:val="apple-converted-space"/>
    <w:basedOn w:val="DefaultParagraphFont"/>
    <w:rsid w:val="00CA73C2"/>
  </w:style>
  <w:style w:type="paragraph" w:customStyle="1" w:styleId="00-Paragraph">
    <w:name w:val="00-Paragraph"/>
    <w:basedOn w:val="Normal"/>
    <w:qFormat/>
    <w:rsid w:val="00763D3F"/>
    <w:pPr>
      <w:spacing w:before="120" w:after="120"/>
    </w:pPr>
    <w:rPr>
      <w:color w:val="auto"/>
      <w:sz w:val="22"/>
    </w:rPr>
  </w:style>
  <w:style w:type="paragraph" w:customStyle="1" w:styleId="EMEAEnBodyText">
    <w:name w:val="EMEA En Body Text"/>
    <w:basedOn w:val="Normal"/>
    <w:rsid w:val="008E4B46"/>
    <w:pPr>
      <w:spacing w:before="120" w:after="120"/>
      <w:jc w:val="both"/>
    </w:pPr>
    <w:rPr>
      <w:rFonts w:eastAsia="Times New Roman"/>
      <w:color w:val="auto"/>
      <w:sz w:val="22"/>
      <w:szCs w:val="20"/>
    </w:rPr>
  </w:style>
  <w:style w:type="paragraph" w:customStyle="1" w:styleId="TableParagraph">
    <w:name w:val="Table Paragraph"/>
    <w:basedOn w:val="Normal"/>
    <w:uiPriority w:val="1"/>
    <w:qFormat/>
    <w:rsid w:val="007D1204"/>
    <w:pPr>
      <w:widowControl w:val="0"/>
      <w:autoSpaceDE w:val="0"/>
      <w:autoSpaceDN w:val="0"/>
      <w:spacing w:before="69"/>
      <w:ind w:left="37"/>
    </w:pPr>
    <w:rPr>
      <w:rFonts w:ascii="Arial" w:eastAsia="Arial" w:hAnsi="Arial" w:cs="Arial"/>
      <w:color w:val="auto"/>
      <w:sz w:val="22"/>
      <w:szCs w:val="22"/>
    </w:rPr>
  </w:style>
  <w:style w:type="paragraph" w:customStyle="1" w:styleId="Normal11pt">
    <w:name w:val="Normal + 11pt"/>
    <w:basedOn w:val="Normal"/>
    <w:rsid w:val="007D1204"/>
    <w:pPr>
      <w:spacing w:before="0"/>
    </w:pPr>
    <w:rPr>
      <w:rFonts w:eastAsia="Times New Roman"/>
      <w:color w:val="auto"/>
      <w:sz w:val="22"/>
      <w:szCs w:val="22"/>
      <w:lang w:val="en-GB"/>
    </w:rPr>
  </w:style>
  <w:style w:type="paragraph" w:customStyle="1" w:styleId="FPIparagraph">
    <w:name w:val="FPI paragraph"/>
    <w:basedOn w:val="Normal"/>
    <w:link w:val="FPIparagraphChar"/>
    <w:qFormat/>
    <w:rsid w:val="007D1204"/>
    <w:pPr>
      <w:spacing w:before="120" w:after="120"/>
    </w:pPr>
    <w:rPr>
      <w:color w:val="auto"/>
      <w:lang w:eastAsia="ja-JP"/>
    </w:rPr>
  </w:style>
  <w:style w:type="character" w:customStyle="1" w:styleId="FPIparagraphChar">
    <w:name w:val="FPI paragraph Char"/>
    <w:link w:val="FPIparagraph"/>
    <w:rsid w:val="007D1204"/>
    <w:rPr>
      <w:rFonts w:ascii="Times New Roman" w:eastAsia="MS Mincho" w:hAnsi="Times New Roman" w:cs="Times New Roman"/>
      <w:sz w:val="24"/>
      <w:szCs w:val="24"/>
      <w:lang w:val="en-US" w:eastAsia="ja-JP"/>
    </w:rPr>
  </w:style>
  <w:style w:type="character" w:customStyle="1" w:styleId="BodytextAgencyChar">
    <w:name w:val="Body text (Agency) Char"/>
    <w:link w:val="BodytextAgency"/>
    <w:locked/>
    <w:rsid w:val="0070445F"/>
    <w:rPr>
      <w:rFonts w:ascii="Verdana" w:eastAsia="Verdana" w:hAnsi="Verdana" w:cs="Verdana"/>
      <w:sz w:val="18"/>
      <w:szCs w:val="18"/>
      <w:lang w:val="en-GB" w:eastAsia="en-GB"/>
    </w:rPr>
  </w:style>
  <w:style w:type="paragraph" w:customStyle="1" w:styleId="BodytextAgency">
    <w:name w:val="Body text (Agency)"/>
    <w:basedOn w:val="Normal"/>
    <w:link w:val="BodytextAgencyChar"/>
    <w:rsid w:val="0070445F"/>
    <w:pPr>
      <w:spacing w:before="0" w:after="140" w:line="280" w:lineRule="atLeast"/>
    </w:pPr>
    <w:rPr>
      <w:rFonts w:ascii="Verdana" w:eastAsia="Verdana" w:hAnsi="Verdana" w:cs="Verdana"/>
      <w:color w:val="auto"/>
      <w:sz w:val="18"/>
      <w:szCs w:val="18"/>
      <w:lang w:val="en-GB" w:eastAsia="en-GB"/>
    </w:rPr>
  </w:style>
  <w:style w:type="paragraph" w:styleId="CommentSubject">
    <w:name w:val="annotation subject"/>
    <w:basedOn w:val="CommentText"/>
    <w:next w:val="CommentText"/>
    <w:link w:val="CommentSubjectChar"/>
    <w:uiPriority w:val="99"/>
    <w:semiHidden/>
    <w:unhideWhenUsed/>
    <w:rsid w:val="00563625"/>
    <w:rPr>
      <w:rFonts w:ascii="Times New Roman" w:hAnsi="Times New Roman"/>
      <w:b/>
      <w:bCs/>
    </w:rPr>
  </w:style>
  <w:style w:type="character" w:customStyle="1" w:styleId="CommentSubjectChar">
    <w:name w:val="Comment Subject Char"/>
    <w:basedOn w:val="CommentTextChar"/>
    <w:link w:val="CommentSubject"/>
    <w:uiPriority w:val="99"/>
    <w:semiHidden/>
    <w:rsid w:val="00563625"/>
    <w:rPr>
      <w:rFonts w:ascii="Times New Roman" w:eastAsia="MS Mincho" w:hAnsi="Times New Roman" w:cs="Times New Roman"/>
      <w:b/>
      <w:bCs/>
      <w:color w:val="000000"/>
      <w:sz w:val="20"/>
      <w:szCs w:val="20"/>
      <w:lang w:val="en-US"/>
    </w:rPr>
  </w:style>
  <w:style w:type="paragraph" w:customStyle="1" w:styleId="Default">
    <w:name w:val="Default"/>
    <w:rsid w:val="00384ED5"/>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5A5380"/>
    <w:pPr>
      <w:spacing w:after="0" w:line="240" w:lineRule="auto"/>
    </w:pPr>
    <w:rPr>
      <w:rFonts w:ascii="Times New Roman" w:eastAsia="MS Mincho" w:hAnsi="Times New Roman" w:cs="Times New Roman"/>
      <w:color w:val="000000"/>
      <w:sz w:val="24"/>
      <w:szCs w:val="24"/>
      <w:lang w:val="en-US"/>
    </w:rPr>
  </w:style>
  <w:style w:type="table" w:styleId="TableGrid">
    <w:name w:val="Table Grid"/>
    <w:basedOn w:val="TableNormal"/>
    <w:uiPriority w:val="59"/>
    <w:rsid w:val="00E32E2F"/>
    <w:pPr>
      <w:spacing w:after="0" w:line="240" w:lineRule="auto"/>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2858">
      <w:bodyDiv w:val="1"/>
      <w:marLeft w:val="0"/>
      <w:marRight w:val="0"/>
      <w:marTop w:val="0"/>
      <w:marBottom w:val="0"/>
      <w:divBdr>
        <w:top w:val="none" w:sz="0" w:space="0" w:color="auto"/>
        <w:left w:val="none" w:sz="0" w:space="0" w:color="auto"/>
        <w:bottom w:val="none" w:sz="0" w:space="0" w:color="auto"/>
        <w:right w:val="none" w:sz="0" w:space="0" w:color="auto"/>
      </w:divBdr>
    </w:div>
    <w:div w:id="47340426">
      <w:bodyDiv w:val="1"/>
      <w:marLeft w:val="0"/>
      <w:marRight w:val="0"/>
      <w:marTop w:val="0"/>
      <w:marBottom w:val="0"/>
      <w:divBdr>
        <w:top w:val="none" w:sz="0" w:space="0" w:color="auto"/>
        <w:left w:val="none" w:sz="0" w:space="0" w:color="auto"/>
        <w:bottom w:val="none" w:sz="0" w:space="0" w:color="auto"/>
        <w:right w:val="none" w:sz="0" w:space="0" w:color="auto"/>
      </w:divBdr>
    </w:div>
    <w:div w:id="151223173">
      <w:bodyDiv w:val="1"/>
      <w:marLeft w:val="0"/>
      <w:marRight w:val="0"/>
      <w:marTop w:val="0"/>
      <w:marBottom w:val="0"/>
      <w:divBdr>
        <w:top w:val="none" w:sz="0" w:space="0" w:color="auto"/>
        <w:left w:val="none" w:sz="0" w:space="0" w:color="auto"/>
        <w:bottom w:val="none" w:sz="0" w:space="0" w:color="auto"/>
        <w:right w:val="none" w:sz="0" w:space="0" w:color="auto"/>
      </w:divBdr>
    </w:div>
    <w:div w:id="318658512">
      <w:bodyDiv w:val="1"/>
      <w:marLeft w:val="0"/>
      <w:marRight w:val="0"/>
      <w:marTop w:val="0"/>
      <w:marBottom w:val="0"/>
      <w:divBdr>
        <w:top w:val="none" w:sz="0" w:space="0" w:color="auto"/>
        <w:left w:val="none" w:sz="0" w:space="0" w:color="auto"/>
        <w:bottom w:val="none" w:sz="0" w:space="0" w:color="auto"/>
        <w:right w:val="none" w:sz="0" w:space="0" w:color="auto"/>
      </w:divBdr>
    </w:div>
    <w:div w:id="394134280">
      <w:bodyDiv w:val="1"/>
      <w:marLeft w:val="0"/>
      <w:marRight w:val="0"/>
      <w:marTop w:val="0"/>
      <w:marBottom w:val="0"/>
      <w:divBdr>
        <w:top w:val="none" w:sz="0" w:space="0" w:color="auto"/>
        <w:left w:val="none" w:sz="0" w:space="0" w:color="auto"/>
        <w:bottom w:val="none" w:sz="0" w:space="0" w:color="auto"/>
        <w:right w:val="none" w:sz="0" w:space="0" w:color="auto"/>
      </w:divBdr>
    </w:div>
    <w:div w:id="463234253">
      <w:bodyDiv w:val="1"/>
      <w:marLeft w:val="0"/>
      <w:marRight w:val="0"/>
      <w:marTop w:val="0"/>
      <w:marBottom w:val="0"/>
      <w:divBdr>
        <w:top w:val="none" w:sz="0" w:space="0" w:color="auto"/>
        <w:left w:val="none" w:sz="0" w:space="0" w:color="auto"/>
        <w:bottom w:val="none" w:sz="0" w:space="0" w:color="auto"/>
        <w:right w:val="none" w:sz="0" w:space="0" w:color="auto"/>
      </w:divBdr>
    </w:div>
    <w:div w:id="725908048">
      <w:bodyDiv w:val="1"/>
      <w:marLeft w:val="0"/>
      <w:marRight w:val="0"/>
      <w:marTop w:val="0"/>
      <w:marBottom w:val="0"/>
      <w:divBdr>
        <w:top w:val="none" w:sz="0" w:space="0" w:color="auto"/>
        <w:left w:val="none" w:sz="0" w:space="0" w:color="auto"/>
        <w:bottom w:val="none" w:sz="0" w:space="0" w:color="auto"/>
        <w:right w:val="none" w:sz="0" w:space="0" w:color="auto"/>
      </w:divBdr>
    </w:div>
    <w:div w:id="738214353">
      <w:bodyDiv w:val="1"/>
      <w:marLeft w:val="0"/>
      <w:marRight w:val="0"/>
      <w:marTop w:val="0"/>
      <w:marBottom w:val="0"/>
      <w:divBdr>
        <w:top w:val="none" w:sz="0" w:space="0" w:color="auto"/>
        <w:left w:val="none" w:sz="0" w:space="0" w:color="auto"/>
        <w:bottom w:val="none" w:sz="0" w:space="0" w:color="auto"/>
        <w:right w:val="none" w:sz="0" w:space="0" w:color="auto"/>
      </w:divBdr>
    </w:div>
    <w:div w:id="744767827">
      <w:bodyDiv w:val="1"/>
      <w:marLeft w:val="0"/>
      <w:marRight w:val="0"/>
      <w:marTop w:val="0"/>
      <w:marBottom w:val="0"/>
      <w:divBdr>
        <w:top w:val="none" w:sz="0" w:space="0" w:color="auto"/>
        <w:left w:val="none" w:sz="0" w:space="0" w:color="auto"/>
        <w:bottom w:val="none" w:sz="0" w:space="0" w:color="auto"/>
        <w:right w:val="none" w:sz="0" w:space="0" w:color="auto"/>
      </w:divBdr>
    </w:div>
    <w:div w:id="747389320">
      <w:bodyDiv w:val="1"/>
      <w:marLeft w:val="0"/>
      <w:marRight w:val="0"/>
      <w:marTop w:val="0"/>
      <w:marBottom w:val="0"/>
      <w:divBdr>
        <w:top w:val="none" w:sz="0" w:space="0" w:color="auto"/>
        <w:left w:val="none" w:sz="0" w:space="0" w:color="auto"/>
        <w:bottom w:val="none" w:sz="0" w:space="0" w:color="auto"/>
        <w:right w:val="none" w:sz="0" w:space="0" w:color="auto"/>
      </w:divBdr>
    </w:div>
    <w:div w:id="782922117">
      <w:bodyDiv w:val="1"/>
      <w:marLeft w:val="0"/>
      <w:marRight w:val="0"/>
      <w:marTop w:val="0"/>
      <w:marBottom w:val="0"/>
      <w:divBdr>
        <w:top w:val="none" w:sz="0" w:space="0" w:color="auto"/>
        <w:left w:val="none" w:sz="0" w:space="0" w:color="auto"/>
        <w:bottom w:val="none" w:sz="0" w:space="0" w:color="auto"/>
        <w:right w:val="none" w:sz="0" w:space="0" w:color="auto"/>
      </w:divBdr>
    </w:div>
    <w:div w:id="849293124">
      <w:bodyDiv w:val="1"/>
      <w:marLeft w:val="0"/>
      <w:marRight w:val="0"/>
      <w:marTop w:val="0"/>
      <w:marBottom w:val="0"/>
      <w:divBdr>
        <w:top w:val="none" w:sz="0" w:space="0" w:color="auto"/>
        <w:left w:val="none" w:sz="0" w:space="0" w:color="auto"/>
        <w:bottom w:val="none" w:sz="0" w:space="0" w:color="auto"/>
        <w:right w:val="none" w:sz="0" w:space="0" w:color="auto"/>
      </w:divBdr>
    </w:div>
    <w:div w:id="907032267">
      <w:bodyDiv w:val="1"/>
      <w:marLeft w:val="0"/>
      <w:marRight w:val="0"/>
      <w:marTop w:val="0"/>
      <w:marBottom w:val="0"/>
      <w:divBdr>
        <w:top w:val="none" w:sz="0" w:space="0" w:color="auto"/>
        <w:left w:val="none" w:sz="0" w:space="0" w:color="auto"/>
        <w:bottom w:val="none" w:sz="0" w:space="0" w:color="auto"/>
        <w:right w:val="none" w:sz="0" w:space="0" w:color="auto"/>
      </w:divBdr>
    </w:div>
    <w:div w:id="919680212">
      <w:bodyDiv w:val="1"/>
      <w:marLeft w:val="0"/>
      <w:marRight w:val="0"/>
      <w:marTop w:val="0"/>
      <w:marBottom w:val="0"/>
      <w:divBdr>
        <w:top w:val="none" w:sz="0" w:space="0" w:color="auto"/>
        <w:left w:val="none" w:sz="0" w:space="0" w:color="auto"/>
        <w:bottom w:val="none" w:sz="0" w:space="0" w:color="auto"/>
        <w:right w:val="none" w:sz="0" w:space="0" w:color="auto"/>
      </w:divBdr>
    </w:div>
    <w:div w:id="923613280">
      <w:bodyDiv w:val="1"/>
      <w:marLeft w:val="0"/>
      <w:marRight w:val="0"/>
      <w:marTop w:val="0"/>
      <w:marBottom w:val="0"/>
      <w:divBdr>
        <w:top w:val="none" w:sz="0" w:space="0" w:color="auto"/>
        <w:left w:val="none" w:sz="0" w:space="0" w:color="auto"/>
        <w:bottom w:val="none" w:sz="0" w:space="0" w:color="auto"/>
        <w:right w:val="none" w:sz="0" w:space="0" w:color="auto"/>
      </w:divBdr>
    </w:div>
    <w:div w:id="932277921">
      <w:bodyDiv w:val="1"/>
      <w:marLeft w:val="0"/>
      <w:marRight w:val="0"/>
      <w:marTop w:val="0"/>
      <w:marBottom w:val="0"/>
      <w:divBdr>
        <w:top w:val="none" w:sz="0" w:space="0" w:color="auto"/>
        <w:left w:val="none" w:sz="0" w:space="0" w:color="auto"/>
        <w:bottom w:val="none" w:sz="0" w:space="0" w:color="auto"/>
        <w:right w:val="none" w:sz="0" w:space="0" w:color="auto"/>
      </w:divBdr>
    </w:div>
    <w:div w:id="1028915852">
      <w:bodyDiv w:val="1"/>
      <w:marLeft w:val="0"/>
      <w:marRight w:val="0"/>
      <w:marTop w:val="0"/>
      <w:marBottom w:val="0"/>
      <w:divBdr>
        <w:top w:val="none" w:sz="0" w:space="0" w:color="auto"/>
        <w:left w:val="none" w:sz="0" w:space="0" w:color="auto"/>
        <w:bottom w:val="none" w:sz="0" w:space="0" w:color="auto"/>
        <w:right w:val="none" w:sz="0" w:space="0" w:color="auto"/>
      </w:divBdr>
    </w:div>
    <w:div w:id="1095441539">
      <w:bodyDiv w:val="1"/>
      <w:marLeft w:val="0"/>
      <w:marRight w:val="0"/>
      <w:marTop w:val="0"/>
      <w:marBottom w:val="0"/>
      <w:divBdr>
        <w:top w:val="none" w:sz="0" w:space="0" w:color="auto"/>
        <w:left w:val="none" w:sz="0" w:space="0" w:color="auto"/>
        <w:bottom w:val="none" w:sz="0" w:space="0" w:color="auto"/>
        <w:right w:val="none" w:sz="0" w:space="0" w:color="auto"/>
      </w:divBdr>
    </w:div>
    <w:div w:id="1103961250">
      <w:bodyDiv w:val="1"/>
      <w:marLeft w:val="0"/>
      <w:marRight w:val="0"/>
      <w:marTop w:val="0"/>
      <w:marBottom w:val="0"/>
      <w:divBdr>
        <w:top w:val="none" w:sz="0" w:space="0" w:color="auto"/>
        <w:left w:val="none" w:sz="0" w:space="0" w:color="auto"/>
        <w:bottom w:val="none" w:sz="0" w:space="0" w:color="auto"/>
        <w:right w:val="none" w:sz="0" w:space="0" w:color="auto"/>
      </w:divBdr>
    </w:div>
    <w:div w:id="1131872564">
      <w:bodyDiv w:val="1"/>
      <w:marLeft w:val="0"/>
      <w:marRight w:val="0"/>
      <w:marTop w:val="0"/>
      <w:marBottom w:val="0"/>
      <w:divBdr>
        <w:top w:val="none" w:sz="0" w:space="0" w:color="auto"/>
        <w:left w:val="none" w:sz="0" w:space="0" w:color="auto"/>
        <w:bottom w:val="none" w:sz="0" w:space="0" w:color="auto"/>
        <w:right w:val="none" w:sz="0" w:space="0" w:color="auto"/>
      </w:divBdr>
    </w:div>
    <w:div w:id="1160196553">
      <w:bodyDiv w:val="1"/>
      <w:marLeft w:val="0"/>
      <w:marRight w:val="0"/>
      <w:marTop w:val="0"/>
      <w:marBottom w:val="0"/>
      <w:divBdr>
        <w:top w:val="none" w:sz="0" w:space="0" w:color="auto"/>
        <w:left w:val="none" w:sz="0" w:space="0" w:color="auto"/>
        <w:bottom w:val="none" w:sz="0" w:space="0" w:color="auto"/>
        <w:right w:val="none" w:sz="0" w:space="0" w:color="auto"/>
      </w:divBdr>
    </w:div>
    <w:div w:id="1202785346">
      <w:bodyDiv w:val="1"/>
      <w:marLeft w:val="0"/>
      <w:marRight w:val="0"/>
      <w:marTop w:val="0"/>
      <w:marBottom w:val="0"/>
      <w:divBdr>
        <w:top w:val="none" w:sz="0" w:space="0" w:color="auto"/>
        <w:left w:val="none" w:sz="0" w:space="0" w:color="auto"/>
        <w:bottom w:val="none" w:sz="0" w:space="0" w:color="auto"/>
        <w:right w:val="none" w:sz="0" w:space="0" w:color="auto"/>
      </w:divBdr>
    </w:div>
    <w:div w:id="1219056177">
      <w:bodyDiv w:val="1"/>
      <w:marLeft w:val="0"/>
      <w:marRight w:val="0"/>
      <w:marTop w:val="0"/>
      <w:marBottom w:val="0"/>
      <w:divBdr>
        <w:top w:val="none" w:sz="0" w:space="0" w:color="auto"/>
        <w:left w:val="none" w:sz="0" w:space="0" w:color="auto"/>
        <w:bottom w:val="none" w:sz="0" w:space="0" w:color="auto"/>
        <w:right w:val="none" w:sz="0" w:space="0" w:color="auto"/>
      </w:divBdr>
    </w:div>
    <w:div w:id="1264338060">
      <w:bodyDiv w:val="1"/>
      <w:marLeft w:val="0"/>
      <w:marRight w:val="0"/>
      <w:marTop w:val="0"/>
      <w:marBottom w:val="0"/>
      <w:divBdr>
        <w:top w:val="none" w:sz="0" w:space="0" w:color="auto"/>
        <w:left w:val="none" w:sz="0" w:space="0" w:color="auto"/>
        <w:bottom w:val="none" w:sz="0" w:space="0" w:color="auto"/>
        <w:right w:val="none" w:sz="0" w:space="0" w:color="auto"/>
      </w:divBdr>
    </w:div>
    <w:div w:id="1394739303">
      <w:bodyDiv w:val="1"/>
      <w:marLeft w:val="0"/>
      <w:marRight w:val="0"/>
      <w:marTop w:val="0"/>
      <w:marBottom w:val="0"/>
      <w:divBdr>
        <w:top w:val="none" w:sz="0" w:space="0" w:color="auto"/>
        <w:left w:val="none" w:sz="0" w:space="0" w:color="auto"/>
        <w:bottom w:val="none" w:sz="0" w:space="0" w:color="auto"/>
        <w:right w:val="none" w:sz="0" w:space="0" w:color="auto"/>
      </w:divBdr>
    </w:div>
    <w:div w:id="1414280446">
      <w:bodyDiv w:val="1"/>
      <w:marLeft w:val="0"/>
      <w:marRight w:val="0"/>
      <w:marTop w:val="0"/>
      <w:marBottom w:val="0"/>
      <w:divBdr>
        <w:top w:val="none" w:sz="0" w:space="0" w:color="auto"/>
        <w:left w:val="none" w:sz="0" w:space="0" w:color="auto"/>
        <w:bottom w:val="none" w:sz="0" w:space="0" w:color="auto"/>
        <w:right w:val="none" w:sz="0" w:space="0" w:color="auto"/>
      </w:divBdr>
    </w:div>
    <w:div w:id="1472406830">
      <w:bodyDiv w:val="1"/>
      <w:marLeft w:val="0"/>
      <w:marRight w:val="0"/>
      <w:marTop w:val="0"/>
      <w:marBottom w:val="0"/>
      <w:divBdr>
        <w:top w:val="none" w:sz="0" w:space="0" w:color="auto"/>
        <w:left w:val="none" w:sz="0" w:space="0" w:color="auto"/>
        <w:bottom w:val="none" w:sz="0" w:space="0" w:color="auto"/>
        <w:right w:val="none" w:sz="0" w:space="0" w:color="auto"/>
      </w:divBdr>
    </w:div>
    <w:div w:id="1553925625">
      <w:bodyDiv w:val="1"/>
      <w:marLeft w:val="0"/>
      <w:marRight w:val="0"/>
      <w:marTop w:val="0"/>
      <w:marBottom w:val="0"/>
      <w:divBdr>
        <w:top w:val="none" w:sz="0" w:space="0" w:color="auto"/>
        <w:left w:val="none" w:sz="0" w:space="0" w:color="auto"/>
        <w:bottom w:val="none" w:sz="0" w:space="0" w:color="auto"/>
        <w:right w:val="none" w:sz="0" w:space="0" w:color="auto"/>
      </w:divBdr>
    </w:div>
    <w:div w:id="1575582468">
      <w:bodyDiv w:val="1"/>
      <w:marLeft w:val="0"/>
      <w:marRight w:val="0"/>
      <w:marTop w:val="0"/>
      <w:marBottom w:val="0"/>
      <w:divBdr>
        <w:top w:val="none" w:sz="0" w:space="0" w:color="auto"/>
        <w:left w:val="none" w:sz="0" w:space="0" w:color="auto"/>
        <w:bottom w:val="none" w:sz="0" w:space="0" w:color="auto"/>
        <w:right w:val="none" w:sz="0" w:space="0" w:color="auto"/>
      </w:divBdr>
    </w:div>
    <w:div w:id="1687634646">
      <w:bodyDiv w:val="1"/>
      <w:marLeft w:val="0"/>
      <w:marRight w:val="0"/>
      <w:marTop w:val="0"/>
      <w:marBottom w:val="0"/>
      <w:divBdr>
        <w:top w:val="none" w:sz="0" w:space="0" w:color="auto"/>
        <w:left w:val="none" w:sz="0" w:space="0" w:color="auto"/>
        <w:bottom w:val="none" w:sz="0" w:space="0" w:color="auto"/>
        <w:right w:val="none" w:sz="0" w:space="0" w:color="auto"/>
      </w:divBdr>
    </w:div>
    <w:div w:id="1734505042">
      <w:bodyDiv w:val="1"/>
      <w:marLeft w:val="0"/>
      <w:marRight w:val="0"/>
      <w:marTop w:val="0"/>
      <w:marBottom w:val="0"/>
      <w:divBdr>
        <w:top w:val="none" w:sz="0" w:space="0" w:color="auto"/>
        <w:left w:val="none" w:sz="0" w:space="0" w:color="auto"/>
        <w:bottom w:val="none" w:sz="0" w:space="0" w:color="auto"/>
        <w:right w:val="none" w:sz="0" w:space="0" w:color="auto"/>
      </w:divBdr>
    </w:div>
    <w:div w:id="1791434409">
      <w:bodyDiv w:val="1"/>
      <w:marLeft w:val="0"/>
      <w:marRight w:val="0"/>
      <w:marTop w:val="0"/>
      <w:marBottom w:val="0"/>
      <w:divBdr>
        <w:top w:val="none" w:sz="0" w:space="0" w:color="auto"/>
        <w:left w:val="none" w:sz="0" w:space="0" w:color="auto"/>
        <w:bottom w:val="none" w:sz="0" w:space="0" w:color="auto"/>
        <w:right w:val="none" w:sz="0" w:space="0" w:color="auto"/>
      </w:divBdr>
    </w:div>
    <w:div w:id="1895651617">
      <w:bodyDiv w:val="1"/>
      <w:marLeft w:val="0"/>
      <w:marRight w:val="0"/>
      <w:marTop w:val="0"/>
      <w:marBottom w:val="0"/>
      <w:divBdr>
        <w:top w:val="none" w:sz="0" w:space="0" w:color="auto"/>
        <w:left w:val="none" w:sz="0" w:space="0" w:color="auto"/>
        <w:bottom w:val="none" w:sz="0" w:space="0" w:color="auto"/>
        <w:right w:val="none" w:sz="0" w:space="0" w:color="auto"/>
      </w:divBdr>
    </w:div>
    <w:div w:id="1958026065">
      <w:bodyDiv w:val="1"/>
      <w:marLeft w:val="0"/>
      <w:marRight w:val="0"/>
      <w:marTop w:val="0"/>
      <w:marBottom w:val="0"/>
      <w:divBdr>
        <w:top w:val="none" w:sz="0" w:space="0" w:color="auto"/>
        <w:left w:val="none" w:sz="0" w:space="0" w:color="auto"/>
        <w:bottom w:val="none" w:sz="0" w:space="0" w:color="auto"/>
        <w:right w:val="none" w:sz="0" w:space="0" w:color="auto"/>
      </w:divBdr>
    </w:div>
    <w:div w:id="212704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zphvc.otago.ac.nz/report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a.gov.au/reporting-problem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2485D9C0D3864F9C22748C2F095968" ma:contentTypeVersion="8" ma:contentTypeDescription="Create a new document." ma:contentTypeScope="" ma:versionID="f38fedcefa7272cce592df158e30dda6">
  <xsd:schema xmlns:xsd="http://www.w3.org/2001/XMLSchema" xmlns:xs="http://www.w3.org/2001/XMLSchema" xmlns:p="http://schemas.microsoft.com/office/2006/metadata/properties" xmlns:ns3="3fcf780a-a6c4-453c-b712-0ca8e82513ae" targetNamespace="http://schemas.microsoft.com/office/2006/metadata/properties" ma:root="true" ma:fieldsID="49b64c49c878c375af2fe0d5cb4a3a26" ns3:_="">
    <xsd:import namespace="3fcf780a-a6c4-453c-b712-0ca8e82513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f780a-a6c4-453c-b712-0ca8e82513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C4C5B-3F7D-4230-BD17-DF3791373BF7}">
  <ds:schemaRefs>
    <ds:schemaRef ds:uri="http://schemas.microsoft.com/sharepoint/v3/contenttype/forms"/>
  </ds:schemaRefs>
</ds:datastoreItem>
</file>

<file path=customXml/itemProps2.xml><?xml version="1.0" encoding="utf-8"?>
<ds:datastoreItem xmlns:ds="http://schemas.openxmlformats.org/officeDocument/2006/customXml" ds:itemID="{0272452B-14A6-40D5-97D9-C65CDFF51A34}">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3fcf780a-a6c4-453c-b712-0ca8e82513ae"/>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7573C3FD-8B2A-4C7D-BE4E-E2A761B0C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f780a-a6c4-453c-b712-0ca8e8251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6D311D-A94B-4533-84E7-77CE9780A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20</Pages>
  <Words>6458</Words>
  <Characters>36943</Characters>
  <Application>Microsoft Office Word</Application>
  <DocSecurity>0</DocSecurity>
  <Lines>901</Lines>
  <Paragraphs>542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Attachment: Product Information for Isatuximab</vt:lpstr>
      <vt:lpstr/>
    </vt:vector>
  </TitlesOfParts>
  <Company/>
  <LinksUpToDate>false</LinksUpToDate>
  <CharactersWithSpaces>42859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Isatuximab</dc:title>
  <dc:subject>prescription medicines</dc:subject>
  <dc:creator/>
  <cp:keywords/>
  <dc:description/>
  <cp:lastPrinted>2020-03-10T17:20:00Z</cp:lastPrinted>
  <dcterms:created xsi:type="dcterms:W3CDTF">2020-11-11T01:11:00Z</dcterms:created>
  <dcterms:modified xsi:type="dcterms:W3CDTF">2020-11-11T02:28:00Z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Type of Document</vt:lpwstr>
  </property>
  <property fmtid="{D5CDD505-2E9C-101B-9397-08002B2CF9AE}" pid="3" name="INN">
    <vt:lpwstr>INN</vt:lpwstr>
  </property>
  <property fmtid="{D5CDD505-2E9C-101B-9397-08002B2CF9AE}" pid="4" name="Date">
    <vt:lpwstr>Date</vt:lpwstr>
  </property>
  <property fmtid="{D5CDD505-2E9C-101B-9397-08002B2CF9AE}" pid="5" name="Product Code">
    <vt:lpwstr>Product Code / Study Number</vt:lpwstr>
  </property>
  <property fmtid="{D5CDD505-2E9C-101B-9397-08002B2CF9AE}" pid="6" name="LastRefNum">
    <vt:i4>0</vt:i4>
  </property>
  <property fmtid="{D5CDD505-2E9C-101B-9397-08002B2CF9AE}" pid="7" name="https">
    <vt:lpwstr>1</vt:lpwstr>
  </property>
  <property fmtid="{D5CDD505-2E9C-101B-9397-08002B2CF9AE}" pid="8" name="Custom1">
    <vt:lpwstr/>
  </property>
  <property fmtid="{D5CDD505-2E9C-101B-9397-08002B2CF9AE}" pid="9" name="Custom2">
    <vt:lpwstr/>
  </property>
  <property fmtid="{D5CDD505-2E9C-101B-9397-08002B2CF9AE}" pid="10" name="Custom3">
    <vt:lpwstr/>
  </property>
  <property fmtid="{D5CDD505-2E9C-101B-9397-08002B2CF9AE}" pid="11" name="Custom4">
    <vt:lpwstr/>
  </property>
  <property fmtid="{D5CDD505-2E9C-101B-9397-08002B2CF9AE}" pid="12" name="_NewReviewCycle">
    <vt:lpwstr/>
  </property>
  <property fmtid="{D5CDD505-2E9C-101B-9397-08002B2CF9AE}" pid="13" name="ContentTypeId">
    <vt:lpwstr>0x0101008B2485D9C0D3864F9C22748C2F095968</vt:lpwstr>
  </property>
  <property fmtid="{D5CDD505-2E9C-101B-9397-08002B2CF9AE}" pid="14" name="_AdHocReviewCycleID">
    <vt:i4>-128799989</vt:i4>
  </property>
  <property fmtid="{D5CDD505-2E9C-101B-9397-08002B2CF9AE}" pid="15" name="_EmailSubject">
    <vt:lpwstr>Sarclisa AU TGA Delegate Overview and Request for ACM meeting - Responses for your review BY TOMORROW</vt:lpwstr>
  </property>
  <property fmtid="{D5CDD505-2E9C-101B-9397-08002B2CF9AE}" pid="16" name="_AuthorEmail">
    <vt:lpwstr>Vanina.Groult@sanofi.com</vt:lpwstr>
  </property>
  <property fmtid="{D5CDD505-2E9C-101B-9397-08002B2CF9AE}" pid="17" name="_AuthorEmailDisplayName">
    <vt:lpwstr>Groult, Vanina /FR</vt:lpwstr>
  </property>
  <property fmtid="{D5CDD505-2E9C-101B-9397-08002B2CF9AE}" pid="18" name="_ReviewingToolsShownOnce">
    <vt:lpwstr/>
  </property>
</Properties>
</file>