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7"/>
      </w:tblGrid>
      <w:tr w:rsidR="008E7846" w:rsidRPr="00487162" w:rsidTr="00A440E9">
        <w:trPr>
          <w:trHeight w:val="1863"/>
        </w:trPr>
        <w:tc>
          <w:tcPr>
            <w:tcW w:w="6487" w:type="dxa"/>
            <w:tcBorders>
              <w:top w:val="nil"/>
              <w:left w:val="nil"/>
              <w:bottom w:val="nil"/>
              <w:right w:val="nil"/>
            </w:tcBorders>
          </w:tcPr>
          <w:p w:rsidR="008E7846" w:rsidRPr="0017078F" w:rsidRDefault="00A440E9" w:rsidP="00A440E9">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22 November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A440E9">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A440E9">
              <w:rPr>
                <w:color w:val="FFFFFF" w:themeColor="background1"/>
              </w:rPr>
              <w:t>Ivacaftor</w:t>
            </w:r>
          </w:p>
        </w:tc>
      </w:tr>
      <w:tr w:rsidR="00E07F15" w:rsidRPr="00B64760" w:rsidTr="00E07F15">
        <w:tc>
          <w:tcPr>
            <w:tcW w:w="9079" w:type="dxa"/>
          </w:tcPr>
          <w:p w:rsidR="00E07F15" w:rsidRPr="008E7846" w:rsidRDefault="00E07F15" w:rsidP="00A440E9">
            <w:pPr>
              <w:pStyle w:val="Subtitle"/>
              <w:rPr>
                <w:color w:val="FFFFFF" w:themeColor="background1"/>
              </w:rPr>
            </w:pPr>
            <w:r w:rsidRPr="008E7846">
              <w:rPr>
                <w:color w:val="FFFFFF" w:themeColor="background1"/>
              </w:rPr>
              <w:t xml:space="preserve">Proprietary Product Name: </w:t>
            </w:r>
            <w:proofErr w:type="spellStart"/>
            <w:r w:rsidR="00A440E9">
              <w:rPr>
                <w:color w:val="FFFFFF" w:themeColor="background1"/>
              </w:rPr>
              <w:t>Kalydeco</w:t>
            </w:r>
            <w:proofErr w:type="spellEnd"/>
          </w:p>
        </w:tc>
      </w:tr>
      <w:tr w:rsidR="00E07F15" w:rsidRPr="00B64760" w:rsidTr="00E07F15">
        <w:trPr>
          <w:trHeight w:val="486"/>
        </w:trPr>
        <w:tc>
          <w:tcPr>
            <w:tcW w:w="9079" w:type="dxa"/>
          </w:tcPr>
          <w:p w:rsidR="00E07F15" w:rsidRPr="008E7846" w:rsidRDefault="00E07F15" w:rsidP="00A440E9">
            <w:pPr>
              <w:pStyle w:val="Subtitle"/>
              <w:rPr>
                <w:color w:val="FFFFFF" w:themeColor="background1"/>
              </w:rPr>
            </w:pPr>
            <w:r w:rsidRPr="008E7846">
              <w:rPr>
                <w:color w:val="FFFFFF" w:themeColor="background1"/>
              </w:rPr>
              <w:t xml:space="preserve">Sponsor: </w:t>
            </w:r>
            <w:r w:rsidR="00A440E9">
              <w:rPr>
                <w:color w:val="FFFFFF" w:themeColor="background1"/>
              </w:rPr>
              <w:t>Vertex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4F587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4F587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F587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F587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F5877">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r w:rsidR="002C52F7">
        <w:t xml:space="preserve"> Minor errors in this report as notified by the sponsor have been corrected.</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276B7" w:rsidRDefault="00E0751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5055413" w:history="1">
            <w:r w:rsidR="005276B7" w:rsidRPr="00AE668B">
              <w:rPr>
                <w:rStyle w:val="Hyperlink"/>
                <w:noProof/>
              </w:rPr>
              <w:t>List of abbreviations</w:t>
            </w:r>
            <w:r w:rsidR="005276B7">
              <w:rPr>
                <w:noProof/>
                <w:webHidden/>
              </w:rPr>
              <w:tab/>
            </w:r>
            <w:r w:rsidR="005276B7">
              <w:rPr>
                <w:noProof/>
                <w:webHidden/>
              </w:rPr>
              <w:fldChar w:fldCharType="begin"/>
            </w:r>
            <w:r w:rsidR="005276B7">
              <w:rPr>
                <w:noProof/>
                <w:webHidden/>
              </w:rPr>
              <w:instrText xml:space="preserve"> PAGEREF _Toc375055413 \h </w:instrText>
            </w:r>
            <w:r w:rsidR="005276B7">
              <w:rPr>
                <w:noProof/>
                <w:webHidden/>
              </w:rPr>
            </w:r>
            <w:r w:rsidR="005276B7">
              <w:rPr>
                <w:noProof/>
                <w:webHidden/>
              </w:rPr>
              <w:fldChar w:fldCharType="separate"/>
            </w:r>
            <w:r w:rsidR="005276B7">
              <w:rPr>
                <w:noProof/>
                <w:webHidden/>
              </w:rPr>
              <w:t>4</w:t>
            </w:r>
            <w:r w:rsidR="005276B7">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14" w:history="1">
            <w:r w:rsidRPr="00AE668B">
              <w:rPr>
                <w:rStyle w:val="Hyperlink"/>
                <w:noProof/>
                <w:lang w:eastAsia="en-AU"/>
              </w:rPr>
              <w:t>1.</w:t>
            </w:r>
            <w:r>
              <w:rPr>
                <w:rFonts w:asciiTheme="minorHAnsi" w:eastAsiaTheme="minorEastAsia" w:hAnsiTheme="minorHAnsi" w:cstheme="minorBidi"/>
                <w:b w:val="0"/>
                <w:noProof/>
                <w:sz w:val="22"/>
                <w:lang w:eastAsia="en-AU"/>
              </w:rPr>
              <w:tab/>
            </w:r>
            <w:r w:rsidRPr="00AE668B">
              <w:rPr>
                <w:rStyle w:val="Hyperlink"/>
                <w:noProof/>
                <w:lang w:eastAsia="en-AU"/>
              </w:rPr>
              <w:t>Introduction</w:t>
            </w:r>
            <w:r>
              <w:rPr>
                <w:noProof/>
                <w:webHidden/>
              </w:rPr>
              <w:tab/>
            </w:r>
            <w:r>
              <w:rPr>
                <w:noProof/>
                <w:webHidden/>
              </w:rPr>
              <w:fldChar w:fldCharType="begin"/>
            </w:r>
            <w:r>
              <w:rPr>
                <w:noProof/>
                <w:webHidden/>
              </w:rPr>
              <w:instrText xml:space="preserve"> PAGEREF _Toc375055414 \h </w:instrText>
            </w:r>
            <w:r>
              <w:rPr>
                <w:noProof/>
                <w:webHidden/>
              </w:rPr>
            </w:r>
            <w:r>
              <w:rPr>
                <w:noProof/>
                <w:webHidden/>
              </w:rPr>
              <w:fldChar w:fldCharType="separate"/>
            </w:r>
            <w:r>
              <w:rPr>
                <w:noProof/>
                <w:webHidden/>
              </w:rPr>
              <w:t>8</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15" w:history="1">
            <w:r w:rsidRPr="00AE668B">
              <w:rPr>
                <w:rStyle w:val="Hyperlink"/>
                <w:noProof/>
              </w:rPr>
              <w:t>2.</w:t>
            </w:r>
            <w:r>
              <w:rPr>
                <w:rFonts w:asciiTheme="minorHAnsi" w:eastAsiaTheme="minorEastAsia" w:hAnsiTheme="minorHAnsi" w:cstheme="minorBidi"/>
                <w:b w:val="0"/>
                <w:noProof/>
                <w:sz w:val="22"/>
                <w:lang w:eastAsia="en-AU"/>
              </w:rPr>
              <w:tab/>
            </w:r>
            <w:r w:rsidRPr="00AE668B">
              <w:rPr>
                <w:rStyle w:val="Hyperlink"/>
                <w:noProof/>
              </w:rPr>
              <w:t>Clinical rationale</w:t>
            </w:r>
            <w:r>
              <w:rPr>
                <w:noProof/>
                <w:webHidden/>
              </w:rPr>
              <w:tab/>
            </w:r>
            <w:r>
              <w:rPr>
                <w:noProof/>
                <w:webHidden/>
              </w:rPr>
              <w:fldChar w:fldCharType="begin"/>
            </w:r>
            <w:r>
              <w:rPr>
                <w:noProof/>
                <w:webHidden/>
              </w:rPr>
              <w:instrText xml:space="preserve"> PAGEREF _Toc375055415 \h </w:instrText>
            </w:r>
            <w:r>
              <w:rPr>
                <w:noProof/>
                <w:webHidden/>
              </w:rPr>
            </w:r>
            <w:r>
              <w:rPr>
                <w:noProof/>
                <w:webHidden/>
              </w:rPr>
              <w:fldChar w:fldCharType="separate"/>
            </w:r>
            <w:r>
              <w:rPr>
                <w:noProof/>
                <w:webHidden/>
              </w:rPr>
              <w:t>9</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16" w:history="1">
            <w:r w:rsidRPr="00AE668B">
              <w:rPr>
                <w:rStyle w:val="Hyperlink"/>
                <w:noProof/>
                <w:lang w:eastAsia="en-AU"/>
              </w:rPr>
              <w:t>3.</w:t>
            </w:r>
            <w:r>
              <w:rPr>
                <w:rFonts w:asciiTheme="minorHAnsi" w:eastAsiaTheme="minorEastAsia" w:hAnsiTheme="minorHAnsi" w:cstheme="minorBidi"/>
                <w:b w:val="0"/>
                <w:noProof/>
                <w:sz w:val="22"/>
                <w:lang w:eastAsia="en-AU"/>
              </w:rPr>
              <w:tab/>
            </w:r>
            <w:r w:rsidRPr="00AE668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_Toc375055416 \h </w:instrText>
            </w:r>
            <w:r>
              <w:rPr>
                <w:noProof/>
                <w:webHidden/>
              </w:rPr>
            </w:r>
            <w:r>
              <w:rPr>
                <w:noProof/>
                <w:webHidden/>
              </w:rPr>
              <w:fldChar w:fldCharType="separate"/>
            </w:r>
            <w:r>
              <w:rPr>
                <w:noProof/>
                <w:webHidden/>
              </w:rPr>
              <w:t>9</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17" w:history="1">
            <w:r w:rsidRPr="00AE668B">
              <w:rPr>
                <w:rStyle w:val="Hyperlink"/>
                <w:noProof/>
              </w:rPr>
              <w:t>3.1.</w:t>
            </w:r>
            <w:r>
              <w:rPr>
                <w:rFonts w:asciiTheme="minorHAnsi" w:eastAsiaTheme="minorEastAsia" w:hAnsiTheme="minorHAnsi" w:cstheme="minorBidi"/>
                <w:noProof/>
                <w:lang w:eastAsia="en-AU"/>
              </w:rPr>
              <w:tab/>
            </w:r>
            <w:r w:rsidRPr="00AE668B">
              <w:rPr>
                <w:rStyle w:val="Hyperlink"/>
                <w:noProof/>
              </w:rPr>
              <w:t>Scope of the clinical dossier</w:t>
            </w:r>
            <w:r>
              <w:rPr>
                <w:noProof/>
                <w:webHidden/>
              </w:rPr>
              <w:tab/>
            </w:r>
            <w:r>
              <w:rPr>
                <w:noProof/>
                <w:webHidden/>
              </w:rPr>
              <w:fldChar w:fldCharType="begin"/>
            </w:r>
            <w:r>
              <w:rPr>
                <w:noProof/>
                <w:webHidden/>
              </w:rPr>
              <w:instrText xml:space="preserve"> PAGEREF _Toc375055417 \h </w:instrText>
            </w:r>
            <w:r>
              <w:rPr>
                <w:noProof/>
                <w:webHidden/>
              </w:rPr>
            </w:r>
            <w:r>
              <w:rPr>
                <w:noProof/>
                <w:webHidden/>
              </w:rPr>
              <w:fldChar w:fldCharType="separate"/>
            </w:r>
            <w:r>
              <w:rPr>
                <w:noProof/>
                <w:webHidden/>
              </w:rPr>
              <w:t>9</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18" w:history="1">
            <w:r w:rsidRPr="00AE668B">
              <w:rPr>
                <w:rStyle w:val="Hyperlink"/>
                <w:noProof/>
              </w:rPr>
              <w:t>3.2.</w:t>
            </w:r>
            <w:r>
              <w:rPr>
                <w:rFonts w:asciiTheme="minorHAnsi" w:eastAsiaTheme="minorEastAsia" w:hAnsiTheme="minorHAnsi" w:cstheme="minorBidi"/>
                <w:noProof/>
                <w:lang w:eastAsia="en-AU"/>
              </w:rPr>
              <w:tab/>
            </w:r>
            <w:r w:rsidRPr="00AE668B">
              <w:rPr>
                <w:rStyle w:val="Hyperlink"/>
                <w:noProof/>
              </w:rPr>
              <w:t>Paediatric data</w:t>
            </w:r>
            <w:r>
              <w:rPr>
                <w:noProof/>
                <w:webHidden/>
              </w:rPr>
              <w:tab/>
            </w:r>
            <w:r>
              <w:rPr>
                <w:noProof/>
                <w:webHidden/>
              </w:rPr>
              <w:fldChar w:fldCharType="begin"/>
            </w:r>
            <w:r>
              <w:rPr>
                <w:noProof/>
                <w:webHidden/>
              </w:rPr>
              <w:instrText xml:space="preserve"> PAGEREF _Toc375055418 \h </w:instrText>
            </w:r>
            <w:r>
              <w:rPr>
                <w:noProof/>
                <w:webHidden/>
              </w:rPr>
            </w:r>
            <w:r>
              <w:rPr>
                <w:noProof/>
                <w:webHidden/>
              </w:rPr>
              <w:fldChar w:fldCharType="separate"/>
            </w:r>
            <w:r>
              <w:rPr>
                <w:noProof/>
                <w:webHidden/>
              </w:rPr>
              <w:t>10</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19" w:history="1">
            <w:r w:rsidRPr="00AE668B">
              <w:rPr>
                <w:rStyle w:val="Hyperlink"/>
                <w:noProof/>
              </w:rPr>
              <w:t>3.3.</w:t>
            </w:r>
            <w:r>
              <w:rPr>
                <w:rFonts w:asciiTheme="minorHAnsi" w:eastAsiaTheme="minorEastAsia" w:hAnsiTheme="minorHAnsi" w:cstheme="minorBidi"/>
                <w:noProof/>
                <w:lang w:eastAsia="en-AU"/>
              </w:rPr>
              <w:tab/>
            </w:r>
            <w:r w:rsidRPr="00AE668B">
              <w:rPr>
                <w:rStyle w:val="Hyperlink"/>
                <w:noProof/>
              </w:rPr>
              <w:t>Good clinical practice</w:t>
            </w:r>
            <w:r>
              <w:rPr>
                <w:noProof/>
                <w:webHidden/>
              </w:rPr>
              <w:tab/>
            </w:r>
            <w:r>
              <w:rPr>
                <w:noProof/>
                <w:webHidden/>
              </w:rPr>
              <w:fldChar w:fldCharType="begin"/>
            </w:r>
            <w:r>
              <w:rPr>
                <w:noProof/>
                <w:webHidden/>
              </w:rPr>
              <w:instrText xml:space="preserve"> PAGEREF _Toc375055419 \h </w:instrText>
            </w:r>
            <w:r>
              <w:rPr>
                <w:noProof/>
                <w:webHidden/>
              </w:rPr>
            </w:r>
            <w:r>
              <w:rPr>
                <w:noProof/>
                <w:webHidden/>
              </w:rPr>
              <w:fldChar w:fldCharType="separate"/>
            </w:r>
            <w:r>
              <w:rPr>
                <w:noProof/>
                <w:webHidden/>
              </w:rPr>
              <w:t>10</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20" w:history="1">
            <w:r w:rsidRPr="00AE668B">
              <w:rPr>
                <w:rStyle w:val="Hyperlink"/>
                <w:rFonts w:eastAsia="Calibri"/>
                <w:noProof/>
              </w:rPr>
              <w:t>3.4.</w:t>
            </w:r>
            <w:r>
              <w:rPr>
                <w:rFonts w:asciiTheme="minorHAnsi" w:eastAsiaTheme="minorEastAsia" w:hAnsiTheme="minorHAnsi" w:cstheme="minorBidi"/>
                <w:noProof/>
                <w:lang w:eastAsia="en-AU"/>
              </w:rPr>
              <w:tab/>
            </w:r>
            <w:r w:rsidRPr="00AE668B">
              <w:rPr>
                <w:rStyle w:val="Hyperlink"/>
                <w:rFonts w:eastAsia="Calibri"/>
                <w:noProof/>
              </w:rPr>
              <w:t>Guidance</w:t>
            </w:r>
            <w:r>
              <w:rPr>
                <w:noProof/>
                <w:webHidden/>
              </w:rPr>
              <w:tab/>
            </w:r>
            <w:r>
              <w:rPr>
                <w:noProof/>
                <w:webHidden/>
              </w:rPr>
              <w:fldChar w:fldCharType="begin"/>
            </w:r>
            <w:r>
              <w:rPr>
                <w:noProof/>
                <w:webHidden/>
              </w:rPr>
              <w:instrText xml:space="preserve"> PAGEREF _Toc375055420 \h </w:instrText>
            </w:r>
            <w:r>
              <w:rPr>
                <w:noProof/>
                <w:webHidden/>
              </w:rPr>
            </w:r>
            <w:r>
              <w:rPr>
                <w:noProof/>
                <w:webHidden/>
              </w:rPr>
              <w:fldChar w:fldCharType="separate"/>
            </w:r>
            <w:r>
              <w:rPr>
                <w:noProof/>
                <w:webHidden/>
              </w:rPr>
              <w:t>10</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21" w:history="1">
            <w:r w:rsidRPr="00AE668B">
              <w:rPr>
                <w:rStyle w:val="Hyperlink"/>
                <w:noProof/>
              </w:rPr>
              <w:t>4.</w:t>
            </w:r>
            <w:r>
              <w:rPr>
                <w:rFonts w:asciiTheme="minorHAnsi" w:eastAsiaTheme="minorEastAsia" w:hAnsiTheme="minorHAnsi" w:cstheme="minorBidi"/>
                <w:b w:val="0"/>
                <w:noProof/>
                <w:sz w:val="22"/>
                <w:lang w:eastAsia="en-AU"/>
              </w:rPr>
              <w:tab/>
            </w:r>
            <w:r w:rsidRPr="00AE668B">
              <w:rPr>
                <w:rStyle w:val="Hyperlink"/>
                <w:noProof/>
              </w:rPr>
              <w:t>Pharmacokinetics</w:t>
            </w:r>
            <w:r>
              <w:rPr>
                <w:noProof/>
                <w:webHidden/>
              </w:rPr>
              <w:tab/>
            </w:r>
            <w:r>
              <w:rPr>
                <w:noProof/>
                <w:webHidden/>
              </w:rPr>
              <w:fldChar w:fldCharType="begin"/>
            </w:r>
            <w:r>
              <w:rPr>
                <w:noProof/>
                <w:webHidden/>
              </w:rPr>
              <w:instrText xml:space="preserve"> PAGEREF _Toc375055421 \h </w:instrText>
            </w:r>
            <w:r>
              <w:rPr>
                <w:noProof/>
                <w:webHidden/>
              </w:rPr>
            </w:r>
            <w:r>
              <w:rPr>
                <w:noProof/>
                <w:webHidden/>
              </w:rPr>
              <w:fldChar w:fldCharType="separate"/>
            </w:r>
            <w:r>
              <w:rPr>
                <w:noProof/>
                <w:webHidden/>
              </w:rPr>
              <w:t>10</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22" w:history="1">
            <w:r w:rsidRPr="00AE668B">
              <w:rPr>
                <w:rStyle w:val="Hyperlink"/>
                <w:noProof/>
              </w:rPr>
              <w:t>4.1.</w:t>
            </w:r>
            <w:r>
              <w:rPr>
                <w:rFonts w:asciiTheme="minorHAnsi" w:eastAsiaTheme="minorEastAsia" w:hAnsiTheme="minorHAnsi" w:cstheme="minorBidi"/>
                <w:noProof/>
                <w:lang w:eastAsia="en-AU"/>
              </w:rPr>
              <w:tab/>
            </w:r>
            <w:r w:rsidRPr="00AE668B">
              <w:rPr>
                <w:rStyle w:val="Hyperlink"/>
                <w:noProof/>
              </w:rPr>
              <w:t>Studies providing pharmacokinetic data</w:t>
            </w:r>
            <w:r>
              <w:rPr>
                <w:noProof/>
                <w:webHidden/>
              </w:rPr>
              <w:tab/>
            </w:r>
            <w:r>
              <w:rPr>
                <w:noProof/>
                <w:webHidden/>
              </w:rPr>
              <w:fldChar w:fldCharType="begin"/>
            </w:r>
            <w:r>
              <w:rPr>
                <w:noProof/>
                <w:webHidden/>
              </w:rPr>
              <w:instrText xml:space="preserve"> PAGEREF _Toc375055422 \h </w:instrText>
            </w:r>
            <w:r>
              <w:rPr>
                <w:noProof/>
                <w:webHidden/>
              </w:rPr>
            </w:r>
            <w:r>
              <w:rPr>
                <w:noProof/>
                <w:webHidden/>
              </w:rPr>
              <w:fldChar w:fldCharType="separate"/>
            </w:r>
            <w:r>
              <w:rPr>
                <w:noProof/>
                <w:webHidden/>
              </w:rPr>
              <w:t>10</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23" w:history="1">
            <w:r w:rsidRPr="00AE668B">
              <w:rPr>
                <w:rStyle w:val="Hyperlink"/>
                <w:noProof/>
              </w:rPr>
              <w:t>4.2.</w:t>
            </w:r>
            <w:r>
              <w:rPr>
                <w:rFonts w:asciiTheme="minorHAnsi" w:eastAsiaTheme="minorEastAsia" w:hAnsiTheme="minorHAnsi" w:cstheme="minorBidi"/>
                <w:noProof/>
                <w:lang w:eastAsia="en-AU"/>
              </w:rPr>
              <w:tab/>
            </w:r>
            <w:r w:rsidRPr="00AE668B">
              <w:rPr>
                <w:rStyle w:val="Hyperlink"/>
                <w:noProof/>
              </w:rPr>
              <w:t>Summary of pharmacokinetics</w:t>
            </w:r>
            <w:r>
              <w:rPr>
                <w:noProof/>
                <w:webHidden/>
              </w:rPr>
              <w:tab/>
            </w:r>
            <w:r>
              <w:rPr>
                <w:noProof/>
                <w:webHidden/>
              </w:rPr>
              <w:fldChar w:fldCharType="begin"/>
            </w:r>
            <w:r>
              <w:rPr>
                <w:noProof/>
                <w:webHidden/>
              </w:rPr>
              <w:instrText xml:space="preserve"> PAGEREF _Toc375055423 \h </w:instrText>
            </w:r>
            <w:r>
              <w:rPr>
                <w:noProof/>
                <w:webHidden/>
              </w:rPr>
            </w:r>
            <w:r>
              <w:rPr>
                <w:noProof/>
                <w:webHidden/>
              </w:rPr>
              <w:fldChar w:fldCharType="separate"/>
            </w:r>
            <w:r>
              <w:rPr>
                <w:noProof/>
                <w:webHidden/>
              </w:rPr>
              <w:t>11</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24" w:history="1">
            <w:r w:rsidRPr="00AE668B">
              <w:rPr>
                <w:rStyle w:val="Hyperlink"/>
                <w:noProof/>
              </w:rPr>
              <w:t>4.3.</w:t>
            </w:r>
            <w:r>
              <w:rPr>
                <w:rFonts w:asciiTheme="minorHAnsi" w:eastAsiaTheme="minorEastAsia" w:hAnsiTheme="minorHAnsi" w:cstheme="minorBidi"/>
                <w:noProof/>
                <w:lang w:eastAsia="en-AU"/>
              </w:rPr>
              <w:tab/>
            </w:r>
            <w:r w:rsidRPr="00AE668B">
              <w:rPr>
                <w:rStyle w:val="Hyperlink"/>
                <w:noProof/>
              </w:rPr>
              <w:t>Evaluator’s overall conclusions on pharmacokinetics</w:t>
            </w:r>
            <w:r>
              <w:rPr>
                <w:noProof/>
                <w:webHidden/>
              </w:rPr>
              <w:tab/>
            </w:r>
            <w:r>
              <w:rPr>
                <w:noProof/>
                <w:webHidden/>
              </w:rPr>
              <w:fldChar w:fldCharType="begin"/>
            </w:r>
            <w:r>
              <w:rPr>
                <w:noProof/>
                <w:webHidden/>
              </w:rPr>
              <w:instrText xml:space="preserve"> PAGEREF _Toc375055424 \h </w:instrText>
            </w:r>
            <w:r>
              <w:rPr>
                <w:noProof/>
                <w:webHidden/>
              </w:rPr>
            </w:r>
            <w:r>
              <w:rPr>
                <w:noProof/>
                <w:webHidden/>
              </w:rPr>
              <w:fldChar w:fldCharType="separate"/>
            </w:r>
            <w:r>
              <w:rPr>
                <w:noProof/>
                <w:webHidden/>
              </w:rPr>
              <w:t>19</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25" w:history="1">
            <w:r w:rsidRPr="00AE668B">
              <w:rPr>
                <w:rStyle w:val="Hyperlink"/>
                <w:noProof/>
              </w:rPr>
              <w:t>5.</w:t>
            </w:r>
            <w:r>
              <w:rPr>
                <w:rFonts w:asciiTheme="minorHAnsi" w:eastAsiaTheme="minorEastAsia" w:hAnsiTheme="minorHAnsi" w:cstheme="minorBidi"/>
                <w:b w:val="0"/>
                <w:noProof/>
                <w:sz w:val="22"/>
                <w:lang w:eastAsia="en-AU"/>
              </w:rPr>
              <w:tab/>
            </w:r>
            <w:r w:rsidRPr="00AE668B">
              <w:rPr>
                <w:rStyle w:val="Hyperlink"/>
                <w:noProof/>
              </w:rPr>
              <w:t>Pharmacodynamics</w:t>
            </w:r>
            <w:r>
              <w:rPr>
                <w:noProof/>
                <w:webHidden/>
              </w:rPr>
              <w:tab/>
            </w:r>
            <w:r>
              <w:rPr>
                <w:noProof/>
                <w:webHidden/>
              </w:rPr>
              <w:fldChar w:fldCharType="begin"/>
            </w:r>
            <w:r>
              <w:rPr>
                <w:noProof/>
                <w:webHidden/>
              </w:rPr>
              <w:instrText xml:space="preserve"> PAGEREF _Toc375055425 \h </w:instrText>
            </w:r>
            <w:r>
              <w:rPr>
                <w:noProof/>
                <w:webHidden/>
              </w:rPr>
            </w:r>
            <w:r>
              <w:rPr>
                <w:noProof/>
                <w:webHidden/>
              </w:rPr>
              <w:fldChar w:fldCharType="separate"/>
            </w:r>
            <w:r>
              <w:rPr>
                <w:noProof/>
                <w:webHidden/>
              </w:rPr>
              <w:t>19</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26" w:history="1">
            <w:r w:rsidRPr="00AE668B">
              <w:rPr>
                <w:rStyle w:val="Hyperlink"/>
                <w:noProof/>
              </w:rPr>
              <w:t>5.1.</w:t>
            </w:r>
            <w:r>
              <w:rPr>
                <w:rFonts w:asciiTheme="minorHAnsi" w:eastAsiaTheme="minorEastAsia" w:hAnsiTheme="minorHAnsi" w:cstheme="minorBidi"/>
                <w:noProof/>
                <w:lang w:eastAsia="en-AU"/>
              </w:rPr>
              <w:tab/>
            </w:r>
            <w:r w:rsidRPr="00AE668B">
              <w:rPr>
                <w:rStyle w:val="Hyperlink"/>
                <w:noProof/>
              </w:rPr>
              <w:t>Studies providing pharmacodynamic data</w:t>
            </w:r>
            <w:r>
              <w:rPr>
                <w:noProof/>
                <w:webHidden/>
              </w:rPr>
              <w:tab/>
            </w:r>
            <w:r>
              <w:rPr>
                <w:noProof/>
                <w:webHidden/>
              </w:rPr>
              <w:fldChar w:fldCharType="begin"/>
            </w:r>
            <w:r>
              <w:rPr>
                <w:noProof/>
                <w:webHidden/>
              </w:rPr>
              <w:instrText xml:space="preserve"> PAGEREF _Toc375055426 \h </w:instrText>
            </w:r>
            <w:r>
              <w:rPr>
                <w:noProof/>
                <w:webHidden/>
              </w:rPr>
            </w:r>
            <w:r>
              <w:rPr>
                <w:noProof/>
                <w:webHidden/>
              </w:rPr>
              <w:fldChar w:fldCharType="separate"/>
            </w:r>
            <w:r>
              <w:rPr>
                <w:noProof/>
                <w:webHidden/>
              </w:rPr>
              <w:t>19</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27" w:history="1">
            <w:r w:rsidRPr="00AE668B">
              <w:rPr>
                <w:rStyle w:val="Hyperlink"/>
                <w:noProof/>
              </w:rPr>
              <w:t>5.2.</w:t>
            </w:r>
            <w:r>
              <w:rPr>
                <w:rFonts w:asciiTheme="minorHAnsi" w:eastAsiaTheme="minorEastAsia" w:hAnsiTheme="minorHAnsi" w:cstheme="minorBidi"/>
                <w:noProof/>
                <w:lang w:eastAsia="en-AU"/>
              </w:rPr>
              <w:tab/>
            </w:r>
            <w:r w:rsidRPr="00AE668B">
              <w:rPr>
                <w:rStyle w:val="Hyperlink"/>
                <w:noProof/>
              </w:rPr>
              <w:t>Pharmacodynamic interactions</w:t>
            </w:r>
            <w:r>
              <w:rPr>
                <w:noProof/>
                <w:webHidden/>
              </w:rPr>
              <w:tab/>
            </w:r>
            <w:r>
              <w:rPr>
                <w:noProof/>
                <w:webHidden/>
              </w:rPr>
              <w:fldChar w:fldCharType="begin"/>
            </w:r>
            <w:r>
              <w:rPr>
                <w:noProof/>
                <w:webHidden/>
              </w:rPr>
              <w:instrText xml:space="preserve"> PAGEREF _Toc375055427 \h </w:instrText>
            </w:r>
            <w:r>
              <w:rPr>
                <w:noProof/>
                <w:webHidden/>
              </w:rPr>
            </w:r>
            <w:r>
              <w:rPr>
                <w:noProof/>
                <w:webHidden/>
              </w:rPr>
              <w:fldChar w:fldCharType="separate"/>
            </w:r>
            <w:r>
              <w:rPr>
                <w:noProof/>
                <w:webHidden/>
              </w:rPr>
              <w:t>22</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28" w:history="1">
            <w:r w:rsidRPr="00AE668B">
              <w:rPr>
                <w:rStyle w:val="Hyperlink"/>
                <w:noProof/>
              </w:rPr>
              <w:t>5.3.</w:t>
            </w:r>
            <w:r>
              <w:rPr>
                <w:rFonts w:asciiTheme="minorHAnsi" w:eastAsiaTheme="minorEastAsia" w:hAnsiTheme="minorHAnsi" w:cstheme="minorBidi"/>
                <w:noProof/>
                <w:lang w:eastAsia="en-AU"/>
              </w:rPr>
              <w:tab/>
            </w:r>
            <w:r w:rsidRPr="00AE668B">
              <w:rPr>
                <w:rStyle w:val="Hyperlink"/>
                <w:noProof/>
              </w:rPr>
              <w:t>Evaluator’s overall conclusions on pharmacodynamics</w:t>
            </w:r>
            <w:r>
              <w:rPr>
                <w:noProof/>
                <w:webHidden/>
              </w:rPr>
              <w:tab/>
            </w:r>
            <w:r>
              <w:rPr>
                <w:noProof/>
                <w:webHidden/>
              </w:rPr>
              <w:fldChar w:fldCharType="begin"/>
            </w:r>
            <w:r>
              <w:rPr>
                <w:noProof/>
                <w:webHidden/>
              </w:rPr>
              <w:instrText xml:space="preserve"> PAGEREF _Toc375055428 \h </w:instrText>
            </w:r>
            <w:r>
              <w:rPr>
                <w:noProof/>
                <w:webHidden/>
              </w:rPr>
            </w:r>
            <w:r>
              <w:rPr>
                <w:noProof/>
                <w:webHidden/>
              </w:rPr>
              <w:fldChar w:fldCharType="separate"/>
            </w:r>
            <w:r>
              <w:rPr>
                <w:noProof/>
                <w:webHidden/>
              </w:rPr>
              <w:t>22</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29" w:history="1">
            <w:r w:rsidRPr="00AE668B">
              <w:rPr>
                <w:rStyle w:val="Hyperlink"/>
                <w:noProof/>
              </w:rPr>
              <w:t>6.</w:t>
            </w:r>
            <w:r>
              <w:rPr>
                <w:rFonts w:asciiTheme="minorHAnsi" w:eastAsiaTheme="minorEastAsia" w:hAnsiTheme="minorHAnsi" w:cstheme="minorBidi"/>
                <w:b w:val="0"/>
                <w:noProof/>
                <w:sz w:val="22"/>
                <w:lang w:eastAsia="en-AU"/>
              </w:rPr>
              <w:tab/>
            </w:r>
            <w:r w:rsidRPr="00AE668B">
              <w:rPr>
                <w:rStyle w:val="Hyperlink"/>
                <w:noProof/>
              </w:rPr>
              <w:t>Dosage selection for the pivotal studies</w:t>
            </w:r>
            <w:r>
              <w:rPr>
                <w:noProof/>
                <w:webHidden/>
              </w:rPr>
              <w:tab/>
            </w:r>
            <w:r>
              <w:rPr>
                <w:noProof/>
                <w:webHidden/>
              </w:rPr>
              <w:fldChar w:fldCharType="begin"/>
            </w:r>
            <w:r>
              <w:rPr>
                <w:noProof/>
                <w:webHidden/>
              </w:rPr>
              <w:instrText xml:space="preserve"> PAGEREF _Toc375055429 \h </w:instrText>
            </w:r>
            <w:r>
              <w:rPr>
                <w:noProof/>
                <w:webHidden/>
              </w:rPr>
            </w:r>
            <w:r>
              <w:rPr>
                <w:noProof/>
                <w:webHidden/>
              </w:rPr>
              <w:fldChar w:fldCharType="separate"/>
            </w:r>
            <w:r>
              <w:rPr>
                <w:noProof/>
                <w:webHidden/>
              </w:rPr>
              <w:t>22</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30" w:history="1">
            <w:r w:rsidRPr="00AE668B">
              <w:rPr>
                <w:rStyle w:val="Hyperlink"/>
                <w:noProof/>
              </w:rPr>
              <w:t>7.</w:t>
            </w:r>
            <w:r>
              <w:rPr>
                <w:rFonts w:asciiTheme="minorHAnsi" w:eastAsiaTheme="minorEastAsia" w:hAnsiTheme="minorHAnsi" w:cstheme="minorBidi"/>
                <w:b w:val="0"/>
                <w:noProof/>
                <w:sz w:val="22"/>
                <w:lang w:eastAsia="en-AU"/>
              </w:rPr>
              <w:tab/>
            </w:r>
            <w:r w:rsidRPr="00AE668B">
              <w:rPr>
                <w:rStyle w:val="Hyperlink"/>
                <w:noProof/>
              </w:rPr>
              <w:t>Clinical efficacy</w:t>
            </w:r>
            <w:r>
              <w:rPr>
                <w:noProof/>
                <w:webHidden/>
              </w:rPr>
              <w:tab/>
            </w:r>
            <w:r>
              <w:rPr>
                <w:noProof/>
                <w:webHidden/>
              </w:rPr>
              <w:fldChar w:fldCharType="begin"/>
            </w:r>
            <w:r>
              <w:rPr>
                <w:noProof/>
                <w:webHidden/>
              </w:rPr>
              <w:instrText xml:space="preserve"> PAGEREF _Toc375055430 \h </w:instrText>
            </w:r>
            <w:r>
              <w:rPr>
                <w:noProof/>
                <w:webHidden/>
              </w:rPr>
            </w:r>
            <w:r>
              <w:rPr>
                <w:noProof/>
                <w:webHidden/>
              </w:rPr>
              <w:fldChar w:fldCharType="separate"/>
            </w:r>
            <w:r>
              <w:rPr>
                <w:noProof/>
                <w:webHidden/>
              </w:rPr>
              <w:t>23</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31" w:history="1">
            <w:r w:rsidRPr="00AE668B">
              <w:rPr>
                <w:rStyle w:val="Hyperlink"/>
                <w:noProof/>
              </w:rPr>
              <w:t>7.1.</w:t>
            </w:r>
            <w:r>
              <w:rPr>
                <w:rFonts w:asciiTheme="minorHAnsi" w:eastAsiaTheme="minorEastAsia" w:hAnsiTheme="minorHAnsi" w:cstheme="minorBidi"/>
                <w:noProof/>
                <w:lang w:eastAsia="en-AU"/>
              </w:rPr>
              <w:tab/>
            </w:r>
            <w:r w:rsidRPr="00AE668B">
              <w:rPr>
                <w:rStyle w:val="Hyperlink"/>
                <w:noProof/>
              </w:rPr>
              <w:t>Pivotal efficacy studies</w:t>
            </w:r>
            <w:r>
              <w:rPr>
                <w:noProof/>
                <w:webHidden/>
              </w:rPr>
              <w:tab/>
            </w:r>
            <w:r>
              <w:rPr>
                <w:noProof/>
                <w:webHidden/>
              </w:rPr>
              <w:fldChar w:fldCharType="begin"/>
            </w:r>
            <w:r>
              <w:rPr>
                <w:noProof/>
                <w:webHidden/>
              </w:rPr>
              <w:instrText xml:space="preserve"> PAGEREF _Toc375055431 \h </w:instrText>
            </w:r>
            <w:r>
              <w:rPr>
                <w:noProof/>
                <w:webHidden/>
              </w:rPr>
            </w:r>
            <w:r>
              <w:rPr>
                <w:noProof/>
                <w:webHidden/>
              </w:rPr>
              <w:fldChar w:fldCharType="separate"/>
            </w:r>
            <w:r>
              <w:rPr>
                <w:noProof/>
                <w:webHidden/>
              </w:rPr>
              <w:t>23</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32" w:history="1">
            <w:r w:rsidRPr="00AE668B">
              <w:rPr>
                <w:rStyle w:val="Hyperlink"/>
                <w:noProof/>
              </w:rPr>
              <w:t>7.2.</w:t>
            </w:r>
            <w:r>
              <w:rPr>
                <w:rFonts w:asciiTheme="minorHAnsi" w:eastAsiaTheme="minorEastAsia" w:hAnsiTheme="minorHAnsi" w:cstheme="minorBidi"/>
                <w:noProof/>
                <w:lang w:eastAsia="en-AU"/>
              </w:rPr>
              <w:tab/>
            </w:r>
            <w:r w:rsidRPr="00AE668B">
              <w:rPr>
                <w:rStyle w:val="Hyperlink"/>
                <w:noProof/>
              </w:rPr>
              <w:t>Other efficacy studies</w:t>
            </w:r>
            <w:r>
              <w:rPr>
                <w:noProof/>
                <w:webHidden/>
              </w:rPr>
              <w:tab/>
            </w:r>
            <w:r>
              <w:rPr>
                <w:noProof/>
                <w:webHidden/>
              </w:rPr>
              <w:fldChar w:fldCharType="begin"/>
            </w:r>
            <w:r>
              <w:rPr>
                <w:noProof/>
                <w:webHidden/>
              </w:rPr>
              <w:instrText xml:space="preserve"> PAGEREF _Toc375055432 \h </w:instrText>
            </w:r>
            <w:r>
              <w:rPr>
                <w:noProof/>
                <w:webHidden/>
              </w:rPr>
            </w:r>
            <w:r>
              <w:rPr>
                <w:noProof/>
                <w:webHidden/>
              </w:rPr>
              <w:fldChar w:fldCharType="separate"/>
            </w:r>
            <w:r>
              <w:rPr>
                <w:noProof/>
                <w:webHidden/>
              </w:rPr>
              <w:t>42</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33" w:history="1">
            <w:r w:rsidRPr="00AE668B">
              <w:rPr>
                <w:rStyle w:val="Hyperlink"/>
                <w:noProof/>
              </w:rPr>
              <w:t>7.3.</w:t>
            </w:r>
            <w:r>
              <w:rPr>
                <w:rFonts w:asciiTheme="minorHAnsi" w:eastAsiaTheme="minorEastAsia" w:hAnsiTheme="minorHAnsi" w:cstheme="minorBidi"/>
                <w:noProof/>
                <w:lang w:eastAsia="en-AU"/>
              </w:rPr>
              <w:tab/>
            </w:r>
            <w:r w:rsidRPr="00AE668B">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_Toc375055433 \h </w:instrText>
            </w:r>
            <w:r>
              <w:rPr>
                <w:noProof/>
                <w:webHidden/>
              </w:rPr>
            </w:r>
            <w:r>
              <w:rPr>
                <w:noProof/>
                <w:webHidden/>
              </w:rPr>
              <w:fldChar w:fldCharType="separate"/>
            </w:r>
            <w:r>
              <w:rPr>
                <w:noProof/>
                <w:webHidden/>
              </w:rPr>
              <w:t>46</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34" w:history="1">
            <w:r w:rsidRPr="00AE668B">
              <w:rPr>
                <w:rStyle w:val="Hyperlink"/>
                <w:noProof/>
              </w:rPr>
              <w:t>7.4.</w:t>
            </w:r>
            <w:r>
              <w:rPr>
                <w:rFonts w:asciiTheme="minorHAnsi" w:eastAsiaTheme="minorEastAsia" w:hAnsiTheme="minorHAnsi" w:cstheme="minorBidi"/>
                <w:noProof/>
                <w:lang w:eastAsia="en-AU"/>
              </w:rPr>
              <w:tab/>
            </w:r>
            <w:r w:rsidRPr="00AE668B">
              <w:rPr>
                <w:rStyle w:val="Hyperlink"/>
                <w:noProof/>
              </w:rPr>
              <w:t>Evaluator’s conclusions on clinical efficacy</w:t>
            </w:r>
            <w:r>
              <w:rPr>
                <w:noProof/>
                <w:webHidden/>
              </w:rPr>
              <w:tab/>
            </w:r>
            <w:r>
              <w:rPr>
                <w:noProof/>
                <w:webHidden/>
              </w:rPr>
              <w:fldChar w:fldCharType="begin"/>
            </w:r>
            <w:r>
              <w:rPr>
                <w:noProof/>
                <w:webHidden/>
              </w:rPr>
              <w:instrText xml:space="preserve"> PAGEREF _Toc375055434 \h </w:instrText>
            </w:r>
            <w:r>
              <w:rPr>
                <w:noProof/>
                <w:webHidden/>
              </w:rPr>
            </w:r>
            <w:r>
              <w:rPr>
                <w:noProof/>
                <w:webHidden/>
              </w:rPr>
              <w:fldChar w:fldCharType="separate"/>
            </w:r>
            <w:r>
              <w:rPr>
                <w:noProof/>
                <w:webHidden/>
              </w:rPr>
              <w:t>46</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35" w:history="1">
            <w:r w:rsidRPr="00AE668B">
              <w:rPr>
                <w:rStyle w:val="Hyperlink"/>
                <w:noProof/>
              </w:rPr>
              <w:t>8.</w:t>
            </w:r>
            <w:r>
              <w:rPr>
                <w:rFonts w:asciiTheme="minorHAnsi" w:eastAsiaTheme="minorEastAsia" w:hAnsiTheme="minorHAnsi" w:cstheme="minorBidi"/>
                <w:b w:val="0"/>
                <w:noProof/>
                <w:sz w:val="22"/>
                <w:lang w:eastAsia="en-AU"/>
              </w:rPr>
              <w:tab/>
            </w:r>
            <w:r w:rsidRPr="00AE668B">
              <w:rPr>
                <w:rStyle w:val="Hyperlink"/>
                <w:noProof/>
              </w:rPr>
              <w:t>Clinical safety</w:t>
            </w:r>
            <w:r>
              <w:rPr>
                <w:noProof/>
                <w:webHidden/>
              </w:rPr>
              <w:tab/>
            </w:r>
            <w:r>
              <w:rPr>
                <w:noProof/>
                <w:webHidden/>
              </w:rPr>
              <w:fldChar w:fldCharType="begin"/>
            </w:r>
            <w:r>
              <w:rPr>
                <w:noProof/>
                <w:webHidden/>
              </w:rPr>
              <w:instrText xml:space="preserve"> PAGEREF _Toc375055435 \h </w:instrText>
            </w:r>
            <w:r>
              <w:rPr>
                <w:noProof/>
                <w:webHidden/>
              </w:rPr>
            </w:r>
            <w:r>
              <w:rPr>
                <w:noProof/>
                <w:webHidden/>
              </w:rPr>
              <w:fldChar w:fldCharType="separate"/>
            </w:r>
            <w:r>
              <w:rPr>
                <w:noProof/>
                <w:webHidden/>
              </w:rPr>
              <w:t>49</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36" w:history="1">
            <w:r w:rsidRPr="00AE668B">
              <w:rPr>
                <w:rStyle w:val="Hyperlink"/>
                <w:noProof/>
              </w:rPr>
              <w:t>8.1.</w:t>
            </w:r>
            <w:r>
              <w:rPr>
                <w:rFonts w:asciiTheme="minorHAnsi" w:eastAsiaTheme="minorEastAsia" w:hAnsiTheme="minorHAnsi" w:cstheme="minorBidi"/>
                <w:noProof/>
                <w:lang w:eastAsia="en-AU"/>
              </w:rPr>
              <w:tab/>
            </w:r>
            <w:r w:rsidRPr="00AE668B">
              <w:rPr>
                <w:rStyle w:val="Hyperlink"/>
                <w:noProof/>
              </w:rPr>
              <w:t>Studies providing evaluable safety data</w:t>
            </w:r>
            <w:r>
              <w:rPr>
                <w:noProof/>
                <w:webHidden/>
              </w:rPr>
              <w:tab/>
            </w:r>
            <w:r>
              <w:rPr>
                <w:noProof/>
                <w:webHidden/>
              </w:rPr>
              <w:fldChar w:fldCharType="begin"/>
            </w:r>
            <w:r>
              <w:rPr>
                <w:noProof/>
                <w:webHidden/>
              </w:rPr>
              <w:instrText xml:space="preserve"> PAGEREF _Toc375055436 \h </w:instrText>
            </w:r>
            <w:r>
              <w:rPr>
                <w:noProof/>
                <w:webHidden/>
              </w:rPr>
            </w:r>
            <w:r>
              <w:rPr>
                <w:noProof/>
                <w:webHidden/>
              </w:rPr>
              <w:fldChar w:fldCharType="separate"/>
            </w:r>
            <w:r>
              <w:rPr>
                <w:noProof/>
                <w:webHidden/>
              </w:rPr>
              <w:t>49</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37" w:history="1">
            <w:r w:rsidRPr="00AE668B">
              <w:rPr>
                <w:rStyle w:val="Hyperlink"/>
                <w:noProof/>
              </w:rPr>
              <w:t>8.2.</w:t>
            </w:r>
            <w:r>
              <w:rPr>
                <w:rFonts w:asciiTheme="minorHAnsi" w:eastAsiaTheme="minorEastAsia" w:hAnsiTheme="minorHAnsi" w:cstheme="minorBidi"/>
                <w:noProof/>
                <w:lang w:eastAsia="en-AU"/>
              </w:rPr>
              <w:tab/>
            </w:r>
            <w:r w:rsidRPr="00AE668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_Toc375055437 \h </w:instrText>
            </w:r>
            <w:r>
              <w:rPr>
                <w:noProof/>
                <w:webHidden/>
              </w:rPr>
            </w:r>
            <w:r>
              <w:rPr>
                <w:noProof/>
                <w:webHidden/>
              </w:rPr>
              <w:fldChar w:fldCharType="separate"/>
            </w:r>
            <w:r>
              <w:rPr>
                <w:noProof/>
                <w:webHidden/>
              </w:rPr>
              <w:t>51</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38" w:history="1">
            <w:r w:rsidRPr="00AE668B">
              <w:rPr>
                <w:rStyle w:val="Hyperlink"/>
                <w:noProof/>
              </w:rPr>
              <w:t>8.3.</w:t>
            </w:r>
            <w:r>
              <w:rPr>
                <w:rFonts w:asciiTheme="minorHAnsi" w:eastAsiaTheme="minorEastAsia" w:hAnsiTheme="minorHAnsi" w:cstheme="minorBidi"/>
                <w:noProof/>
                <w:lang w:eastAsia="en-AU"/>
              </w:rPr>
              <w:tab/>
            </w:r>
            <w:r w:rsidRPr="00AE668B">
              <w:rPr>
                <w:rStyle w:val="Hyperlink"/>
                <w:noProof/>
              </w:rPr>
              <w:t>Patient exposure</w:t>
            </w:r>
            <w:r>
              <w:rPr>
                <w:noProof/>
                <w:webHidden/>
              </w:rPr>
              <w:tab/>
            </w:r>
            <w:r>
              <w:rPr>
                <w:noProof/>
                <w:webHidden/>
              </w:rPr>
              <w:fldChar w:fldCharType="begin"/>
            </w:r>
            <w:r>
              <w:rPr>
                <w:noProof/>
                <w:webHidden/>
              </w:rPr>
              <w:instrText xml:space="preserve"> PAGEREF _Toc375055438 \h </w:instrText>
            </w:r>
            <w:r>
              <w:rPr>
                <w:noProof/>
                <w:webHidden/>
              </w:rPr>
            </w:r>
            <w:r>
              <w:rPr>
                <w:noProof/>
                <w:webHidden/>
              </w:rPr>
              <w:fldChar w:fldCharType="separate"/>
            </w:r>
            <w:r>
              <w:rPr>
                <w:noProof/>
                <w:webHidden/>
              </w:rPr>
              <w:t>51</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39" w:history="1">
            <w:r w:rsidRPr="00AE668B">
              <w:rPr>
                <w:rStyle w:val="Hyperlink"/>
                <w:noProof/>
              </w:rPr>
              <w:t>8.4.</w:t>
            </w:r>
            <w:r>
              <w:rPr>
                <w:rFonts w:asciiTheme="minorHAnsi" w:eastAsiaTheme="minorEastAsia" w:hAnsiTheme="minorHAnsi" w:cstheme="minorBidi"/>
                <w:noProof/>
                <w:lang w:eastAsia="en-AU"/>
              </w:rPr>
              <w:tab/>
            </w:r>
            <w:r w:rsidRPr="00AE668B">
              <w:rPr>
                <w:rStyle w:val="Hyperlink"/>
                <w:noProof/>
              </w:rPr>
              <w:t>Adverse events</w:t>
            </w:r>
            <w:r>
              <w:rPr>
                <w:noProof/>
                <w:webHidden/>
              </w:rPr>
              <w:tab/>
            </w:r>
            <w:r>
              <w:rPr>
                <w:noProof/>
                <w:webHidden/>
              </w:rPr>
              <w:fldChar w:fldCharType="begin"/>
            </w:r>
            <w:r>
              <w:rPr>
                <w:noProof/>
                <w:webHidden/>
              </w:rPr>
              <w:instrText xml:space="preserve"> PAGEREF _Toc375055439 \h </w:instrText>
            </w:r>
            <w:r>
              <w:rPr>
                <w:noProof/>
                <w:webHidden/>
              </w:rPr>
            </w:r>
            <w:r>
              <w:rPr>
                <w:noProof/>
                <w:webHidden/>
              </w:rPr>
              <w:fldChar w:fldCharType="separate"/>
            </w:r>
            <w:r>
              <w:rPr>
                <w:noProof/>
                <w:webHidden/>
              </w:rPr>
              <w:t>54</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40" w:history="1">
            <w:r w:rsidRPr="00AE668B">
              <w:rPr>
                <w:rStyle w:val="Hyperlink"/>
                <w:noProof/>
              </w:rPr>
              <w:t>8.5.</w:t>
            </w:r>
            <w:r>
              <w:rPr>
                <w:rFonts w:asciiTheme="minorHAnsi" w:eastAsiaTheme="minorEastAsia" w:hAnsiTheme="minorHAnsi" w:cstheme="minorBidi"/>
                <w:noProof/>
                <w:lang w:eastAsia="en-AU"/>
              </w:rPr>
              <w:tab/>
            </w:r>
            <w:r w:rsidRPr="00AE668B">
              <w:rPr>
                <w:rStyle w:val="Hyperlink"/>
                <w:noProof/>
              </w:rPr>
              <w:t>Laboratory tests</w:t>
            </w:r>
            <w:r>
              <w:rPr>
                <w:noProof/>
                <w:webHidden/>
              </w:rPr>
              <w:tab/>
            </w:r>
            <w:r>
              <w:rPr>
                <w:noProof/>
                <w:webHidden/>
              </w:rPr>
              <w:fldChar w:fldCharType="begin"/>
            </w:r>
            <w:r>
              <w:rPr>
                <w:noProof/>
                <w:webHidden/>
              </w:rPr>
              <w:instrText xml:space="preserve"> PAGEREF _Toc375055440 \h </w:instrText>
            </w:r>
            <w:r>
              <w:rPr>
                <w:noProof/>
                <w:webHidden/>
              </w:rPr>
            </w:r>
            <w:r>
              <w:rPr>
                <w:noProof/>
                <w:webHidden/>
              </w:rPr>
              <w:fldChar w:fldCharType="separate"/>
            </w:r>
            <w:r>
              <w:rPr>
                <w:noProof/>
                <w:webHidden/>
              </w:rPr>
              <w:t>56</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41" w:history="1">
            <w:r w:rsidRPr="00AE668B">
              <w:rPr>
                <w:rStyle w:val="Hyperlink"/>
                <w:noProof/>
              </w:rPr>
              <w:t>8.6.</w:t>
            </w:r>
            <w:r>
              <w:rPr>
                <w:rFonts w:asciiTheme="minorHAnsi" w:eastAsiaTheme="minorEastAsia" w:hAnsiTheme="minorHAnsi" w:cstheme="minorBidi"/>
                <w:noProof/>
                <w:lang w:eastAsia="en-AU"/>
              </w:rPr>
              <w:tab/>
            </w:r>
            <w:r w:rsidRPr="00AE668B">
              <w:rPr>
                <w:rStyle w:val="Hyperlink"/>
                <w:noProof/>
              </w:rPr>
              <w:t>Post-marketing experience</w:t>
            </w:r>
            <w:r>
              <w:rPr>
                <w:noProof/>
                <w:webHidden/>
              </w:rPr>
              <w:tab/>
            </w:r>
            <w:r>
              <w:rPr>
                <w:noProof/>
                <w:webHidden/>
              </w:rPr>
              <w:fldChar w:fldCharType="begin"/>
            </w:r>
            <w:r>
              <w:rPr>
                <w:noProof/>
                <w:webHidden/>
              </w:rPr>
              <w:instrText xml:space="preserve"> PAGEREF _Toc375055441 \h </w:instrText>
            </w:r>
            <w:r>
              <w:rPr>
                <w:noProof/>
                <w:webHidden/>
              </w:rPr>
            </w:r>
            <w:r>
              <w:rPr>
                <w:noProof/>
                <w:webHidden/>
              </w:rPr>
              <w:fldChar w:fldCharType="separate"/>
            </w:r>
            <w:r>
              <w:rPr>
                <w:noProof/>
                <w:webHidden/>
              </w:rPr>
              <w:t>58</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42" w:history="1">
            <w:r w:rsidRPr="00AE668B">
              <w:rPr>
                <w:rStyle w:val="Hyperlink"/>
                <w:noProof/>
              </w:rPr>
              <w:t>8.7.</w:t>
            </w:r>
            <w:r>
              <w:rPr>
                <w:rFonts w:asciiTheme="minorHAnsi" w:eastAsiaTheme="minorEastAsia" w:hAnsiTheme="minorHAnsi" w:cstheme="minorBidi"/>
                <w:noProof/>
                <w:lang w:eastAsia="en-AU"/>
              </w:rPr>
              <w:tab/>
            </w:r>
            <w:r w:rsidRPr="00AE668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_Toc375055442 \h </w:instrText>
            </w:r>
            <w:r>
              <w:rPr>
                <w:noProof/>
                <w:webHidden/>
              </w:rPr>
            </w:r>
            <w:r>
              <w:rPr>
                <w:noProof/>
                <w:webHidden/>
              </w:rPr>
              <w:fldChar w:fldCharType="separate"/>
            </w:r>
            <w:r>
              <w:rPr>
                <w:noProof/>
                <w:webHidden/>
              </w:rPr>
              <w:t>59</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43" w:history="1">
            <w:r w:rsidRPr="00AE668B">
              <w:rPr>
                <w:rStyle w:val="Hyperlink"/>
                <w:noProof/>
              </w:rPr>
              <w:t>8.8.</w:t>
            </w:r>
            <w:r>
              <w:rPr>
                <w:rFonts w:asciiTheme="minorHAnsi" w:eastAsiaTheme="minorEastAsia" w:hAnsiTheme="minorHAnsi" w:cstheme="minorBidi"/>
                <w:noProof/>
                <w:lang w:eastAsia="en-AU"/>
              </w:rPr>
              <w:tab/>
            </w:r>
            <w:r w:rsidRPr="00AE668B">
              <w:rPr>
                <w:rStyle w:val="Hyperlink"/>
                <w:noProof/>
              </w:rPr>
              <w:t>Other safety issues</w:t>
            </w:r>
            <w:r>
              <w:rPr>
                <w:noProof/>
                <w:webHidden/>
              </w:rPr>
              <w:tab/>
            </w:r>
            <w:r>
              <w:rPr>
                <w:noProof/>
                <w:webHidden/>
              </w:rPr>
              <w:fldChar w:fldCharType="begin"/>
            </w:r>
            <w:r>
              <w:rPr>
                <w:noProof/>
                <w:webHidden/>
              </w:rPr>
              <w:instrText xml:space="preserve"> PAGEREF _Toc375055443 \h </w:instrText>
            </w:r>
            <w:r>
              <w:rPr>
                <w:noProof/>
                <w:webHidden/>
              </w:rPr>
            </w:r>
            <w:r>
              <w:rPr>
                <w:noProof/>
                <w:webHidden/>
              </w:rPr>
              <w:fldChar w:fldCharType="separate"/>
            </w:r>
            <w:r>
              <w:rPr>
                <w:noProof/>
                <w:webHidden/>
              </w:rPr>
              <w:t>59</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44" w:history="1">
            <w:r w:rsidRPr="00AE668B">
              <w:rPr>
                <w:rStyle w:val="Hyperlink"/>
                <w:noProof/>
              </w:rPr>
              <w:t>8.9.</w:t>
            </w:r>
            <w:r>
              <w:rPr>
                <w:rFonts w:asciiTheme="minorHAnsi" w:eastAsiaTheme="minorEastAsia" w:hAnsiTheme="minorHAnsi" w:cstheme="minorBidi"/>
                <w:noProof/>
                <w:lang w:eastAsia="en-AU"/>
              </w:rPr>
              <w:tab/>
            </w:r>
            <w:r w:rsidRPr="00AE668B">
              <w:rPr>
                <w:rStyle w:val="Hyperlink"/>
                <w:noProof/>
              </w:rPr>
              <w:t>Evaluator’s overall conclusions on clinical safety</w:t>
            </w:r>
            <w:r>
              <w:rPr>
                <w:noProof/>
                <w:webHidden/>
              </w:rPr>
              <w:tab/>
            </w:r>
            <w:r>
              <w:rPr>
                <w:noProof/>
                <w:webHidden/>
              </w:rPr>
              <w:fldChar w:fldCharType="begin"/>
            </w:r>
            <w:r>
              <w:rPr>
                <w:noProof/>
                <w:webHidden/>
              </w:rPr>
              <w:instrText xml:space="preserve"> PAGEREF _Toc375055444 \h </w:instrText>
            </w:r>
            <w:r>
              <w:rPr>
                <w:noProof/>
                <w:webHidden/>
              </w:rPr>
            </w:r>
            <w:r>
              <w:rPr>
                <w:noProof/>
                <w:webHidden/>
              </w:rPr>
              <w:fldChar w:fldCharType="separate"/>
            </w:r>
            <w:r>
              <w:rPr>
                <w:noProof/>
                <w:webHidden/>
              </w:rPr>
              <w:t>63</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45" w:history="1">
            <w:r w:rsidRPr="00AE668B">
              <w:rPr>
                <w:rStyle w:val="Hyperlink"/>
                <w:noProof/>
              </w:rPr>
              <w:t>9.</w:t>
            </w:r>
            <w:r>
              <w:rPr>
                <w:rFonts w:asciiTheme="minorHAnsi" w:eastAsiaTheme="minorEastAsia" w:hAnsiTheme="minorHAnsi" w:cstheme="minorBidi"/>
                <w:b w:val="0"/>
                <w:noProof/>
                <w:sz w:val="22"/>
                <w:lang w:eastAsia="en-AU"/>
              </w:rPr>
              <w:tab/>
            </w:r>
            <w:r w:rsidRPr="00AE668B">
              <w:rPr>
                <w:rStyle w:val="Hyperlink"/>
                <w:noProof/>
              </w:rPr>
              <w:t>First round benefit-risk assessment</w:t>
            </w:r>
            <w:r>
              <w:rPr>
                <w:noProof/>
                <w:webHidden/>
              </w:rPr>
              <w:tab/>
            </w:r>
            <w:r>
              <w:rPr>
                <w:noProof/>
                <w:webHidden/>
              </w:rPr>
              <w:fldChar w:fldCharType="begin"/>
            </w:r>
            <w:r>
              <w:rPr>
                <w:noProof/>
                <w:webHidden/>
              </w:rPr>
              <w:instrText xml:space="preserve"> PAGEREF _Toc375055445 \h </w:instrText>
            </w:r>
            <w:r>
              <w:rPr>
                <w:noProof/>
                <w:webHidden/>
              </w:rPr>
            </w:r>
            <w:r>
              <w:rPr>
                <w:noProof/>
                <w:webHidden/>
              </w:rPr>
              <w:fldChar w:fldCharType="separate"/>
            </w:r>
            <w:r>
              <w:rPr>
                <w:noProof/>
                <w:webHidden/>
              </w:rPr>
              <w:t>65</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46" w:history="1">
            <w:r w:rsidRPr="00AE668B">
              <w:rPr>
                <w:rStyle w:val="Hyperlink"/>
                <w:noProof/>
              </w:rPr>
              <w:t>9.1.</w:t>
            </w:r>
            <w:r>
              <w:rPr>
                <w:rFonts w:asciiTheme="minorHAnsi" w:eastAsiaTheme="minorEastAsia" w:hAnsiTheme="minorHAnsi" w:cstheme="minorBidi"/>
                <w:noProof/>
                <w:lang w:eastAsia="en-AU"/>
              </w:rPr>
              <w:tab/>
            </w:r>
            <w:r w:rsidRPr="00AE668B">
              <w:rPr>
                <w:rStyle w:val="Hyperlink"/>
                <w:noProof/>
              </w:rPr>
              <w:t>First round assessment of benefits</w:t>
            </w:r>
            <w:r>
              <w:rPr>
                <w:noProof/>
                <w:webHidden/>
              </w:rPr>
              <w:tab/>
            </w:r>
            <w:r>
              <w:rPr>
                <w:noProof/>
                <w:webHidden/>
              </w:rPr>
              <w:fldChar w:fldCharType="begin"/>
            </w:r>
            <w:r>
              <w:rPr>
                <w:noProof/>
                <w:webHidden/>
              </w:rPr>
              <w:instrText xml:space="preserve"> PAGEREF _Toc375055446 \h </w:instrText>
            </w:r>
            <w:r>
              <w:rPr>
                <w:noProof/>
                <w:webHidden/>
              </w:rPr>
            </w:r>
            <w:r>
              <w:rPr>
                <w:noProof/>
                <w:webHidden/>
              </w:rPr>
              <w:fldChar w:fldCharType="separate"/>
            </w:r>
            <w:r>
              <w:rPr>
                <w:noProof/>
                <w:webHidden/>
              </w:rPr>
              <w:t>65</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47" w:history="1">
            <w:r w:rsidRPr="00AE668B">
              <w:rPr>
                <w:rStyle w:val="Hyperlink"/>
                <w:noProof/>
              </w:rPr>
              <w:t>9.2.</w:t>
            </w:r>
            <w:r>
              <w:rPr>
                <w:rFonts w:asciiTheme="minorHAnsi" w:eastAsiaTheme="minorEastAsia" w:hAnsiTheme="minorHAnsi" w:cstheme="minorBidi"/>
                <w:noProof/>
                <w:lang w:eastAsia="en-AU"/>
              </w:rPr>
              <w:tab/>
            </w:r>
            <w:r w:rsidRPr="00AE668B">
              <w:rPr>
                <w:rStyle w:val="Hyperlink"/>
                <w:noProof/>
              </w:rPr>
              <w:t>First round assessment of risks</w:t>
            </w:r>
            <w:r>
              <w:rPr>
                <w:noProof/>
                <w:webHidden/>
              </w:rPr>
              <w:tab/>
            </w:r>
            <w:r>
              <w:rPr>
                <w:noProof/>
                <w:webHidden/>
              </w:rPr>
              <w:fldChar w:fldCharType="begin"/>
            </w:r>
            <w:r>
              <w:rPr>
                <w:noProof/>
                <w:webHidden/>
              </w:rPr>
              <w:instrText xml:space="preserve"> PAGEREF _Toc375055447 \h </w:instrText>
            </w:r>
            <w:r>
              <w:rPr>
                <w:noProof/>
                <w:webHidden/>
              </w:rPr>
            </w:r>
            <w:r>
              <w:rPr>
                <w:noProof/>
                <w:webHidden/>
              </w:rPr>
              <w:fldChar w:fldCharType="separate"/>
            </w:r>
            <w:r>
              <w:rPr>
                <w:noProof/>
                <w:webHidden/>
              </w:rPr>
              <w:t>65</w:t>
            </w:r>
            <w:r>
              <w:rPr>
                <w:noProof/>
                <w:webHidden/>
              </w:rPr>
              <w:fldChar w:fldCharType="end"/>
            </w:r>
          </w:hyperlink>
        </w:p>
        <w:p w:rsidR="005276B7" w:rsidRDefault="005276B7">
          <w:pPr>
            <w:pStyle w:val="TOC3"/>
            <w:tabs>
              <w:tab w:val="left" w:pos="1575"/>
            </w:tabs>
            <w:rPr>
              <w:rFonts w:asciiTheme="minorHAnsi" w:eastAsiaTheme="minorEastAsia" w:hAnsiTheme="minorHAnsi" w:cstheme="minorBidi"/>
              <w:noProof/>
              <w:lang w:eastAsia="en-AU"/>
            </w:rPr>
          </w:pPr>
          <w:hyperlink w:anchor="_Toc375055448" w:history="1">
            <w:r w:rsidRPr="00AE668B">
              <w:rPr>
                <w:rStyle w:val="Hyperlink"/>
                <w:noProof/>
              </w:rPr>
              <w:t>9.3.</w:t>
            </w:r>
            <w:r>
              <w:rPr>
                <w:rFonts w:asciiTheme="minorHAnsi" w:eastAsiaTheme="minorEastAsia" w:hAnsiTheme="minorHAnsi" w:cstheme="minorBidi"/>
                <w:noProof/>
                <w:lang w:eastAsia="en-AU"/>
              </w:rPr>
              <w:tab/>
            </w:r>
            <w:r w:rsidRPr="00AE668B">
              <w:rPr>
                <w:rStyle w:val="Hyperlink"/>
                <w:noProof/>
              </w:rPr>
              <w:t>First round assessment of benefit-risk balance</w:t>
            </w:r>
            <w:r>
              <w:rPr>
                <w:noProof/>
                <w:webHidden/>
              </w:rPr>
              <w:tab/>
            </w:r>
            <w:r>
              <w:rPr>
                <w:noProof/>
                <w:webHidden/>
              </w:rPr>
              <w:fldChar w:fldCharType="begin"/>
            </w:r>
            <w:r>
              <w:rPr>
                <w:noProof/>
                <w:webHidden/>
              </w:rPr>
              <w:instrText xml:space="preserve"> PAGEREF _Toc375055448 \h </w:instrText>
            </w:r>
            <w:r>
              <w:rPr>
                <w:noProof/>
                <w:webHidden/>
              </w:rPr>
            </w:r>
            <w:r>
              <w:rPr>
                <w:noProof/>
                <w:webHidden/>
              </w:rPr>
              <w:fldChar w:fldCharType="separate"/>
            </w:r>
            <w:r>
              <w:rPr>
                <w:noProof/>
                <w:webHidden/>
              </w:rPr>
              <w:t>66</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49" w:history="1">
            <w:r w:rsidRPr="00AE668B">
              <w:rPr>
                <w:rStyle w:val="Hyperlink"/>
                <w:noProof/>
              </w:rPr>
              <w:t>10.</w:t>
            </w:r>
            <w:r>
              <w:rPr>
                <w:rFonts w:asciiTheme="minorHAnsi" w:eastAsiaTheme="minorEastAsia" w:hAnsiTheme="minorHAnsi" w:cstheme="minorBidi"/>
                <w:b w:val="0"/>
                <w:noProof/>
                <w:sz w:val="22"/>
                <w:lang w:eastAsia="en-AU"/>
              </w:rPr>
              <w:tab/>
            </w:r>
            <w:r w:rsidRPr="00AE668B">
              <w:rPr>
                <w:rStyle w:val="Hyperlink"/>
                <w:noProof/>
              </w:rPr>
              <w:t>First round recommendation regarding authorisation</w:t>
            </w:r>
            <w:r>
              <w:rPr>
                <w:noProof/>
                <w:webHidden/>
              </w:rPr>
              <w:tab/>
            </w:r>
            <w:r>
              <w:rPr>
                <w:noProof/>
                <w:webHidden/>
              </w:rPr>
              <w:fldChar w:fldCharType="begin"/>
            </w:r>
            <w:r>
              <w:rPr>
                <w:noProof/>
                <w:webHidden/>
              </w:rPr>
              <w:instrText xml:space="preserve"> PAGEREF _Toc375055449 \h </w:instrText>
            </w:r>
            <w:r>
              <w:rPr>
                <w:noProof/>
                <w:webHidden/>
              </w:rPr>
            </w:r>
            <w:r>
              <w:rPr>
                <w:noProof/>
                <w:webHidden/>
              </w:rPr>
              <w:fldChar w:fldCharType="separate"/>
            </w:r>
            <w:r>
              <w:rPr>
                <w:noProof/>
                <w:webHidden/>
              </w:rPr>
              <w:t>66</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50" w:history="1">
            <w:r w:rsidRPr="00AE668B">
              <w:rPr>
                <w:rStyle w:val="Hyperlink"/>
                <w:noProof/>
              </w:rPr>
              <w:t>11.</w:t>
            </w:r>
            <w:r>
              <w:rPr>
                <w:rFonts w:asciiTheme="minorHAnsi" w:eastAsiaTheme="minorEastAsia" w:hAnsiTheme="minorHAnsi" w:cstheme="minorBidi"/>
                <w:b w:val="0"/>
                <w:noProof/>
                <w:sz w:val="22"/>
                <w:lang w:eastAsia="en-AU"/>
              </w:rPr>
              <w:tab/>
            </w:r>
            <w:r w:rsidRPr="00AE668B">
              <w:rPr>
                <w:rStyle w:val="Hyperlink"/>
                <w:noProof/>
              </w:rPr>
              <w:t>Clinical questions</w:t>
            </w:r>
            <w:r>
              <w:rPr>
                <w:noProof/>
                <w:webHidden/>
              </w:rPr>
              <w:tab/>
            </w:r>
            <w:r>
              <w:rPr>
                <w:noProof/>
                <w:webHidden/>
              </w:rPr>
              <w:fldChar w:fldCharType="begin"/>
            </w:r>
            <w:r>
              <w:rPr>
                <w:noProof/>
                <w:webHidden/>
              </w:rPr>
              <w:instrText xml:space="preserve"> PAGEREF _Toc375055450 \h </w:instrText>
            </w:r>
            <w:r>
              <w:rPr>
                <w:noProof/>
                <w:webHidden/>
              </w:rPr>
            </w:r>
            <w:r>
              <w:rPr>
                <w:noProof/>
                <w:webHidden/>
              </w:rPr>
              <w:fldChar w:fldCharType="separate"/>
            </w:r>
            <w:r>
              <w:rPr>
                <w:noProof/>
                <w:webHidden/>
              </w:rPr>
              <w:t>66</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51" w:history="1">
            <w:r w:rsidRPr="00AE668B">
              <w:rPr>
                <w:rStyle w:val="Hyperlink"/>
                <w:noProof/>
              </w:rPr>
              <w:t>12.</w:t>
            </w:r>
            <w:r>
              <w:rPr>
                <w:rFonts w:asciiTheme="minorHAnsi" w:eastAsiaTheme="minorEastAsia" w:hAnsiTheme="minorHAnsi" w:cstheme="minorBidi"/>
                <w:b w:val="0"/>
                <w:noProof/>
                <w:sz w:val="22"/>
                <w:lang w:eastAsia="en-AU"/>
              </w:rPr>
              <w:tab/>
            </w:r>
            <w:r w:rsidRPr="00AE668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_Toc375055451 \h </w:instrText>
            </w:r>
            <w:r>
              <w:rPr>
                <w:noProof/>
                <w:webHidden/>
              </w:rPr>
            </w:r>
            <w:r>
              <w:rPr>
                <w:noProof/>
                <w:webHidden/>
              </w:rPr>
              <w:fldChar w:fldCharType="separate"/>
            </w:r>
            <w:r>
              <w:rPr>
                <w:noProof/>
                <w:webHidden/>
              </w:rPr>
              <w:t>66</w:t>
            </w:r>
            <w:r>
              <w:rPr>
                <w:noProof/>
                <w:webHidden/>
              </w:rPr>
              <w:fldChar w:fldCharType="end"/>
            </w:r>
          </w:hyperlink>
        </w:p>
        <w:p w:rsidR="005276B7" w:rsidRDefault="005276B7">
          <w:pPr>
            <w:pStyle w:val="TOC2"/>
            <w:tabs>
              <w:tab w:val="left" w:pos="1247"/>
            </w:tabs>
            <w:rPr>
              <w:rFonts w:asciiTheme="minorHAnsi" w:eastAsiaTheme="minorEastAsia" w:hAnsiTheme="minorHAnsi" w:cstheme="minorBidi"/>
              <w:b w:val="0"/>
              <w:noProof/>
              <w:sz w:val="22"/>
              <w:lang w:eastAsia="en-AU"/>
            </w:rPr>
          </w:pPr>
          <w:hyperlink w:anchor="_Toc375055452" w:history="1">
            <w:r w:rsidRPr="00AE668B">
              <w:rPr>
                <w:rStyle w:val="Hyperlink"/>
                <w:noProof/>
              </w:rPr>
              <w:t>13.</w:t>
            </w:r>
            <w:r>
              <w:rPr>
                <w:rFonts w:asciiTheme="minorHAnsi" w:eastAsiaTheme="minorEastAsia" w:hAnsiTheme="minorHAnsi" w:cstheme="minorBidi"/>
                <w:b w:val="0"/>
                <w:noProof/>
                <w:sz w:val="22"/>
                <w:lang w:eastAsia="en-AU"/>
              </w:rPr>
              <w:tab/>
            </w:r>
            <w:r w:rsidRPr="00AE668B">
              <w:rPr>
                <w:rStyle w:val="Hyperlink"/>
                <w:noProof/>
              </w:rPr>
              <w:t>References</w:t>
            </w:r>
            <w:r>
              <w:rPr>
                <w:noProof/>
                <w:webHidden/>
              </w:rPr>
              <w:tab/>
            </w:r>
            <w:r>
              <w:rPr>
                <w:noProof/>
                <w:webHidden/>
              </w:rPr>
              <w:fldChar w:fldCharType="begin"/>
            </w:r>
            <w:r>
              <w:rPr>
                <w:noProof/>
                <w:webHidden/>
              </w:rPr>
              <w:instrText xml:space="preserve"> PAGEREF _Toc375055452 \h </w:instrText>
            </w:r>
            <w:r>
              <w:rPr>
                <w:noProof/>
                <w:webHidden/>
              </w:rPr>
            </w:r>
            <w:r>
              <w:rPr>
                <w:noProof/>
                <w:webHidden/>
              </w:rPr>
              <w:fldChar w:fldCharType="separate"/>
            </w:r>
            <w:r>
              <w:rPr>
                <w:noProof/>
                <w:webHidden/>
              </w:rPr>
              <w:t>67</w:t>
            </w:r>
            <w:r>
              <w:rPr>
                <w:noProof/>
                <w:webHidden/>
              </w:rPr>
              <w:fldChar w:fldCharType="end"/>
            </w:r>
          </w:hyperlink>
        </w:p>
        <w:p w:rsidR="003A7F6C" w:rsidRPr="00B811C6" w:rsidRDefault="00E07512" w:rsidP="00B811C6">
          <w:pPr>
            <w:pStyle w:val="TOC2"/>
          </w:pPr>
          <w:r>
            <w:fldChar w:fldCharType="end"/>
          </w:r>
        </w:p>
      </w:sdtContent>
    </w:sdt>
    <w:bookmarkStart w:id="2" w:name="_Toc314842482" w:displacedByCustomXml="prev"/>
    <w:p w:rsidR="00586F98" w:rsidRDefault="00586F98" w:rsidP="00683F40">
      <w:pPr>
        <w:pStyle w:val="Heading2"/>
        <w:numPr>
          <w:ilvl w:val="0"/>
          <w:numId w:val="0"/>
        </w:numPr>
      </w:pPr>
      <w:bookmarkStart w:id="3" w:name="_Toc351716269"/>
      <w:bookmarkStart w:id="4" w:name="_Toc351718881"/>
      <w:bookmarkStart w:id="5" w:name="_Toc355338616"/>
      <w:bookmarkStart w:id="6" w:name="_Toc375055413"/>
      <w:r>
        <w:t>List of abbreviations</w:t>
      </w:r>
      <w:bookmarkEnd w:id="3"/>
      <w:bookmarkEnd w:id="4"/>
      <w:bookmarkEnd w:id="5"/>
      <w:bookmarkEnd w:id="6"/>
    </w:p>
    <w:tbl>
      <w:tblPr>
        <w:tblStyle w:val="TableTGAblue"/>
        <w:tblW w:w="0" w:type="auto"/>
        <w:tblLook w:val="04A0"/>
      </w:tblPr>
      <w:tblGrid>
        <w:gridCol w:w="1951"/>
        <w:gridCol w:w="6769"/>
      </w:tblGrid>
      <w:tr w:rsidR="00586F98" w:rsidTr="00B92DB2">
        <w:trPr>
          <w:cnfStyle w:val="100000000000"/>
          <w:tblHeader/>
        </w:trPr>
        <w:tc>
          <w:tcPr>
            <w:cnfStyle w:val="001000000000"/>
            <w:tcW w:w="1951" w:type="dxa"/>
          </w:tcPr>
          <w:p w:rsidR="00586F98" w:rsidRDefault="00586F98" w:rsidP="00683F40">
            <w:r>
              <w:t>Abbreviation</w:t>
            </w:r>
          </w:p>
        </w:tc>
        <w:tc>
          <w:tcPr>
            <w:tcW w:w="6769" w:type="dxa"/>
          </w:tcPr>
          <w:p w:rsidR="00586F98" w:rsidRDefault="00586F98" w:rsidP="00683F40">
            <w:pPr>
              <w:cnfStyle w:val="100000000000"/>
            </w:pPr>
            <w:r>
              <w:t>Meaning</w:t>
            </w:r>
          </w:p>
        </w:tc>
      </w:tr>
      <w:tr w:rsidR="00B92DB2" w:rsidRPr="00C75EF0" w:rsidTr="00B92DB2">
        <w:tc>
          <w:tcPr>
            <w:cnfStyle w:val="001000000000"/>
            <w:tcW w:w="1951" w:type="dxa"/>
          </w:tcPr>
          <w:p w:rsidR="00B92DB2" w:rsidRPr="00C75EF0" w:rsidRDefault="00B92DB2" w:rsidP="00683F40">
            <w:r w:rsidRPr="00C75EF0">
              <w:t xml:space="preserve">ADR </w:t>
            </w:r>
          </w:p>
        </w:tc>
        <w:tc>
          <w:tcPr>
            <w:tcW w:w="6769" w:type="dxa"/>
          </w:tcPr>
          <w:p w:rsidR="00B92DB2" w:rsidRPr="00C75EF0" w:rsidRDefault="00B92DB2" w:rsidP="00683F40">
            <w:pPr>
              <w:cnfStyle w:val="000000000000"/>
            </w:pPr>
            <w:r w:rsidRPr="00C75EF0">
              <w:t xml:space="preserve">adverse drug reaction </w:t>
            </w:r>
          </w:p>
        </w:tc>
      </w:tr>
      <w:tr w:rsidR="00B92DB2" w:rsidRPr="00C75EF0" w:rsidTr="00B92DB2">
        <w:tc>
          <w:tcPr>
            <w:cnfStyle w:val="001000000000"/>
            <w:tcW w:w="1951" w:type="dxa"/>
          </w:tcPr>
          <w:p w:rsidR="00B92DB2" w:rsidRPr="00C75EF0" w:rsidRDefault="00B92DB2" w:rsidP="00683F40">
            <w:r w:rsidRPr="00C75EF0">
              <w:t xml:space="preserve">AE </w:t>
            </w:r>
          </w:p>
        </w:tc>
        <w:tc>
          <w:tcPr>
            <w:tcW w:w="6769" w:type="dxa"/>
          </w:tcPr>
          <w:p w:rsidR="00B92DB2" w:rsidRPr="00C75EF0" w:rsidRDefault="00B92DB2" w:rsidP="00683F40">
            <w:pPr>
              <w:cnfStyle w:val="000000000000"/>
            </w:pPr>
            <w:r w:rsidRPr="00C75EF0">
              <w:t xml:space="preserve">adverse event </w:t>
            </w:r>
          </w:p>
        </w:tc>
      </w:tr>
      <w:tr w:rsidR="00B92DB2" w:rsidRPr="00C75EF0" w:rsidTr="00B92DB2">
        <w:tc>
          <w:tcPr>
            <w:cnfStyle w:val="001000000000"/>
            <w:tcW w:w="1951" w:type="dxa"/>
          </w:tcPr>
          <w:p w:rsidR="00B92DB2" w:rsidRPr="00C75EF0" w:rsidRDefault="00B92DB2" w:rsidP="00683F40">
            <w:r w:rsidRPr="00C75EF0">
              <w:t xml:space="preserve">ALT </w:t>
            </w:r>
          </w:p>
        </w:tc>
        <w:tc>
          <w:tcPr>
            <w:tcW w:w="6769" w:type="dxa"/>
          </w:tcPr>
          <w:p w:rsidR="00B92DB2" w:rsidRPr="00C75EF0" w:rsidRDefault="00B92DB2" w:rsidP="00683F40">
            <w:pPr>
              <w:cnfStyle w:val="000000000000"/>
            </w:pPr>
            <w:r w:rsidRPr="00C75EF0">
              <w:t xml:space="preserve">alanine transaminase </w:t>
            </w:r>
          </w:p>
        </w:tc>
      </w:tr>
      <w:tr w:rsidR="00B92DB2" w:rsidRPr="00C75EF0" w:rsidTr="00B92DB2">
        <w:tc>
          <w:tcPr>
            <w:cnfStyle w:val="001000000000"/>
            <w:tcW w:w="1951" w:type="dxa"/>
          </w:tcPr>
          <w:p w:rsidR="00B92DB2" w:rsidRPr="00C75EF0" w:rsidRDefault="00B92DB2" w:rsidP="00683F40">
            <w:r w:rsidRPr="00C75EF0">
              <w:t xml:space="preserve">ANCOVA </w:t>
            </w:r>
          </w:p>
        </w:tc>
        <w:tc>
          <w:tcPr>
            <w:tcW w:w="6769" w:type="dxa"/>
          </w:tcPr>
          <w:p w:rsidR="00B92DB2" w:rsidRPr="00C75EF0" w:rsidRDefault="00B92DB2" w:rsidP="00683F40">
            <w:pPr>
              <w:cnfStyle w:val="000000000000"/>
            </w:pPr>
            <w:r w:rsidRPr="00C75EF0">
              <w:t xml:space="preserve">analysis of covariance </w:t>
            </w:r>
          </w:p>
        </w:tc>
      </w:tr>
      <w:tr w:rsidR="00B92DB2" w:rsidRPr="00C75EF0" w:rsidTr="00B92DB2">
        <w:tc>
          <w:tcPr>
            <w:cnfStyle w:val="001000000000"/>
            <w:tcW w:w="1951" w:type="dxa"/>
          </w:tcPr>
          <w:p w:rsidR="00B92DB2" w:rsidRPr="00C75EF0" w:rsidRDefault="00B92DB2" w:rsidP="00683F40">
            <w:r w:rsidRPr="00C75EF0">
              <w:t>ANOVA</w:t>
            </w:r>
          </w:p>
        </w:tc>
        <w:tc>
          <w:tcPr>
            <w:tcW w:w="6769" w:type="dxa"/>
          </w:tcPr>
          <w:p w:rsidR="00B92DB2" w:rsidRPr="00C75EF0" w:rsidRDefault="00B92DB2" w:rsidP="00683F40">
            <w:pPr>
              <w:cnfStyle w:val="000000000000"/>
            </w:pPr>
            <w:r w:rsidRPr="00C75EF0">
              <w:t>analysis of variance</w:t>
            </w:r>
          </w:p>
        </w:tc>
      </w:tr>
      <w:tr w:rsidR="00B92DB2" w:rsidRPr="00C75EF0" w:rsidTr="00B92DB2">
        <w:tc>
          <w:tcPr>
            <w:cnfStyle w:val="001000000000"/>
            <w:tcW w:w="1951" w:type="dxa"/>
          </w:tcPr>
          <w:p w:rsidR="00B92DB2" w:rsidRPr="00C75EF0" w:rsidRDefault="00B92DB2" w:rsidP="00683F40">
            <w:r w:rsidRPr="00C75EF0">
              <w:t xml:space="preserve">AST </w:t>
            </w:r>
          </w:p>
        </w:tc>
        <w:tc>
          <w:tcPr>
            <w:tcW w:w="6769" w:type="dxa"/>
          </w:tcPr>
          <w:p w:rsidR="00B92DB2" w:rsidRPr="00C75EF0" w:rsidRDefault="00B92DB2" w:rsidP="00683F40">
            <w:pPr>
              <w:cnfStyle w:val="000000000000"/>
            </w:pPr>
            <w:r w:rsidRPr="00C75EF0">
              <w:t xml:space="preserve">aspartate transaminase </w:t>
            </w:r>
          </w:p>
        </w:tc>
      </w:tr>
      <w:tr w:rsidR="00B92DB2" w:rsidRPr="00C75EF0" w:rsidTr="00B92DB2">
        <w:tc>
          <w:tcPr>
            <w:cnfStyle w:val="001000000000"/>
            <w:tcW w:w="1951" w:type="dxa"/>
          </w:tcPr>
          <w:p w:rsidR="00B92DB2" w:rsidRPr="00C75EF0" w:rsidRDefault="00B92DB2" w:rsidP="00683F40">
            <w:r w:rsidRPr="00C75EF0">
              <w:t xml:space="preserve">AUC </w:t>
            </w:r>
          </w:p>
        </w:tc>
        <w:tc>
          <w:tcPr>
            <w:tcW w:w="6769" w:type="dxa"/>
          </w:tcPr>
          <w:p w:rsidR="00B92DB2" w:rsidRPr="00C75EF0" w:rsidRDefault="00B92DB2" w:rsidP="00683F40">
            <w:pPr>
              <w:cnfStyle w:val="000000000000"/>
            </w:pPr>
            <w:r w:rsidRPr="00C75EF0">
              <w:t xml:space="preserve">area under the concentration versus time curve </w:t>
            </w:r>
          </w:p>
        </w:tc>
      </w:tr>
      <w:tr w:rsidR="00B92DB2" w:rsidRPr="00C75EF0" w:rsidTr="00B92DB2">
        <w:tc>
          <w:tcPr>
            <w:cnfStyle w:val="001000000000"/>
            <w:tcW w:w="1951" w:type="dxa"/>
          </w:tcPr>
          <w:p w:rsidR="00B92DB2" w:rsidRPr="00C75EF0" w:rsidRDefault="00B92DB2" w:rsidP="00683F40">
            <w:r w:rsidRPr="00C75EF0">
              <w:t>AUC</w:t>
            </w:r>
            <w:r w:rsidRPr="00723157">
              <w:rPr>
                <w:vertAlign w:val="subscript"/>
              </w:rPr>
              <w:t>0-12</w:t>
            </w:r>
            <w:r w:rsidRPr="00C75EF0">
              <w:t xml:space="preserve"> </w:t>
            </w:r>
          </w:p>
        </w:tc>
        <w:tc>
          <w:tcPr>
            <w:tcW w:w="6769" w:type="dxa"/>
          </w:tcPr>
          <w:p w:rsidR="00B92DB2" w:rsidRPr="00C75EF0" w:rsidRDefault="00B92DB2" w:rsidP="00683F40">
            <w:pPr>
              <w:cnfStyle w:val="000000000000"/>
            </w:pPr>
            <w:r w:rsidRPr="00C75EF0">
              <w:t xml:space="preserve">area under the concentration versus time curve from time of dosing to 12 hours </w:t>
            </w:r>
            <w:proofErr w:type="spellStart"/>
            <w:r w:rsidRPr="00C75EF0">
              <w:t>postdose</w:t>
            </w:r>
            <w:proofErr w:type="spellEnd"/>
            <w:r w:rsidRPr="00C75EF0">
              <w:t xml:space="preserve"> </w:t>
            </w:r>
          </w:p>
        </w:tc>
      </w:tr>
      <w:tr w:rsidR="00B92DB2" w:rsidRPr="00C75EF0" w:rsidTr="00B92DB2">
        <w:tc>
          <w:tcPr>
            <w:cnfStyle w:val="001000000000"/>
            <w:tcW w:w="1951" w:type="dxa"/>
          </w:tcPr>
          <w:p w:rsidR="00B92DB2" w:rsidRPr="00C75EF0" w:rsidRDefault="00B92DB2" w:rsidP="00683F40">
            <w:r w:rsidRPr="00C75EF0">
              <w:t>AUC</w:t>
            </w:r>
            <w:r w:rsidRPr="00723157">
              <w:rPr>
                <w:vertAlign w:val="subscript"/>
              </w:rPr>
              <w:t>0-∞</w:t>
            </w:r>
            <w:r w:rsidRPr="00C75EF0">
              <w:t xml:space="preserve"> </w:t>
            </w:r>
          </w:p>
        </w:tc>
        <w:tc>
          <w:tcPr>
            <w:tcW w:w="6769" w:type="dxa"/>
          </w:tcPr>
          <w:p w:rsidR="00B92DB2" w:rsidRPr="00C75EF0" w:rsidRDefault="00B92DB2" w:rsidP="00683F40">
            <w:pPr>
              <w:cnfStyle w:val="000000000000"/>
            </w:pPr>
            <w:r w:rsidRPr="00C75EF0">
              <w:t xml:space="preserve">area under the concentration versus time curve from time of dosing extrapolated to infinity </w:t>
            </w:r>
          </w:p>
        </w:tc>
      </w:tr>
      <w:tr w:rsidR="00B92DB2" w:rsidRPr="00C75EF0" w:rsidTr="00B92DB2">
        <w:tc>
          <w:tcPr>
            <w:cnfStyle w:val="001000000000"/>
            <w:tcW w:w="1951" w:type="dxa"/>
          </w:tcPr>
          <w:p w:rsidR="00B92DB2" w:rsidRPr="00C75EF0" w:rsidRDefault="00723157" w:rsidP="00683F40">
            <w:r>
              <w:t>AUC</w:t>
            </w:r>
            <w:r w:rsidR="00B92DB2" w:rsidRPr="00C75EF0">
              <w:rPr>
                <w:vertAlign w:val="subscript"/>
              </w:rPr>
              <w:t>0-tlast</w:t>
            </w:r>
          </w:p>
        </w:tc>
        <w:tc>
          <w:tcPr>
            <w:tcW w:w="6769" w:type="dxa"/>
          </w:tcPr>
          <w:p w:rsidR="00B92DB2" w:rsidRPr="00C75EF0" w:rsidRDefault="00B92DB2" w:rsidP="00683F40">
            <w:pPr>
              <w:cnfStyle w:val="000000000000"/>
            </w:pPr>
            <w:r w:rsidRPr="00C75EF0">
              <w:t xml:space="preserve">area under the plasma concentration-time curve up to time </w:t>
            </w:r>
            <w:r w:rsidR="00514045">
              <w:t>‘</w:t>
            </w:r>
            <w:r w:rsidRPr="00C75EF0">
              <w:t>t</w:t>
            </w:r>
            <w:r w:rsidR="00514045">
              <w:t xml:space="preserve"> </w:t>
            </w:r>
            <w:r w:rsidRPr="00C75EF0">
              <w:t>last</w:t>
            </w:r>
            <w:r w:rsidR="00514045">
              <w:t>’</w:t>
            </w:r>
          </w:p>
        </w:tc>
      </w:tr>
      <w:tr w:rsidR="00B92DB2" w:rsidRPr="00C75EF0" w:rsidTr="00B92DB2">
        <w:tc>
          <w:tcPr>
            <w:cnfStyle w:val="001000000000"/>
            <w:tcW w:w="1951" w:type="dxa"/>
          </w:tcPr>
          <w:p w:rsidR="00B92DB2" w:rsidRPr="00C75EF0" w:rsidRDefault="00B92DB2" w:rsidP="00683F40">
            <w:proofErr w:type="spellStart"/>
            <w:r w:rsidRPr="00C75EF0">
              <w:t>BfArM</w:t>
            </w:r>
            <w:proofErr w:type="spellEnd"/>
            <w:r w:rsidRPr="00C75EF0">
              <w:t xml:space="preserve"> </w:t>
            </w:r>
          </w:p>
        </w:tc>
        <w:tc>
          <w:tcPr>
            <w:tcW w:w="6769" w:type="dxa"/>
          </w:tcPr>
          <w:p w:rsidR="00B92DB2" w:rsidRPr="00C75EF0" w:rsidRDefault="00B92DB2" w:rsidP="00683F40">
            <w:pPr>
              <w:cnfStyle w:val="000000000000"/>
            </w:pPr>
            <w:proofErr w:type="spellStart"/>
            <w:r w:rsidRPr="00C75EF0">
              <w:t>Bundesinsitut</w:t>
            </w:r>
            <w:proofErr w:type="spellEnd"/>
            <w:r w:rsidRPr="00C75EF0">
              <w:t xml:space="preserve"> </w:t>
            </w:r>
            <w:proofErr w:type="spellStart"/>
            <w:r w:rsidRPr="00C75EF0">
              <w:t>für</w:t>
            </w:r>
            <w:proofErr w:type="spellEnd"/>
            <w:r w:rsidRPr="00C75EF0">
              <w:t xml:space="preserve"> </w:t>
            </w:r>
            <w:proofErr w:type="spellStart"/>
            <w:r w:rsidRPr="00C75EF0">
              <w:t>Arzenimittel</w:t>
            </w:r>
            <w:proofErr w:type="spellEnd"/>
            <w:r w:rsidRPr="00C75EF0">
              <w:t xml:space="preserve"> und </w:t>
            </w:r>
            <w:proofErr w:type="spellStart"/>
            <w:r w:rsidRPr="00C75EF0">
              <w:t>Medizinprodukte</w:t>
            </w:r>
            <w:proofErr w:type="spellEnd"/>
            <w:r w:rsidRPr="00C75EF0">
              <w:t xml:space="preserve"> (Germany) </w:t>
            </w:r>
          </w:p>
        </w:tc>
      </w:tr>
      <w:tr w:rsidR="00B92DB2" w:rsidRPr="00C75EF0" w:rsidTr="00B92DB2">
        <w:tc>
          <w:tcPr>
            <w:cnfStyle w:val="001000000000"/>
            <w:tcW w:w="1951" w:type="dxa"/>
          </w:tcPr>
          <w:p w:rsidR="00B92DB2" w:rsidRPr="00C75EF0" w:rsidRDefault="00B92DB2" w:rsidP="00683F40">
            <w:r w:rsidRPr="00C75EF0">
              <w:t>BLQ</w:t>
            </w:r>
          </w:p>
        </w:tc>
        <w:tc>
          <w:tcPr>
            <w:tcW w:w="6769" w:type="dxa"/>
          </w:tcPr>
          <w:p w:rsidR="00B92DB2" w:rsidRPr="00C75EF0" w:rsidRDefault="00B92DB2" w:rsidP="00683F40">
            <w:pPr>
              <w:cnfStyle w:val="000000000000"/>
            </w:pPr>
            <w:r w:rsidRPr="00C75EF0">
              <w:t>below lower limit of quantitation</w:t>
            </w:r>
          </w:p>
        </w:tc>
      </w:tr>
      <w:tr w:rsidR="00B92DB2" w:rsidRPr="00C75EF0" w:rsidTr="00B92DB2">
        <w:tc>
          <w:tcPr>
            <w:cnfStyle w:val="001000000000"/>
            <w:tcW w:w="1951" w:type="dxa"/>
          </w:tcPr>
          <w:p w:rsidR="00B92DB2" w:rsidRPr="00C75EF0" w:rsidRDefault="00B92DB2" w:rsidP="00683F40">
            <w:r w:rsidRPr="00C75EF0">
              <w:t xml:space="preserve">BMI </w:t>
            </w:r>
          </w:p>
        </w:tc>
        <w:tc>
          <w:tcPr>
            <w:tcW w:w="6769" w:type="dxa"/>
          </w:tcPr>
          <w:p w:rsidR="00B92DB2" w:rsidRPr="00C75EF0" w:rsidRDefault="00B92DB2" w:rsidP="00683F40">
            <w:pPr>
              <w:cnfStyle w:val="000000000000"/>
            </w:pPr>
            <w:r w:rsidRPr="00C75EF0">
              <w:t xml:space="preserve">body mass index </w:t>
            </w:r>
          </w:p>
        </w:tc>
      </w:tr>
      <w:tr w:rsidR="00B92DB2" w:rsidRPr="00C75EF0" w:rsidTr="00B92DB2">
        <w:tc>
          <w:tcPr>
            <w:cnfStyle w:val="001000000000"/>
            <w:tcW w:w="1951" w:type="dxa"/>
          </w:tcPr>
          <w:p w:rsidR="00B92DB2" w:rsidRPr="00C75EF0" w:rsidRDefault="00B92DB2" w:rsidP="00683F40">
            <w:r w:rsidRPr="00C75EF0">
              <w:t xml:space="preserve">CDC </w:t>
            </w:r>
          </w:p>
        </w:tc>
        <w:tc>
          <w:tcPr>
            <w:tcW w:w="6769" w:type="dxa"/>
          </w:tcPr>
          <w:p w:rsidR="00B92DB2" w:rsidRPr="00C75EF0" w:rsidRDefault="00B92DB2" w:rsidP="00683F40">
            <w:pPr>
              <w:cnfStyle w:val="000000000000"/>
            </w:pPr>
            <w:proofErr w:type="spellStart"/>
            <w:r w:rsidRPr="00C75EF0">
              <w:t>Centers</w:t>
            </w:r>
            <w:proofErr w:type="spellEnd"/>
            <w:r w:rsidRPr="00C75EF0">
              <w:t xml:space="preserve"> for Disease Control and Prevention (US) </w:t>
            </w:r>
          </w:p>
        </w:tc>
      </w:tr>
      <w:tr w:rsidR="00B92DB2" w:rsidRPr="00C75EF0" w:rsidTr="00B92DB2">
        <w:tc>
          <w:tcPr>
            <w:cnfStyle w:val="001000000000"/>
            <w:tcW w:w="1951" w:type="dxa"/>
          </w:tcPr>
          <w:p w:rsidR="00B92DB2" w:rsidRPr="00C75EF0" w:rsidRDefault="00B92DB2" w:rsidP="00683F40">
            <w:r w:rsidRPr="00C75EF0">
              <w:t xml:space="preserve">CF </w:t>
            </w:r>
          </w:p>
        </w:tc>
        <w:tc>
          <w:tcPr>
            <w:tcW w:w="6769" w:type="dxa"/>
          </w:tcPr>
          <w:p w:rsidR="00B92DB2" w:rsidRPr="00C75EF0" w:rsidRDefault="00B92DB2" w:rsidP="00683F40">
            <w:pPr>
              <w:cnfStyle w:val="000000000000"/>
            </w:pPr>
            <w:r w:rsidRPr="00C75EF0">
              <w:t xml:space="preserve">cystic fibrosis </w:t>
            </w:r>
          </w:p>
        </w:tc>
      </w:tr>
      <w:tr w:rsidR="00B92DB2" w:rsidRPr="00C75EF0" w:rsidTr="00B92DB2">
        <w:tc>
          <w:tcPr>
            <w:cnfStyle w:val="001000000000"/>
            <w:tcW w:w="1951" w:type="dxa"/>
          </w:tcPr>
          <w:p w:rsidR="00B92DB2" w:rsidRPr="00C75EF0" w:rsidRDefault="00B92DB2" w:rsidP="00683F40">
            <w:r w:rsidRPr="00C75EF0">
              <w:t xml:space="preserve">CFQ-R </w:t>
            </w:r>
          </w:p>
        </w:tc>
        <w:tc>
          <w:tcPr>
            <w:tcW w:w="6769" w:type="dxa"/>
          </w:tcPr>
          <w:p w:rsidR="00B92DB2" w:rsidRPr="00C75EF0" w:rsidRDefault="00B92DB2" w:rsidP="00683F40">
            <w:pPr>
              <w:cnfStyle w:val="000000000000"/>
            </w:pPr>
            <w:r w:rsidRPr="00C75EF0">
              <w:t xml:space="preserve">Cystic Fibrosis Questionnaire-Revised </w:t>
            </w:r>
          </w:p>
        </w:tc>
      </w:tr>
      <w:tr w:rsidR="00B92DB2" w:rsidRPr="00C75EF0" w:rsidTr="00B92DB2">
        <w:tc>
          <w:tcPr>
            <w:cnfStyle w:val="001000000000"/>
            <w:tcW w:w="1951" w:type="dxa"/>
          </w:tcPr>
          <w:p w:rsidR="00B92DB2" w:rsidRPr="00C75EF0" w:rsidRDefault="00B92DB2" w:rsidP="00683F40">
            <w:r w:rsidRPr="00C75EF0">
              <w:t xml:space="preserve">CFRD </w:t>
            </w:r>
          </w:p>
        </w:tc>
        <w:tc>
          <w:tcPr>
            <w:tcW w:w="6769" w:type="dxa"/>
          </w:tcPr>
          <w:p w:rsidR="00B92DB2" w:rsidRPr="00C75EF0" w:rsidRDefault="00B92DB2" w:rsidP="00683F40">
            <w:pPr>
              <w:cnfStyle w:val="000000000000"/>
            </w:pPr>
            <w:r w:rsidRPr="00C75EF0">
              <w:t xml:space="preserve">cystic fibrosis-related diabetes </w:t>
            </w:r>
          </w:p>
        </w:tc>
      </w:tr>
      <w:tr w:rsidR="00B92DB2" w:rsidRPr="00C75EF0" w:rsidTr="00B92DB2">
        <w:tc>
          <w:tcPr>
            <w:cnfStyle w:val="001000000000"/>
            <w:tcW w:w="1951" w:type="dxa"/>
          </w:tcPr>
          <w:p w:rsidR="00B92DB2" w:rsidRPr="00C75EF0" w:rsidRDefault="00B92DB2" w:rsidP="00683F40">
            <w:r w:rsidRPr="00C75EF0">
              <w:rPr>
                <w:i/>
                <w:iCs/>
              </w:rPr>
              <w:lastRenderedPageBreak/>
              <w:t xml:space="preserve">CFTR </w:t>
            </w:r>
          </w:p>
        </w:tc>
        <w:tc>
          <w:tcPr>
            <w:tcW w:w="6769" w:type="dxa"/>
          </w:tcPr>
          <w:p w:rsidR="00B92DB2" w:rsidRPr="00C75EF0" w:rsidRDefault="00B92DB2" w:rsidP="00683F40">
            <w:pPr>
              <w:cnfStyle w:val="000000000000"/>
            </w:pPr>
            <w:r w:rsidRPr="00C75EF0">
              <w:t xml:space="preserve">cystic fibrosis </w:t>
            </w:r>
            <w:proofErr w:type="spellStart"/>
            <w:r w:rsidRPr="00C75EF0">
              <w:t>transmembrane</w:t>
            </w:r>
            <w:proofErr w:type="spellEnd"/>
            <w:r w:rsidRPr="00C75EF0">
              <w:t xml:space="preserve"> conductance regulator gene </w:t>
            </w:r>
          </w:p>
        </w:tc>
      </w:tr>
      <w:tr w:rsidR="00B92DB2" w:rsidRPr="00C75EF0" w:rsidTr="00B92DB2">
        <w:tc>
          <w:tcPr>
            <w:cnfStyle w:val="001000000000"/>
            <w:tcW w:w="1951" w:type="dxa"/>
          </w:tcPr>
          <w:p w:rsidR="00B92DB2" w:rsidRPr="00C75EF0" w:rsidRDefault="00B92DB2" w:rsidP="00683F40">
            <w:r w:rsidRPr="00C75EF0">
              <w:t xml:space="preserve">CFTR </w:t>
            </w:r>
          </w:p>
        </w:tc>
        <w:tc>
          <w:tcPr>
            <w:tcW w:w="6769" w:type="dxa"/>
          </w:tcPr>
          <w:p w:rsidR="00B92DB2" w:rsidRPr="00C75EF0" w:rsidRDefault="00B92DB2" w:rsidP="00683F40">
            <w:pPr>
              <w:cnfStyle w:val="000000000000"/>
            </w:pPr>
            <w:r w:rsidRPr="00C75EF0">
              <w:t xml:space="preserve">cystic fibrosis </w:t>
            </w:r>
            <w:proofErr w:type="spellStart"/>
            <w:r w:rsidRPr="00C75EF0">
              <w:t>transmembrane</w:t>
            </w:r>
            <w:proofErr w:type="spellEnd"/>
            <w:r w:rsidRPr="00C75EF0">
              <w:t xml:space="preserve"> conductance regulator protein </w:t>
            </w:r>
          </w:p>
        </w:tc>
      </w:tr>
      <w:tr w:rsidR="00B92DB2" w:rsidRPr="00C75EF0" w:rsidTr="00B92DB2">
        <w:tc>
          <w:tcPr>
            <w:cnfStyle w:val="001000000000"/>
            <w:tcW w:w="1951" w:type="dxa"/>
          </w:tcPr>
          <w:p w:rsidR="00B92DB2" w:rsidRPr="00C75EF0" w:rsidRDefault="00B92DB2" w:rsidP="00683F40">
            <w:r w:rsidRPr="00C75EF0">
              <w:t xml:space="preserve">CHMP </w:t>
            </w:r>
          </w:p>
        </w:tc>
        <w:tc>
          <w:tcPr>
            <w:tcW w:w="6769" w:type="dxa"/>
          </w:tcPr>
          <w:p w:rsidR="00B92DB2" w:rsidRPr="00C75EF0" w:rsidRDefault="00B92DB2" w:rsidP="00683F40">
            <w:pPr>
              <w:cnfStyle w:val="000000000000"/>
            </w:pPr>
            <w:r w:rsidRPr="00C75EF0">
              <w:t xml:space="preserve">Committee for Medicinal Products for Human Use (EMA) </w:t>
            </w:r>
          </w:p>
        </w:tc>
      </w:tr>
      <w:tr w:rsidR="00B92DB2" w:rsidRPr="00C75EF0" w:rsidTr="00B92DB2">
        <w:tc>
          <w:tcPr>
            <w:cnfStyle w:val="001000000000"/>
            <w:tcW w:w="1951" w:type="dxa"/>
          </w:tcPr>
          <w:p w:rsidR="00B92DB2" w:rsidRPr="00C75EF0" w:rsidRDefault="00B92DB2" w:rsidP="00683F40">
            <w:r w:rsidRPr="00C75EF0">
              <w:t xml:space="preserve">CI </w:t>
            </w:r>
          </w:p>
        </w:tc>
        <w:tc>
          <w:tcPr>
            <w:tcW w:w="6769" w:type="dxa"/>
          </w:tcPr>
          <w:p w:rsidR="00B92DB2" w:rsidRPr="00C75EF0" w:rsidRDefault="00B92DB2" w:rsidP="00683F40">
            <w:pPr>
              <w:cnfStyle w:val="000000000000"/>
            </w:pPr>
            <w:r w:rsidRPr="00C75EF0">
              <w:t xml:space="preserve">confidence interval </w:t>
            </w:r>
          </w:p>
        </w:tc>
      </w:tr>
      <w:tr w:rsidR="00B92DB2" w:rsidRPr="00C75EF0" w:rsidTr="00B92DB2">
        <w:tc>
          <w:tcPr>
            <w:cnfStyle w:val="001000000000"/>
            <w:tcW w:w="1951" w:type="dxa"/>
          </w:tcPr>
          <w:p w:rsidR="00B92DB2" w:rsidRPr="00C75EF0" w:rsidRDefault="00B92DB2" w:rsidP="00683F40">
            <w:r w:rsidRPr="00C75EF0">
              <w:t xml:space="preserve">CL/F </w:t>
            </w:r>
          </w:p>
        </w:tc>
        <w:tc>
          <w:tcPr>
            <w:tcW w:w="6769" w:type="dxa"/>
          </w:tcPr>
          <w:p w:rsidR="00B92DB2" w:rsidRPr="00C75EF0" w:rsidRDefault="00B92DB2" w:rsidP="00683F40">
            <w:pPr>
              <w:cnfStyle w:val="000000000000"/>
            </w:pPr>
            <w:r w:rsidRPr="00C75EF0">
              <w:t xml:space="preserve">apparent clearance </w:t>
            </w:r>
          </w:p>
        </w:tc>
      </w:tr>
      <w:tr w:rsidR="00B92DB2" w:rsidRPr="00C75EF0" w:rsidTr="00B92DB2">
        <w:tc>
          <w:tcPr>
            <w:cnfStyle w:val="001000000000"/>
            <w:tcW w:w="1951" w:type="dxa"/>
          </w:tcPr>
          <w:p w:rsidR="00B92DB2" w:rsidRPr="00C75EF0" w:rsidRDefault="00B92DB2" w:rsidP="00683F40">
            <w:proofErr w:type="spellStart"/>
            <w:r w:rsidRPr="00C75EF0">
              <w:t>Cmax</w:t>
            </w:r>
            <w:proofErr w:type="spellEnd"/>
            <w:r w:rsidRPr="00C75EF0">
              <w:t xml:space="preserve"> </w:t>
            </w:r>
          </w:p>
        </w:tc>
        <w:tc>
          <w:tcPr>
            <w:tcW w:w="6769" w:type="dxa"/>
          </w:tcPr>
          <w:p w:rsidR="00B92DB2" w:rsidRPr="00C75EF0" w:rsidRDefault="00B92DB2" w:rsidP="00683F40">
            <w:pPr>
              <w:cnfStyle w:val="000000000000"/>
            </w:pPr>
            <w:r w:rsidRPr="00C75EF0">
              <w:t xml:space="preserve">maximum observed concentration </w:t>
            </w:r>
          </w:p>
        </w:tc>
      </w:tr>
      <w:tr w:rsidR="00B92DB2" w:rsidRPr="00C75EF0" w:rsidTr="00B92DB2">
        <w:tc>
          <w:tcPr>
            <w:cnfStyle w:val="001000000000"/>
            <w:tcW w:w="1951" w:type="dxa"/>
          </w:tcPr>
          <w:p w:rsidR="00B92DB2" w:rsidRPr="00C75EF0" w:rsidRDefault="00B92DB2" w:rsidP="00683F40">
            <w:proofErr w:type="spellStart"/>
            <w:r w:rsidRPr="00C75EF0">
              <w:t>Cmin</w:t>
            </w:r>
            <w:proofErr w:type="spellEnd"/>
            <w:r w:rsidRPr="00C75EF0">
              <w:t xml:space="preserve"> </w:t>
            </w:r>
          </w:p>
        </w:tc>
        <w:tc>
          <w:tcPr>
            <w:tcW w:w="6769" w:type="dxa"/>
          </w:tcPr>
          <w:p w:rsidR="00B92DB2" w:rsidRPr="00C75EF0" w:rsidRDefault="00B92DB2" w:rsidP="00683F40">
            <w:pPr>
              <w:cnfStyle w:val="000000000000"/>
            </w:pPr>
            <w:r w:rsidRPr="00C75EF0">
              <w:t xml:space="preserve">minimum observed concentration </w:t>
            </w:r>
          </w:p>
        </w:tc>
      </w:tr>
      <w:tr w:rsidR="00B92DB2" w:rsidRPr="00C75EF0" w:rsidTr="00B92DB2">
        <w:tc>
          <w:tcPr>
            <w:cnfStyle w:val="001000000000"/>
            <w:tcW w:w="1951" w:type="dxa"/>
          </w:tcPr>
          <w:p w:rsidR="00B92DB2" w:rsidRPr="00C75EF0" w:rsidRDefault="00B92DB2" w:rsidP="00683F40">
            <w:proofErr w:type="spellStart"/>
            <w:r w:rsidRPr="00C75EF0">
              <w:t>Cmin,ss</w:t>
            </w:r>
            <w:proofErr w:type="spellEnd"/>
            <w:r w:rsidRPr="00C75EF0">
              <w:t xml:space="preserve"> </w:t>
            </w:r>
          </w:p>
        </w:tc>
        <w:tc>
          <w:tcPr>
            <w:tcW w:w="6769" w:type="dxa"/>
          </w:tcPr>
          <w:p w:rsidR="00B92DB2" w:rsidRPr="00C75EF0" w:rsidRDefault="00B92DB2" w:rsidP="00683F40">
            <w:pPr>
              <w:cnfStyle w:val="000000000000"/>
            </w:pPr>
            <w:r w:rsidRPr="00C75EF0">
              <w:t xml:space="preserve">minimum observed concentration at steady state </w:t>
            </w:r>
          </w:p>
        </w:tc>
      </w:tr>
      <w:tr w:rsidR="00B92DB2" w:rsidRPr="00C75EF0" w:rsidTr="00B92DB2">
        <w:tc>
          <w:tcPr>
            <w:cnfStyle w:val="001000000000"/>
            <w:tcW w:w="1951" w:type="dxa"/>
          </w:tcPr>
          <w:p w:rsidR="00B92DB2" w:rsidRPr="00C75EF0" w:rsidRDefault="00B92DB2" w:rsidP="00683F40">
            <w:proofErr w:type="spellStart"/>
            <w:r w:rsidRPr="00C75EF0">
              <w:t>Ctlast</w:t>
            </w:r>
            <w:proofErr w:type="spellEnd"/>
          </w:p>
        </w:tc>
        <w:tc>
          <w:tcPr>
            <w:tcW w:w="6769" w:type="dxa"/>
          </w:tcPr>
          <w:p w:rsidR="00B92DB2" w:rsidRPr="00C75EF0" w:rsidRDefault="00B92DB2" w:rsidP="00683F40">
            <w:pPr>
              <w:cnfStyle w:val="000000000000"/>
            </w:pPr>
            <w:r w:rsidRPr="00C75EF0">
              <w:t xml:space="preserve">plasma concentration associated with </w:t>
            </w:r>
            <w:proofErr w:type="spellStart"/>
            <w:r w:rsidRPr="00C75EF0">
              <w:t>tlast</w:t>
            </w:r>
            <w:proofErr w:type="spellEnd"/>
          </w:p>
        </w:tc>
      </w:tr>
      <w:tr w:rsidR="00B92DB2" w:rsidRPr="00C75EF0" w:rsidTr="00B92DB2">
        <w:tc>
          <w:tcPr>
            <w:cnfStyle w:val="001000000000"/>
            <w:tcW w:w="1951" w:type="dxa"/>
          </w:tcPr>
          <w:p w:rsidR="00B92DB2" w:rsidRPr="00C75EF0" w:rsidRDefault="00B92DB2" w:rsidP="00683F40">
            <w:proofErr w:type="spellStart"/>
            <w:r w:rsidRPr="00C75EF0">
              <w:t>Ctrough,ss</w:t>
            </w:r>
            <w:proofErr w:type="spellEnd"/>
            <w:r w:rsidRPr="00C75EF0">
              <w:t xml:space="preserve"> </w:t>
            </w:r>
          </w:p>
        </w:tc>
        <w:tc>
          <w:tcPr>
            <w:tcW w:w="6769" w:type="dxa"/>
          </w:tcPr>
          <w:p w:rsidR="00B92DB2" w:rsidRPr="00C75EF0" w:rsidRDefault="00B92DB2" w:rsidP="00683F40">
            <w:pPr>
              <w:cnfStyle w:val="000000000000"/>
            </w:pPr>
            <w:r w:rsidRPr="00C75EF0">
              <w:t xml:space="preserve">trough concentration at steady state </w:t>
            </w:r>
          </w:p>
        </w:tc>
      </w:tr>
      <w:tr w:rsidR="00B92DB2" w:rsidRPr="00C75EF0" w:rsidTr="00B92DB2">
        <w:tc>
          <w:tcPr>
            <w:cnfStyle w:val="001000000000"/>
            <w:tcW w:w="1951" w:type="dxa"/>
          </w:tcPr>
          <w:p w:rsidR="00B92DB2" w:rsidRPr="00C75EF0" w:rsidRDefault="00B92DB2" w:rsidP="00683F40">
            <w:r w:rsidRPr="00C75EF0">
              <w:t>CV</w:t>
            </w:r>
          </w:p>
        </w:tc>
        <w:tc>
          <w:tcPr>
            <w:tcW w:w="6769" w:type="dxa"/>
          </w:tcPr>
          <w:p w:rsidR="00B92DB2" w:rsidRPr="00C75EF0" w:rsidRDefault="00B92DB2" w:rsidP="00683F40">
            <w:pPr>
              <w:cnfStyle w:val="000000000000"/>
            </w:pPr>
            <w:r w:rsidRPr="00C75EF0">
              <w:t>coefficient of variation</w:t>
            </w:r>
          </w:p>
        </w:tc>
      </w:tr>
      <w:tr w:rsidR="00B92DB2" w:rsidRPr="00C75EF0" w:rsidTr="00B92DB2">
        <w:tc>
          <w:tcPr>
            <w:cnfStyle w:val="001000000000"/>
            <w:tcW w:w="1951" w:type="dxa"/>
          </w:tcPr>
          <w:p w:rsidR="00B92DB2" w:rsidRPr="00C75EF0" w:rsidRDefault="00B92DB2" w:rsidP="00683F40">
            <w:r w:rsidRPr="00C75EF0">
              <w:t xml:space="preserve">CYP </w:t>
            </w:r>
          </w:p>
        </w:tc>
        <w:tc>
          <w:tcPr>
            <w:tcW w:w="6769" w:type="dxa"/>
          </w:tcPr>
          <w:p w:rsidR="00B92DB2" w:rsidRPr="00C75EF0" w:rsidRDefault="00B92DB2" w:rsidP="00683F40">
            <w:pPr>
              <w:cnfStyle w:val="000000000000"/>
            </w:pPr>
            <w:r w:rsidRPr="00C75EF0">
              <w:t xml:space="preserve">cytochrome P450 </w:t>
            </w:r>
          </w:p>
        </w:tc>
      </w:tr>
      <w:tr w:rsidR="00B92DB2" w:rsidRPr="00C75EF0" w:rsidTr="00B92DB2">
        <w:tc>
          <w:tcPr>
            <w:cnfStyle w:val="001000000000"/>
            <w:tcW w:w="1951" w:type="dxa"/>
          </w:tcPr>
          <w:p w:rsidR="00B92DB2" w:rsidRPr="00C75EF0" w:rsidRDefault="00B92DB2" w:rsidP="00683F40">
            <w:r w:rsidRPr="00C75EF0">
              <w:t xml:space="preserve">DDI </w:t>
            </w:r>
          </w:p>
        </w:tc>
        <w:tc>
          <w:tcPr>
            <w:tcW w:w="6769" w:type="dxa"/>
          </w:tcPr>
          <w:p w:rsidR="00B92DB2" w:rsidRPr="00C75EF0" w:rsidRDefault="00B92DB2" w:rsidP="00683F40">
            <w:pPr>
              <w:cnfStyle w:val="000000000000"/>
            </w:pPr>
            <w:r w:rsidRPr="00C75EF0">
              <w:t xml:space="preserve">drug-drug interaction </w:t>
            </w:r>
          </w:p>
        </w:tc>
      </w:tr>
      <w:tr w:rsidR="00B92DB2" w:rsidRPr="00C75EF0" w:rsidTr="00B92DB2">
        <w:tc>
          <w:tcPr>
            <w:cnfStyle w:val="001000000000"/>
            <w:tcW w:w="1951" w:type="dxa"/>
          </w:tcPr>
          <w:p w:rsidR="00B92DB2" w:rsidRPr="00C75EF0" w:rsidRDefault="00B92DB2" w:rsidP="00683F40">
            <w:r w:rsidRPr="00C75EF0">
              <w:t xml:space="preserve">DL </w:t>
            </w:r>
          </w:p>
        </w:tc>
        <w:tc>
          <w:tcPr>
            <w:tcW w:w="6769" w:type="dxa"/>
          </w:tcPr>
          <w:p w:rsidR="00B92DB2" w:rsidRPr="00C75EF0" w:rsidRDefault="00B92DB2" w:rsidP="00683F40">
            <w:pPr>
              <w:cnfStyle w:val="000000000000"/>
            </w:pPr>
            <w:r w:rsidRPr="00C75EF0">
              <w:t xml:space="preserve">drug load </w:t>
            </w:r>
          </w:p>
        </w:tc>
      </w:tr>
      <w:tr w:rsidR="00B92DB2" w:rsidRPr="00C75EF0" w:rsidTr="00B92DB2">
        <w:tc>
          <w:tcPr>
            <w:cnfStyle w:val="001000000000"/>
            <w:tcW w:w="1951" w:type="dxa"/>
          </w:tcPr>
          <w:p w:rsidR="00B92DB2" w:rsidRPr="00C75EF0" w:rsidRDefault="00B92DB2" w:rsidP="00683F40">
            <w:r w:rsidRPr="00C75EF0">
              <w:t xml:space="preserve">EC </w:t>
            </w:r>
          </w:p>
        </w:tc>
        <w:tc>
          <w:tcPr>
            <w:tcW w:w="6769" w:type="dxa"/>
          </w:tcPr>
          <w:p w:rsidR="00B92DB2" w:rsidRPr="00C75EF0" w:rsidRDefault="00B92DB2" w:rsidP="00683F40">
            <w:pPr>
              <w:cnfStyle w:val="000000000000"/>
            </w:pPr>
            <w:r w:rsidRPr="00C75EF0">
              <w:t xml:space="preserve">European Regulations </w:t>
            </w:r>
          </w:p>
        </w:tc>
      </w:tr>
      <w:tr w:rsidR="00B92DB2" w:rsidRPr="00C75EF0" w:rsidTr="00B92DB2">
        <w:tc>
          <w:tcPr>
            <w:cnfStyle w:val="001000000000"/>
            <w:tcW w:w="1951" w:type="dxa"/>
          </w:tcPr>
          <w:p w:rsidR="00B92DB2" w:rsidRPr="00C75EF0" w:rsidRDefault="00B92DB2" w:rsidP="00683F40">
            <w:r w:rsidRPr="00C75EF0">
              <w:t xml:space="preserve">ECFS </w:t>
            </w:r>
          </w:p>
        </w:tc>
        <w:tc>
          <w:tcPr>
            <w:tcW w:w="6769" w:type="dxa"/>
          </w:tcPr>
          <w:p w:rsidR="00B92DB2" w:rsidRPr="00C75EF0" w:rsidRDefault="00B92DB2" w:rsidP="00683F40">
            <w:pPr>
              <w:cnfStyle w:val="000000000000"/>
            </w:pPr>
            <w:r w:rsidRPr="00C75EF0">
              <w:t xml:space="preserve">European Cystic Fibrosis Society </w:t>
            </w:r>
          </w:p>
        </w:tc>
      </w:tr>
      <w:tr w:rsidR="00B92DB2" w:rsidRPr="00C75EF0" w:rsidTr="00B92DB2">
        <w:tc>
          <w:tcPr>
            <w:cnfStyle w:val="001000000000"/>
            <w:tcW w:w="1951" w:type="dxa"/>
          </w:tcPr>
          <w:p w:rsidR="00B92DB2" w:rsidRPr="00C75EF0" w:rsidRDefault="00B92DB2" w:rsidP="00683F40">
            <w:r w:rsidRPr="00C75EF0">
              <w:t xml:space="preserve">ECG </w:t>
            </w:r>
          </w:p>
        </w:tc>
        <w:tc>
          <w:tcPr>
            <w:tcW w:w="6769" w:type="dxa"/>
          </w:tcPr>
          <w:p w:rsidR="00B92DB2" w:rsidRPr="00C75EF0" w:rsidRDefault="00B92DB2" w:rsidP="00683F40">
            <w:pPr>
              <w:cnfStyle w:val="000000000000"/>
            </w:pPr>
            <w:r w:rsidRPr="00C75EF0">
              <w:t xml:space="preserve">electrocardiogram </w:t>
            </w:r>
          </w:p>
        </w:tc>
      </w:tr>
      <w:tr w:rsidR="00B92DB2" w:rsidRPr="00C75EF0" w:rsidTr="00B92DB2">
        <w:tc>
          <w:tcPr>
            <w:cnfStyle w:val="001000000000"/>
            <w:tcW w:w="1951" w:type="dxa"/>
          </w:tcPr>
          <w:p w:rsidR="00B92DB2" w:rsidRPr="00C75EF0" w:rsidRDefault="00B92DB2" w:rsidP="00683F40">
            <w:proofErr w:type="spellStart"/>
            <w:r w:rsidRPr="00C75EF0">
              <w:t>ECx</w:t>
            </w:r>
            <w:proofErr w:type="spellEnd"/>
            <w:r w:rsidRPr="00C75EF0">
              <w:t xml:space="preserve"> </w:t>
            </w:r>
          </w:p>
        </w:tc>
        <w:tc>
          <w:tcPr>
            <w:tcW w:w="6769" w:type="dxa"/>
          </w:tcPr>
          <w:p w:rsidR="00B92DB2" w:rsidRPr="00C75EF0" w:rsidRDefault="00B92DB2" w:rsidP="00683F40">
            <w:pPr>
              <w:cnfStyle w:val="000000000000"/>
            </w:pPr>
            <w:r w:rsidRPr="00C75EF0">
              <w:t xml:space="preserve">concentration at which effect is at x% maximum </w:t>
            </w:r>
          </w:p>
        </w:tc>
      </w:tr>
      <w:tr w:rsidR="00B92DB2" w:rsidRPr="00C75EF0" w:rsidTr="00B92DB2">
        <w:tc>
          <w:tcPr>
            <w:cnfStyle w:val="001000000000"/>
            <w:tcW w:w="1951" w:type="dxa"/>
          </w:tcPr>
          <w:p w:rsidR="00B92DB2" w:rsidRPr="00C75EF0" w:rsidRDefault="00B92DB2" w:rsidP="00683F40">
            <w:r w:rsidRPr="00C75EF0">
              <w:t xml:space="preserve">EE </w:t>
            </w:r>
          </w:p>
        </w:tc>
        <w:tc>
          <w:tcPr>
            <w:tcW w:w="6769" w:type="dxa"/>
          </w:tcPr>
          <w:p w:rsidR="00B92DB2" w:rsidRPr="00C75EF0" w:rsidRDefault="00B92DB2" w:rsidP="00683F40">
            <w:pPr>
              <w:cnfStyle w:val="000000000000"/>
            </w:pPr>
            <w:proofErr w:type="spellStart"/>
            <w:r w:rsidRPr="00C75EF0">
              <w:t>ethinyl</w:t>
            </w:r>
            <w:proofErr w:type="spellEnd"/>
            <w:r w:rsidRPr="00C75EF0">
              <w:t xml:space="preserve"> </w:t>
            </w:r>
            <w:proofErr w:type="spellStart"/>
            <w:r w:rsidRPr="00C75EF0">
              <w:t>estradiol</w:t>
            </w:r>
            <w:proofErr w:type="spellEnd"/>
            <w:r w:rsidRPr="00C75EF0">
              <w:t xml:space="preserve"> </w:t>
            </w:r>
          </w:p>
        </w:tc>
      </w:tr>
      <w:tr w:rsidR="00B92DB2" w:rsidRPr="00C75EF0" w:rsidTr="00B92DB2">
        <w:tc>
          <w:tcPr>
            <w:cnfStyle w:val="001000000000"/>
            <w:tcW w:w="1951" w:type="dxa"/>
          </w:tcPr>
          <w:p w:rsidR="00B92DB2" w:rsidRPr="00C75EF0" w:rsidRDefault="00B92DB2" w:rsidP="00683F40">
            <w:r w:rsidRPr="00C75EF0">
              <w:t xml:space="preserve">EMA </w:t>
            </w:r>
          </w:p>
        </w:tc>
        <w:tc>
          <w:tcPr>
            <w:tcW w:w="6769" w:type="dxa"/>
          </w:tcPr>
          <w:p w:rsidR="00B92DB2" w:rsidRPr="00C75EF0" w:rsidRDefault="00B92DB2" w:rsidP="00683F40">
            <w:pPr>
              <w:cnfStyle w:val="000000000000"/>
            </w:pPr>
            <w:r w:rsidRPr="00C75EF0">
              <w:t xml:space="preserve">European Medicines Agency </w:t>
            </w:r>
          </w:p>
        </w:tc>
      </w:tr>
      <w:tr w:rsidR="00B92DB2" w:rsidRPr="00C75EF0" w:rsidTr="00B92DB2">
        <w:tc>
          <w:tcPr>
            <w:cnfStyle w:val="001000000000"/>
            <w:tcW w:w="1951" w:type="dxa"/>
          </w:tcPr>
          <w:p w:rsidR="00B92DB2" w:rsidRPr="00C75EF0" w:rsidRDefault="00B92DB2" w:rsidP="00683F40">
            <w:proofErr w:type="spellStart"/>
            <w:r w:rsidRPr="00C75EF0">
              <w:t>Emax</w:t>
            </w:r>
            <w:proofErr w:type="spellEnd"/>
            <w:r w:rsidRPr="00C75EF0">
              <w:t xml:space="preserve"> </w:t>
            </w:r>
          </w:p>
        </w:tc>
        <w:tc>
          <w:tcPr>
            <w:tcW w:w="6769" w:type="dxa"/>
          </w:tcPr>
          <w:p w:rsidR="00B92DB2" w:rsidRPr="00C75EF0" w:rsidRDefault="00B92DB2" w:rsidP="00683F40">
            <w:pPr>
              <w:cnfStyle w:val="000000000000"/>
            </w:pPr>
            <w:r w:rsidRPr="00C75EF0">
              <w:t xml:space="preserve">maximum effect </w:t>
            </w:r>
          </w:p>
        </w:tc>
      </w:tr>
      <w:tr w:rsidR="00B92DB2" w:rsidRPr="00C75EF0" w:rsidTr="00B92DB2">
        <w:tc>
          <w:tcPr>
            <w:cnfStyle w:val="001000000000"/>
            <w:tcW w:w="1951" w:type="dxa"/>
          </w:tcPr>
          <w:p w:rsidR="00B92DB2" w:rsidRPr="00C75EF0" w:rsidRDefault="00B92DB2" w:rsidP="00683F40">
            <w:r w:rsidRPr="00C75EF0">
              <w:t xml:space="preserve">EU </w:t>
            </w:r>
          </w:p>
        </w:tc>
        <w:tc>
          <w:tcPr>
            <w:tcW w:w="6769" w:type="dxa"/>
          </w:tcPr>
          <w:p w:rsidR="00B92DB2" w:rsidRPr="00C75EF0" w:rsidRDefault="00B92DB2" w:rsidP="00683F40">
            <w:pPr>
              <w:cnfStyle w:val="000000000000"/>
            </w:pPr>
            <w:r w:rsidRPr="00C75EF0">
              <w:t xml:space="preserve">European Union </w:t>
            </w:r>
          </w:p>
        </w:tc>
      </w:tr>
      <w:tr w:rsidR="00B92DB2" w:rsidRPr="00C75EF0" w:rsidTr="00B92DB2">
        <w:tc>
          <w:tcPr>
            <w:cnfStyle w:val="001000000000"/>
            <w:tcW w:w="1951" w:type="dxa"/>
          </w:tcPr>
          <w:p w:rsidR="00B92DB2" w:rsidRPr="004C3C9F" w:rsidRDefault="00B92DB2" w:rsidP="00683F40">
            <w:pPr>
              <w:rPr>
                <w:i/>
                <w:iCs/>
              </w:rPr>
            </w:pPr>
            <w:r w:rsidRPr="004C3C9F">
              <w:rPr>
                <w:i/>
                <w:iCs/>
              </w:rPr>
              <w:t xml:space="preserve">F508del </w:t>
            </w:r>
          </w:p>
        </w:tc>
        <w:tc>
          <w:tcPr>
            <w:tcW w:w="6769" w:type="dxa"/>
          </w:tcPr>
          <w:p w:rsidR="00B92DB2" w:rsidRPr="00C75EF0" w:rsidRDefault="00B92DB2" w:rsidP="00683F40">
            <w:pPr>
              <w:cnfStyle w:val="000000000000"/>
            </w:pPr>
            <w:r w:rsidRPr="00C75EF0">
              <w:t xml:space="preserve">CFTR gene mutation with an in-frame deletion of a phenylalanine </w:t>
            </w:r>
            <w:proofErr w:type="spellStart"/>
            <w:r w:rsidRPr="00C75EF0">
              <w:t>codon</w:t>
            </w:r>
            <w:proofErr w:type="spellEnd"/>
            <w:r w:rsidRPr="00C75EF0">
              <w:t xml:space="preserve"> corresponding to position 508 of the wild-type protein </w:t>
            </w:r>
          </w:p>
        </w:tc>
      </w:tr>
      <w:tr w:rsidR="00B92DB2" w:rsidRPr="00C75EF0" w:rsidTr="00B92DB2">
        <w:tc>
          <w:tcPr>
            <w:cnfStyle w:val="001000000000"/>
            <w:tcW w:w="1951" w:type="dxa"/>
          </w:tcPr>
          <w:p w:rsidR="00B92DB2" w:rsidRPr="00C75EF0" w:rsidRDefault="00B92DB2" w:rsidP="00683F40">
            <w:r w:rsidRPr="00C75EF0">
              <w:t xml:space="preserve">F508del </w:t>
            </w:r>
          </w:p>
        </w:tc>
        <w:tc>
          <w:tcPr>
            <w:tcW w:w="6769" w:type="dxa"/>
          </w:tcPr>
          <w:p w:rsidR="00B92DB2" w:rsidRPr="00C75EF0" w:rsidRDefault="00B92DB2" w:rsidP="00683F40">
            <w:pPr>
              <w:cnfStyle w:val="000000000000"/>
            </w:pPr>
            <w:r w:rsidRPr="00C75EF0">
              <w:t xml:space="preserve">CFTR protein lacking the phenylalanine normally found at position 508 of the wild-type protein </w:t>
            </w:r>
          </w:p>
        </w:tc>
      </w:tr>
      <w:tr w:rsidR="00B92DB2" w:rsidRPr="00C75EF0" w:rsidTr="00B92DB2">
        <w:tc>
          <w:tcPr>
            <w:cnfStyle w:val="001000000000"/>
            <w:tcW w:w="1951" w:type="dxa"/>
          </w:tcPr>
          <w:p w:rsidR="00B92DB2" w:rsidRPr="00C75EF0" w:rsidRDefault="00B92DB2" w:rsidP="00683F40">
            <w:r w:rsidRPr="00C75EF0">
              <w:lastRenderedPageBreak/>
              <w:t xml:space="preserve">FDA </w:t>
            </w:r>
          </w:p>
        </w:tc>
        <w:tc>
          <w:tcPr>
            <w:tcW w:w="6769" w:type="dxa"/>
          </w:tcPr>
          <w:p w:rsidR="00B92DB2" w:rsidRPr="00C75EF0" w:rsidRDefault="00B92DB2" w:rsidP="00683F40">
            <w:pPr>
              <w:cnfStyle w:val="000000000000"/>
            </w:pPr>
            <w:r w:rsidRPr="00C75EF0">
              <w:t xml:space="preserve">Food and Drug Administration </w:t>
            </w:r>
          </w:p>
        </w:tc>
      </w:tr>
      <w:tr w:rsidR="00B92DB2" w:rsidRPr="00C75EF0" w:rsidTr="00B92DB2">
        <w:tc>
          <w:tcPr>
            <w:cnfStyle w:val="001000000000"/>
            <w:tcW w:w="1951" w:type="dxa"/>
          </w:tcPr>
          <w:p w:rsidR="00B92DB2" w:rsidRPr="00C75EF0" w:rsidRDefault="00B92DB2" w:rsidP="00683F40">
            <w:r w:rsidRPr="00C75EF0">
              <w:t xml:space="preserve">FEV1 </w:t>
            </w:r>
          </w:p>
        </w:tc>
        <w:tc>
          <w:tcPr>
            <w:tcW w:w="6769" w:type="dxa"/>
          </w:tcPr>
          <w:p w:rsidR="00B92DB2" w:rsidRPr="00C75EF0" w:rsidRDefault="00B92DB2" w:rsidP="00683F40">
            <w:pPr>
              <w:cnfStyle w:val="000000000000"/>
            </w:pPr>
            <w:r w:rsidRPr="00C75EF0">
              <w:t xml:space="preserve">forced expiratory volume in 1 second </w:t>
            </w:r>
          </w:p>
        </w:tc>
      </w:tr>
      <w:tr w:rsidR="00B92DB2" w:rsidRPr="00C75EF0" w:rsidTr="00B92DB2">
        <w:tc>
          <w:tcPr>
            <w:cnfStyle w:val="001000000000"/>
            <w:tcW w:w="1951" w:type="dxa"/>
          </w:tcPr>
          <w:p w:rsidR="00B92DB2" w:rsidRPr="004C3C9F" w:rsidRDefault="00B92DB2" w:rsidP="00683F40">
            <w:pPr>
              <w:rPr>
                <w:i/>
                <w:iCs/>
              </w:rPr>
            </w:pPr>
            <w:r w:rsidRPr="004C3C9F">
              <w:rPr>
                <w:i/>
                <w:iCs/>
              </w:rPr>
              <w:t xml:space="preserve">G551D </w:t>
            </w:r>
          </w:p>
        </w:tc>
        <w:tc>
          <w:tcPr>
            <w:tcW w:w="6769" w:type="dxa"/>
          </w:tcPr>
          <w:p w:rsidR="00B92DB2" w:rsidRPr="00C75EF0" w:rsidRDefault="00B92DB2" w:rsidP="00683F40">
            <w:pPr>
              <w:cnfStyle w:val="000000000000"/>
            </w:pPr>
            <w:proofErr w:type="spellStart"/>
            <w:r w:rsidRPr="00C75EF0">
              <w:t>missense</w:t>
            </w:r>
            <w:proofErr w:type="spellEnd"/>
            <w:r w:rsidRPr="00C75EF0">
              <w:t xml:space="preserve"> mutation that results in the replacement of a </w:t>
            </w:r>
            <w:proofErr w:type="spellStart"/>
            <w:r w:rsidRPr="00C75EF0">
              <w:t>glycine</w:t>
            </w:r>
            <w:proofErr w:type="spellEnd"/>
            <w:r w:rsidRPr="00C75EF0">
              <w:t xml:space="preserve"> </w:t>
            </w:r>
            <w:proofErr w:type="spellStart"/>
            <w:r w:rsidRPr="00C75EF0">
              <w:t>codon</w:t>
            </w:r>
            <w:proofErr w:type="spellEnd"/>
            <w:r w:rsidRPr="00C75EF0">
              <w:t xml:space="preserve"> at position 551 of with an aspartic acid residue </w:t>
            </w:r>
          </w:p>
        </w:tc>
      </w:tr>
      <w:tr w:rsidR="00B92DB2" w:rsidRPr="00C75EF0" w:rsidTr="00B92DB2">
        <w:tc>
          <w:tcPr>
            <w:cnfStyle w:val="001000000000"/>
            <w:tcW w:w="1951" w:type="dxa"/>
          </w:tcPr>
          <w:p w:rsidR="00B92DB2" w:rsidRPr="00C75EF0" w:rsidRDefault="00B92DB2" w:rsidP="00683F40">
            <w:r w:rsidRPr="00C75EF0">
              <w:t xml:space="preserve">G551D </w:t>
            </w:r>
          </w:p>
        </w:tc>
        <w:tc>
          <w:tcPr>
            <w:tcW w:w="6769" w:type="dxa"/>
          </w:tcPr>
          <w:p w:rsidR="00B92DB2" w:rsidRPr="00C75EF0" w:rsidRDefault="00B92DB2" w:rsidP="00683F40">
            <w:pPr>
              <w:cnfStyle w:val="000000000000"/>
            </w:pPr>
            <w:r w:rsidRPr="00C75EF0">
              <w:t xml:space="preserve">CFTR protein with the replacement of a </w:t>
            </w:r>
            <w:proofErr w:type="spellStart"/>
            <w:r w:rsidRPr="00C75EF0">
              <w:t>glycine</w:t>
            </w:r>
            <w:proofErr w:type="spellEnd"/>
            <w:r w:rsidRPr="00C75EF0">
              <w:t xml:space="preserve"> residue normally found at position 551 of the wild-type protein with an aspartic acid residue </w:t>
            </w:r>
          </w:p>
        </w:tc>
      </w:tr>
      <w:tr w:rsidR="00B92DB2" w:rsidRPr="00C75EF0" w:rsidTr="00B92DB2">
        <w:tc>
          <w:tcPr>
            <w:cnfStyle w:val="001000000000"/>
            <w:tcW w:w="1951" w:type="dxa"/>
          </w:tcPr>
          <w:p w:rsidR="00B92DB2" w:rsidRPr="00C75EF0" w:rsidRDefault="00B92DB2" w:rsidP="00683F40">
            <w:r w:rsidRPr="00C75EF0">
              <w:t xml:space="preserve">GCP </w:t>
            </w:r>
          </w:p>
        </w:tc>
        <w:tc>
          <w:tcPr>
            <w:tcW w:w="6769" w:type="dxa"/>
          </w:tcPr>
          <w:p w:rsidR="00B92DB2" w:rsidRPr="00C75EF0" w:rsidRDefault="00B92DB2" w:rsidP="00683F40">
            <w:pPr>
              <w:cnfStyle w:val="000000000000"/>
            </w:pPr>
            <w:r w:rsidRPr="00C75EF0">
              <w:t xml:space="preserve">Good Clinical Practice </w:t>
            </w:r>
          </w:p>
        </w:tc>
      </w:tr>
      <w:tr w:rsidR="00B92DB2" w:rsidRPr="00C75EF0" w:rsidTr="00B92DB2">
        <w:tc>
          <w:tcPr>
            <w:cnfStyle w:val="001000000000"/>
            <w:tcW w:w="1951" w:type="dxa"/>
          </w:tcPr>
          <w:p w:rsidR="00B92DB2" w:rsidRPr="00C75EF0" w:rsidRDefault="00B92DB2" w:rsidP="00683F40">
            <w:r w:rsidRPr="00C75EF0">
              <w:t>GLSM</w:t>
            </w:r>
          </w:p>
        </w:tc>
        <w:tc>
          <w:tcPr>
            <w:tcW w:w="6769" w:type="dxa"/>
          </w:tcPr>
          <w:p w:rsidR="00B92DB2" w:rsidRPr="00C75EF0" w:rsidRDefault="00B92DB2" w:rsidP="00683F40">
            <w:pPr>
              <w:cnfStyle w:val="000000000000"/>
            </w:pPr>
            <w:r w:rsidRPr="00C75EF0">
              <w:t>geometric least squares means</w:t>
            </w:r>
          </w:p>
        </w:tc>
      </w:tr>
      <w:tr w:rsidR="00B92DB2" w:rsidRPr="00C75EF0" w:rsidTr="00B92DB2">
        <w:tc>
          <w:tcPr>
            <w:cnfStyle w:val="001000000000"/>
            <w:tcW w:w="1951" w:type="dxa"/>
          </w:tcPr>
          <w:p w:rsidR="00B92DB2" w:rsidRPr="00C75EF0" w:rsidRDefault="00B92DB2" w:rsidP="00683F40">
            <w:r w:rsidRPr="00C75EF0">
              <w:t>GLSMR</w:t>
            </w:r>
          </w:p>
        </w:tc>
        <w:tc>
          <w:tcPr>
            <w:tcW w:w="6769" w:type="dxa"/>
          </w:tcPr>
          <w:p w:rsidR="00B92DB2" w:rsidRPr="00C75EF0" w:rsidRDefault="00B92DB2" w:rsidP="00683F40">
            <w:pPr>
              <w:cnfStyle w:val="000000000000"/>
            </w:pPr>
            <w:r w:rsidRPr="00C75EF0">
              <w:t>geometric least squares means ratio</w:t>
            </w:r>
          </w:p>
        </w:tc>
      </w:tr>
      <w:tr w:rsidR="00B92DB2" w:rsidRPr="00C75EF0" w:rsidTr="00B92DB2">
        <w:tc>
          <w:tcPr>
            <w:cnfStyle w:val="001000000000"/>
            <w:tcW w:w="1951" w:type="dxa"/>
          </w:tcPr>
          <w:p w:rsidR="00B92DB2" w:rsidRPr="00C75EF0" w:rsidRDefault="00B92DB2" w:rsidP="00683F40">
            <w:r w:rsidRPr="00C75EF0">
              <w:t xml:space="preserve">ICH </w:t>
            </w:r>
          </w:p>
        </w:tc>
        <w:tc>
          <w:tcPr>
            <w:tcW w:w="6769" w:type="dxa"/>
          </w:tcPr>
          <w:p w:rsidR="00B92DB2" w:rsidRPr="00C75EF0" w:rsidRDefault="00B92DB2" w:rsidP="00683F40">
            <w:pPr>
              <w:cnfStyle w:val="000000000000"/>
            </w:pPr>
            <w:r w:rsidRPr="00C75EF0">
              <w:t xml:space="preserve">International Conference on Harmonisation </w:t>
            </w:r>
          </w:p>
        </w:tc>
      </w:tr>
      <w:tr w:rsidR="00B92DB2" w:rsidRPr="00C75EF0" w:rsidTr="00B92DB2">
        <w:tc>
          <w:tcPr>
            <w:cnfStyle w:val="001000000000"/>
            <w:tcW w:w="1951" w:type="dxa"/>
          </w:tcPr>
          <w:p w:rsidR="00B92DB2" w:rsidRPr="00C75EF0" w:rsidRDefault="00B92DB2" w:rsidP="00683F40">
            <w:r w:rsidRPr="00C75EF0">
              <w:t xml:space="preserve">IQR </w:t>
            </w:r>
          </w:p>
        </w:tc>
        <w:tc>
          <w:tcPr>
            <w:tcW w:w="6769" w:type="dxa"/>
          </w:tcPr>
          <w:p w:rsidR="00B92DB2" w:rsidRPr="00C75EF0" w:rsidRDefault="00B92DB2" w:rsidP="00683F40">
            <w:pPr>
              <w:cnfStyle w:val="000000000000"/>
            </w:pPr>
            <w:r w:rsidRPr="00C75EF0">
              <w:t xml:space="preserve">inter-quartile range </w:t>
            </w:r>
          </w:p>
        </w:tc>
      </w:tr>
      <w:tr w:rsidR="00B92DB2" w:rsidRPr="00C75EF0" w:rsidTr="00B92DB2">
        <w:tc>
          <w:tcPr>
            <w:cnfStyle w:val="001000000000"/>
            <w:tcW w:w="1951" w:type="dxa"/>
          </w:tcPr>
          <w:p w:rsidR="00B92DB2" w:rsidRPr="00C75EF0" w:rsidRDefault="00B92DB2" w:rsidP="00683F40">
            <w:r w:rsidRPr="00C75EF0">
              <w:t xml:space="preserve">IV </w:t>
            </w:r>
          </w:p>
        </w:tc>
        <w:tc>
          <w:tcPr>
            <w:tcW w:w="6769" w:type="dxa"/>
          </w:tcPr>
          <w:p w:rsidR="00B92DB2" w:rsidRPr="00C75EF0" w:rsidRDefault="00B92DB2" w:rsidP="00683F40">
            <w:pPr>
              <w:cnfStyle w:val="000000000000"/>
            </w:pPr>
            <w:r w:rsidRPr="00C75EF0">
              <w:t xml:space="preserve">intravenous </w:t>
            </w:r>
          </w:p>
        </w:tc>
      </w:tr>
      <w:tr w:rsidR="00B92DB2" w:rsidRPr="00C75EF0" w:rsidTr="00B92DB2">
        <w:tc>
          <w:tcPr>
            <w:cnfStyle w:val="001000000000"/>
            <w:tcW w:w="1951" w:type="dxa"/>
          </w:tcPr>
          <w:p w:rsidR="00B92DB2" w:rsidRPr="00C75EF0" w:rsidRDefault="00B92DB2" w:rsidP="00683F40">
            <w:proofErr w:type="spellStart"/>
            <w:r w:rsidRPr="00C75EF0">
              <w:t>Ki</w:t>
            </w:r>
            <w:proofErr w:type="spellEnd"/>
            <w:r w:rsidRPr="00C75EF0">
              <w:t xml:space="preserve"> </w:t>
            </w:r>
          </w:p>
        </w:tc>
        <w:tc>
          <w:tcPr>
            <w:tcW w:w="6769" w:type="dxa"/>
          </w:tcPr>
          <w:p w:rsidR="00B92DB2" w:rsidRPr="00C75EF0" w:rsidRDefault="00B92DB2" w:rsidP="00683F40">
            <w:pPr>
              <w:cnfStyle w:val="000000000000"/>
            </w:pPr>
            <w:r w:rsidRPr="00C75EF0">
              <w:t xml:space="preserve">inhibition constant </w:t>
            </w:r>
          </w:p>
        </w:tc>
      </w:tr>
      <w:tr w:rsidR="00B92DB2" w:rsidRPr="00C75EF0" w:rsidTr="00B92DB2">
        <w:tc>
          <w:tcPr>
            <w:cnfStyle w:val="001000000000"/>
            <w:tcW w:w="1951" w:type="dxa"/>
          </w:tcPr>
          <w:p w:rsidR="00B92DB2" w:rsidRPr="00C75EF0" w:rsidRDefault="00B92DB2" w:rsidP="00683F40">
            <w:r w:rsidRPr="00C75EF0">
              <w:t>LC/MS/MS</w:t>
            </w:r>
          </w:p>
        </w:tc>
        <w:tc>
          <w:tcPr>
            <w:tcW w:w="6769" w:type="dxa"/>
          </w:tcPr>
          <w:p w:rsidR="00B92DB2" w:rsidRPr="00C75EF0" w:rsidRDefault="00B92DB2" w:rsidP="00683F40">
            <w:pPr>
              <w:cnfStyle w:val="000000000000"/>
            </w:pPr>
            <w:r w:rsidRPr="00C75EF0">
              <w:t>liquid chromatography and tandem mass spectrometry</w:t>
            </w:r>
          </w:p>
        </w:tc>
      </w:tr>
      <w:tr w:rsidR="00B92DB2" w:rsidRPr="00C75EF0" w:rsidTr="00B92DB2">
        <w:tc>
          <w:tcPr>
            <w:cnfStyle w:val="001000000000"/>
            <w:tcW w:w="1951" w:type="dxa"/>
          </w:tcPr>
          <w:p w:rsidR="00B92DB2" w:rsidRPr="00C75EF0" w:rsidRDefault="00B92DB2" w:rsidP="00683F40">
            <w:r w:rsidRPr="00C75EF0">
              <w:t>LDH</w:t>
            </w:r>
          </w:p>
        </w:tc>
        <w:tc>
          <w:tcPr>
            <w:tcW w:w="6769" w:type="dxa"/>
          </w:tcPr>
          <w:p w:rsidR="00B92DB2" w:rsidRPr="00C75EF0" w:rsidRDefault="00B92DB2" w:rsidP="00683F40">
            <w:pPr>
              <w:cnfStyle w:val="000000000000"/>
            </w:pPr>
            <w:r w:rsidRPr="00C75EF0">
              <w:t xml:space="preserve">lactose </w:t>
            </w:r>
            <w:proofErr w:type="spellStart"/>
            <w:r w:rsidRPr="00C75EF0">
              <w:t>dehydrogenase</w:t>
            </w:r>
            <w:proofErr w:type="spellEnd"/>
          </w:p>
        </w:tc>
      </w:tr>
      <w:tr w:rsidR="00B92DB2" w:rsidRPr="00C75EF0" w:rsidTr="00B92DB2">
        <w:tc>
          <w:tcPr>
            <w:cnfStyle w:val="001000000000"/>
            <w:tcW w:w="1951" w:type="dxa"/>
          </w:tcPr>
          <w:p w:rsidR="00B92DB2" w:rsidRPr="00C75EF0" w:rsidRDefault="00B92DB2" w:rsidP="00683F40">
            <w:r w:rsidRPr="00C75EF0">
              <w:t>LS</w:t>
            </w:r>
            <w:r w:rsidR="00514045">
              <w:t xml:space="preserve"> </w:t>
            </w:r>
            <w:r w:rsidRPr="00C75EF0">
              <w:t>mean</w:t>
            </w:r>
          </w:p>
        </w:tc>
        <w:tc>
          <w:tcPr>
            <w:tcW w:w="6769" w:type="dxa"/>
          </w:tcPr>
          <w:p w:rsidR="00B92DB2" w:rsidRPr="00C75EF0" w:rsidRDefault="00B92DB2" w:rsidP="00683F40">
            <w:pPr>
              <w:cnfStyle w:val="000000000000"/>
            </w:pPr>
            <w:r w:rsidRPr="00C75EF0">
              <w:t>diff. least squares mean difference</w:t>
            </w:r>
          </w:p>
        </w:tc>
      </w:tr>
      <w:tr w:rsidR="00B92DB2" w:rsidRPr="00C75EF0" w:rsidTr="00B92DB2">
        <w:tc>
          <w:tcPr>
            <w:cnfStyle w:val="001000000000"/>
            <w:tcW w:w="1951" w:type="dxa"/>
          </w:tcPr>
          <w:p w:rsidR="00B92DB2" w:rsidRPr="00C75EF0" w:rsidRDefault="00B92DB2" w:rsidP="00683F40">
            <w:r w:rsidRPr="00C75EF0">
              <w:t xml:space="preserve">M1 </w:t>
            </w:r>
          </w:p>
        </w:tc>
        <w:tc>
          <w:tcPr>
            <w:tcW w:w="6769" w:type="dxa"/>
          </w:tcPr>
          <w:p w:rsidR="00B92DB2" w:rsidRPr="00C75EF0" w:rsidRDefault="00B92DB2" w:rsidP="00683F40">
            <w:pPr>
              <w:cnfStyle w:val="000000000000"/>
            </w:pPr>
            <w:proofErr w:type="spellStart"/>
            <w:r w:rsidRPr="00C75EF0">
              <w:t>hydroxymethyl-ivacaftor</w:t>
            </w:r>
            <w:proofErr w:type="spellEnd"/>
            <w:r w:rsidRPr="00C75EF0">
              <w:t xml:space="preserve"> (also known as VRT-837018 during clinical development) </w:t>
            </w:r>
          </w:p>
        </w:tc>
      </w:tr>
      <w:tr w:rsidR="00B92DB2" w:rsidRPr="00C75EF0" w:rsidTr="00B92DB2">
        <w:tc>
          <w:tcPr>
            <w:cnfStyle w:val="001000000000"/>
            <w:tcW w:w="1951" w:type="dxa"/>
          </w:tcPr>
          <w:p w:rsidR="00B92DB2" w:rsidRPr="00C75EF0" w:rsidRDefault="00B92DB2" w:rsidP="00683F40">
            <w:r w:rsidRPr="00C75EF0">
              <w:t xml:space="preserve">M6 </w:t>
            </w:r>
          </w:p>
        </w:tc>
        <w:tc>
          <w:tcPr>
            <w:tcW w:w="6769" w:type="dxa"/>
          </w:tcPr>
          <w:p w:rsidR="00B92DB2" w:rsidRPr="00C75EF0" w:rsidRDefault="00B92DB2" w:rsidP="00683F40">
            <w:pPr>
              <w:cnfStyle w:val="000000000000"/>
            </w:pPr>
            <w:proofErr w:type="spellStart"/>
            <w:r w:rsidRPr="00C75EF0">
              <w:t>ivacaftor</w:t>
            </w:r>
            <w:proofErr w:type="spellEnd"/>
            <w:r w:rsidRPr="00C75EF0">
              <w:t xml:space="preserve"> </w:t>
            </w:r>
            <w:proofErr w:type="spellStart"/>
            <w:r w:rsidRPr="00C75EF0">
              <w:t>carboxylate</w:t>
            </w:r>
            <w:proofErr w:type="spellEnd"/>
            <w:r w:rsidRPr="00C75EF0">
              <w:t xml:space="preserve"> (also known as VRT-842917 during clinical development) </w:t>
            </w:r>
          </w:p>
        </w:tc>
      </w:tr>
      <w:tr w:rsidR="00B92DB2" w:rsidRPr="00C75EF0" w:rsidTr="00B92DB2">
        <w:tc>
          <w:tcPr>
            <w:cnfStyle w:val="001000000000"/>
            <w:tcW w:w="1951" w:type="dxa"/>
          </w:tcPr>
          <w:p w:rsidR="00B92DB2" w:rsidRPr="00C75EF0" w:rsidRDefault="00B92DB2" w:rsidP="00683F40">
            <w:r w:rsidRPr="00C75EF0">
              <w:t xml:space="preserve">MAA </w:t>
            </w:r>
          </w:p>
        </w:tc>
        <w:tc>
          <w:tcPr>
            <w:tcW w:w="6769" w:type="dxa"/>
          </w:tcPr>
          <w:p w:rsidR="00B92DB2" w:rsidRPr="00C75EF0" w:rsidRDefault="00B92DB2" w:rsidP="00683F40">
            <w:pPr>
              <w:cnfStyle w:val="000000000000"/>
            </w:pPr>
            <w:r w:rsidRPr="00C75EF0">
              <w:t xml:space="preserve">marketing authorization application </w:t>
            </w:r>
          </w:p>
        </w:tc>
      </w:tr>
      <w:tr w:rsidR="00B92DB2" w:rsidRPr="00C75EF0" w:rsidTr="00B92DB2">
        <w:tc>
          <w:tcPr>
            <w:cnfStyle w:val="001000000000"/>
            <w:tcW w:w="1951" w:type="dxa"/>
          </w:tcPr>
          <w:p w:rsidR="00B92DB2" w:rsidRPr="00C75EF0" w:rsidRDefault="00B92DB2" w:rsidP="00683F40">
            <w:r w:rsidRPr="00C75EF0">
              <w:t xml:space="preserve">MCID </w:t>
            </w:r>
          </w:p>
        </w:tc>
        <w:tc>
          <w:tcPr>
            <w:tcW w:w="6769" w:type="dxa"/>
          </w:tcPr>
          <w:p w:rsidR="00B92DB2" w:rsidRPr="00C75EF0" w:rsidRDefault="00B92DB2" w:rsidP="00683F40">
            <w:pPr>
              <w:cnfStyle w:val="000000000000"/>
            </w:pPr>
            <w:r w:rsidRPr="00C75EF0">
              <w:t xml:space="preserve">minimal clinically important difference </w:t>
            </w:r>
          </w:p>
        </w:tc>
      </w:tr>
      <w:tr w:rsidR="00B92DB2" w:rsidRPr="00C75EF0" w:rsidTr="00B92DB2">
        <w:tc>
          <w:tcPr>
            <w:cnfStyle w:val="001000000000"/>
            <w:tcW w:w="1951" w:type="dxa"/>
          </w:tcPr>
          <w:p w:rsidR="00B92DB2" w:rsidRPr="00C75EF0" w:rsidRDefault="00B92DB2" w:rsidP="00683F40">
            <w:r w:rsidRPr="00C75EF0">
              <w:t xml:space="preserve">MHRA </w:t>
            </w:r>
          </w:p>
        </w:tc>
        <w:tc>
          <w:tcPr>
            <w:tcW w:w="6769" w:type="dxa"/>
          </w:tcPr>
          <w:p w:rsidR="00B92DB2" w:rsidRPr="00C75EF0" w:rsidRDefault="00B92DB2" w:rsidP="00683F40">
            <w:pPr>
              <w:cnfStyle w:val="000000000000"/>
            </w:pPr>
            <w:r w:rsidRPr="00C75EF0">
              <w:t xml:space="preserve">Medicines and Healthcare Products Regulatory Agency (UK) </w:t>
            </w:r>
          </w:p>
        </w:tc>
      </w:tr>
      <w:tr w:rsidR="00B92DB2" w:rsidRPr="00C75EF0" w:rsidTr="00B92DB2">
        <w:tc>
          <w:tcPr>
            <w:cnfStyle w:val="001000000000"/>
            <w:tcW w:w="1951" w:type="dxa"/>
          </w:tcPr>
          <w:p w:rsidR="00B92DB2" w:rsidRPr="00C75EF0" w:rsidRDefault="00B92DB2" w:rsidP="00683F40">
            <w:r w:rsidRPr="00C75EF0">
              <w:t xml:space="preserve">MMRM </w:t>
            </w:r>
          </w:p>
        </w:tc>
        <w:tc>
          <w:tcPr>
            <w:tcW w:w="6769" w:type="dxa"/>
          </w:tcPr>
          <w:p w:rsidR="00B92DB2" w:rsidRPr="00C75EF0" w:rsidRDefault="00B92DB2" w:rsidP="00683F40">
            <w:pPr>
              <w:cnfStyle w:val="000000000000"/>
            </w:pPr>
            <w:r w:rsidRPr="00C75EF0">
              <w:t xml:space="preserve">mixed model for repeated measures </w:t>
            </w:r>
          </w:p>
        </w:tc>
      </w:tr>
      <w:tr w:rsidR="00B92DB2" w:rsidRPr="00C75EF0" w:rsidTr="00B92DB2">
        <w:tc>
          <w:tcPr>
            <w:cnfStyle w:val="001000000000"/>
            <w:tcW w:w="1951" w:type="dxa"/>
          </w:tcPr>
          <w:p w:rsidR="00B92DB2" w:rsidRPr="00C75EF0" w:rsidRDefault="00B92DB2" w:rsidP="00683F40">
            <w:r w:rsidRPr="00C75EF0">
              <w:t xml:space="preserve">MPA </w:t>
            </w:r>
          </w:p>
        </w:tc>
        <w:tc>
          <w:tcPr>
            <w:tcW w:w="6769" w:type="dxa"/>
          </w:tcPr>
          <w:p w:rsidR="00B92DB2" w:rsidRPr="00C75EF0" w:rsidRDefault="00B92DB2" w:rsidP="00683F40">
            <w:pPr>
              <w:cnfStyle w:val="000000000000"/>
            </w:pPr>
            <w:r w:rsidRPr="00C75EF0">
              <w:t xml:space="preserve">Medical Products Agency (Sweden) </w:t>
            </w:r>
          </w:p>
        </w:tc>
      </w:tr>
      <w:tr w:rsidR="00B92DB2" w:rsidRPr="00C75EF0" w:rsidTr="00B92DB2">
        <w:tc>
          <w:tcPr>
            <w:cnfStyle w:val="001000000000"/>
            <w:tcW w:w="1951" w:type="dxa"/>
          </w:tcPr>
          <w:p w:rsidR="00B92DB2" w:rsidRPr="00C75EF0" w:rsidRDefault="00B92DB2" w:rsidP="00683F40">
            <w:r w:rsidRPr="00C75EF0">
              <w:t xml:space="preserve">n/a </w:t>
            </w:r>
          </w:p>
        </w:tc>
        <w:tc>
          <w:tcPr>
            <w:tcW w:w="6769" w:type="dxa"/>
          </w:tcPr>
          <w:p w:rsidR="00B92DB2" w:rsidRPr="00C75EF0" w:rsidRDefault="00B92DB2" w:rsidP="00683F40">
            <w:pPr>
              <w:cnfStyle w:val="000000000000"/>
            </w:pPr>
            <w:r w:rsidRPr="00C75EF0">
              <w:t xml:space="preserve">not available </w:t>
            </w:r>
          </w:p>
        </w:tc>
      </w:tr>
      <w:tr w:rsidR="00B92DB2" w:rsidRPr="00C75EF0" w:rsidTr="00B92DB2">
        <w:tc>
          <w:tcPr>
            <w:cnfStyle w:val="001000000000"/>
            <w:tcW w:w="1951" w:type="dxa"/>
          </w:tcPr>
          <w:p w:rsidR="00B92DB2" w:rsidRPr="00C75EF0" w:rsidRDefault="00B92DB2" w:rsidP="00683F40">
            <w:r w:rsidRPr="00C75EF0">
              <w:t xml:space="preserve">NA </w:t>
            </w:r>
          </w:p>
        </w:tc>
        <w:tc>
          <w:tcPr>
            <w:tcW w:w="6769" w:type="dxa"/>
          </w:tcPr>
          <w:p w:rsidR="00B92DB2" w:rsidRPr="00C75EF0" w:rsidRDefault="00B92DB2" w:rsidP="00683F40">
            <w:pPr>
              <w:cnfStyle w:val="000000000000"/>
            </w:pPr>
            <w:r w:rsidRPr="00C75EF0">
              <w:t xml:space="preserve">not </w:t>
            </w:r>
            <w:proofErr w:type="spellStart"/>
            <w:r w:rsidRPr="00C75EF0">
              <w:t>analyzed</w:t>
            </w:r>
            <w:proofErr w:type="spellEnd"/>
            <w:r w:rsidRPr="00C75EF0">
              <w:t xml:space="preserve"> </w:t>
            </w:r>
          </w:p>
        </w:tc>
      </w:tr>
      <w:tr w:rsidR="00B92DB2" w:rsidRPr="00C75EF0" w:rsidTr="00B92DB2">
        <w:tc>
          <w:tcPr>
            <w:cnfStyle w:val="001000000000"/>
            <w:tcW w:w="1951" w:type="dxa"/>
          </w:tcPr>
          <w:p w:rsidR="00B92DB2" w:rsidRPr="00C75EF0" w:rsidRDefault="00B92DB2" w:rsidP="00683F40">
            <w:r w:rsidRPr="00C75EF0">
              <w:lastRenderedPageBreak/>
              <w:t xml:space="preserve">NDA </w:t>
            </w:r>
          </w:p>
        </w:tc>
        <w:tc>
          <w:tcPr>
            <w:tcW w:w="6769" w:type="dxa"/>
          </w:tcPr>
          <w:p w:rsidR="00B92DB2" w:rsidRPr="00C75EF0" w:rsidRDefault="00B92DB2" w:rsidP="00683F40">
            <w:pPr>
              <w:cnfStyle w:val="000000000000"/>
            </w:pPr>
            <w:r w:rsidRPr="00C75EF0">
              <w:t xml:space="preserve">new drug application </w:t>
            </w:r>
          </w:p>
        </w:tc>
      </w:tr>
      <w:tr w:rsidR="00B92DB2" w:rsidRPr="00C75EF0" w:rsidTr="00B92DB2">
        <w:tc>
          <w:tcPr>
            <w:cnfStyle w:val="001000000000"/>
            <w:tcW w:w="1951" w:type="dxa"/>
          </w:tcPr>
          <w:p w:rsidR="00B92DB2" w:rsidRPr="00C75EF0" w:rsidRDefault="00B92DB2" w:rsidP="00683F40">
            <w:r w:rsidRPr="00C75EF0">
              <w:t xml:space="preserve">NDS </w:t>
            </w:r>
          </w:p>
        </w:tc>
        <w:tc>
          <w:tcPr>
            <w:tcW w:w="6769" w:type="dxa"/>
          </w:tcPr>
          <w:p w:rsidR="00B92DB2" w:rsidRPr="00C75EF0" w:rsidRDefault="00B92DB2" w:rsidP="00683F40">
            <w:pPr>
              <w:cnfStyle w:val="000000000000"/>
            </w:pPr>
            <w:r w:rsidRPr="00C75EF0">
              <w:t xml:space="preserve">New Drug Submission </w:t>
            </w:r>
          </w:p>
        </w:tc>
      </w:tr>
      <w:tr w:rsidR="00B92DB2" w:rsidRPr="00C75EF0" w:rsidTr="00B92DB2">
        <w:tc>
          <w:tcPr>
            <w:cnfStyle w:val="001000000000"/>
            <w:tcW w:w="1951" w:type="dxa"/>
          </w:tcPr>
          <w:p w:rsidR="00B92DB2" w:rsidRPr="00C75EF0" w:rsidRDefault="00B92DB2" w:rsidP="00683F40">
            <w:r w:rsidRPr="00C75EF0">
              <w:t xml:space="preserve">NE </w:t>
            </w:r>
          </w:p>
        </w:tc>
        <w:tc>
          <w:tcPr>
            <w:tcW w:w="6769" w:type="dxa"/>
          </w:tcPr>
          <w:p w:rsidR="00B92DB2" w:rsidRPr="00C75EF0" w:rsidRDefault="00B92DB2" w:rsidP="00683F40">
            <w:pPr>
              <w:cnfStyle w:val="000000000000"/>
            </w:pPr>
            <w:proofErr w:type="spellStart"/>
            <w:r w:rsidRPr="00C75EF0">
              <w:t>norethisterone</w:t>
            </w:r>
            <w:proofErr w:type="spellEnd"/>
            <w:r w:rsidRPr="00C75EF0">
              <w:t xml:space="preserve"> </w:t>
            </w:r>
          </w:p>
        </w:tc>
      </w:tr>
      <w:tr w:rsidR="00B92DB2" w:rsidRPr="00C75EF0" w:rsidTr="00B92DB2">
        <w:tc>
          <w:tcPr>
            <w:cnfStyle w:val="001000000000"/>
            <w:tcW w:w="1951" w:type="dxa"/>
          </w:tcPr>
          <w:p w:rsidR="00B92DB2" w:rsidRPr="00C75EF0" w:rsidRDefault="00B92DB2" w:rsidP="00683F40">
            <w:r w:rsidRPr="00C75EF0">
              <w:t xml:space="preserve">NPD </w:t>
            </w:r>
          </w:p>
        </w:tc>
        <w:tc>
          <w:tcPr>
            <w:tcW w:w="6769" w:type="dxa"/>
          </w:tcPr>
          <w:p w:rsidR="00B92DB2" w:rsidRPr="00C75EF0" w:rsidRDefault="00B92DB2" w:rsidP="00683F40">
            <w:pPr>
              <w:cnfStyle w:val="000000000000"/>
            </w:pPr>
            <w:r w:rsidRPr="00C75EF0">
              <w:t xml:space="preserve">nasal potential difference </w:t>
            </w:r>
          </w:p>
        </w:tc>
      </w:tr>
      <w:tr w:rsidR="00B92DB2" w:rsidRPr="00C75EF0" w:rsidTr="00B92DB2">
        <w:tc>
          <w:tcPr>
            <w:cnfStyle w:val="001000000000"/>
            <w:tcW w:w="1951" w:type="dxa"/>
          </w:tcPr>
          <w:p w:rsidR="00B92DB2" w:rsidRPr="00C75EF0" w:rsidRDefault="00B92DB2" w:rsidP="00683F40">
            <w:r w:rsidRPr="00C75EF0">
              <w:t xml:space="preserve">OGYI </w:t>
            </w:r>
          </w:p>
        </w:tc>
        <w:tc>
          <w:tcPr>
            <w:tcW w:w="6769" w:type="dxa"/>
          </w:tcPr>
          <w:p w:rsidR="00B92DB2" w:rsidRPr="00C75EF0" w:rsidRDefault="00B92DB2" w:rsidP="00683F40">
            <w:pPr>
              <w:cnfStyle w:val="000000000000"/>
            </w:pPr>
            <w:proofErr w:type="spellStart"/>
            <w:r w:rsidRPr="00C75EF0">
              <w:t>Országos</w:t>
            </w:r>
            <w:proofErr w:type="spellEnd"/>
            <w:r w:rsidRPr="00C75EF0">
              <w:t xml:space="preserve"> </w:t>
            </w:r>
            <w:proofErr w:type="spellStart"/>
            <w:r w:rsidRPr="00C75EF0">
              <w:t>Gyógyszerészeti</w:t>
            </w:r>
            <w:proofErr w:type="spellEnd"/>
            <w:r w:rsidRPr="00C75EF0">
              <w:t xml:space="preserve"> </w:t>
            </w:r>
            <w:proofErr w:type="spellStart"/>
            <w:r w:rsidRPr="00C75EF0">
              <w:t>Intézet</w:t>
            </w:r>
            <w:proofErr w:type="spellEnd"/>
            <w:r w:rsidRPr="00C75EF0">
              <w:t xml:space="preserve"> (Hungary) </w:t>
            </w:r>
          </w:p>
        </w:tc>
      </w:tr>
      <w:tr w:rsidR="00B92DB2" w:rsidRPr="00C75EF0" w:rsidTr="00B92DB2">
        <w:tc>
          <w:tcPr>
            <w:cnfStyle w:val="001000000000"/>
            <w:tcW w:w="1951" w:type="dxa"/>
          </w:tcPr>
          <w:p w:rsidR="00B92DB2" w:rsidRPr="00C75EF0" w:rsidRDefault="00B92DB2" w:rsidP="00683F40">
            <w:r w:rsidRPr="00C75EF0">
              <w:t xml:space="preserve">PA </w:t>
            </w:r>
          </w:p>
        </w:tc>
        <w:tc>
          <w:tcPr>
            <w:tcW w:w="6769" w:type="dxa"/>
          </w:tcPr>
          <w:p w:rsidR="00B92DB2" w:rsidRPr="00C75EF0" w:rsidRDefault="00B92DB2" w:rsidP="00683F40">
            <w:pPr>
              <w:cnfStyle w:val="000000000000"/>
            </w:pPr>
            <w:r w:rsidRPr="00C75EF0">
              <w:t xml:space="preserve">protocol assistance </w:t>
            </w:r>
          </w:p>
        </w:tc>
      </w:tr>
      <w:tr w:rsidR="00B92DB2" w:rsidRPr="00C75EF0" w:rsidTr="00B92DB2">
        <w:tc>
          <w:tcPr>
            <w:cnfStyle w:val="001000000000"/>
            <w:tcW w:w="1951" w:type="dxa"/>
          </w:tcPr>
          <w:p w:rsidR="00B92DB2" w:rsidRPr="00C75EF0" w:rsidRDefault="00B92DB2" w:rsidP="00683F40">
            <w:r w:rsidRPr="00C75EF0">
              <w:t xml:space="preserve">PD </w:t>
            </w:r>
          </w:p>
        </w:tc>
        <w:tc>
          <w:tcPr>
            <w:tcW w:w="6769" w:type="dxa"/>
          </w:tcPr>
          <w:p w:rsidR="00B92DB2" w:rsidRPr="00C75EF0" w:rsidRDefault="00B92DB2" w:rsidP="00683F40">
            <w:pPr>
              <w:cnfStyle w:val="000000000000"/>
            </w:pPr>
            <w:r w:rsidRPr="00C75EF0">
              <w:t xml:space="preserve">pharmacodynamic, pharmacodynamics </w:t>
            </w:r>
          </w:p>
        </w:tc>
      </w:tr>
      <w:tr w:rsidR="00B92DB2" w:rsidRPr="00C75EF0" w:rsidTr="00B92DB2">
        <w:tc>
          <w:tcPr>
            <w:cnfStyle w:val="001000000000"/>
            <w:tcW w:w="1951" w:type="dxa"/>
          </w:tcPr>
          <w:p w:rsidR="00B92DB2" w:rsidRPr="00C75EF0" w:rsidRDefault="00B92DB2" w:rsidP="00683F40">
            <w:r w:rsidRPr="00C75EF0">
              <w:t xml:space="preserve">PDCO </w:t>
            </w:r>
          </w:p>
        </w:tc>
        <w:tc>
          <w:tcPr>
            <w:tcW w:w="6769" w:type="dxa"/>
          </w:tcPr>
          <w:p w:rsidR="00B92DB2" w:rsidRPr="00C75EF0" w:rsidRDefault="00B92DB2" w:rsidP="00683F40">
            <w:pPr>
              <w:cnfStyle w:val="000000000000"/>
            </w:pPr>
            <w:proofErr w:type="spellStart"/>
            <w:r w:rsidRPr="00C75EF0">
              <w:t>Pediatric</w:t>
            </w:r>
            <w:proofErr w:type="spellEnd"/>
            <w:r w:rsidRPr="00C75EF0">
              <w:t xml:space="preserve"> Committee (EU) </w:t>
            </w:r>
          </w:p>
        </w:tc>
      </w:tr>
      <w:tr w:rsidR="00B92DB2" w:rsidRPr="00C75EF0" w:rsidTr="00B92DB2">
        <w:tc>
          <w:tcPr>
            <w:cnfStyle w:val="001000000000"/>
            <w:tcW w:w="1951" w:type="dxa"/>
          </w:tcPr>
          <w:p w:rsidR="00B92DB2" w:rsidRPr="00C75EF0" w:rsidRDefault="00B92DB2" w:rsidP="00683F40">
            <w:r w:rsidRPr="00C75EF0">
              <w:t>P-</w:t>
            </w:r>
            <w:proofErr w:type="spellStart"/>
            <w:r w:rsidRPr="00C75EF0">
              <w:t>gp</w:t>
            </w:r>
            <w:proofErr w:type="spellEnd"/>
            <w:r w:rsidRPr="00C75EF0">
              <w:t xml:space="preserve"> </w:t>
            </w:r>
          </w:p>
        </w:tc>
        <w:tc>
          <w:tcPr>
            <w:tcW w:w="6769" w:type="dxa"/>
          </w:tcPr>
          <w:p w:rsidR="00B92DB2" w:rsidRPr="00C75EF0" w:rsidRDefault="00B92DB2" w:rsidP="00683F40">
            <w:pPr>
              <w:cnfStyle w:val="000000000000"/>
            </w:pPr>
            <w:r w:rsidRPr="00C75EF0">
              <w:t xml:space="preserve">P-glycoprotein </w:t>
            </w:r>
          </w:p>
        </w:tc>
      </w:tr>
      <w:tr w:rsidR="00B92DB2" w:rsidRPr="00C75EF0" w:rsidTr="00B92DB2">
        <w:tc>
          <w:tcPr>
            <w:cnfStyle w:val="001000000000"/>
            <w:tcW w:w="1951" w:type="dxa"/>
          </w:tcPr>
          <w:p w:rsidR="00B92DB2" w:rsidRPr="00C75EF0" w:rsidRDefault="00B92DB2" w:rsidP="00683F40">
            <w:r w:rsidRPr="00C75EF0">
              <w:t xml:space="preserve">PI </w:t>
            </w:r>
          </w:p>
        </w:tc>
        <w:tc>
          <w:tcPr>
            <w:tcW w:w="6769" w:type="dxa"/>
          </w:tcPr>
          <w:p w:rsidR="00B92DB2" w:rsidRPr="00C75EF0" w:rsidRDefault="00B92DB2" w:rsidP="00683F40">
            <w:pPr>
              <w:cnfStyle w:val="000000000000"/>
            </w:pPr>
            <w:r w:rsidRPr="00C75EF0">
              <w:t xml:space="preserve">Product Information </w:t>
            </w:r>
          </w:p>
        </w:tc>
      </w:tr>
      <w:tr w:rsidR="00B92DB2" w:rsidRPr="00C75EF0" w:rsidTr="00B92DB2">
        <w:tc>
          <w:tcPr>
            <w:cnfStyle w:val="001000000000"/>
            <w:tcW w:w="1951" w:type="dxa"/>
          </w:tcPr>
          <w:p w:rsidR="00B92DB2" w:rsidRPr="00C75EF0" w:rsidRDefault="00B92DB2" w:rsidP="00683F40">
            <w:r w:rsidRPr="00C75EF0">
              <w:t xml:space="preserve">PIP </w:t>
            </w:r>
          </w:p>
        </w:tc>
        <w:tc>
          <w:tcPr>
            <w:tcW w:w="6769" w:type="dxa"/>
          </w:tcPr>
          <w:p w:rsidR="00B92DB2" w:rsidRPr="00C75EF0" w:rsidRDefault="00B92DB2" w:rsidP="00683F40">
            <w:pPr>
              <w:cnfStyle w:val="000000000000"/>
            </w:pPr>
            <w:r w:rsidRPr="00C75EF0">
              <w:t xml:space="preserve">paediatric investigation plan </w:t>
            </w:r>
          </w:p>
        </w:tc>
      </w:tr>
      <w:tr w:rsidR="00B92DB2" w:rsidRPr="00C75EF0" w:rsidTr="00B92DB2">
        <w:tc>
          <w:tcPr>
            <w:cnfStyle w:val="001000000000"/>
            <w:tcW w:w="1951" w:type="dxa"/>
          </w:tcPr>
          <w:p w:rsidR="00B92DB2" w:rsidRPr="00C75EF0" w:rsidRDefault="00B92DB2" w:rsidP="00683F40">
            <w:r w:rsidRPr="00C75EF0">
              <w:t xml:space="preserve">PK </w:t>
            </w:r>
          </w:p>
        </w:tc>
        <w:tc>
          <w:tcPr>
            <w:tcW w:w="6769" w:type="dxa"/>
          </w:tcPr>
          <w:p w:rsidR="00B92DB2" w:rsidRPr="00C75EF0" w:rsidRDefault="00B92DB2" w:rsidP="00683F40">
            <w:pPr>
              <w:cnfStyle w:val="000000000000"/>
            </w:pPr>
            <w:r w:rsidRPr="00C75EF0">
              <w:t xml:space="preserve">pharmacokinetic, pharmacokinetics </w:t>
            </w:r>
          </w:p>
        </w:tc>
      </w:tr>
      <w:tr w:rsidR="00B92DB2" w:rsidRPr="00C75EF0" w:rsidTr="00B92DB2">
        <w:tc>
          <w:tcPr>
            <w:cnfStyle w:val="001000000000"/>
            <w:tcW w:w="1951" w:type="dxa"/>
          </w:tcPr>
          <w:p w:rsidR="00B92DB2" w:rsidRPr="00C75EF0" w:rsidRDefault="00B92DB2" w:rsidP="00683F40">
            <w:r w:rsidRPr="00C75EF0">
              <w:t xml:space="preserve">PRO </w:t>
            </w:r>
          </w:p>
        </w:tc>
        <w:tc>
          <w:tcPr>
            <w:tcW w:w="6769" w:type="dxa"/>
          </w:tcPr>
          <w:p w:rsidR="00B92DB2" w:rsidRPr="00C75EF0" w:rsidRDefault="00B92DB2" w:rsidP="00683F40">
            <w:pPr>
              <w:cnfStyle w:val="000000000000"/>
            </w:pPr>
            <w:r w:rsidRPr="00C75EF0">
              <w:t xml:space="preserve">patient reported outcome </w:t>
            </w:r>
          </w:p>
        </w:tc>
      </w:tr>
      <w:tr w:rsidR="00B92DB2" w:rsidRPr="00C75EF0" w:rsidTr="00B92DB2">
        <w:tc>
          <w:tcPr>
            <w:cnfStyle w:val="001000000000"/>
            <w:tcW w:w="1951" w:type="dxa"/>
          </w:tcPr>
          <w:p w:rsidR="00B92DB2" w:rsidRPr="00C75EF0" w:rsidRDefault="00B92DB2" w:rsidP="00683F40">
            <w:r w:rsidRPr="00C75EF0">
              <w:t xml:space="preserve">Q1 </w:t>
            </w:r>
          </w:p>
        </w:tc>
        <w:tc>
          <w:tcPr>
            <w:tcW w:w="6769" w:type="dxa"/>
          </w:tcPr>
          <w:p w:rsidR="00B92DB2" w:rsidRPr="00C75EF0" w:rsidRDefault="00B92DB2" w:rsidP="00683F40">
            <w:pPr>
              <w:cnfStyle w:val="000000000000"/>
            </w:pPr>
            <w:r w:rsidRPr="00C75EF0">
              <w:t xml:space="preserve">first quartile </w:t>
            </w:r>
          </w:p>
        </w:tc>
      </w:tr>
      <w:tr w:rsidR="00B92DB2" w:rsidRPr="00C75EF0" w:rsidTr="00B92DB2">
        <w:tc>
          <w:tcPr>
            <w:cnfStyle w:val="001000000000"/>
            <w:tcW w:w="1951" w:type="dxa"/>
          </w:tcPr>
          <w:p w:rsidR="00B92DB2" w:rsidRPr="00C75EF0" w:rsidRDefault="00B92DB2" w:rsidP="00683F40">
            <w:r w:rsidRPr="00C75EF0">
              <w:t xml:space="preserve">q12h </w:t>
            </w:r>
          </w:p>
        </w:tc>
        <w:tc>
          <w:tcPr>
            <w:tcW w:w="6769" w:type="dxa"/>
          </w:tcPr>
          <w:p w:rsidR="00B92DB2" w:rsidRPr="00C75EF0" w:rsidRDefault="00B92DB2" w:rsidP="00683F40">
            <w:pPr>
              <w:cnfStyle w:val="000000000000"/>
            </w:pPr>
            <w:r w:rsidRPr="00C75EF0">
              <w:t xml:space="preserve">every 12 hours </w:t>
            </w:r>
          </w:p>
        </w:tc>
      </w:tr>
      <w:tr w:rsidR="00B92DB2" w:rsidRPr="00C75EF0" w:rsidTr="00B92DB2">
        <w:tc>
          <w:tcPr>
            <w:cnfStyle w:val="001000000000"/>
            <w:tcW w:w="1951" w:type="dxa"/>
          </w:tcPr>
          <w:p w:rsidR="00B92DB2" w:rsidRPr="00C75EF0" w:rsidRDefault="00B92DB2" w:rsidP="00683F40">
            <w:r w:rsidRPr="00C75EF0">
              <w:t xml:space="preserve">Q3 </w:t>
            </w:r>
          </w:p>
        </w:tc>
        <w:tc>
          <w:tcPr>
            <w:tcW w:w="6769" w:type="dxa"/>
          </w:tcPr>
          <w:p w:rsidR="00B92DB2" w:rsidRPr="00C75EF0" w:rsidRDefault="00B92DB2" w:rsidP="00683F40">
            <w:pPr>
              <w:cnfStyle w:val="000000000000"/>
            </w:pPr>
            <w:r w:rsidRPr="00C75EF0">
              <w:t xml:space="preserve">third quartile </w:t>
            </w:r>
          </w:p>
        </w:tc>
      </w:tr>
      <w:tr w:rsidR="00B92DB2" w:rsidRPr="00C75EF0" w:rsidTr="00B92DB2">
        <w:tc>
          <w:tcPr>
            <w:cnfStyle w:val="001000000000"/>
            <w:tcW w:w="1951" w:type="dxa"/>
          </w:tcPr>
          <w:p w:rsidR="00B92DB2" w:rsidRPr="00C75EF0" w:rsidRDefault="00B92DB2" w:rsidP="00683F40">
            <w:r w:rsidRPr="00C75EF0">
              <w:t>QC</w:t>
            </w:r>
          </w:p>
        </w:tc>
        <w:tc>
          <w:tcPr>
            <w:tcW w:w="6769" w:type="dxa"/>
          </w:tcPr>
          <w:p w:rsidR="00B92DB2" w:rsidRPr="00C75EF0" w:rsidRDefault="00B92DB2" w:rsidP="00683F40">
            <w:pPr>
              <w:cnfStyle w:val="000000000000"/>
            </w:pPr>
            <w:r w:rsidRPr="00C75EF0">
              <w:t>quality control</w:t>
            </w:r>
          </w:p>
        </w:tc>
      </w:tr>
      <w:tr w:rsidR="00B92DB2" w:rsidRPr="00C75EF0" w:rsidTr="00B92DB2">
        <w:tc>
          <w:tcPr>
            <w:cnfStyle w:val="001000000000"/>
            <w:tcW w:w="1951" w:type="dxa"/>
          </w:tcPr>
          <w:p w:rsidR="00B92DB2" w:rsidRPr="00C75EF0" w:rsidRDefault="00B92DB2" w:rsidP="00683F40">
            <w:proofErr w:type="spellStart"/>
            <w:r w:rsidRPr="00C75EF0">
              <w:t>qd</w:t>
            </w:r>
            <w:proofErr w:type="spellEnd"/>
            <w:r w:rsidRPr="00C75EF0">
              <w:t xml:space="preserve"> </w:t>
            </w:r>
          </w:p>
        </w:tc>
        <w:tc>
          <w:tcPr>
            <w:tcW w:w="6769" w:type="dxa"/>
          </w:tcPr>
          <w:p w:rsidR="00B92DB2" w:rsidRPr="00C75EF0" w:rsidRDefault="00B92DB2" w:rsidP="00683F40">
            <w:pPr>
              <w:cnfStyle w:val="000000000000"/>
            </w:pPr>
            <w:r w:rsidRPr="00C75EF0">
              <w:t xml:space="preserve">once daily </w:t>
            </w:r>
          </w:p>
        </w:tc>
      </w:tr>
      <w:tr w:rsidR="00B92DB2" w:rsidRPr="00C75EF0" w:rsidTr="00B92DB2">
        <w:tc>
          <w:tcPr>
            <w:cnfStyle w:val="001000000000"/>
            <w:tcW w:w="1951" w:type="dxa"/>
          </w:tcPr>
          <w:p w:rsidR="00B92DB2" w:rsidRPr="00C75EF0" w:rsidRDefault="00B92DB2" w:rsidP="00683F40">
            <w:r w:rsidRPr="00C75EF0">
              <w:t xml:space="preserve">QT </w:t>
            </w:r>
          </w:p>
        </w:tc>
        <w:tc>
          <w:tcPr>
            <w:tcW w:w="6769" w:type="dxa"/>
          </w:tcPr>
          <w:p w:rsidR="00B92DB2" w:rsidRPr="00C75EF0" w:rsidRDefault="00B92DB2" w:rsidP="00683F40">
            <w:pPr>
              <w:cnfStyle w:val="000000000000"/>
            </w:pPr>
            <w:r w:rsidRPr="00C75EF0">
              <w:t xml:space="preserve">QT interval </w:t>
            </w:r>
          </w:p>
        </w:tc>
      </w:tr>
      <w:tr w:rsidR="00B92DB2" w:rsidRPr="00C75EF0" w:rsidTr="00B92DB2">
        <w:tc>
          <w:tcPr>
            <w:cnfStyle w:val="001000000000"/>
            <w:tcW w:w="1951" w:type="dxa"/>
          </w:tcPr>
          <w:p w:rsidR="00B92DB2" w:rsidRPr="00C75EF0" w:rsidRDefault="00B92DB2" w:rsidP="00683F40">
            <w:proofErr w:type="spellStart"/>
            <w:r w:rsidRPr="00C75EF0">
              <w:t>QTcB</w:t>
            </w:r>
            <w:proofErr w:type="spellEnd"/>
            <w:r w:rsidRPr="00C75EF0">
              <w:t xml:space="preserve"> </w:t>
            </w:r>
          </w:p>
        </w:tc>
        <w:tc>
          <w:tcPr>
            <w:tcW w:w="6769" w:type="dxa"/>
          </w:tcPr>
          <w:p w:rsidR="00B92DB2" w:rsidRPr="00C75EF0" w:rsidRDefault="00B92DB2" w:rsidP="00683F40">
            <w:pPr>
              <w:cnfStyle w:val="000000000000"/>
            </w:pPr>
            <w:r w:rsidRPr="00C75EF0">
              <w:t xml:space="preserve">QT interval corrected for heart rate using </w:t>
            </w:r>
            <w:proofErr w:type="spellStart"/>
            <w:r w:rsidRPr="00C75EF0">
              <w:t>Bazett’s</w:t>
            </w:r>
            <w:proofErr w:type="spellEnd"/>
            <w:r w:rsidRPr="00C75EF0">
              <w:t xml:space="preserve"> formula </w:t>
            </w:r>
          </w:p>
        </w:tc>
      </w:tr>
      <w:tr w:rsidR="00B92DB2" w:rsidRPr="00C75EF0" w:rsidTr="00B92DB2">
        <w:tc>
          <w:tcPr>
            <w:cnfStyle w:val="001000000000"/>
            <w:tcW w:w="1951" w:type="dxa"/>
          </w:tcPr>
          <w:p w:rsidR="00B92DB2" w:rsidRPr="00C75EF0" w:rsidRDefault="00B92DB2" w:rsidP="00683F40">
            <w:proofErr w:type="spellStart"/>
            <w:r w:rsidRPr="00C75EF0">
              <w:t>QTcF</w:t>
            </w:r>
            <w:proofErr w:type="spellEnd"/>
            <w:r w:rsidRPr="00C75EF0">
              <w:t xml:space="preserve"> </w:t>
            </w:r>
          </w:p>
        </w:tc>
        <w:tc>
          <w:tcPr>
            <w:tcW w:w="6769" w:type="dxa"/>
          </w:tcPr>
          <w:p w:rsidR="00B92DB2" w:rsidRPr="00C75EF0" w:rsidRDefault="00B92DB2" w:rsidP="00683F40">
            <w:pPr>
              <w:cnfStyle w:val="000000000000"/>
            </w:pPr>
            <w:r w:rsidRPr="00C75EF0">
              <w:t xml:space="preserve">QT interval corrected for heart rate using </w:t>
            </w:r>
            <w:proofErr w:type="spellStart"/>
            <w:r w:rsidRPr="00C75EF0">
              <w:t>Fridericia’s</w:t>
            </w:r>
            <w:proofErr w:type="spellEnd"/>
            <w:r w:rsidRPr="00C75EF0">
              <w:t xml:space="preserve"> formula </w:t>
            </w:r>
          </w:p>
        </w:tc>
      </w:tr>
      <w:tr w:rsidR="00B92DB2" w:rsidRPr="00C75EF0" w:rsidTr="00B92DB2">
        <w:tc>
          <w:tcPr>
            <w:cnfStyle w:val="001000000000"/>
            <w:tcW w:w="1951" w:type="dxa"/>
          </w:tcPr>
          <w:p w:rsidR="00B92DB2" w:rsidRPr="00C75EF0" w:rsidRDefault="00B92DB2" w:rsidP="00683F40">
            <w:r w:rsidRPr="00C75EF0">
              <w:t>R</w:t>
            </w:r>
          </w:p>
        </w:tc>
        <w:tc>
          <w:tcPr>
            <w:tcW w:w="6769" w:type="dxa"/>
          </w:tcPr>
          <w:p w:rsidR="00B92DB2" w:rsidRPr="00C75EF0" w:rsidRDefault="00B92DB2" w:rsidP="00683F40">
            <w:pPr>
              <w:cnfStyle w:val="000000000000"/>
            </w:pPr>
            <w:r w:rsidRPr="00C75EF0">
              <w:t>reference formulation, fasted state</w:t>
            </w:r>
          </w:p>
        </w:tc>
      </w:tr>
      <w:tr w:rsidR="00B92DB2" w:rsidRPr="00C75EF0" w:rsidTr="00B92DB2">
        <w:tc>
          <w:tcPr>
            <w:cnfStyle w:val="001000000000"/>
            <w:tcW w:w="1951" w:type="dxa"/>
          </w:tcPr>
          <w:p w:rsidR="00B92DB2" w:rsidRPr="00C75EF0" w:rsidRDefault="00B92DB2" w:rsidP="00683F40">
            <w:r w:rsidRPr="00C75EF0">
              <w:t xml:space="preserve">SAE </w:t>
            </w:r>
          </w:p>
        </w:tc>
        <w:tc>
          <w:tcPr>
            <w:tcW w:w="6769" w:type="dxa"/>
          </w:tcPr>
          <w:p w:rsidR="00B92DB2" w:rsidRPr="00C75EF0" w:rsidRDefault="00B92DB2" w:rsidP="00683F40">
            <w:pPr>
              <w:cnfStyle w:val="000000000000"/>
            </w:pPr>
            <w:r w:rsidRPr="00C75EF0">
              <w:t xml:space="preserve">serious adverse event </w:t>
            </w:r>
          </w:p>
        </w:tc>
      </w:tr>
      <w:tr w:rsidR="00B92DB2" w:rsidRPr="00C75EF0" w:rsidTr="00B92DB2">
        <w:tc>
          <w:tcPr>
            <w:cnfStyle w:val="001000000000"/>
            <w:tcW w:w="1951" w:type="dxa"/>
          </w:tcPr>
          <w:p w:rsidR="00B92DB2" w:rsidRPr="00C75EF0" w:rsidRDefault="00B92DB2" w:rsidP="00683F40">
            <w:r w:rsidRPr="00C75EF0">
              <w:t xml:space="preserve">SD </w:t>
            </w:r>
          </w:p>
        </w:tc>
        <w:tc>
          <w:tcPr>
            <w:tcW w:w="6769" w:type="dxa"/>
          </w:tcPr>
          <w:p w:rsidR="00B92DB2" w:rsidRPr="00C75EF0" w:rsidRDefault="00B92DB2" w:rsidP="00683F40">
            <w:pPr>
              <w:cnfStyle w:val="000000000000"/>
            </w:pPr>
            <w:r w:rsidRPr="00C75EF0">
              <w:t xml:space="preserve">standard deviation </w:t>
            </w:r>
          </w:p>
        </w:tc>
      </w:tr>
      <w:tr w:rsidR="00B92DB2" w:rsidRPr="00C75EF0" w:rsidTr="00B92DB2">
        <w:tc>
          <w:tcPr>
            <w:cnfStyle w:val="001000000000"/>
            <w:tcW w:w="1951" w:type="dxa"/>
          </w:tcPr>
          <w:p w:rsidR="00B92DB2" w:rsidRPr="00C75EF0" w:rsidRDefault="00B92DB2" w:rsidP="00683F40">
            <w:r w:rsidRPr="00C75EF0">
              <w:t xml:space="preserve">SDD </w:t>
            </w:r>
          </w:p>
        </w:tc>
        <w:tc>
          <w:tcPr>
            <w:tcW w:w="6769" w:type="dxa"/>
          </w:tcPr>
          <w:p w:rsidR="00B92DB2" w:rsidRPr="00C75EF0" w:rsidRDefault="00B92DB2" w:rsidP="00683F40">
            <w:pPr>
              <w:cnfStyle w:val="000000000000"/>
            </w:pPr>
            <w:r w:rsidRPr="00C75EF0">
              <w:t xml:space="preserve">spray-dried dispersion </w:t>
            </w:r>
          </w:p>
        </w:tc>
      </w:tr>
      <w:tr w:rsidR="00B92DB2" w:rsidRPr="00C75EF0" w:rsidTr="00B92DB2">
        <w:tc>
          <w:tcPr>
            <w:cnfStyle w:val="001000000000"/>
            <w:tcW w:w="1951" w:type="dxa"/>
          </w:tcPr>
          <w:p w:rsidR="00B92DB2" w:rsidRPr="00C75EF0" w:rsidRDefault="00B92DB2" w:rsidP="00683F40">
            <w:r w:rsidRPr="00C75EF0">
              <w:lastRenderedPageBreak/>
              <w:t xml:space="preserve">SEM </w:t>
            </w:r>
          </w:p>
        </w:tc>
        <w:tc>
          <w:tcPr>
            <w:tcW w:w="6769" w:type="dxa"/>
          </w:tcPr>
          <w:p w:rsidR="00B92DB2" w:rsidRPr="00C75EF0" w:rsidRDefault="00B92DB2" w:rsidP="00683F40">
            <w:pPr>
              <w:cnfStyle w:val="000000000000"/>
            </w:pPr>
            <w:r w:rsidRPr="00C75EF0">
              <w:t xml:space="preserve">standard error of the mean </w:t>
            </w:r>
          </w:p>
        </w:tc>
      </w:tr>
      <w:tr w:rsidR="00B92DB2" w:rsidRPr="00C75EF0" w:rsidTr="00B92DB2">
        <w:tc>
          <w:tcPr>
            <w:cnfStyle w:val="001000000000"/>
            <w:tcW w:w="1951" w:type="dxa"/>
          </w:tcPr>
          <w:p w:rsidR="00B92DB2" w:rsidRPr="00C75EF0" w:rsidRDefault="00B92DB2" w:rsidP="00683F40">
            <w:r w:rsidRPr="00C75EF0">
              <w:t xml:space="preserve">SSC </w:t>
            </w:r>
          </w:p>
        </w:tc>
        <w:tc>
          <w:tcPr>
            <w:tcW w:w="6769" w:type="dxa"/>
          </w:tcPr>
          <w:p w:rsidR="00B92DB2" w:rsidRPr="00C75EF0" w:rsidRDefault="00B92DB2" w:rsidP="00683F40">
            <w:pPr>
              <w:cnfStyle w:val="000000000000"/>
            </w:pPr>
            <w:r w:rsidRPr="00C75EF0">
              <w:t xml:space="preserve">special search category </w:t>
            </w:r>
          </w:p>
        </w:tc>
      </w:tr>
      <w:tr w:rsidR="00B92DB2" w:rsidRPr="00C75EF0" w:rsidTr="00B92DB2">
        <w:tc>
          <w:tcPr>
            <w:cnfStyle w:val="001000000000"/>
            <w:tcW w:w="1951" w:type="dxa"/>
          </w:tcPr>
          <w:p w:rsidR="00B92DB2" w:rsidRPr="00C75EF0" w:rsidRDefault="00B92DB2" w:rsidP="00683F40">
            <w:r w:rsidRPr="00C75EF0">
              <w:t>T</w:t>
            </w:r>
          </w:p>
        </w:tc>
        <w:tc>
          <w:tcPr>
            <w:tcW w:w="6769" w:type="dxa"/>
          </w:tcPr>
          <w:p w:rsidR="00B92DB2" w:rsidRPr="00C75EF0" w:rsidRDefault="00B92DB2" w:rsidP="00683F40">
            <w:pPr>
              <w:cnfStyle w:val="000000000000"/>
            </w:pPr>
            <w:r w:rsidRPr="00C75EF0">
              <w:t>test formulation, fasted state</w:t>
            </w:r>
          </w:p>
        </w:tc>
      </w:tr>
      <w:tr w:rsidR="00B92DB2" w:rsidRPr="00C75EF0" w:rsidTr="00B92DB2">
        <w:tc>
          <w:tcPr>
            <w:cnfStyle w:val="001000000000"/>
            <w:tcW w:w="1951" w:type="dxa"/>
          </w:tcPr>
          <w:p w:rsidR="00B92DB2" w:rsidRPr="00C75EF0" w:rsidRDefault="00B92DB2" w:rsidP="00683F40">
            <w:r w:rsidRPr="00C75EF0">
              <w:t xml:space="preserve">T1 </w:t>
            </w:r>
          </w:p>
        </w:tc>
        <w:tc>
          <w:tcPr>
            <w:tcW w:w="6769" w:type="dxa"/>
          </w:tcPr>
          <w:p w:rsidR="00B92DB2" w:rsidRPr="00C75EF0" w:rsidRDefault="00B92DB2" w:rsidP="00683F40">
            <w:pPr>
              <w:cnfStyle w:val="000000000000"/>
            </w:pPr>
            <w:r w:rsidRPr="00C75EF0">
              <w:t xml:space="preserve">test formulation of ivacaftor containing 80% drug load spray-dried dispersion evaluated in Study 007 </w:t>
            </w:r>
          </w:p>
        </w:tc>
      </w:tr>
      <w:tr w:rsidR="00B92DB2" w:rsidRPr="00C75EF0" w:rsidTr="00B92DB2">
        <w:tc>
          <w:tcPr>
            <w:cnfStyle w:val="001000000000"/>
            <w:tcW w:w="1951" w:type="dxa"/>
          </w:tcPr>
          <w:p w:rsidR="00B92DB2" w:rsidRPr="00C75EF0" w:rsidRDefault="00B92DB2" w:rsidP="00683F40">
            <w:r w:rsidRPr="00C75EF0">
              <w:t>t</w:t>
            </w:r>
            <w:r w:rsidR="00514045">
              <w:t xml:space="preserve">½ </w:t>
            </w:r>
          </w:p>
        </w:tc>
        <w:tc>
          <w:tcPr>
            <w:tcW w:w="6769" w:type="dxa"/>
          </w:tcPr>
          <w:p w:rsidR="00B92DB2" w:rsidRPr="00C75EF0" w:rsidRDefault="00B92DB2" w:rsidP="00683F40">
            <w:pPr>
              <w:cnfStyle w:val="000000000000"/>
            </w:pPr>
            <w:r w:rsidRPr="00C75EF0">
              <w:t>apparent terminal half-life</w:t>
            </w:r>
          </w:p>
        </w:tc>
      </w:tr>
      <w:tr w:rsidR="00B92DB2" w:rsidRPr="00C75EF0" w:rsidTr="00B92DB2">
        <w:tc>
          <w:tcPr>
            <w:cnfStyle w:val="001000000000"/>
            <w:tcW w:w="1951" w:type="dxa"/>
          </w:tcPr>
          <w:p w:rsidR="00B92DB2" w:rsidRPr="00C75EF0" w:rsidRDefault="00B92DB2" w:rsidP="00683F40">
            <w:r w:rsidRPr="00C75EF0">
              <w:t>TF</w:t>
            </w:r>
          </w:p>
        </w:tc>
        <w:tc>
          <w:tcPr>
            <w:tcW w:w="6769" w:type="dxa"/>
          </w:tcPr>
          <w:p w:rsidR="00B92DB2" w:rsidRPr="00C75EF0" w:rsidRDefault="00B92DB2" w:rsidP="00683F40">
            <w:pPr>
              <w:cnfStyle w:val="000000000000"/>
            </w:pPr>
            <w:r w:rsidRPr="00C75EF0">
              <w:t>test formulation, fed state</w:t>
            </w:r>
          </w:p>
        </w:tc>
      </w:tr>
      <w:tr w:rsidR="00B92DB2" w:rsidRPr="00C75EF0" w:rsidTr="00B92DB2">
        <w:tc>
          <w:tcPr>
            <w:cnfStyle w:val="001000000000"/>
            <w:tcW w:w="1951" w:type="dxa"/>
          </w:tcPr>
          <w:p w:rsidR="00B92DB2" w:rsidRPr="00C75EF0" w:rsidRDefault="00B92DB2" w:rsidP="00683F40">
            <w:proofErr w:type="spellStart"/>
            <w:r w:rsidRPr="00C75EF0">
              <w:t>tlast</w:t>
            </w:r>
            <w:proofErr w:type="spellEnd"/>
          </w:p>
        </w:tc>
        <w:tc>
          <w:tcPr>
            <w:tcW w:w="6769" w:type="dxa"/>
          </w:tcPr>
          <w:p w:rsidR="00B92DB2" w:rsidRPr="00C75EF0" w:rsidRDefault="00B92DB2" w:rsidP="00683F40">
            <w:pPr>
              <w:cnfStyle w:val="000000000000"/>
            </w:pPr>
            <w:r w:rsidRPr="00C75EF0">
              <w:t>time point representing the last measurable concentration</w:t>
            </w:r>
          </w:p>
        </w:tc>
      </w:tr>
      <w:tr w:rsidR="00B92DB2" w:rsidRPr="00C75EF0" w:rsidTr="00B92DB2">
        <w:tc>
          <w:tcPr>
            <w:cnfStyle w:val="001000000000"/>
            <w:tcW w:w="1951" w:type="dxa"/>
          </w:tcPr>
          <w:p w:rsidR="00B92DB2" w:rsidRPr="00C75EF0" w:rsidRDefault="00B92DB2" w:rsidP="00683F40">
            <w:proofErr w:type="spellStart"/>
            <w:r w:rsidRPr="00C75EF0">
              <w:t>tmax</w:t>
            </w:r>
            <w:proofErr w:type="spellEnd"/>
            <w:r w:rsidRPr="00C75EF0">
              <w:t xml:space="preserve"> </w:t>
            </w:r>
          </w:p>
        </w:tc>
        <w:tc>
          <w:tcPr>
            <w:tcW w:w="6769" w:type="dxa"/>
          </w:tcPr>
          <w:p w:rsidR="00B92DB2" w:rsidRPr="00C75EF0" w:rsidRDefault="00B92DB2" w:rsidP="00683F40">
            <w:pPr>
              <w:cnfStyle w:val="000000000000"/>
            </w:pPr>
            <w:r w:rsidRPr="00C75EF0">
              <w:t xml:space="preserve">time of maximum concentration </w:t>
            </w:r>
          </w:p>
        </w:tc>
      </w:tr>
      <w:tr w:rsidR="00B92DB2" w:rsidRPr="00C75EF0" w:rsidTr="00B92DB2">
        <w:tc>
          <w:tcPr>
            <w:cnfStyle w:val="001000000000"/>
            <w:tcW w:w="1951" w:type="dxa"/>
          </w:tcPr>
          <w:p w:rsidR="00B92DB2" w:rsidRPr="00C75EF0" w:rsidRDefault="00B92DB2" w:rsidP="00683F40">
            <w:r w:rsidRPr="00C75EF0">
              <w:t xml:space="preserve">UK </w:t>
            </w:r>
          </w:p>
        </w:tc>
        <w:tc>
          <w:tcPr>
            <w:tcW w:w="6769" w:type="dxa"/>
          </w:tcPr>
          <w:p w:rsidR="00B92DB2" w:rsidRPr="00C75EF0" w:rsidRDefault="00B92DB2" w:rsidP="00683F40">
            <w:pPr>
              <w:cnfStyle w:val="000000000000"/>
            </w:pPr>
            <w:r w:rsidRPr="00C75EF0">
              <w:t xml:space="preserve">United Kingdom </w:t>
            </w:r>
          </w:p>
        </w:tc>
      </w:tr>
      <w:tr w:rsidR="00B92DB2" w:rsidRPr="00C75EF0" w:rsidTr="00B92DB2">
        <w:tc>
          <w:tcPr>
            <w:cnfStyle w:val="001000000000"/>
            <w:tcW w:w="1951" w:type="dxa"/>
          </w:tcPr>
          <w:p w:rsidR="00B92DB2" w:rsidRPr="00C75EF0" w:rsidRDefault="00B92DB2" w:rsidP="00683F40">
            <w:r w:rsidRPr="00C75EF0">
              <w:t xml:space="preserve">ULN </w:t>
            </w:r>
          </w:p>
        </w:tc>
        <w:tc>
          <w:tcPr>
            <w:tcW w:w="6769" w:type="dxa"/>
          </w:tcPr>
          <w:p w:rsidR="00B92DB2" w:rsidRPr="00C75EF0" w:rsidRDefault="00B92DB2" w:rsidP="00683F40">
            <w:pPr>
              <w:cnfStyle w:val="000000000000"/>
            </w:pPr>
            <w:r w:rsidRPr="00C75EF0">
              <w:t xml:space="preserve">upper limit of normal </w:t>
            </w:r>
          </w:p>
        </w:tc>
      </w:tr>
      <w:tr w:rsidR="00B92DB2" w:rsidRPr="00C75EF0" w:rsidTr="00B92DB2">
        <w:tc>
          <w:tcPr>
            <w:cnfStyle w:val="001000000000"/>
            <w:tcW w:w="1951" w:type="dxa"/>
          </w:tcPr>
          <w:p w:rsidR="00B92DB2" w:rsidRPr="00C75EF0" w:rsidRDefault="00B92DB2" w:rsidP="00683F40">
            <w:r w:rsidRPr="00C75EF0">
              <w:t xml:space="preserve">URTI </w:t>
            </w:r>
          </w:p>
        </w:tc>
        <w:tc>
          <w:tcPr>
            <w:tcW w:w="6769" w:type="dxa"/>
          </w:tcPr>
          <w:p w:rsidR="00B92DB2" w:rsidRPr="00C75EF0" w:rsidRDefault="00B92DB2" w:rsidP="00683F40">
            <w:pPr>
              <w:cnfStyle w:val="000000000000"/>
            </w:pPr>
            <w:r w:rsidRPr="00C75EF0">
              <w:t xml:space="preserve">upper respiratory tract infection </w:t>
            </w:r>
          </w:p>
        </w:tc>
      </w:tr>
      <w:tr w:rsidR="00B92DB2" w:rsidRPr="00C75EF0" w:rsidTr="00B92DB2">
        <w:tc>
          <w:tcPr>
            <w:cnfStyle w:val="001000000000"/>
            <w:tcW w:w="1951" w:type="dxa"/>
          </w:tcPr>
          <w:p w:rsidR="00B92DB2" w:rsidRPr="00C75EF0" w:rsidRDefault="00B92DB2" w:rsidP="00683F40">
            <w:r w:rsidRPr="00C75EF0">
              <w:t xml:space="preserve">US </w:t>
            </w:r>
          </w:p>
        </w:tc>
        <w:tc>
          <w:tcPr>
            <w:tcW w:w="6769" w:type="dxa"/>
          </w:tcPr>
          <w:p w:rsidR="00B92DB2" w:rsidRPr="00C75EF0" w:rsidRDefault="00B92DB2" w:rsidP="00683F40">
            <w:pPr>
              <w:cnfStyle w:val="000000000000"/>
            </w:pPr>
            <w:r w:rsidRPr="00C75EF0">
              <w:t xml:space="preserve">United States </w:t>
            </w:r>
          </w:p>
        </w:tc>
      </w:tr>
      <w:tr w:rsidR="00B92DB2" w:rsidRPr="00C75EF0" w:rsidTr="00B92DB2">
        <w:tc>
          <w:tcPr>
            <w:cnfStyle w:val="001000000000"/>
            <w:tcW w:w="1951" w:type="dxa"/>
          </w:tcPr>
          <w:p w:rsidR="00B92DB2" w:rsidRPr="00C75EF0" w:rsidRDefault="00B92DB2" w:rsidP="00683F40">
            <w:proofErr w:type="spellStart"/>
            <w:r w:rsidRPr="00C75EF0">
              <w:t>Vc</w:t>
            </w:r>
            <w:proofErr w:type="spellEnd"/>
            <w:r w:rsidRPr="00C75EF0">
              <w:t xml:space="preserve">/F </w:t>
            </w:r>
          </w:p>
        </w:tc>
        <w:tc>
          <w:tcPr>
            <w:tcW w:w="6769" w:type="dxa"/>
          </w:tcPr>
          <w:p w:rsidR="00B92DB2" w:rsidRPr="00C75EF0" w:rsidRDefault="00B92DB2" w:rsidP="00683F40">
            <w:pPr>
              <w:cnfStyle w:val="000000000000"/>
            </w:pPr>
            <w:r w:rsidRPr="00C75EF0">
              <w:t xml:space="preserve">apparent volume of distribution of the central compartment </w:t>
            </w:r>
          </w:p>
        </w:tc>
      </w:tr>
      <w:tr w:rsidR="00B92DB2" w:rsidRPr="00C75EF0" w:rsidTr="00B92DB2">
        <w:tc>
          <w:tcPr>
            <w:cnfStyle w:val="001000000000"/>
            <w:tcW w:w="1951" w:type="dxa"/>
          </w:tcPr>
          <w:p w:rsidR="00B92DB2" w:rsidRPr="00C75EF0" w:rsidRDefault="00B92DB2" w:rsidP="00683F40">
            <w:r w:rsidRPr="00C75EF0">
              <w:t xml:space="preserve">Vertex </w:t>
            </w:r>
          </w:p>
        </w:tc>
        <w:tc>
          <w:tcPr>
            <w:tcW w:w="6769" w:type="dxa"/>
          </w:tcPr>
          <w:p w:rsidR="00B92DB2" w:rsidRPr="00C75EF0" w:rsidRDefault="00B92DB2" w:rsidP="00683F40">
            <w:pPr>
              <w:cnfStyle w:val="000000000000"/>
            </w:pPr>
            <w:r w:rsidRPr="00C75EF0">
              <w:t xml:space="preserve">Vertex Pharmaceuticals Incorporated </w:t>
            </w:r>
          </w:p>
        </w:tc>
      </w:tr>
      <w:tr w:rsidR="00B92DB2" w:rsidRPr="00C75EF0" w:rsidTr="00B92DB2">
        <w:tc>
          <w:tcPr>
            <w:cnfStyle w:val="001000000000"/>
            <w:tcW w:w="1951" w:type="dxa"/>
          </w:tcPr>
          <w:p w:rsidR="00B92DB2" w:rsidRPr="00C75EF0" w:rsidRDefault="00B92DB2" w:rsidP="00683F40">
            <w:proofErr w:type="spellStart"/>
            <w:r w:rsidRPr="00C75EF0">
              <w:t>Vp</w:t>
            </w:r>
            <w:proofErr w:type="spellEnd"/>
            <w:r w:rsidRPr="00C75EF0">
              <w:t xml:space="preserve">/F </w:t>
            </w:r>
          </w:p>
        </w:tc>
        <w:tc>
          <w:tcPr>
            <w:tcW w:w="6769" w:type="dxa"/>
          </w:tcPr>
          <w:p w:rsidR="00B92DB2" w:rsidRPr="00C75EF0" w:rsidRDefault="00B92DB2" w:rsidP="00683F40">
            <w:pPr>
              <w:cnfStyle w:val="000000000000"/>
            </w:pPr>
            <w:r w:rsidRPr="00C75EF0">
              <w:t xml:space="preserve">apparent volume of distribution of the peripheral compartment </w:t>
            </w:r>
          </w:p>
        </w:tc>
      </w:tr>
      <w:tr w:rsidR="00B92DB2" w:rsidRPr="00C75EF0" w:rsidTr="00B92DB2">
        <w:tc>
          <w:tcPr>
            <w:cnfStyle w:val="001000000000"/>
            <w:tcW w:w="1951" w:type="dxa"/>
          </w:tcPr>
          <w:p w:rsidR="00B92DB2" w:rsidRPr="00C75EF0" w:rsidRDefault="005C44B7" w:rsidP="00683F40">
            <w:r w:rsidRPr="005C44B7">
              <w:t>VX-770</w:t>
            </w:r>
          </w:p>
        </w:tc>
        <w:tc>
          <w:tcPr>
            <w:tcW w:w="6769" w:type="dxa"/>
          </w:tcPr>
          <w:p w:rsidR="00B92DB2" w:rsidRPr="00C75EF0" w:rsidRDefault="005C44B7" w:rsidP="00683F40">
            <w:pPr>
              <w:cnfStyle w:val="000000000000"/>
            </w:pPr>
            <w:r>
              <w:t xml:space="preserve">Code number for ivacaftor. [Note: </w:t>
            </w:r>
            <w:r w:rsidRPr="005C44B7">
              <w:t xml:space="preserve">Ivacaftor and VX-770 are used interchangeably in this </w:t>
            </w:r>
            <w:r>
              <w:t>report</w:t>
            </w:r>
            <w:r w:rsidRPr="005C44B7">
              <w:t>.</w:t>
            </w:r>
            <w:r>
              <w:t>]</w:t>
            </w:r>
          </w:p>
        </w:tc>
      </w:tr>
      <w:tr w:rsidR="005C44B7" w:rsidRPr="00C75EF0" w:rsidTr="00B92DB2">
        <w:tc>
          <w:tcPr>
            <w:cnfStyle w:val="001000000000"/>
            <w:tcW w:w="1951" w:type="dxa"/>
          </w:tcPr>
          <w:p w:rsidR="005C44B7" w:rsidRPr="00C75EF0" w:rsidRDefault="005C44B7" w:rsidP="00683F40">
            <w:r w:rsidRPr="00C75EF0">
              <w:t>VX-809</w:t>
            </w:r>
          </w:p>
        </w:tc>
        <w:tc>
          <w:tcPr>
            <w:tcW w:w="6769" w:type="dxa"/>
          </w:tcPr>
          <w:p w:rsidR="005C44B7" w:rsidRPr="00C75EF0" w:rsidRDefault="005C44B7" w:rsidP="00683F40">
            <w:pPr>
              <w:cnfStyle w:val="000000000000"/>
            </w:pPr>
            <w:r w:rsidRPr="00C75EF0">
              <w:t>an investigational CFTR corrector, which enhances chloride transport by increasing the delivery and amount of functional CFTR protein to the cell surface</w:t>
            </w:r>
          </w:p>
        </w:tc>
      </w:tr>
      <w:tr w:rsidR="00B92DB2" w:rsidRPr="00C75EF0" w:rsidTr="00B92DB2">
        <w:tc>
          <w:tcPr>
            <w:cnfStyle w:val="001000000000"/>
            <w:tcW w:w="1951" w:type="dxa"/>
          </w:tcPr>
          <w:p w:rsidR="00B92DB2" w:rsidRPr="00C75EF0" w:rsidRDefault="00B92DB2" w:rsidP="00683F40">
            <w:proofErr w:type="spellStart"/>
            <w:r w:rsidRPr="00C75EF0">
              <w:t>Vz</w:t>
            </w:r>
            <w:proofErr w:type="spellEnd"/>
            <w:r w:rsidRPr="00C75EF0">
              <w:t xml:space="preserve">/F </w:t>
            </w:r>
          </w:p>
        </w:tc>
        <w:tc>
          <w:tcPr>
            <w:tcW w:w="6769" w:type="dxa"/>
          </w:tcPr>
          <w:p w:rsidR="00B92DB2" w:rsidRPr="00C75EF0" w:rsidRDefault="00B92DB2" w:rsidP="00683F40">
            <w:pPr>
              <w:cnfStyle w:val="000000000000"/>
            </w:pPr>
            <w:r w:rsidRPr="00C75EF0">
              <w:t xml:space="preserve">apparent volume of distribution </w:t>
            </w:r>
          </w:p>
        </w:tc>
      </w:tr>
      <w:tr w:rsidR="00B92DB2" w:rsidRPr="00C75EF0" w:rsidTr="00B92DB2">
        <w:tc>
          <w:tcPr>
            <w:cnfStyle w:val="001000000000"/>
            <w:tcW w:w="1951" w:type="dxa"/>
          </w:tcPr>
          <w:p w:rsidR="00B92DB2" w:rsidRPr="00C75EF0" w:rsidRDefault="00B92DB2" w:rsidP="00683F40">
            <w:proofErr w:type="spellStart"/>
            <w:r w:rsidRPr="00C75EF0">
              <w:t>λz</w:t>
            </w:r>
            <w:proofErr w:type="spellEnd"/>
          </w:p>
        </w:tc>
        <w:tc>
          <w:tcPr>
            <w:tcW w:w="6769" w:type="dxa"/>
          </w:tcPr>
          <w:p w:rsidR="00B92DB2" w:rsidRPr="00C75EF0" w:rsidRDefault="00B92DB2" w:rsidP="00683F40">
            <w:pPr>
              <w:cnfStyle w:val="000000000000"/>
            </w:pPr>
            <w:r w:rsidRPr="00C75EF0">
              <w:t>terminal elimination rate constant</w:t>
            </w:r>
          </w:p>
        </w:tc>
      </w:tr>
    </w:tbl>
    <w:p w:rsidR="00586F98" w:rsidRDefault="00F20ECB" w:rsidP="00683F40">
      <w:pPr>
        <w:pStyle w:val="Heading2"/>
        <w:rPr>
          <w:lang w:eastAsia="en-AU"/>
        </w:rPr>
      </w:pPr>
      <w:bookmarkStart w:id="7" w:name="_Toc351718900"/>
      <w:bookmarkStart w:id="8" w:name="_Toc355338635"/>
      <w:bookmarkStart w:id="9" w:name="_Toc375055414"/>
      <w:r>
        <w:rPr>
          <w:lang w:eastAsia="en-AU"/>
        </w:rPr>
        <w:t>Introduction</w:t>
      </w:r>
      <w:bookmarkEnd w:id="9"/>
    </w:p>
    <w:p w:rsidR="00F20ECB" w:rsidRPr="00BA47D5" w:rsidRDefault="00F20ECB" w:rsidP="00314A04">
      <w:r w:rsidRPr="00BA47D5">
        <w:t xml:space="preserve">Ivacaftor is a </w:t>
      </w:r>
      <w:r w:rsidR="00CD6F08">
        <w:t>cystic fibrosis (</w:t>
      </w:r>
      <w:r w:rsidRPr="00BA47D5">
        <w:t>CF</w:t>
      </w:r>
      <w:r w:rsidR="00CD6F08">
        <w:t>)</w:t>
      </w:r>
      <w:r w:rsidRPr="00BA47D5">
        <w:t xml:space="preserve"> </w:t>
      </w:r>
      <w:proofErr w:type="spellStart"/>
      <w:r w:rsidRPr="00BA47D5">
        <w:t>transmembrane</w:t>
      </w:r>
      <w:proofErr w:type="spellEnd"/>
      <w:r w:rsidRPr="00BA47D5">
        <w:t xml:space="preserve"> conductance regulator (CFTR) modulator, which provides a new therapeutic approach to the treatment of CF by restoring the function of the CFTR protein. </w:t>
      </w:r>
    </w:p>
    <w:p w:rsidR="00F20ECB" w:rsidRPr="00BA47D5" w:rsidRDefault="00F20ECB" w:rsidP="00314A04">
      <w:r w:rsidRPr="00BA47D5">
        <w:t xml:space="preserve">Kalydeco is proposed for “the treatment of cystic fibrosis in patients age 6 years and older who have the </w:t>
      </w:r>
      <w:r w:rsidRPr="00DC2370">
        <w:rPr>
          <w:i/>
          <w:iCs/>
        </w:rPr>
        <w:t>G551D</w:t>
      </w:r>
      <w:r w:rsidRPr="001B3179">
        <w:t xml:space="preserve"> </w:t>
      </w:r>
      <w:r w:rsidRPr="00BA47D5">
        <w:t xml:space="preserve">mutation in the </w:t>
      </w:r>
      <w:r w:rsidRPr="00BA47D5">
        <w:rPr>
          <w:i/>
          <w:iCs/>
        </w:rPr>
        <w:t>CFTR</w:t>
      </w:r>
      <w:r w:rsidRPr="00BA47D5">
        <w:t xml:space="preserve"> gene”.  It is a chronic treatment at a dose of 150 mg every </w:t>
      </w:r>
      <w:r w:rsidRPr="00BA47D5">
        <w:lastRenderedPageBreak/>
        <w:t>12 hours (300 mg daily dose).  This indication is based on 48 weeks data in 2 randomised, double-blind, placebo</w:t>
      </w:r>
      <w:r w:rsidR="00CD6F08">
        <w:t>-controlled trials involving 109</w:t>
      </w:r>
      <w:r w:rsidRPr="00BA47D5">
        <w:t xml:space="preserve"> ivacaftor treated patients (26 patients 6-1</w:t>
      </w:r>
      <w:r w:rsidR="00CD6F08">
        <w:t xml:space="preserve">2 years of age and 83 patients ≥ </w:t>
      </w:r>
      <w:r w:rsidRPr="00BA47D5">
        <w:t xml:space="preserve">12 years of age).  The drug product is presented in bottles and blister packs. The </w:t>
      </w:r>
      <w:r w:rsidRPr="00DC2370">
        <w:rPr>
          <w:i/>
          <w:iCs/>
        </w:rPr>
        <w:t>G551D</w:t>
      </w:r>
      <w:r w:rsidRPr="00BA47D5">
        <w:t xml:space="preserve"> mutation of the </w:t>
      </w:r>
      <w:r w:rsidRPr="00BA47D5">
        <w:rPr>
          <w:i/>
          <w:iCs/>
        </w:rPr>
        <w:t>CFTR</w:t>
      </w:r>
      <w:r w:rsidRPr="00BA47D5">
        <w:t xml:space="preserve"> gene is classified as a gating mutation. </w:t>
      </w:r>
    </w:p>
    <w:p w:rsidR="00F53256" w:rsidRPr="00F53256" w:rsidRDefault="00F53256" w:rsidP="00314A04">
      <w:r w:rsidRPr="00F53256">
        <w:t>KALYDECO (Ivacaftor) was granted Orphan Drug Designation on 14</w:t>
      </w:r>
      <w:r w:rsidRPr="00F53256">
        <w:rPr>
          <w:vertAlign w:val="superscript"/>
        </w:rPr>
        <w:t>th</w:t>
      </w:r>
      <w:r w:rsidRPr="00F53256">
        <w:t xml:space="preserve"> March 2012 in relation to the following indication: </w:t>
      </w:r>
      <w:r w:rsidRPr="00F53256">
        <w:rPr>
          <w:i/>
          <w:iCs/>
        </w:rPr>
        <w:t>“Treatment of Cystic fibrosis (CF) in patients who have a gating or an R117H mutation in the CFTR gene.”</w:t>
      </w:r>
      <w:r w:rsidRPr="00F53256">
        <w:t xml:space="preserve">  </w:t>
      </w:r>
    </w:p>
    <w:p w:rsidR="00F20ECB" w:rsidRPr="002214DD" w:rsidRDefault="00F20ECB" w:rsidP="00314A04">
      <w:r w:rsidRPr="002214DD">
        <w:t xml:space="preserve">KALYDECO should only be prescribed by physicians with experience in the treatment of cystic fibrosis. If the patient's genotype is unknown, an accurate and validated genotyping method should be performed to confirm the presence of the </w:t>
      </w:r>
      <w:r w:rsidRPr="00DC2370">
        <w:rPr>
          <w:i/>
        </w:rPr>
        <w:t>G551D</w:t>
      </w:r>
      <w:r w:rsidRPr="002214DD">
        <w:rPr>
          <w:iCs/>
        </w:rPr>
        <w:t xml:space="preserve"> </w:t>
      </w:r>
      <w:r w:rsidRPr="002214DD">
        <w:t xml:space="preserve">mutation in at least one allele of the </w:t>
      </w:r>
      <w:r w:rsidRPr="005A76BE">
        <w:rPr>
          <w:i/>
        </w:rPr>
        <w:t>CFTR</w:t>
      </w:r>
      <w:r w:rsidRPr="002214DD">
        <w:rPr>
          <w:iCs/>
        </w:rPr>
        <w:t xml:space="preserve"> </w:t>
      </w:r>
      <w:r w:rsidRPr="002214DD">
        <w:t xml:space="preserve">gene before starting treatment. </w:t>
      </w:r>
    </w:p>
    <w:p w:rsidR="00586F98" w:rsidRPr="00BA47D5" w:rsidRDefault="00F20ECB" w:rsidP="00314A04">
      <w:r w:rsidRPr="00BA47D5">
        <w:t>The recommended dose for adults and paediatric patients is 150 mg taken orally every 12 hours (300 mg total daily dose).</w:t>
      </w:r>
    </w:p>
    <w:p w:rsidR="00F20ECB" w:rsidRPr="002214DD" w:rsidRDefault="00F20ECB" w:rsidP="00314A04">
      <w:pPr>
        <w:pStyle w:val="Heading2"/>
      </w:pPr>
      <w:bookmarkStart w:id="10" w:name="_Toc272414601"/>
      <w:bookmarkStart w:id="11" w:name="_Toc290846223"/>
      <w:bookmarkStart w:id="12" w:name="_Toc341441370"/>
      <w:bookmarkStart w:id="13" w:name="_Toc375055415"/>
      <w:r w:rsidRPr="002214DD">
        <w:t>Clinical rationale</w:t>
      </w:r>
      <w:bookmarkEnd w:id="10"/>
      <w:bookmarkEnd w:id="11"/>
      <w:bookmarkEnd w:id="12"/>
      <w:bookmarkEnd w:id="13"/>
    </w:p>
    <w:p w:rsidR="00F20ECB" w:rsidRDefault="00F20ECB" w:rsidP="00314A04">
      <w:r w:rsidRPr="002214DD">
        <w:t xml:space="preserve">CF is an </w:t>
      </w:r>
      <w:proofErr w:type="spellStart"/>
      <w:r w:rsidRPr="002214DD">
        <w:t>autosomal</w:t>
      </w:r>
      <w:proofErr w:type="spellEnd"/>
      <w:r w:rsidRPr="002214DD">
        <w:t xml:space="preserve"> recessive disease with serious, chronically debilitating morbidities and high premature mortality. CF is caused by mutations in the </w:t>
      </w:r>
      <w:r w:rsidRPr="002214DD">
        <w:rPr>
          <w:rFonts w:cs="Cambria-Italic"/>
          <w:i/>
          <w:iCs/>
        </w:rPr>
        <w:t xml:space="preserve">CFTR </w:t>
      </w:r>
      <w:r w:rsidRPr="002214DD">
        <w:t>gene that result in absent or deficient function of the CFTR protein at the cell surface. Gating mutations result in a CFTR protein</w:t>
      </w:r>
      <w:r>
        <w:t xml:space="preserve"> w</w:t>
      </w:r>
      <w:r w:rsidRPr="002214DD">
        <w:t xml:space="preserve">ith a primary defect of low channel open probability compared to normal CFTR. The </w:t>
      </w:r>
      <w:r w:rsidRPr="002214DD">
        <w:rPr>
          <w:rFonts w:cs="Cambria-Italic"/>
          <w:i/>
          <w:iCs/>
        </w:rPr>
        <w:t xml:space="preserve">G551D </w:t>
      </w:r>
      <w:r w:rsidRPr="002214DD">
        <w:t>mutation is the most common gating mutation worldwide and, when paired with another mutation associated with minimal CFTR function, will most often result in a severe CF clinical phenotype.</w:t>
      </w:r>
      <w:r>
        <w:t xml:space="preserve">  </w:t>
      </w:r>
    </w:p>
    <w:p w:rsidR="00F20ECB" w:rsidRPr="002214DD" w:rsidRDefault="00F20ECB" w:rsidP="00314A04">
      <w:r w:rsidRPr="002214DD">
        <w:t xml:space="preserve">Ivacaftor is a selective </w:t>
      </w:r>
      <w:proofErr w:type="spellStart"/>
      <w:r w:rsidRPr="002214DD">
        <w:t>potentiator</w:t>
      </w:r>
      <w:proofErr w:type="spellEnd"/>
      <w:r w:rsidRPr="002214DD">
        <w:t xml:space="preserve"> of the CFTR protein, which targets the underlying defect of CF.</w:t>
      </w:r>
      <w:r>
        <w:t xml:space="preserve">  </w:t>
      </w:r>
      <w:r w:rsidRPr="002214DD">
        <w:t>Ivacaftor acts by increasing the CFTR channel opening probability to enhance chloride transport.</w:t>
      </w:r>
      <w:r w:rsidRPr="002214DD">
        <w:rPr>
          <w:rFonts w:ascii="Cambria-BoldItalic" w:hAnsi="Cambria-BoldItalic" w:cs="Cambria-BoldItalic"/>
          <w:bCs/>
          <w:iCs/>
          <w:sz w:val="24"/>
        </w:rPr>
        <w:t xml:space="preserve"> </w:t>
      </w:r>
      <w:r w:rsidRPr="002214DD">
        <w:rPr>
          <w:rFonts w:cs="Cambria-BoldItalic"/>
          <w:bCs/>
          <w:iCs/>
        </w:rPr>
        <w:t xml:space="preserve">Currently, in Australia, there are no marketed drugs in this pharmacological class and no approved drugs targeting the dysfunctional CFTR channel. </w:t>
      </w:r>
    </w:p>
    <w:p w:rsidR="00F20ECB" w:rsidRDefault="00F20ECB" w:rsidP="00314A04">
      <w:pPr>
        <w:rPr>
          <w:rFonts w:eastAsia="Calibri" w:cs="Cambria"/>
        </w:rPr>
      </w:pPr>
      <w:r w:rsidRPr="002214DD">
        <w:t xml:space="preserve">In 2006, Vertex Pharmaceuticals Incorporated (Vertex) began the clinical development of ivacaftor in the US and subsequently expanded the development to include the EU, Canada, and Australia. Ivacaftor was granted orphan medicinal product status in the EU (EC Decision No: EU/3/08/556, 08 July 2008) and in the US and Australia. </w:t>
      </w:r>
      <w:r w:rsidRPr="002214DD">
        <w:rPr>
          <w:rFonts w:eastAsia="Calibri" w:cs="Cambria"/>
        </w:rPr>
        <w:t xml:space="preserve">The local Australian applicant (sponsor) on behalf of Vertex Pharmaceuticals Incorporated is </w:t>
      </w:r>
      <w:proofErr w:type="spellStart"/>
      <w:r w:rsidRPr="002214DD">
        <w:rPr>
          <w:rFonts w:eastAsia="Calibri" w:cs="Cambria"/>
        </w:rPr>
        <w:t>TudorRose</w:t>
      </w:r>
      <w:proofErr w:type="spellEnd"/>
      <w:r w:rsidRPr="002214DD">
        <w:rPr>
          <w:rFonts w:eastAsia="Calibri" w:cs="Cambria"/>
        </w:rPr>
        <w:t xml:space="preserve"> Consulting Pty Ltd. </w:t>
      </w:r>
    </w:p>
    <w:p w:rsidR="00586F98" w:rsidRDefault="00586F98" w:rsidP="00314A04">
      <w:pPr>
        <w:pStyle w:val="Heading2"/>
        <w:rPr>
          <w:lang w:eastAsia="en-AU"/>
        </w:rPr>
      </w:pPr>
      <w:bookmarkStart w:id="14" w:name="_Toc375055416"/>
      <w:r>
        <w:rPr>
          <w:lang w:eastAsia="en-AU"/>
        </w:rPr>
        <w:t>Contents of the clinical dossier</w:t>
      </w:r>
      <w:bookmarkEnd w:id="7"/>
      <w:bookmarkEnd w:id="8"/>
      <w:bookmarkEnd w:id="14"/>
    </w:p>
    <w:p w:rsidR="00586F98" w:rsidRDefault="00586F98" w:rsidP="00314A04">
      <w:pPr>
        <w:pStyle w:val="Heading3"/>
      </w:pPr>
      <w:bookmarkStart w:id="15" w:name="_Toc375055417"/>
      <w:r>
        <w:t>Scope of the clinical dossier</w:t>
      </w:r>
      <w:bookmarkEnd w:id="15"/>
    </w:p>
    <w:p w:rsidR="004075D7" w:rsidRPr="004075D7" w:rsidRDefault="004075D7" w:rsidP="00314A04">
      <w:pPr>
        <w:rPr>
          <w:lang w:eastAsia="ja-JP"/>
        </w:rPr>
      </w:pPr>
      <w:r w:rsidRPr="004075D7">
        <w:rPr>
          <w:lang w:eastAsia="ja-JP"/>
        </w:rPr>
        <w:t>The submission contained the following clinical information:</w:t>
      </w:r>
    </w:p>
    <w:p w:rsidR="004075D7" w:rsidRPr="004075D7" w:rsidRDefault="00314A04" w:rsidP="00314A04">
      <w:pPr>
        <w:rPr>
          <w:lang w:eastAsia="ja-JP"/>
        </w:rPr>
      </w:pPr>
      <w:r>
        <w:rPr>
          <w:lang w:eastAsia="ja-JP"/>
        </w:rPr>
        <w:t>Module 5</w:t>
      </w:r>
    </w:p>
    <w:p w:rsidR="004075D7" w:rsidRPr="004075D7" w:rsidRDefault="009A0EA6" w:rsidP="00314A04">
      <w:pPr>
        <w:pStyle w:val="ListBullet"/>
        <w:rPr>
          <w:lang w:eastAsia="ja-JP"/>
        </w:rPr>
      </w:pPr>
      <w:r>
        <w:rPr>
          <w:lang w:eastAsia="ja-JP"/>
        </w:rPr>
        <w:t>C</w:t>
      </w:r>
      <w:r w:rsidR="004075D7" w:rsidRPr="004075D7">
        <w:rPr>
          <w:lang w:eastAsia="ja-JP"/>
        </w:rPr>
        <w:t>linical pharmacology studies, including 15 that provided pharmacokinetic data and 2 that provided pharmacodynamic data.</w:t>
      </w:r>
    </w:p>
    <w:p w:rsidR="004075D7" w:rsidRPr="004075D7" w:rsidRDefault="009A0EA6" w:rsidP="00314A04">
      <w:pPr>
        <w:pStyle w:val="ListBullet"/>
        <w:rPr>
          <w:lang w:eastAsia="ja-JP"/>
        </w:rPr>
      </w:pPr>
      <w:r>
        <w:rPr>
          <w:lang w:eastAsia="ja-JP"/>
        </w:rPr>
        <w:t>P</w:t>
      </w:r>
      <w:r w:rsidR="004075D7" w:rsidRPr="004075D7">
        <w:rPr>
          <w:lang w:eastAsia="ja-JP"/>
        </w:rPr>
        <w:t>opulation pharmacokinetic analyses.</w:t>
      </w:r>
    </w:p>
    <w:p w:rsidR="004075D7" w:rsidRPr="004075D7" w:rsidRDefault="004075D7" w:rsidP="00AC0E16">
      <w:pPr>
        <w:pStyle w:val="ListBullet"/>
        <w:rPr>
          <w:lang w:eastAsia="ja-JP"/>
        </w:rPr>
      </w:pPr>
      <w:r w:rsidRPr="004075D7">
        <w:rPr>
          <w:lang w:eastAsia="ja-JP"/>
        </w:rPr>
        <w:t>Two pivotal phase 3 efficacy/safety studies (102, 103).</w:t>
      </w:r>
    </w:p>
    <w:p w:rsidR="004075D7" w:rsidRPr="004075D7" w:rsidRDefault="004075D7" w:rsidP="00314A04">
      <w:pPr>
        <w:pStyle w:val="ListBullet"/>
        <w:rPr>
          <w:lang w:eastAsia="ja-JP"/>
        </w:rPr>
      </w:pPr>
      <w:r w:rsidRPr="004075D7">
        <w:rPr>
          <w:lang w:eastAsia="ja-JP"/>
        </w:rPr>
        <w:t>Two Phase 2 studies (101 and 104).</w:t>
      </w:r>
    </w:p>
    <w:p w:rsidR="004075D7" w:rsidRPr="004075D7" w:rsidRDefault="004075D7" w:rsidP="00AC0E16">
      <w:pPr>
        <w:pStyle w:val="ListBullet"/>
        <w:rPr>
          <w:lang w:eastAsia="ja-JP"/>
        </w:rPr>
      </w:pPr>
      <w:r w:rsidRPr="004075D7">
        <w:rPr>
          <w:lang w:eastAsia="ja-JP"/>
        </w:rPr>
        <w:t>One open, uncontrolled long term study (105).</w:t>
      </w:r>
    </w:p>
    <w:p w:rsidR="004075D7" w:rsidRPr="004075D7" w:rsidRDefault="009A0EA6" w:rsidP="00314A04">
      <w:pPr>
        <w:pStyle w:val="ListBullet"/>
        <w:rPr>
          <w:lang w:eastAsia="ja-JP"/>
        </w:rPr>
      </w:pPr>
      <w:r>
        <w:rPr>
          <w:lang w:eastAsia="ja-JP"/>
        </w:rPr>
        <w:lastRenderedPageBreak/>
        <w:t>O</w:t>
      </w:r>
      <w:r w:rsidR="004075D7" w:rsidRPr="004075D7">
        <w:rPr>
          <w:lang w:eastAsia="ja-JP"/>
        </w:rPr>
        <w:t>ther, e.g. pooled analyses, meta-analyses, Integrated Summary of Efficacy, Integrated Summary of Safety, etc.</w:t>
      </w:r>
    </w:p>
    <w:p w:rsidR="004075D7" w:rsidRPr="004075D7" w:rsidRDefault="004075D7" w:rsidP="00314A04">
      <w:pPr>
        <w:rPr>
          <w:lang w:eastAsia="ja-JP"/>
        </w:rPr>
      </w:pPr>
      <w:r w:rsidRPr="004075D7">
        <w:rPr>
          <w:lang w:eastAsia="ja-JP"/>
        </w:rPr>
        <w:t>Module 1</w:t>
      </w:r>
    </w:p>
    <w:p w:rsidR="004075D7" w:rsidRPr="004075D7" w:rsidRDefault="004075D7" w:rsidP="00314A04">
      <w:pPr>
        <w:pStyle w:val="ListBullet"/>
        <w:rPr>
          <w:lang w:eastAsia="ja-JP"/>
        </w:rPr>
      </w:pPr>
      <w:r w:rsidRPr="004075D7">
        <w:rPr>
          <w:lang w:eastAsia="ja-JP"/>
        </w:rPr>
        <w:t xml:space="preserve">Application letter, application form, draft Australian PI and CMI, FDA-approved product label, European Summary of Product Characteristics. </w:t>
      </w:r>
    </w:p>
    <w:p w:rsidR="004075D7" w:rsidRPr="004075D7" w:rsidRDefault="004075D7" w:rsidP="00314A04">
      <w:pPr>
        <w:rPr>
          <w:lang w:eastAsia="ja-JP"/>
        </w:rPr>
      </w:pPr>
      <w:r w:rsidRPr="004075D7">
        <w:rPr>
          <w:lang w:eastAsia="ja-JP"/>
        </w:rPr>
        <w:t>Module 2</w:t>
      </w:r>
    </w:p>
    <w:p w:rsidR="004075D7" w:rsidRPr="004075D7" w:rsidRDefault="004075D7" w:rsidP="00314A04">
      <w:pPr>
        <w:pStyle w:val="ListBullet"/>
        <w:rPr>
          <w:lang w:eastAsia="ja-JP"/>
        </w:rPr>
      </w:pPr>
      <w:r w:rsidRPr="004075D7">
        <w:rPr>
          <w:lang w:eastAsia="ja-JP"/>
        </w:rPr>
        <w:t>Clinical Overview, Summary of Clinical Efficacy, Summary of Clinical Safety and literature references.</w:t>
      </w:r>
    </w:p>
    <w:p w:rsidR="004075D7" w:rsidRPr="004075D7" w:rsidRDefault="004075D7" w:rsidP="00314A04">
      <w:pPr>
        <w:pStyle w:val="Heading3"/>
      </w:pPr>
      <w:bookmarkStart w:id="16" w:name="_Toc290846235"/>
      <w:bookmarkStart w:id="17" w:name="_Toc341441382"/>
      <w:bookmarkStart w:id="18" w:name="_Toc375055418"/>
      <w:r w:rsidRPr="004075D7">
        <w:t>Paediatric data</w:t>
      </w:r>
      <w:bookmarkEnd w:id="16"/>
      <w:bookmarkEnd w:id="17"/>
      <w:bookmarkEnd w:id="18"/>
    </w:p>
    <w:p w:rsidR="004075D7" w:rsidRPr="00CD6F08" w:rsidRDefault="004075D7" w:rsidP="00314A04">
      <w:r w:rsidRPr="00CD6F08">
        <w:t>The submission included paediatric pharmacokinetic / pharmacodynamic / efficacy / safety data in children aged 6 years and over.</w:t>
      </w:r>
    </w:p>
    <w:p w:rsidR="00586F98" w:rsidRDefault="00586F98" w:rsidP="00314A04">
      <w:pPr>
        <w:pStyle w:val="Heading3"/>
      </w:pPr>
      <w:bookmarkStart w:id="19" w:name="_Toc375055419"/>
      <w:r>
        <w:t>Good clinical practice</w:t>
      </w:r>
      <w:bookmarkEnd w:id="19"/>
    </w:p>
    <w:p w:rsidR="00586F98" w:rsidRDefault="004075D7" w:rsidP="00314A04">
      <w:pPr>
        <w:rPr>
          <w:lang w:eastAsia="ja-JP"/>
        </w:rPr>
      </w:pPr>
      <w:r w:rsidRPr="004075D7">
        <w:rPr>
          <w:lang w:eastAsia="ja-JP"/>
        </w:rPr>
        <w:t>All clinical studies were performed in compliance with Good Clinical Practices (GCP).</w:t>
      </w:r>
    </w:p>
    <w:p w:rsidR="00302BF2" w:rsidRPr="00302BF2" w:rsidRDefault="00302BF2" w:rsidP="00314A04">
      <w:pPr>
        <w:pStyle w:val="Heading3"/>
        <w:rPr>
          <w:rFonts w:eastAsia="Calibri"/>
        </w:rPr>
      </w:pPr>
      <w:bookmarkStart w:id="20" w:name="_Toc375055420"/>
      <w:r w:rsidRPr="00302BF2">
        <w:rPr>
          <w:rFonts w:eastAsia="Calibri"/>
        </w:rPr>
        <w:t>Guidance</w:t>
      </w:r>
      <w:bookmarkEnd w:id="20"/>
    </w:p>
    <w:p w:rsidR="00302BF2" w:rsidRPr="00302BF2" w:rsidRDefault="00302BF2" w:rsidP="00314A04">
      <w:pPr>
        <w:rPr>
          <w:lang w:eastAsia="ja-JP"/>
        </w:rPr>
      </w:pPr>
      <w:r w:rsidRPr="00302BF2">
        <w:rPr>
          <w:lang w:eastAsia="ja-JP"/>
        </w:rPr>
        <w:t xml:space="preserve">The studies were developed in general accordance with the EMA Guideline on the Clinical Development of Medicinal Products for the Treatment of Cystic Fibrosis, the Guidance for Industry for Chronic Obstructive Pulmonary Disease, the ICH Topic E11 and precedent from other drugs approved for CF. A Paediatric Investigation Plan (PIP) was also developed for ivacaftor in accordance with Article 7 of the European Regulation (EC) 1901/2006. </w:t>
      </w:r>
    </w:p>
    <w:p w:rsidR="00586F98" w:rsidRDefault="00586F98" w:rsidP="00314A04">
      <w:pPr>
        <w:pStyle w:val="Heading2"/>
      </w:pPr>
      <w:bookmarkStart w:id="21" w:name="_Toc355338639"/>
      <w:bookmarkStart w:id="22" w:name="_Toc375055421"/>
      <w:r>
        <w:t>Pharmacokinetics</w:t>
      </w:r>
      <w:bookmarkEnd w:id="21"/>
      <w:bookmarkEnd w:id="22"/>
    </w:p>
    <w:p w:rsidR="00C51B50" w:rsidRPr="002214DD" w:rsidRDefault="00C51B50" w:rsidP="00314A04">
      <w:pPr>
        <w:pStyle w:val="Heading3"/>
      </w:pPr>
      <w:bookmarkStart w:id="23" w:name="_Ref271017296"/>
      <w:bookmarkStart w:id="24" w:name="_Ref271018924"/>
      <w:bookmarkStart w:id="25" w:name="_Ref271018934"/>
      <w:bookmarkStart w:id="26" w:name="_Toc272414614"/>
      <w:bookmarkStart w:id="27" w:name="_Toc290846238"/>
      <w:bookmarkStart w:id="28" w:name="_Toc341441385"/>
      <w:bookmarkStart w:id="29" w:name="_Toc375055422"/>
      <w:r w:rsidRPr="002214DD">
        <w:t>Studies</w:t>
      </w:r>
      <w:bookmarkEnd w:id="23"/>
      <w:bookmarkEnd w:id="24"/>
      <w:bookmarkEnd w:id="25"/>
      <w:r w:rsidRPr="002214DD">
        <w:t xml:space="preserve"> providing pharmacokinetic data</w:t>
      </w:r>
      <w:bookmarkEnd w:id="26"/>
      <w:bookmarkEnd w:id="27"/>
      <w:bookmarkEnd w:id="28"/>
      <w:bookmarkEnd w:id="29"/>
    </w:p>
    <w:p w:rsidR="00C51B50" w:rsidRPr="002214DD" w:rsidRDefault="00C51B50" w:rsidP="00314A04">
      <w:r w:rsidRPr="00AC0E16">
        <w:rPr>
          <w:bCs/>
        </w:rPr>
        <w:t xml:space="preserve">Table </w:t>
      </w:r>
      <w:r w:rsidR="00AC0E16" w:rsidRPr="00AC0E16">
        <w:rPr>
          <w:bCs/>
        </w:rPr>
        <w:t>1</w:t>
      </w:r>
      <w:r w:rsidR="00AC0E16">
        <w:rPr>
          <w:b/>
        </w:rPr>
        <w:t xml:space="preserve"> </w:t>
      </w:r>
      <w:r>
        <w:t>below</w:t>
      </w:r>
      <w:r w:rsidRPr="002214DD">
        <w:t xml:space="preserve"> shows the studies relating to each pharmacokinetic topic.</w:t>
      </w:r>
    </w:p>
    <w:p w:rsidR="00C51B50" w:rsidRPr="00AC0E16" w:rsidRDefault="00C51B50" w:rsidP="00314A04">
      <w:pPr>
        <w:pStyle w:val="TableTitle"/>
      </w:pPr>
      <w:bookmarkStart w:id="30" w:name="_Ref272426277"/>
      <w:bookmarkStart w:id="31" w:name="_Toc290888900"/>
      <w:bookmarkStart w:id="32" w:name="_Toc341441510"/>
      <w:r w:rsidRPr="00AC0E16">
        <w:t>Table</w:t>
      </w:r>
      <w:bookmarkEnd w:id="30"/>
      <w:r w:rsidR="00CD6F08">
        <w:t xml:space="preserve"> 1</w:t>
      </w:r>
      <w:r w:rsidRPr="00AC0E16">
        <w:t>. Submitted pharmacokinetic studies.</w:t>
      </w:r>
      <w:bookmarkEnd w:id="31"/>
      <w:bookmarkEnd w:id="32"/>
    </w:p>
    <w:tbl>
      <w:tblPr>
        <w:tblStyle w:val="TableTGAblue"/>
        <w:tblW w:w="7371" w:type="dxa"/>
        <w:tblInd w:w="108" w:type="dxa"/>
        <w:tblLayout w:type="fixed"/>
        <w:tblLook w:val="04A0"/>
      </w:tblPr>
      <w:tblGrid>
        <w:gridCol w:w="1560"/>
        <w:gridCol w:w="3685"/>
        <w:gridCol w:w="2126"/>
      </w:tblGrid>
      <w:tr w:rsidR="00AC0E16" w:rsidRPr="00D35DB2" w:rsidTr="00227A78">
        <w:trPr>
          <w:cnfStyle w:val="100000000000"/>
          <w:tblHeader/>
        </w:trPr>
        <w:tc>
          <w:tcPr>
            <w:cnfStyle w:val="001000000000"/>
            <w:tcW w:w="1560" w:type="dxa"/>
          </w:tcPr>
          <w:p w:rsidR="00AC0E16" w:rsidRPr="00D35DB2" w:rsidRDefault="00AC0E16" w:rsidP="00314A04">
            <w:pPr>
              <w:ind w:left="34" w:right="0"/>
            </w:pPr>
            <w:r w:rsidRPr="00D35DB2">
              <w:t>PK topic</w:t>
            </w:r>
          </w:p>
        </w:tc>
        <w:tc>
          <w:tcPr>
            <w:tcW w:w="3685" w:type="dxa"/>
          </w:tcPr>
          <w:p w:rsidR="00AC0E16" w:rsidRPr="00D35DB2" w:rsidRDefault="00AC0E16" w:rsidP="00314A04">
            <w:pPr>
              <w:tabs>
                <w:tab w:val="left" w:pos="3435"/>
                <w:tab w:val="left" w:pos="3469"/>
              </w:tabs>
              <w:ind w:left="33" w:right="34"/>
              <w:cnfStyle w:val="100000000000"/>
            </w:pPr>
            <w:r w:rsidRPr="00D35DB2">
              <w:t>Subtopic</w:t>
            </w:r>
          </w:p>
        </w:tc>
        <w:tc>
          <w:tcPr>
            <w:tcW w:w="2126" w:type="dxa"/>
          </w:tcPr>
          <w:p w:rsidR="00AC0E16" w:rsidRPr="00D35DB2" w:rsidRDefault="00AC0E16" w:rsidP="00314A04">
            <w:pPr>
              <w:ind w:left="34" w:right="33"/>
              <w:cnfStyle w:val="100000000000"/>
            </w:pPr>
            <w:r w:rsidRPr="00D35DB2">
              <w:t>Study ID</w:t>
            </w:r>
          </w:p>
        </w:tc>
      </w:tr>
      <w:tr w:rsidR="00D35DB2" w:rsidRPr="00D35DB2" w:rsidTr="00227A78">
        <w:trPr>
          <w:trHeight w:val="930"/>
        </w:trPr>
        <w:tc>
          <w:tcPr>
            <w:cnfStyle w:val="001000000000"/>
            <w:tcW w:w="1560" w:type="dxa"/>
            <w:vMerge w:val="restart"/>
          </w:tcPr>
          <w:p w:rsidR="00D35DB2" w:rsidRPr="00D35DB2" w:rsidRDefault="00D35DB2" w:rsidP="00314A04">
            <w:pPr>
              <w:ind w:left="34" w:right="0"/>
              <w:rPr>
                <w:b/>
              </w:rPr>
            </w:pPr>
            <w:r w:rsidRPr="00D35DB2">
              <w:rPr>
                <w:b/>
              </w:rPr>
              <w:t>PK in healthy adults</w:t>
            </w:r>
          </w:p>
        </w:tc>
        <w:tc>
          <w:tcPr>
            <w:tcW w:w="3685" w:type="dxa"/>
          </w:tcPr>
          <w:p w:rsidR="00D35DB2" w:rsidRPr="00D35DB2" w:rsidRDefault="00314A04" w:rsidP="00314A04">
            <w:pPr>
              <w:tabs>
                <w:tab w:val="left" w:pos="3435"/>
                <w:tab w:val="left" w:pos="3469"/>
              </w:tabs>
              <w:ind w:left="33" w:right="34"/>
              <w:cnfStyle w:val="000000000000"/>
            </w:pPr>
            <w:r>
              <w:t xml:space="preserve">General PK </w:t>
            </w:r>
            <w:r w:rsidR="00D35DB2" w:rsidRPr="00D35DB2">
              <w:t>- Single dose</w:t>
            </w:r>
          </w:p>
        </w:tc>
        <w:tc>
          <w:tcPr>
            <w:tcW w:w="2126" w:type="dxa"/>
          </w:tcPr>
          <w:p w:rsidR="00D35DB2" w:rsidRPr="00D35DB2" w:rsidRDefault="00D35DB2" w:rsidP="00314A04">
            <w:pPr>
              <w:ind w:left="34" w:right="33"/>
              <w:cnfStyle w:val="000000000000"/>
            </w:pPr>
            <w:r w:rsidRPr="00D35DB2">
              <w:t>VX06-770-002</w:t>
            </w:r>
          </w:p>
          <w:p w:rsidR="00D35DB2" w:rsidRPr="00D35DB2" w:rsidRDefault="00D35DB2" w:rsidP="00314A04">
            <w:pPr>
              <w:ind w:left="34" w:right="33"/>
              <w:cnfStyle w:val="000000000000"/>
            </w:pPr>
            <w:r w:rsidRPr="00D35DB2">
              <w:t>VX08-770-007</w:t>
            </w:r>
          </w:p>
          <w:p w:rsidR="00D35DB2" w:rsidRPr="00D35DB2" w:rsidRDefault="00D35DB2" w:rsidP="00314A04">
            <w:pPr>
              <w:ind w:left="34" w:right="33"/>
              <w:cnfStyle w:val="000000000000"/>
            </w:pPr>
            <w:r w:rsidRPr="00D35DB2">
              <w:t>VX10-770-012</w:t>
            </w:r>
          </w:p>
          <w:p w:rsidR="00D35DB2" w:rsidRPr="00D35DB2" w:rsidRDefault="00D35DB2" w:rsidP="00314A04">
            <w:pPr>
              <w:ind w:left="34" w:right="33"/>
              <w:cnfStyle w:val="000000000000"/>
            </w:pPr>
            <w:r w:rsidRPr="00D35DB2">
              <w:t>VX05-770-001</w:t>
            </w:r>
          </w:p>
        </w:tc>
      </w:tr>
      <w:tr w:rsidR="00D35DB2" w:rsidRPr="00D35DB2" w:rsidTr="00314A04">
        <w:tc>
          <w:tcPr>
            <w:cnfStyle w:val="001000000000"/>
            <w:tcW w:w="1560" w:type="dxa"/>
            <w:vMerge/>
          </w:tcPr>
          <w:p w:rsidR="00D35DB2" w:rsidRPr="00D35DB2" w:rsidRDefault="00D35DB2" w:rsidP="00314A04">
            <w:pPr>
              <w:ind w:left="34" w:right="0"/>
              <w:rPr>
                <w:b/>
              </w:rPr>
            </w:pPr>
          </w:p>
        </w:tc>
        <w:tc>
          <w:tcPr>
            <w:tcW w:w="3685" w:type="dxa"/>
            <w:vAlign w:val="center"/>
          </w:tcPr>
          <w:p w:rsidR="00D35DB2" w:rsidRPr="00D35DB2" w:rsidRDefault="00D35DB2" w:rsidP="00314A04">
            <w:pPr>
              <w:tabs>
                <w:tab w:val="left" w:pos="3435"/>
                <w:tab w:val="left" w:pos="3469"/>
              </w:tabs>
              <w:ind w:left="33" w:right="34"/>
              <w:jc w:val="right"/>
              <w:cnfStyle w:val="000000000000"/>
            </w:pPr>
            <w:r w:rsidRPr="00D35DB2">
              <w:t>Multi-dose</w:t>
            </w:r>
          </w:p>
        </w:tc>
        <w:tc>
          <w:tcPr>
            <w:tcW w:w="2126" w:type="dxa"/>
          </w:tcPr>
          <w:p w:rsidR="00D35DB2" w:rsidRPr="00D35DB2" w:rsidRDefault="00D35DB2" w:rsidP="00314A04">
            <w:pPr>
              <w:ind w:left="34" w:right="33"/>
              <w:cnfStyle w:val="000000000000"/>
            </w:pPr>
            <w:r w:rsidRPr="00D35DB2">
              <w:t>VX05-770-001</w:t>
            </w:r>
          </w:p>
        </w:tc>
      </w:tr>
      <w:tr w:rsidR="00D35DB2" w:rsidRPr="00D35DB2" w:rsidTr="00D35DB2">
        <w:trPr>
          <w:trHeight w:val="351"/>
        </w:trPr>
        <w:tc>
          <w:tcPr>
            <w:cnfStyle w:val="001000000000"/>
            <w:tcW w:w="1560" w:type="dxa"/>
            <w:vMerge/>
          </w:tcPr>
          <w:p w:rsidR="00D35DB2" w:rsidRPr="00D35DB2" w:rsidRDefault="00D35DB2" w:rsidP="00314A04">
            <w:pPr>
              <w:ind w:left="34" w:right="0"/>
              <w:rPr>
                <w:b/>
              </w:rPr>
            </w:pPr>
          </w:p>
        </w:tc>
        <w:tc>
          <w:tcPr>
            <w:tcW w:w="3685" w:type="dxa"/>
            <w:tcBorders>
              <w:bottom w:val="single" w:sz="8" w:space="0" w:color="000000" w:themeColor="text1"/>
            </w:tcBorders>
          </w:tcPr>
          <w:p w:rsidR="00D35DB2" w:rsidRPr="00D35DB2" w:rsidRDefault="00D35DB2" w:rsidP="00314A04">
            <w:pPr>
              <w:tabs>
                <w:tab w:val="left" w:pos="3435"/>
                <w:tab w:val="left" w:pos="3469"/>
              </w:tabs>
              <w:ind w:left="33" w:right="34"/>
              <w:cnfStyle w:val="000000000000"/>
            </w:pPr>
            <w:r w:rsidRPr="00D35DB2">
              <w:t>Mass balance study</w:t>
            </w:r>
          </w:p>
        </w:tc>
        <w:tc>
          <w:tcPr>
            <w:tcW w:w="2126" w:type="dxa"/>
          </w:tcPr>
          <w:p w:rsidR="00D35DB2" w:rsidRPr="00D35DB2" w:rsidRDefault="00D35DB2" w:rsidP="00314A04">
            <w:pPr>
              <w:ind w:left="34" w:right="33"/>
              <w:cnfStyle w:val="000000000000"/>
            </w:pPr>
            <w:r w:rsidRPr="00D35DB2">
              <w:t>VX06-770-003</w:t>
            </w:r>
          </w:p>
        </w:tc>
      </w:tr>
      <w:tr w:rsidR="00D35DB2" w:rsidRPr="00D35DB2" w:rsidTr="009F6F3B">
        <w:trPr>
          <w:trHeight w:val="377"/>
        </w:trPr>
        <w:tc>
          <w:tcPr>
            <w:cnfStyle w:val="001000000000"/>
            <w:tcW w:w="1560" w:type="dxa"/>
            <w:vMerge/>
            <w:tcBorders>
              <w:bottom w:val="single" w:sz="8" w:space="0" w:color="000000" w:themeColor="text1"/>
            </w:tcBorders>
          </w:tcPr>
          <w:p w:rsidR="00D35DB2" w:rsidRPr="00D35DB2" w:rsidRDefault="00D35DB2" w:rsidP="00314A04">
            <w:pPr>
              <w:ind w:left="34" w:right="0"/>
              <w:rPr>
                <w:b/>
              </w:rPr>
            </w:pPr>
          </w:p>
        </w:tc>
        <w:tc>
          <w:tcPr>
            <w:tcW w:w="3685" w:type="dxa"/>
            <w:tcBorders>
              <w:bottom w:val="single" w:sz="8" w:space="0" w:color="000000" w:themeColor="text1"/>
            </w:tcBorders>
          </w:tcPr>
          <w:p w:rsidR="00D35DB2" w:rsidRPr="00D35DB2" w:rsidRDefault="00D35DB2" w:rsidP="00314A04">
            <w:pPr>
              <w:tabs>
                <w:tab w:val="left" w:pos="3435"/>
                <w:tab w:val="left" w:pos="3469"/>
              </w:tabs>
              <w:ind w:left="33" w:right="34"/>
              <w:cnfStyle w:val="000000000000"/>
            </w:pPr>
            <w:r w:rsidRPr="00D35DB2">
              <w:t>Food effect</w:t>
            </w:r>
          </w:p>
        </w:tc>
        <w:tc>
          <w:tcPr>
            <w:tcW w:w="2126" w:type="dxa"/>
            <w:tcBorders>
              <w:bottom w:val="single" w:sz="8" w:space="0" w:color="000000" w:themeColor="text1"/>
            </w:tcBorders>
          </w:tcPr>
          <w:p w:rsidR="00D35DB2" w:rsidRPr="00D35DB2" w:rsidRDefault="00D35DB2" w:rsidP="00314A04">
            <w:pPr>
              <w:ind w:left="34" w:right="33"/>
              <w:cnfStyle w:val="000000000000"/>
            </w:pPr>
            <w:r w:rsidRPr="00D35DB2">
              <w:t>VX-06-770-002</w:t>
            </w:r>
          </w:p>
          <w:p w:rsidR="00D35DB2" w:rsidRPr="00D35DB2" w:rsidRDefault="00D35DB2" w:rsidP="00314A04">
            <w:pPr>
              <w:ind w:left="34" w:right="33"/>
              <w:cnfStyle w:val="000000000000"/>
            </w:pPr>
            <w:r w:rsidRPr="00D35DB2">
              <w:t>VX08-770-007</w:t>
            </w:r>
          </w:p>
          <w:p w:rsidR="00D35DB2" w:rsidRPr="00D35DB2" w:rsidRDefault="00D35DB2" w:rsidP="00314A04">
            <w:pPr>
              <w:ind w:left="34" w:right="33"/>
              <w:cnfStyle w:val="000000000000"/>
            </w:pPr>
            <w:r w:rsidRPr="00D35DB2">
              <w:t>VX10-770-012</w:t>
            </w:r>
          </w:p>
        </w:tc>
      </w:tr>
      <w:tr w:rsidR="00AC0E16" w:rsidRPr="00D35DB2" w:rsidTr="00AC0E16">
        <w:tc>
          <w:tcPr>
            <w:cnfStyle w:val="001000000000"/>
            <w:tcW w:w="1560" w:type="dxa"/>
            <w:vMerge w:val="restart"/>
          </w:tcPr>
          <w:p w:rsidR="00AC0E16" w:rsidRPr="00D35DB2" w:rsidRDefault="00AC0E16" w:rsidP="00314A04">
            <w:pPr>
              <w:ind w:left="34" w:right="0"/>
              <w:rPr>
                <w:b/>
              </w:rPr>
            </w:pPr>
            <w:r w:rsidRPr="00D35DB2">
              <w:rPr>
                <w:b/>
              </w:rPr>
              <w:lastRenderedPageBreak/>
              <w:t>PK in special populations</w:t>
            </w:r>
          </w:p>
        </w:tc>
        <w:tc>
          <w:tcPr>
            <w:tcW w:w="3685" w:type="dxa"/>
          </w:tcPr>
          <w:p w:rsidR="00AC0E16" w:rsidRPr="00D35DB2" w:rsidRDefault="00AC0E16" w:rsidP="00314A04">
            <w:pPr>
              <w:tabs>
                <w:tab w:val="left" w:pos="3435"/>
                <w:tab w:val="left" w:pos="3469"/>
              </w:tabs>
              <w:ind w:left="33" w:right="34"/>
              <w:cnfStyle w:val="000000000000"/>
            </w:pPr>
            <w:r w:rsidRPr="00D35DB2">
              <w:t>Target population</w:t>
            </w:r>
            <w:r w:rsidR="00A069F9" w:rsidRPr="00A069F9">
              <w:rPr>
                <w:vertAlign w:val="superscript"/>
              </w:rPr>
              <w:t>§</w:t>
            </w:r>
            <w:r w:rsidRPr="00D35DB2">
              <w:t xml:space="preserve"> </w:t>
            </w:r>
          </w:p>
        </w:tc>
        <w:tc>
          <w:tcPr>
            <w:tcW w:w="2126" w:type="dxa"/>
          </w:tcPr>
          <w:p w:rsidR="00AC0E16" w:rsidRPr="00D35DB2" w:rsidRDefault="00AC0E16" w:rsidP="00314A04">
            <w:pPr>
              <w:ind w:left="34" w:right="33"/>
              <w:cnfStyle w:val="000000000000"/>
            </w:pPr>
          </w:p>
        </w:tc>
      </w:tr>
      <w:tr w:rsidR="00AC0E16" w:rsidRPr="00D35DB2" w:rsidTr="00314A04">
        <w:tc>
          <w:tcPr>
            <w:cnfStyle w:val="001000000000"/>
            <w:tcW w:w="1560" w:type="dxa"/>
            <w:vMerge/>
          </w:tcPr>
          <w:p w:rsidR="00AC0E16" w:rsidRPr="00D35DB2" w:rsidRDefault="00AC0E16" w:rsidP="00314A04">
            <w:pPr>
              <w:ind w:left="34" w:right="0"/>
              <w:rPr>
                <w:b/>
              </w:rPr>
            </w:pPr>
          </w:p>
        </w:tc>
        <w:tc>
          <w:tcPr>
            <w:tcW w:w="3685" w:type="dxa"/>
            <w:vAlign w:val="center"/>
          </w:tcPr>
          <w:p w:rsidR="00AC0E16" w:rsidRPr="00D35DB2" w:rsidRDefault="00AC0E16" w:rsidP="00314A04">
            <w:pPr>
              <w:tabs>
                <w:tab w:val="left" w:pos="3435"/>
                <w:tab w:val="left" w:pos="3469"/>
              </w:tabs>
              <w:ind w:left="33" w:right="34"/>
              <w:jc w:val="right"/>
              <w:cnfStyle w:val="000000000000"/>
            </w:pPr>
            <w:r w:rsidRPr="00D35DB2">
              <w:t>Multi-dose</w:t>
            </w:r>
          </w:p>
        </w:tc>
        <w:tc>
          <w:tcPr>
            <w:tcW w:w="2126" w:type="dxa"/>
          </w:tcPr>
          <w:p w:rsidR="00AC0E16" w:rsidRPr="00D35DB2" w:rsidRDefault="00AC0E16" w:rsidP="00314A04">
            <w:pPr>
              <w:ind w:left="34" w:right="33"/>
              <w:cnfStyle w:val="000000000000"/>
            </w:pPr>
          </w:p>
        </w:tc>
      </w:tr>
      <w:tr w:rsidR="00AC0E16" w:rsidRPr="00D35DB2" w:rsidTr="00AC0E16">
        <w:trPr>
          <w:trHeight w:val="96"/>
        </w:trPr>
        <w:tc>
          <w:tcPr>
            <w:cnfStyle w:val="001000000000"/>
            <w:tcW w:w="1560" w:type="dxa"/>
            <w:vMerge/>
          </w:tcPr>
          <w:p w:rsidR="00AC0E16" w:rsidRPr="00D35DB2" w:rsidRDefault="00AC0E16" w:rsidP="00314A04">
            <w:pPr>
              <w:ind w:left="34" w:right="0"/>
              <w:rPr>
                <w:b/>
              </w:rPr>
            </w:pPr>
          </w:p>
        </w:tc>
        <w:tc>
          <w:tcPr>
            <w:tcW w:w="3685" w:type="dxa"/>
          </w:tcPr>
          <w:p w:rsidR="00AC0E16" w:rsidRPr="00D35DB2" w:rsidRDefault="00AC0E16" w:rsidP="00314A04">
            <w:pPr>
              <w:tabs>
                <w:tab w:val="left" w:pos="3435"/>
                <w:tab w:val="left" w:pos="3469"/>
              </w:tabs>
              <w:ind w:left="33" w:right="34"/>
              <w:cnfStyle w:val="000000000000"/>
            </w:pPr>
            <w:r w:rsidRPr="00D35DB2">
              <w:t>Hepatic impairment</w:t>
            </w:r>
          </w:p>
        </w:tc>
        <w:tc>
          <w:tcPr>
            <w:tcW w:w="2126" w:type="dxa"/>
          </w:tcPr>
          <w:p w:rsidR="00AC0E16" w:rsidRPr="00D35DB2" w:rsidRDefault="00AC0E16" w:rsidP="00314A04">
            <w:pPr>
              <w:ind w:left="34" w:right="33"/>
              <w:cnfStyle w:val="000000000000"/>
            </w:pPr>
            <w:r w:rsidRPr="00D35DB2">
              <w:t>VX10-770-013</w:t>
            </w:r>
          </w:p>
        </w:tc>
      </w:tr>
      <w:tr w:rsidR="00AC0E16" w:rsidRPr="00D35DB2" w:rsidTr="00AC0E16">
        <w:tc>
          <w:tcPr>
            <w:cnfStyle w:val="001000000000"/>
            <w:tcW w:w="1560" w:type="dxa"/>
            <w:vMerge/>
          </w:tcPr>
          <w:p w:rsidR="00AC0E16" w:rsidRPr="00D35DB2" w:rsidRDefault="00AC0E16" w:rsidP="00314A04">
            <w:pPr>
              <w:ind w:left="34" w:right="0"/>
              <w:rPr>
                <w:b/>
              </w:rPr>
            </w:pPr>
          </w:p>
        </w:tc>
        <w:tc>
          <w:tcPr>
            <w:tcW w:w="3685" w:type="dxa"/>
          </w:tcPr>
          <w:p w:rsidR="00AC0E16" w:rsidRPr="00D35DB2" w:rsidRDefault="00AC0E16" w:rsidP="00314A04">
            <w:pPr>
              <w:tabs>
                <w:tab w:val="left" w:pos="3435"/>
                <w:tab w:val="left" w:pos="3469"/>
              </w:tabs>
              <w:ind w:left="33" w:right="34"/>
              <w:cnfStyle w:val="000000000000"/>
            </w:pPr>
            <w:r w:rsidRPr="00D35DB2">
              <w:t>Renal impairment</w:t>
            </w:r>
          </w:p>
        </w:tc>
        <w:tc>
          <w:tcPr>
            <w:tcW w:w="2126" w:type="dxa"/>
          </w:tcPr>
          <w:p w:rsidR="00AC0E16" w:rsidRPr="00D35DB2" w:rsidRDefault="00AC0E16" w:rsidP="00314A04">
            <w:pPr>
              <w:ind w:left="34" w:right="33"/>
              <w:cnfStyle w:val="000000000000"/>
            </w:pPr>
            <w:r w:rsidRPr="00D35DB2">
              <w:t>No studies</w:t>
            </w:r>
          </w:p>
        </w:tc>
      </w:tr>
      <w:tr w:rsidR="00AC0E16" w:rsidRPr="00D35DB2" w:rsidTr="00AC0E16">
        <w:tc>
          <w:tcPr>
            <w:cnfStyle w:val="001000000000"/>
            <w:tcW w:w="1560" w:type="dxa"/>
            <w:vMerge/>
          </w:tcPr>
          <w:p w:rsidR="00AC0E16" w:rsidRPr="00D35DB2" w:rsidRDefault="00AC0E16" w:rsidP="00314A04">
            <w:pPr>
              <w:ind w:left="34" w:right="0"/>
              <w:rPr>
                <w:b/>
              </w:rPr>
            </w:pPr>
          </w:p>
        </w:tc>
        <w:tc>
          <w:tcPr>
            <w:tcW w:w="3685" w:type="dxa"/>
          </w:tcPr>
          <w:p w:rsidR="00AC0E16" w:rsidRPr="00D35DB2" w:rsidRDefault="00AC0E16" w:rsidP="00314A04">
            <w:pPr>
              <w:tabs>
                <w:tab w:val="left" w:pos="3435"/>
                <w:tab w:val="left" w:pos="3469"/>
              </w:tabs>
              <w:ind w:left="33" w:right="34"/>
              <w:cnfStyle w:val="000000000000"/>
            </w:pPr>
            <w:r w:rsidRPr="00D35DB2">
              <w:t>Neonates/infants/children/adolescents</w:t>
            </w:r>
          </w:p>
        </w:tc>
        <w:tc>
          <w:tcPr>
            <w:tcW w:w="2126" w:type="dxa"/>
          </w:tcPr>
          <w:p w:rsidR="00AC0E16" w:rsidRPr="00D35DB2" w:rsidRDefault="00AC0E16" w:rsidP="00314A04">
            <w:pPr>
              <w:ind w:left="34" w:right="33"/>
              <w:cnfStyle w:val="000000000000"/>
            </w:pPr>
            <w:r w:rsidRPr="00D35DB2">
              <w:t>VX08-770-103</w:t>
            </w:r>
          </w:p>
        </w:tc>
      </w:tr>
      <w:tr w:rsidR="00AC0E16" w:rsidRPr="00D35DB2" w:rsidTr="00AC0E16">
        <w:tc>
          <w:tcPr>
            <w:cnfStyle w:val="001000000000"/>
            <w:tcW w:w="1560" w:type="dxa"/>
            <w:vMerge/>
          </w:tcPr>
          <w:p w:rsidR="00AC0E16" w:rsidRPr="00D35DB2" w:rsidRDefault="00AC0E16" w:rsidP="00314A04">
            <w:pPr>
              <w:ind w:left="34" w:right="0"/>
              <w:rPr>
                <w:b/>
              </w:rPr>
            </w:pPr>
          </w:p>
        </w:tc>
        <w:tc>
          <w:tcPr>
            <w:tcW w:w="3685" w:type="dxa"/>
          </w:tcPr>
          <w:p w:rsidR="00AC0E16" w:rsidRPr="00D35DB2" w:rsidRDefault="00AC0E16" w:rsidP="00314A04">
            <w:pPr>
              <w:tabs>
                <w:tab w:val="left" w:pos="3435"/>
                <w:tab w:val="left" w:pos="3469"/>
              </w:tabs>
              <w:ind w:left="33" w:right="34"/>
              <w:cnfStyle w:val="000000000000"/>
            </w:pPr>
            <w:r w:rsidRPr="00D35DB2">
              <w:t>Elderly</w:t>
            </w:r>
          </w:p>
        </w:tc>
        <w:tc>
          <w:tcPr>
            <w:tcW w:w="2126" w:type="dxa"/>
          </w:tcPr>
          <w:p w:rsidR="00AC0E16" w:rsidRPr="00D35DB2" w:rsidRDefault="00AC0E16" w:rsidP="00314A04">
            <w:pPr>
              <w:ind w:left="34" w:right="33"/>
              <w:cnfStyle w:val="000000000000"/>
            </w:pPr>
            <w:r w:rsidRPr="00D35DB2">
              <w:t>No studies</w:t>
            </w:r>
          </w:p>
        </w:tc>
      </w:tr>
      <w:tr w:rsidR="00AC0E16" w:rsidRPr="00D35DB2" w:rsidTr="00AC0E16">
        <w:tc>
          <w:tcPr>
            <w:cnfStyle w:val="001000000000"/>
            <w:tcW w:w="1560" w:type="dxa"/>
          </w:tcPr>
          <w:p w:rsidR="00AC0E16" w:rsidRPr="00D35DB2" w:rsidRDefault="00AC0E16" w:rsidP="00314A04">
            <w:pPr>
              <w:ind w:left="34" w:right="0"/>
              <w:rPr>
                <w:b/>
              </w:rPr>
            </w:pPr>
            <w:r w:rsidRPr="00D35DB2">
              <w:rPr>
                <w:b/>
              </w:rPr>
              <w:t>Genetic/</w:t>
            </w:r>
            <w:r w:rsidR="00D35DB2">
              <w:rPr>
                <w:b/>
              </w:rPr>
              <w:t xml:space="preserve"> </w:t>
            </w:r>
            <w:r w:rsidRPr="00D35DB2">
              <w:rPr>
                <w:b/>
              </w:rPr>
              <w:t>gender-related PK</w:t>
            </w:r>
          </w:p>
        </w:tc>
        <w:tc>
          <w:tcPr>
            <w:tcW w:w="3685" w:type="dxa"/>
          </w:tcPr>
          <w:p w:rsidR="00AC0E16" w:rsidRPr="00D35DB2" w:rsidRDefault="00AC0E16" w:rsidP="00314A04">
            <w:pPr>
              <w:tabs>
                <w:tab w:val="left" w:pos="3435"/>
                <w:tab w:val="left" w:pos="3469"/>
              </w:tabs>
              <w:ind w:left="33" w:right="34"/>
              <w:cnfStyle w:val="000000000000"/>
            </w:pPr>
            <w:r w:rsidRPr="00D35DB2">
              <w:t>Males vs. Females</w:t>
            </w:r>
          </w:p>
        </w:tc>
        <w:tc>
          <w:tcPr>
            <w:tcW w:w="2126" w:type="dxa"/>
          </w:tcPr>
          <w:p w:rsidR="00314A04" w:rsidRDefault="00740CFC" w:rsidP="00314A04">
            <w:pPr>
              <w:ind w:left="34" w:right="33"/>
              <w:cnfStyle w:val="000000000000"/>
            </w:pPr>
            <w:r w:rsidRPr="00D35DB2">
              <w:t>VX05-770-001</w:t>
            </w:r>
          </w:p>
          <w:p w:rsidR="00314A04" w:rsidRDefault="00740CFC" w:rsidP="00314A04">
            <w:pPr>
              <w:ind w:left="34" w:right="33"/>
              <w:cnfStyle w:val="000000000000"/>
            </w:pPr>
            <w:r w:rsidRPr="00D35DB2">
              <w:t>VX09-770-008</w:t>
            </w:r>
          </w:p>
          <w:p w:rsidR="00314A04" w:rsidRDefault="000B50E3" w:rsidP="00314A04">
            <w:pPr>
              <w:ind w:left="34" w:right="33"/>
              <w:cnfStyle w:val="000000000000"/>
            </w:pPr>
            <w:r w:rsidRPr="00D35DB2">
              <w:t>VX08-809</w:t>
            </w:r>
            <w:r w:rsidR="00740CFC" w:rsidRPr="00D35DB2">
              <w:t>-005</w:t>
            </w:r>
          </w:p>
          <w:p w:rsidR="00314A04" w:rsidRDefault="000B50E3" w:rsidP="00314A04">
            <w:pPr>
              <w:ind w:left="34" w:right="33"/>
              <w:cnfStyle w:val="000000000000"/>
            </w:pPr>
            <w:r w:rsidRPr="00D35DB2">
              <w:t>VX06-770-101</w:t>
            </w:r>
          </w:p>
          <w:p w:rsidR="00314A04" w:rsidRDefault="00314A04" w:rsidP="00314A04">
            <w:pPr>
              <w:ind w:left="34" w:right="33"/>
              <w:cnfStyle w:val="000000000000"/>
            </w:pPr>
            <w:r>
              <w:t>VX08-770-102</w:t>
            </w:r>
          </w:p>
          <w:p w:rsidR="00314A04" w:rsidRDefault="00314A04" w:rsidP="00314A04">
            <w:pPr>
              <w:ind w:left="34" w:right="33"/>
              <w:cnfStyle w:val="000000000000"/>
            </w:pPr>
            <w:r>
              <w:t>VX08-770-103</w:t>
            </w:r>
          </w:p>
          <w:p w:rsidR="00AC0E16" w:rsidRPr="00D35DB2" w:rsidRDefault="000B50E3" w:rsidP="00314A04">
            <w:pPr>
              <w:ind w:left="34" w:right="33"/>
              <w:cnfStyle w:val="000000000000"/>
            </w:pPr>
            <w:r w:rsidRPr="00D35DB2">
              <w:t>VX08-770-104</w:t>
            </w:r>
          </w:p>
        </w:tc>
      </w:tr>
      <w:tr w:rsidR="0055487E" w:rsidRPr="00D35DB2" w:rsidTr="00AC0E16">
        <w:tc>
          <w:tcPr>
            <w:cnfStyle w:val="001000000000"/>
            <w:tcW w:w="1560" w:type="dxa"/>
            <w:vMerge w:val="restart"/>
          </w:tcPr>
          <w:p w:rsidR="0055487E" w:rsidRPr="00D35DB2" w:rsidRDefault="0055487E" w:rsidP="00314A04">
            <w:pPr>
              <w:ind w:left="34" w:right="0"/>
              <w:rPr>
                <w:b/>
              </w:rPr>
            </w:pPr>
            <w:r w:rsidRPr="00D35DB2">
              <w:rPr>
                <w:b/>
              </w:rPr>
              <w:t>PK interactions</w:t>
            </w:r>
          </w:p>
        </w:tc>
        <w:tc>
          <w:tcPr>
            <w:tcW w:w="3685" w:type="dxa"/>
          </w:tcPr>
          <w:p w:rsidR="0055487E" w:rsidRPr="00D35DB2" w:rsidRDefault="0055487E" w:rsidP="00314A04">
            <w:pPr>
              <w:tabs>
                <w:tab w:val="left" w:pos="3435"/>
                <w:tab w:val="left" w:pos="3469"/>
              </w:tabs>
              <w:ind w:left="33" w:right="34"/>
              <w:cnfStyle w:val="000000000000"/>
            </w:pPr>
            <w:r w:rsidRPr="00D35DB2">
              <w:t>Oral contraceptives</w:t>
            </w:r>
          </w:p>
        </w:tc>
        <w:tc>
          <w:tcPr>
            <w:tcW w:w="2126" w:type="dxa"/>
          </w:tcPr>
          <w:p w:rsidR="0055487E" w:rsidRPr="00D35DB2" w:rsidRDefault="0055487E" w:rsidP="00314A04">
            <w:pPr>
              <w:ind w:left="34" w:right="33"/>
              <w:cnfStyle w:val="000000000000"/>
            </w:pPr>
            <w:r w:rsidRPr="00D35DB2">
              <w:t>VX08-770-005</w:t>
            </w:r>
          </w:p>
        </w:tc>
      </w:tr>
      <w:tr w:rsidR="0055487E" w:rsidRPr="00D35DB2" w:rsidTr="00AC0E16">
        <w:tc>
          <w:tcPr>
            <w:cnfStyle w:val="001000000000"/>
            <w:tcW w:w="1560" w:type="dxa"/>
            <w:vMerge/>
          </w:tcPr>
          <w:p w:rsidR="0055487E" w:rsidRPr="00D35DB2" w:rsidRDefault="0055487E" w:rsidP="00314A04">
            <w:pPr>
              <w:ind w:left="34" w:right="0"/>
              <w:rPr>
                <w:b/>
              </w:rPr>
            </w:pPr>
          </w:p>
        </w:tc>
        <w:tc>
          <w:tcPr>
            <w:tcW w:w="3685" w:type="dxa"/>
          </w:tcPr>
          <w:p w:rsidR="0055487E" w:rsidRPr="00D35DB2" w:rsidRDefault="0055487E" w:rsidP="00314A04">
            <w:pPr>
              <w:tabs>
                <w:tab w:val="left" w:pos="3435"/>
                <w:tab w:val="left" w:pos="3469"/>
              </w:tabs>
              <w:ind w:left="33" w:right="34"/>
              <w:cnfStyle w:val="000000000000"/>
            </w:pPr>
            <w:r w:rsidRPr="00D35DB2">
              <w:t>ketoconazole</w:t>
            </w:r>
          </w:p>
        </w:tc>
        <w:tc>
          <w:tcPr>
            <w:tcW w:w="2126" w:type="dxa"/>
          </w:tcPr>
          <w:p w:rsidR="0055487E" w:rsidRPr="00D35DB2" w:rsidRDefault="0055487E" w:rsidP="00314A04">
            <w:pPr>
              <w:ind w:left="34" w:right="33"/>
              <w:cnfStyle w:val="000000000000"/>
            </w:pPr>
            <w:r w:rsidRPr="00D35DB2">
              <w:t>VX08-770-006</w:t>
            </w:r>
          </w:p>
        </w:tc>
      </w:tr>
      <w:tr w:rsidR="0055487E" w:rsidRPr="00D35DB2" w:rsidTr="00AC0E16">
        <w:tc>
          <w:tcPr>
            <w:cnfStyle w:val="001000000000"/>
            <w:tcW w:w="1560" w:type="dxa"/>
            <w:vMerge/>
          </w:tcPr>
          <w:p w:rsidR="0055487E" w:rsidRPr="00D35DB2" w:rsidRDefault="0055487E" w:rsidP="00314A04">
            <w:pPr>
              <w:ind w:left="34" w:right="0"/>
              <w:rPr>
                <w:b/>
              </w:rPr>
            </w:pPr>
          </w:p>
        </w:tc>
        <w:tc>
          <w:tcPr>
            <w:tcW w:w="3685" w:type="dxa"/>
          </w:tcPr>
          <w:p w:rsidR="0055487E" w:rsidRPr="00D35DB2" w:rsidRDefault="0055487E" w:rsidP="00314A04">
            <w:pPr>
              <w:tabs>
                <w:tab w:val="left" w:pos="3435"/>
                <w:tab w:val="left" w:pos="3469"/>
              </w:tabs>
              <w:ind w:left="33" w:right="34"/>
              <w:cnfStyle w:val="000000000000"/>
            </w:pPr>
            <w:proofErr w:type="spellStart"/>
            <w:r w:rsidRPr="00D35DB2">
              <w:t>Rifampicin</w:t>
            </w:r>
            <w:proofErr w:type="spellEnd"/>
          </w:p>
        </w:tc>
        <w:tc>
          <w:tcPr>
            <w:tcW w:w="2126" w:type="dxa"/>
          </w:tcPr>
          <w:p w:rsidR="0055487E" w:rsidRPr="00D35DB2" w:rsidRDefault="0055487E" w:rsidP="00314A04">
            <w:pPr>
              <w:ind w:left="34" w:right="33"/>
              <w:cnfStyle w:val="000000000000"/>
            </w:pPr>
            <w:r w:rsidRPr="00D35DB2">
              <w:t>VX09-770-009</w:t>
            </w:r>
          </w:p>
        </w:tc>
      </w:tr>
      <w:tr w:rsidR="0055487E" w:rsidRPr="00D35DB2" w:rsidTr="00AC0E16">
        <w:tc>
          <w:tcPr>
            <w:cnfStyle w:val="001000000000"/>
            <w:tcW w:w="1560" w:type="dxa"/>
            <w:vMerge/>
          </w:tcPr>
          <w:p w:rsidR="0055487E" w:rsidRPr="00D35DB2" w:rsidRDefault="0055487E" w:rsidP="00314A04">
            <w:pPr>
              <w:ind w:left="34" w:right="0"/>
              <w:rPr>
                <w:b/>
              </w:rPr>
            </w:pPr>
          </w:p>
        </w:tc>
        <w:tc>
          <w:tcPr>
            <w:tcW w:w="3685" w:type="dxa"/>
          </w:tcPr>
          <w:p w:rsidR="0055487E" w:rsidRPr="00D35DB2" w:rsidRDefault="0055487E" w:rsidP="00314A04">
            <w:pPr>
              <w:tabs>
                <w:tab w:val="left" w:pos="3435"/>
                <w:tab w:val="left" w:pos="3469"/>
              </w:tabs>
              <w:ind w:left="33" w:right="34"/>
              <w:cnfStyle w:val="000000000000"/>
            </w:pPr>
            <w:proofErr w:type="spellStart"/>
            <w:r w:rsidRPr="00D35DB2">
              <w:t>Midazolam</w:t>
            </w:r>
            <w:proofErr w:type="spellEnd"/>
            <w:r w:rsidRPr="00D35DB2">
              <w:t xml:space="preserve">, </w:t>
            </w:r>
            <w:proofErr w:type="spellStart"/>
            <w:r w:rsidRPr="00D35DB2">
              <w:t>rosiglitazone</w:t>
            </w:r>
            <w:proofErr w:type="spellEnd"/>
            <w:r w:rsidRPr="00D35DB2">
              <w:t xml:space="preserve">, </w:t>
            </w:r>
            <w:proofErr w:type="spellStart"/>
            <w:r w:rsidRPr="00D35DB2">
              <w:t>fluconazole</w:t>
            </w:r>
            <w:proofErr w:type="spellEnd"/>
          </w:p>
        </w:tc>
        <w:tc>
          <w:tcPr>
            <w:tcW w:w="2126" w:type="dxa"/>
          </w:tcPr>
          <w:p w:rsidR="0055487E" w:rsidRPr="00D35DB2" w:rsidRDefault="000B50E3" w:rsidP="00314A04">
            <w:pPr>
              <w:ind w:left="34" w:right="33"/>
              <w:cnfStyle w:val="000000000000"/>
            </w:pPr>
            <w:r w:rsidRPr="00D35DB2">
              <w:t>VX09-770-</w:t>
            </w:r>
            <w:r w:rsidR="0055487E" w:rsidRPr="00D35DB2">
              <w:t>01</w:t>
            </w:r>
            <w:r w:rsidRPr="00D35DB2">
              <w:t>0</w:t>
            </w:r>
          </w:p>
        </w:tc>
      </w:tr>
      <w:tr w:rsidR="0055487E" w:rsidRPr="00D35DB2" w:rsidTr="00AC0E16">
        <w:tc>
          <w:tcPr>
            <w:cnfStyle w:val="001000000000"/>
            <w:tcW w:w="1560" w:type="dxa"/>
            <w:vMerge/>
          </w:tcPr>
          <w:p w:rsidR="0055487E" w:rsidRPr="00D35DB2" w:rsidRDefault="0055487E" w:rsidP="00314A04">
            <w:pPr>
              <w:ind w:left="34" w:right="0"/>
              <w:rPr>
                <w:b/>
              </w:rPr>
            </w:pPr>
          </w:p>
        </w:tc>
        <w:tc>
          <w:tcPr>
            <w:tcW w:w="3685" w:type="dxa"/>
          </w:tcPr>
          <w:p w:rsidR="0055487E" w:rsidRPr="00D35DB2" w:rsidRDefault="0055487E" w:rsidP="00314A04">
            <w:pPr>
              <w:tabs>
                <w:tab w:val="left" w:pos="3435"/>
                <w:tab w:val="left" w:pos="3469"/>
              </w:tabs>
              <w:ind w:left="33" w:right="34"/>
              <w:cnfStyle w:val="000000000000"/>
            </w:pPr>
            <w:proofErr w:type="spellStart"/>
            <w:r w:rsidRPr="00D35DB2">
              <w:t>Desipramine</w:t>
            </w:r>
            <w:proofErr w:type="spellEnd"/>
          </w:p>
        </w:tc>
        <w:tc>
          <w:tcPr>
            <w:tcW w:w="2126" w:type="dxa"/>
          </w:tcPr>
          <w:p w:rsidR="0055487E" w:rsidRPr="00D35DB2" w:rsidRDefault="0055487E" w:rsidP="00314A04">
            <w:pPr>
              <w:ind w:left="34" w:right="33"/>
              <w:cnfStyle w:val="000000000000"/>
            </w:pPr>
            <w:r w:rsidRPr="00D35DB2">
              <w:t>VX10-770-011</w:t>
            </w:r>
          </w:p>
        </w:tc>
      </w:tr>
      <w:tr w:rsidR="0055487E" w:rsidRPr="00D35DB2" w:rsidTr="00AC0E16">
        <w:tc>
          <w:tcPr>
            <w:cnfStyle w:val="001000000000"/>
            <w:tcW w:w="1560" w:type="dxa"/>
            <w:vMerge/>
          </w:tcPr>
          <w:p w:rsidR="0055487E" w:rsidRPr="00D35DB2" w:rsidRDefault="0055487E" w:rsidP="00314A04">
            <w:pPr>
              <w:ind w:left="34" w:right="0"/>
              <w:rPr>
                <w:b/>
              </w:rPr>
            </w:pPr>
          </w:p>
        </w:tc>
        <w:tc>
          <w:tcPr>
            <w:tcW w:w="3685" w:type="dxa"/>
          </w:tcPr>
          <w:p w:rsidR="0055487E" w:rsidRPr="00D35DB2" w:rsidRDefault="0055487E" w:rsidP="00314A04">
            <w:pPr>
              <w:tabs>
                <w:tab w:val="left" w:pos="3435"/>
                <w:tab w:val="left" w:pos="3469"/>
              </w:tabs>
              <w:ind w:left="33" w:right="34"/>
              <w:cnfStyle w:val="000000000000"/>
            </w:pPr>
            <w:r w:rsidRPr="00D35DB2">
              <w:t>VX08-809</w:t>
            </w:r>
          </w:p>
        </w:tc>
        <w:tc>
          <w:tcPr>
            <w:tcW w:w="2126" w:type="dxa"/>
          </w:tcPr>
          <w:p w:rsidR="0055487E" w:rsidRPr="00D35DB2" w:rsidRDefault="0055487E" w:rsidP="00314A04">
            <w:pPr>
              <w:ind w:left="34" w:right="33"/>
              <w:cnfStyle w:val="000000000000"/>
            </w:pPr>
            <w:r w:rsidRPr="00D35DB2">
              <w:t>VX08-809-005</w:t>
            </w:r>
          </w:p>
        </w:tc>
      </w:tr>
      <w:tr w:rsidR="00AC0E16" w:rsidRPr="00D35DB2" w:rsidTr="00AC0E16">
        <w:tc>
          <w:tcPr>
            <w:cnfStyle w:val="001000000000"/>
            <w:tcW w:w="1560" w:type="dxa"/>
          </w:tcPr>
          <w:p w:rsidR="00AC0E16" w:rsidRPr="00D35DB2" w:rsidRDefault="0055487E" w:rsidP="00314A04">
            <w:pPr>
              <w:ind w:left="34" w:right="0"/>
              <w:rPr>
                <w:b/>
              </w:rPr>
            </w:pPr>
            <w:r w:rsidRPr="00D35DB2">
              <w:rPr>
                <w:b/>
              </w:rPr>
              <w:t>Population PK analyses</w:t>
            </w:r>
          </w:p>
        </w:tc>
        <w:tc>
          <w:tcPr>
            <w:tcW w:w="3685" w:type="dxa"/>
          </w:tcPr>
          <w:p w:rsidR="00AC0E16" w:rsidRPr="00D35DB2" w:rsidRDefault="0055487E" w:rsidP="00314A04">
            <w:pPr>
              <w:tabs>
                <w:tab w:val="left" w:pos="3435"/>
                <w:tab w:val="left" w:pos="3469"/>
              </w:tabs>
              <w:ind w:left="33" w:right="34"/>
              <w:cnfStyle w:val="000000000000"/>
            </w:pPr>
            <w:r w:rsidRPr="00D35DB2">
              <w:t>Target population</w:t>
            </w:r>
          </w:p>
        </w:tc>
        <w:tc>
          <w:tcPr>
            <w:tcW w:w="2126" w:type="dxa"/>
          </w:tcPr>
          <w:p w:rsidR="00AC0E16" w:rsidRPr="00D35DB2" w:rsidRDefault="0055487E" w:rsidP="00314A04">
            <w:pPr>
              <w:ind w:left="34" w:right="33"/>
              <w:cnfStyle w:val="000000000000"/>
            </w:pPr>
            <w:r w:rsidRPr="00D35DB2">
              <w:t xml:space="preserve">Report </w:t>
            </w:r>
            <w:r w:rsidR="000B50E3" w:rsidRPr="00D35DB2">
              <w:t>G</w:t>
            </w:r>
            <w:r w:rsidRPr="00D35DB2">
              <w:t>198</w:t>
            </w:r>
          </w:p>
        </w:tc>
      </w:tr>
    </w:tbl>
    <w:p w:rsidR="00A069F9" w:rsidRPr="00A069F9" w:rsidRDefault="00A069F9" w:rsidP="00314A04">
      <w:pPr>
        <w:pStyle w:val="TableDescription"/>
      </w:pPr>
      <w:r w:rsidRPr="00A069F9">
        <w:t>§ Subjects who would be eligible to receive the drug if approved for the proposed indication.</w:t>
      </w:r>
    </w:p>
    <w:p w:rsidR="00740CFC" w:rsidRDefault="00A069F9" w:rsidP="00314A04">
      <w:r>
        <w:t xml:space="preserve">Pharmacokinetics data were also determined in </w:t>
      </w:r>
      <w:r w:rsidRPr="00A069F9">
        <w:t>Study VX09-770-008</w:t>
      </w:r>
      <w:r>
        <w:t xml:space="preserve"> which investigated t</w:t>
      </w:r>
      <w:r w:rsidR="00740CFC" w:rsidRPr="00740CFC">
        <w:t>he effect of ivacaftor on the electrocardiogram (ECG) QT interval</w:t>
      </w:r>
      <w:r w:rsidR="00740CFC">
        <w:t>.</w:t>
      </w:r>
    </w:p>
    <w:p w:rsidR="00C51B50" w:rsidRPr="002F0112" w:rsidRDefault="00C51B50" w:rsidP="00314A04">
      <w:r w:rsidRPr="002F0112">
        <w:t>None of the pharmacokinetic studies had deficiencies that excluded their results from consideration.</w:t>
      </w:r>
    </w:p>
    <w:p w:rsidR="00C51B50" w:rsidRPr="00F724C8" w:rsidRDefault="00C51B50" w:rsidP="00314A04">
      <w:pPr>
        <w:pStyle w:val="Heading3"/>
      </w:pPr>
      <w:bookmarkStart w:id="33" w:name="_Toc290888776"/>
      <w:bookmarkStart w:id="34" w:name="_Toc341441386"/>
      <w:bookmarkStart w:id="35" w:name="_Toc375055423"/>
      <w:r w:rsidRPr="00F724C8">
        <w:t>Summary of pharmacokinetics</w:t>
      </w:r>
      <w:bookmarkEnd w:id="33"/>
      <w:bookmarkEnd w:id="34"/>
      <w:bookmarkEnd w:id="35"/>
    </w:p>
    <w:p w:rsidR="00C51B50" w:rsidRPr="002F0112" w:rsidRDefault="00C51B50" w:rsidP="00314A04">
      <w:r w:rsidRPr="002F0112">
        <w:t xml:space="preserve">PK studies were performed in healthy subjects to evaluate dose-proportionality (Study 001); effect of food (Studies 001, 002, 007, 012); bioavailability from different formulations (Studies </w:t>
      </w:r>
      <w:r w:rsidRPr="002F0112">
        <w:lastRenderedPageBreak/>
        <w:t xml:space="preserve">002, 007, 012); absorption, distribution, metabolism, and excretion (Study 003); and the effect of moderate hepatic impairment (Study 013). Several drug-drug interaction (DDI) studies were performed to examine the potential of ivacaftor as a substrate of CYP3A and as a potential inhibitor of CYP3A, CYP2C8, or CYP2D6 (Studies 005, 006, 009, 010, 011). The effect of ivacaftor on the electrocardiogram (ECG) QT interval was also studied (Study 008). Standard non-compartmental methods were used to determine PK parameters in studies where intensive sampling was conducted. Sparse sampling data were obtained from 2 Phase 2 studies (Studies 101, 104) and 2 Phase 3 studies (Studies 102, 103) to assess the effects of demographic characteristics and other covariates on ivacaftor PK and to characterize the exposure-response relationships for FEV1 and sweat chloride using population PK and PK/PD nonlinear mixed-effects </w:t>
      </w:r>
      <w:r w:rsidR="009A0EA6" w:rsidRPr="002F0112">
        <w:t>modelling</w:t>
      </w:r>
      <w:r w:rsidRPr="002F0112">
        <w:t xml:space="preserve"> in NONMEM. In early clinical studies, plasma concentrations of ivacaftor were determined using validated LC/MS/MS methods (Studies 001, 002, and 003). In subsequent clinical studies, ivacaftor metabolites M1 and M6 were also measured using validated LC/MS/MS methods.</w:t>
      </w:r>
    </w:p>
    <w:p w:rsidR="00C51B50" w:rsidRPr="002F0112" w:rsidRDefault="00C51B50" w:rsidP="00314A04">
      <w:r w:rsidRPr="002F0112">
        <w:t>Ivacaftor is orally available and food increases the bioavailability of ivacaftor tablet formulations approximately 2- to 4-fold. The mean apparent volume of distribution (</w:t>
      </w:r>
      <w:proofErr w:type="spellStart"/>
      <w:r w:rsidRPr="002F0112">
        <w:t>Vz</w:t>
      </w:r>
      <w:proofErr w:type="spellEnd"/>
      <w:r w:rsidRPr="002F0112">
        <w:t xml:space="preserve">/F) of </w:t>
      </w:r>
      <w:proofErr w:type="spellStart"/>
      <w:r w:rsidRPr="002F0112">
        <w:t>ivacaftor</w:t>
      </w:r>
      <w:proofErr w:type="spellEnd"/>
      <w:r w:rsidRPr="002F0112">
        <w:t xml:space="preserve"> after a single dose was similar for healthy subjects and</w:t>
      </w:r>
      <w:r w:rsidR="009A0EA6" w:rsidRPr="002F0112">
        <w:t xml:space="preserve"> subjects with CF (</w:t>
      </w:r>
      <w:proofErr w:type="spellStart"/>
      <w:r w:rsidR="009A0EA6" w:rsidRPr="002F0112">
        <w:t>Vz</w:t>
      </w:r>
      <w:proofErr w:type="spellEnd"/>
      <w:r w:rsidR="009A0EA6" w:rsidRPr="002F0112">
        <w:t>/F was 220 </w:t>
      </w:r>
      <w:r w:rsidRPr="002F0112">
        <w:t>L in healthy subjects and 203L in subjects with CF). Ivacaftor is extensively metabolised and the major metabolites (M1 and M6) were detected in plasma, urine, and faeces. In urine and faeces, M1 and M6 metabolites accounted for approximately 65% of total administered radioactivity. There was negligible urinary excretion of ivacaftor as unchanged parent drug. Following a single oral dose in the fed state, the apparent terminal half-life was approximately</w:t>
      </w:r>
      <w:r w:rsidRPr="00E1611A">
        <w:t xml:space="preserve"> </w:t>
      </w:r>
      <w:r w:rsidRPr="002F0112">
        <w:t>12 hours. The mean (SD) apparent clearance (CL/F) of ivacaftor was 12.1</w:t>
      </w:r>
      <w:r w:rsidR="00051CB9">
        <w:t xml:space="preserve"> </w:t>
      </w:r>
      <w:r w:rsidRPr="002F0112">
        <w:t>L/hr in healthy subjects and 12.4 L/hr in subjects with CF. When administered as a solution formulation in the fasted state, over a single dose range of 25 to 800 mg in healthy male subjects, the AUC of ivacaftor increased proportionally to the dose. Ivacaftor 150 mg every 12 hours (q12h) in healthy subjects reached steady-state by Day 5 with a median accumulation ratio of 2.2 to 2.9 across studies. Ivacaftor PK was similar in healthy controls and patients with CF. Population PK analyses also predict steady-state ivacaftor exposure (AUC and minimum observed concentration [</w:t>
      </w:r>
      <w:proofErr w:type="spellStart"/>
      <w:r w:rsidRPr="002F0112">
        <w:t>Cmin</w:t>
      </w:r>
      <w:proofErr w:type="spellEnd"/>
      <w:r w:rsidRPr="002F0112">
        <w:t xml:space="preserve">]) in adult subjects with CF that are similar to those obtained in healthy adult subjects. Children (6-11 years) with CF had approximately 52% and 8% higher mean and median </w:t>
      </w:r>
      <w:proofErr w:type="spellStart"/>
      <w:r w:rsidRPr="002F0112">
        <w:t>Cmin</w:t>
      </w:r>
      <w:proofErr w:type="spellEnd"/>
      <w:r w:rsidRPr="002F0112">
        <w:t xml:space="preserve"> of </w:t>
      </w:r>
      <w:proofErr w:type="spellStart"/>
      <w:r w:rsidRPr="002F0112">
        <w:t>ivacaftor</w:t>
      </w:r>
      <w:proofErr w:type="spellEnd"/>
      <w:r w:rsidRPr="002F0112">
        <w:t>, and approximately 2-fold higher mean and median AUC of ivacaftor than adults. Ivacaftor PK were generally similar between males and females. Moderate hepatic impairment (Child-Pugh Class B) had an approximately 2-fold increase in ivacaftor AUC</w:t>
      </w:r>
      <w:r w:rsidRPr="002F0112">
        <w:rPr>
          <w:vertAlign w:val="subscript"/>
        </w:rPr>
        <w:t>0-∞</w:t>
      </w:r>
      <w:r w:rsidRPr="002F0112">
        <w:t xml:space="preserve">, compared with healthy subjects matched for demographics. Renal impairment has not been studied since renal excretion is not a major route of elimination. Ivacaftor is a sensitive CYP3A substrate. Ivacaftor is a weak CYP3A inhibitor, and is not a CYP2C8 or CYP2D6 inhibitor. </w:t>
      </w:r>
      <w:r w:rsidRPr="00DC2370">
        <w:rPr>
          <w:i/>
          <w:iCs/>
        </w:rPr>
        <w:t>In vitro</w:t>
      </w:r>
      <w:r w:rsidRPr="002F0112">
        <w:t xml:space="preserve"> studies suggested that ivacaftor is not a P-</w:t>
      </w:r>
      <w:proofErr w:type="spellStart"/>
      <w:r w:rsidRPr="002F0112">
        <w:t>gp</w:t>
      </w:r>
      <w:proofErr w:type="spellEnd"/>
      <w:r w:rsidRPr="002F0112">
        <w:t xml:space="preserve"> substrate, but is a P-</w:t>
      </w:r>
      <w:proofErr w:type="spellStart"/>
      <w:r w:rsidRPr="002F0112">
        <w:t>gp</w:t>
      </w:r>
      <w:proofErr w:type="spellEnd"/>
      <w:r w:rsidRPr="002F0112">
        <w:t xml:space="preserve"> inhibitor.  </w:t>
      </w:r>
    </w:p>
    <w:p w:rsidR="00C51B50" w:rsidRPr="002F0112" w:rsidRDefault="00C51B50" w:rsidP="00314A04">
      <w:r w:rsidRPr="002F0112">
        <w:t xml:space="preserve">The proposed Product Information adequately reflects the findings of the studies presented and issues appropriate precautions based on the experimental findings. </w:t>
      </w:r>
    </w:p>
    <w:p w:rsidR="00C51B50" w:rsidRPr="00E1611A" w:rsidRDefault="00C51B50" w:rsidP="006D71FA">
      <w:pPr>
        <w:pStyle w:val="Heading4"/>
      </w:pPr>
      <w:bookmarkStart w:id="36" w:name="_Toc341441388"/>
      <w:bookmarkStart w:id="37" w:name="_Toc290888779"/>
      <w:r w:rsidRPr="00E1611A">
        <w:t>Bioavailability</w:t>
      </w:r>
      <w:bookmarkEnd w:id="36"/>
    </w:p>
    <w:p w:rsidR="00C51B50" w:rsidRPr="00E1611A" w:rsidRDefault="00C51B50" w:rsidP="006D71FA">
      <w:pPr>
        <w:pStyle w:val="Heading5"/>
      </w:pPr>
      <w:r w:rsidRPr="00E1611A">
        <w:t>Absolute bioavailability</w:t>
      </w:r>
    </w:p>
    <w:p w:rsidR="00C51B50" w:rsidRPr="002F0112" w:rsidRDefault="00C51B50" w:rsidP="006D71FA">
      <w:r w:rsidRPr="002F0112">
        <w:t>The absolute bioavailability of ivacaftor in humans has not been determined because ivacaftor is insoluble (&lt;0.001 mg/mL in water) and no intravenous formulation was available.</w:t>
      </w:r>
    </w:p>
    <w:p w:rsidR="00C51B50" w:rsidRPr="00F724C8" w:rsidRDefault="00C51B50" w:rsidP="006D71FA">
      <w:pPr>
        <w:pStyle w:val="Heading6"/>
      </w:pPr>
      <w:r w:rsidRPr="00F724C8">
        <w:t xml:space="preserve">Bioavailability relative to an oral solution or </w:t>
      </w:r>
      <w:proofErr w:type="spellStart"/>
      <w:r w:rsidRPr="00F724C8">
        <w:t>micronised</w:t>
      </w:r>
      <w:proofErr w:type="spellEnd"/>
      <w:r w:rsidRPr="00F724C8">
        <w:t xml:space="preserve"> suspension</w:t>
      </w:r>
    </w:p>
    <w:p w:rsidR="00C51B50" w:rsidRPr="002F0112" w:rsidRDefault="00C51B50" w:rsidP="006D71FA">
      <w:r w:rsidRPr="002F0112">
        <w:t>The Solution and the 50% DL tablet used in early Phase 1 studies were compared in a randomized, open-label, single 150-mg dose, crossover relative bioavailability study in healthy subjects, with the drug administered in the fasted state (VX06-770-002). The tablets resulted in lower AUC</w:t>
      </w:r>
      <w:r w:rsidRPr="002F0112">
        <w:rPr>
          <w:vertAlign w:val="subscript"/>
        </w:rPr>
        <w:t>0-∞</w:t>
      </w:r>
      <w:r w:rsidRPr="002F0112">
        <w:t xml:space="preserve"> (GLS mean ratio of 0.43) and lower </w:t>
      </w:r>
      <w:proofErr w:type="spellStart"/>
      <w:r w:rsidRPr="002F0112">
        <w:t>Cmax</w:t>
      </w:r>
      <w:proofErr w:type="spellEnd"/>
      <w:r w:rsidRPr="002F0112">
        <w:t xml:space="preserve"> (GLS mean ratio of 0.28), when </w:t>
      </w:r>
      <w:r w:rsidRPr="002F0112">
        <w:lastRenderedPageBreak/>
        <w:t xml:space="preserve">compared to the solution formulation. However, the solid tablet formulation administered with food was used in clinical studies. </w:t>
      </w:r>
    </w:p>
    <w:p w:rsidR="00C51B50" w:rsidRPr="00E1611A" w:rsidRDefault="00C51B50" w:rsidP="006D71FA">
      <w:pPr>
        <w:pStyle w:val="Heading5"/>
      </w:pPr>
      <w:r w:rsidRPr="00E1611A">
        <w:t>Bioequivalence of different dosage forms and strengths</w:t>
      </w:r>
    </w:p>
    <w:p w:rsidR="00C51B50" w:rsidRPr="002F0112" w:rsidRDefault="00C51B50" w:rsidP="006D71FA">
      <w:r w:rsidRPr="002F0112">
        <w:t>The 50%</w:t>
      </w:r>
      <w:r w:rsidR="002F0112">
        <w:t xml:space="preserve"> </w:t>
      </w:r>
      <w:r w:rsidRPr="002F0112">
        <w:t>DL-SDD tablet was compared with the T1 and the T2 tablets in a randomized, open-label, single 150-mg dose, crossover study in healthy subjects, with the drug administered in the fasted state (VX08-770-007). Both T1 and T2 tablets had similar relative bioavailability to the 50%</w:t>
      </w:r>
      <w:r w:rsidR="00E3493B">
        <w:t xml:space="preserve"> </w:t>
      </w:r>
      <w:r w:rsidRPr="002F0112">
        <w:t>DL-SDD tablet. Similar results were obtained for metabolites M1 and M6 (VX08-770-007). The T1 formulation was chosen as the core tablet for future formulations. The film-coated tablets used in Phase 3 studies were similar in composition to the T1 tablet, with the exception of the non-functional film-coat, the printing, and the carnauba wax. These changes were shown to have no impact on the dissolution of the tablets and were not expected to impact on the relative bioavailability compared to the T1 formulation.</w:t>
      </w:r>
    </w:p>
    <w:p w:rsidR="00C51B50" w:rsidRPr="00F724C8" w:rsidRDefault="00C51B50" w:rsidP="006D71FA">
      <w:pPr>
        <w:pStyle w:val="Heading5"/>
      </w:pPr>
      <w:r w:rsidRPr="00E1611A">
        <w:t>Influence</w:t>
      </w:r>
      <w:r w:rsidRPr="00F724C8">
        <w:t xml:space="preserve"> of food</w:t>
      </w:r>
    </w:p>
    <w:p w:rsidR="00C51B50" w:rsidRPr="002F0112" w:rsidRDefault="00C51B50" w:rsidP="006D71FA">
      <w:r w:rsidRPr="002F0112">
        <w:t>In a study using a solution formulation and small subject numbers (8 per group), a high-fat breakfast resulted in a statistically significant increase (~36%) in AUC</w:t>
      </w:r>
      <w:r w:rsidRPr="002F0112">
        <w:rPr>
          <w:vertAlign w:val="subscript"/>
        </w:rPr>
        <w:t>0-∞</w:t>
      </w:r>
      <w:r w:rsidRPr="002F0112">
        <w:t xml:space="preserve"> (P = 0.044) but not in </w:t>
      </w:r>
      <w:proofErr w:type="spellStart"/>
      <w:r w:rsidRPr="002F0112">
        <w:t>Cmax</w:t>
      </w:r>
      <w:proofErr w:type="spellEnd"/>
      <w:r w:rsidRPr="002F0112">
        <w:t xml:space="preserve"> (~16%; P = 0.175) compared to fasted state in healthy subjects (VX05-770-001). In a study comparing exposure in pancreatic insufficient subjects with CF between the fed (standard breakfast) and fasted states, food also increased the exposure to ivacaftor after a solution formulation by 30% and 23%, based on median AUC0-∞ and </w:t>
      </w:r>
      <w:proofErr w:type="spellStart"/>
      <w:r w:rsidRPr="002F0112">
        <w:t>Cmax</w:t>
      </w:r>
      <w:proofErr w:type="spellEnd"/>
      <w:r w:rsidRPr="002F0112">
        <w:t xml:space="preserve">, respectively (VX05-770-001). However, the sample size (n = 4) was too small for statistical assessment. </w:t>
      </w:r>
    </w:p>
    <w:p w:rsidR="00C51B50" w:rsidRPr="002F0112" w:rsidRDefault="00C51B50" w:rsidP="006D71FA">
      <w:r w:rsidRPr="002F0112">
        <w:t>A high-fat breakfast resulted in higher AUC</w:t>
      </w:r>
      <w:r w:rsidRPr="00E3493B">
        <w:rPr>
          <w:vertAlign w:val="subscript"/>
        </w:rPr>
        <w:t>0-∞</w:t>
      </w:r>
      <w:r w:rsidRPr="002F0112">
        <w:t xml:space="preserve"> (GLS mean ratio 2.06) and higher </w:t>
      </w:r>
      <w:proofErr w:type="spellStart"/>
      <w:r w:rsidRPr="002F0112">
        <w:t>Cmax</w:t>
      </w:r>
      <w:proofErr w:type="spellEnd"/>
      <w:r w:rsidRPr="002F0112">
        <w:t xml:space="preserve"> (GLS mean ratio 2.28), when compared to the fasted state using 50%</w:t>
      </w:r>
      <w:r w:rsidR="00E3493B">
        <w:t xml:space="preserve"> </w:t>
      </w:r>
      <w:r w:rsidRPr="002F0112">
        <w:t xml:space="preserve">DL-SDD tablets in healthy subjects (VX06-770-002). Using either T1 or T2 80%DL-SDD tablets in healthy subjects, a high-fat breakfast resulted in an increase in AUC0-∞ of ivacaftor (GLS mean ratios 2.34 to 2.55) and </w:t>
      </w:r>
      <w:proofErr w:type="spellStart"/>
      <w:r w:rsidRPr="002F0112">
        <w:t>Cmax</w:t>
      </w:r>
      <w:proofErr w:type="spellEnd"/>
      <w:r w:rsidRPr="002F0112">
        <w:t xml:space="preserve"> of </w:t>
      </w:r>
      <w:proofErr w:type="spellStart"/>
      <w:r w:rsidRPr="002F0112">
        <w:t>ivacaftor</w:t>
      </w:r>
      <w:proofErr w:type="spellEnd"/>
      <w:r w:rsidRPr="002F0112">
        <w:t xml:space="preserve"> (GLS mean ratios 2.38 to 2.83) when fed and fasted states were compared (VX08-770-007). Similarly using film-coated 150-mg tablet in healthy subjects, a high-fat breakfast significantly increased the AUC</w:t>
      </w:r>
      <w:r w:rsidRPr="00E3493B">
        <w:rPr>
          <w:vertAlign w:val="subscript"/>
        </w:rPr>
        <w:t>0-∞</w:t>
      </w:r>
      <w:r w:rsidRPr="002F0112">
        <w:t xml:space="preserve"> (GLS mean ratio 2.98) and </w:t>
      </w:r>
      <w:proofErr w:type="spellStart"/>
      <w:r w:rsidRPr="002F0112">
        <w:t>Cmax</w:t>
      </w:r>
      <w:proofErr w:type="spellEnd"/>
      <w:r w:rsidRPr="002F0112">
        <w:t xml:space="preserve"> (GLS mean ratio 3.89) (VX10-770-012). Based on a comparison of the effect of food in tablet studies (VX06-770-002; VX08-770-007; VX10-770-012) compared with solution formulations (VX05-770-001), food consistently increased ivacaftor exposure, with a more marked effect in the tablet formulations.</w:t>
      </w:r>
    </w:p>
    <w:p w:rsidR="00C51B50" w:rsidRPr="002F0112" w:rsidRDefault="00C51B50" w:rsidP="006D71FA">
      <w:r w:rsidRPr="002F0112">
        <w:t>Based on these results, it was recommended that ivacaftor is taken with food, following a diet appropriate for subjects with CF.</w:t>
      </w:r>
    </w:p>
    <w:p w:rsidR="00C51B50" w:rsidRPr="00F724C8" w:rsidRDefault="00C51B50" w:rsidP="006D71FA">
      <w:pPr>
        <w:pStyle w:val="Heading5"/>
      </w:pPr>
      <w:r w:rsidRPr="00F724C8">
        <w:t>Dose proportionality</w:t>
      </w:r>
    </w:p>
    <w:p w:rsidR="00C51B50" w:rsidRPr="002F0112" w:rsidRDefault="00CB3A20" w:rsidP="006D71FA">
      <w:r w:rsidRPr="002F0112">
        <w:t xml:space="preserve">Following single-dose (25 </w:t>
      </w:r>
      <w:r w:rsidR="00C51B50" w:rsidRPr="002F0112">
        <w:t>to 800</w:t>
      </w:r>
      <w:r w:rsidRPr="002F0112">
        <w:t xml:space="preserve"> </w:t>
      </w:r>
      <w:r w:rsidR="00C51B50" w:rsidRPr="002F0112">
        <w:t>mg) administrations of an ivacaftor solution formulation, the AUC</w:t>
      </w:r>
      <w:r w:rsidR="00C51B50" w:rsidRPr="002F0112">
        <w:rPr>
          <w:vertAlign w:val="subscript"/>
        </w:rPr>
        <w:t>0-∞</w:t>
      </w:r>
      <w:r w:rsidR="00C51B50" w:rsidRPr="002F0112">
        <w:t xml:space="preserve"> of ivacaftor increased proportionally with dose, and </w:t>
      </w:r>
      <w:proofErr w:type="spellStart"/>
      <w:r w:rsidR="00C51B50" w:rsidRPr="002F0112">
        <w:t>Cmax</w:t>
      </w:r>
      <w:proofErr w:type="spellEnd"/>
      <w:r w:rsidR="00C51B50" w:rsidRPr="002F0112">
        <w:t xml:space="preserve"> increased less than proportionally at doses greater than 375 mg (VX05-770-001). The apparent terminal half-life was estimated to be approximately 12 hours.</w:t>
      </w:r>
    </w:p>
    <w:p w:rsidR="00C51B50" w:rsidRPr="00F724C8" w:rsidRDefault="00C51B50" w:rsidP="006D71FA">
      <w:pPr>
        <w:pStyle w:val="Heading4"/>
      </w:pPr>
      <w:bookmarkStart w:id="38" w:name="_Toc341441389"/>
      <w:r w:rsidRPr="00F724C8">
        <w:t>Distribution</w:t>
      </w:r>
      <w:bookmarkEnd w:id="38"/>
    </w:p>
    <w:p w:rsidR="00C51B50" w:rsidRPr="00F724C8" w:rsidRDefault="00C51B50" w:rsidP="006D71FA">
      <w:pPr>
        <w:pStyle w:val="Heading5"/>
      </w:pPr>
      <w:r w:rsidRPr="00F724C8">
        <w:t>Volume of distribution</w:t>
      </w:r>
    </w:p>
    <w:p w:rsidR="00C51B50" w:rsidRPr="002F0112" w:rsidRDefault="00C51B50" w:rsidP="006D71FA">
      <w:r w:rsidRPr="002F0112">
        <w:t xml:space="preserve">Non-compartmental PK analysis in healthy subjects in the fed state determined a mean (SD) </w:t>
      </w:r>
      <w:proofErr w:type="spellStart"/>
      <w:r w:rsidRPr="002F0112">
        <w:t>Vz</w:t>
      </w:r>
      <w:proofErr w:type="spellEnd"/>
      <w:r w:rsidRPr="002F0112">
        <w:t xml:space="preserve">/F of </w:t>
      </w:r>
      <w:proofErr w:type="spellStart"/>
      <w:r w:rsidRPr="002F0112">
        <w:t>ivacaftor</w:t>
      </w:r>
      <w:proofErr w:type="spellEnd"/>
      <w:r w:rsidRPr="002F0112">
        <w:t xml:space="preserve"> after a single dose of 275 mg of ivacaftor as a solution formulation was 220 (61) L and after multiple-dose administration of ivacaftor 250 mg q12h was 206 (47) L (VX05-770-001). A similar mean (SD) </w:t>
      </w:r>
      <w:proofErr w:type="spellStart"/>
      <w:r w:rsidRPr="002F0112">
        <w:t>Vz</w:t>
      </w:r>
      <w:proofErr w:type="spellEnd"/>
      <w:r w:rsidRPr="002F0112">
        <w:t xml:space="preserve">/F of </w:t>
      </w:r>
      <w:proofErr w:type="spellStart"/>
      <w:r w:rsidRPr="002F0112">
        <w:t>ivacaftor</w:t>
      </w:r>
      <w:proofErr w:type="spellEnd"/>
      <w:r w:rsidRPr="002F0112">
        <w:t xml:space="preserve"> was obtained after a single dose of 275 mg of ivacaftor in the fed state in subjects with CF: 203 (82) L (VX05-770-001). Ivacaftor therefore has a large </w:t>
      </w:r>
      <w:proofErr w:type="spellStart"/>
      <w:r w:rsidRPr="002F0112">
        <w:t>Vz</w:t>
      </w:r>
      <w:proofErr w:type="spellEnd"/>
      <w:r w:rsidRPr="002F0112">
        <w:t>/F, suggesting penetration of ivacaftor into tissues.</w:t>
      </w:r>
    </w:p>
    <w:p w:rsidR="00C51B50" w:rsidRPr="002F0112" w:rsidRDefault="00C51B50" w:rsidP="006D71FA">
      <w:r w:rsidRPr="002F0112">
        <w:t xml:space="preserve">A 2-compartment population model that included weight, age, gender, and CF status as covariates to describe data that included pooled Phase 1, 2, and 3 studies provided PK estimates </w:t>
      </w:r>
      <w:r w:rsidRPr="002F0112">
        <w:lastRenderedPageBreak/>
        <w:t xml:space="preserve">for ivacaftor as a tablet formulation: for an 18-year-old, 70-kg male subject with CF, the population mean estimate (95% CI) was 186 (170, 200) L for </w:t>
      </w:r>
      <w:proofErr w:type="spellStart"/>
      <w:r w:rsidRPr="002F0112">
        <w:t>Vc</w:t>
      </w:r>
      <w:proofErr w:type="spellEnd"/>
      <w:r w:rsidRPr="002F0112">
        <w:t>/F (</w:t>
      </w:r>
      <w:proofErr w:type="spellStart"/>
      <w:r w:rsidRPr="002F0112">
        <w:t>Vz</w:t>
      </w:r>
      <w:proofErr w:type="spellEnd"/>
      <w:r w:rsidRPr="002F0112">
        <w:t xml:space="preserve">/F of the central compartment), and 118 (77.2,187) L for </w:t>
      </w:r>
      <w:proofErr w:type="spellStart"/>
      <w:r w:rsidRPr="002F0112">
        <w:t>Vp</w:t>
      </w:r>
      <w:proofErr w:type="spellEnd"/>
      <w:r w:rsidRPr="002F0112">
        <w:t>/F (</w:t>
      </w:r>
      <w:proofErr w:type="spellStart"/>
      <w:r w:rsidRPr="002F0112">
        <w:t>Vz</w:t>
      </w:r>
      <w:proofErr w:type="spellEnd"/>
      <w:r w:rsidRPr="002F0112">
        <w:t>/F of the peripheral compartment) (Report G198). These results are consistent with data from Phase 1 studies in which intense plasma sampling and non-compartmental analysis techniques were used.</w:t>
      </w:r>
    </w:p>
    <w:p w:rsidR="00C51B50" w:rsidRPr="00F724C8" w:rsidRDefault="00C51B50" w:rsidP="006D71FA">
      <w:pPr>
        <w:pStyle w:val="Heading5"/>
      </w:pPr>
      <w:r w:rsidRPr="00F724C8">
        <w:t>Plasma protein binding</w:t>
      </w:r>
    </w:p>
    <w:p w:rsidR="00C51B50" w:rsidRPr="002F0112" w:rsidRDefault="00C51B50" w:rsidP="006D71FA">
      <w:r w:rsidRPr="002F0112">
        <w:t xml:space="preserve">Ivacaftor, M1, and M6 were highly bound to proteins in human plasma at all concentrations tested </w:t>
      </w:r>
      <w:r w:rsidRPr="002F0112">
        <w:rPr>
          <w:i/>
          <w:iCs/>
        </w:rPr>
        <w:t>in vitro</w:t>
      </w:r>
      <w:r w:rsidRPr="002F0112">
        <w:t xml:space="preserve"> (&gt;98%). Serum albumin was the main plasma component involved in the binding of ivacaftor and its metabolites in human plasma. The high degree of binding of ivacaftor, M1, and M6 through a range of serum albumin concentrations suggests that variations in albumin concentrations associated with age or disease states may have little effect on the clinical PK of ivacaftor, M1, and M6.</w:t>
      </w:r>
    </w:p>
    <w:p w:rsidR="00C51B50" w:rsidRPr="002F0112" w:rsidRDefault="00C51B50" w:rsidP="006D71FA">
      <w:r w:rsidRPr="002F0112">
        <w:t>The potential for protein binding interactions between ivacaftor, M1, and M6 and warfarin was also evaluated in human plasma. Protein binding of warfarin was high (99%) and unaltered in the presence of ivacaftor, M1, or M6. Similarly, the protein binding percentages of ivacaftor, M1, or M6 were not affected by the presence of warfarin. No plasma protein binding-related DDIs would be expected.</w:t>
      </w:r>
    </w:p>
    <w:p w:rsidR="00C51B50" w:rsidRPr="00F724C8" w:rsidRDefault="00C51B50" w:rsidP="006D71FA">
      <w:pPr>
        <w:pStyle w:val="Heading5"/>
      </w:pPr>
      <w:r w:rsidRPr="00F724C8">
        <w:t>Erythrocyte distribution</w:t>
      </w:r>
    </w:p>
    <w:p w:rsidR="00C51B50" w:rsidRPr="002F0112" w:rsidRDefault="00C51B50" w:rsidP="006D71FA">
      <w:r w:rsidRPr="002F0112">
        <w:t>The observation that radioactivity in plasma was higher than in blood in clinical absorption, distribution, metabolism, excretion suggests that ivacaftor does not bind to human red blood cells (VX06-770-003).</w:t>
      </w:r>
    </w:p>
    <w:p w:rsidR="00C51B50" w:rsidRPr="00F724C8" w:rsidRDefault="00C51B50" w:rsidP="006D71FA">
      <w:pPr>
        <w:pStyle w:val="Heading4"/>
      </w:pPr>
      <w:bookmarkStart w:id="39" w:name="_Toc341441390"/>
      <w:r w:rsidRPr="00F724C8">
        <w:t>Metabolism</w:t>
      </w:r>
      <w:bookmarkEnd w:id="39"/>
    </w:p>
    <w:p w:rsidR="00C51B50" w:rsidRPr="002F0112" w:rsidRDefault="00C51B50" w:rsidP="006D71FA">
      <w:r w:rsidRPr="002F0112">
        <w:t xml:space="preserve">Ivacaftor was extensively metabolized in humans. Mean </w:t>
      </w:r>
      <w:proofErr w:type="spellStart"/>
      <w:r w:rsidRPr="002F0112">
        <w:t>Cmax</w:t>
      </w:r>
      <w:proofErr w:type="spellEnd"/>
      <w:r w:rsidRPr="002F0112">
        <w:t>, AUC</w:t>
      </w:r>
      <w:r w:rsidRPr="002F0112">
        <w:rPr>
          <w:vertAlign w:val="subscript"/>
        </w:rPr>
        <w:t>0-last</w:t>
      </w:r>
      <w:r w:rsidRPr="002F0112">
        <w:t>, and AUC</w:t>
      </w:r>
      <w:r w:rsidRPr="002F0112">
        <w:rPr>
          <w:vertAlign w:val="subscript"/>
        </w:rPr>
        <w:t>0-∞</w:t>
      </w:r>
      <w:r w:rsidRPr="002F0112">
        <w:t xml:space="preserve"> values for ivacaftor in plasma were much lower than mean values for total radioactivity in plasma, indicating that the majority of circulating total radioactivity was related to ivacaftor metabolites (VX06-770-003). Mean recovery of total radioactivity was 95% (6.6% in urine and 88% in f</w:t>
      </w:r>
      <w:r w:rsidR="00CB3A20" w:rsidRPr="002F0112">
        <w:t>a</w:t>
      </w:r>
      <w:r w:rsidRPr="002F0112">
        <w:t>eces). Negligible amount of total radioactivity were excreted as unchanged ivacaftor in urine and 2.5% of total radioactivity was excreted as unchanged ivacaftor in faeces. On average, 86% of total radioactivity was excreted from the body in 7 days (168 hours) after oral administration. After oral administration, the majority of ivacaftor is excreted from body via faeces after metabolic conversion.</w:t>
      </w:r>
    </w:p>
    <w:p w:rsidR="00C51B50" w:rsidRPr="00F724C8" w:rsidRDefault="00C51B50" w:rsidP="006D71FA">
      <w:pPr>
        <w:pStyle w:val="Heading5"/>
      </w:pPr>
      <w:r w:rsidRPr="00F724C8">
        <w:t>Metabolites identified in humans</w:t>
      </w:r>
    </w:p>
    <w:p w:rsidR="00C51B50" w:rsidRPr="002F0112" w:rsidRDefault="00C51B50" w:rsidP="009144E6">
      <w:r w:rsidRPr="002F0112">
        <w:t>The major metabolic pathway involved oxidation of ivacaftor to M1 (</w:t>
      </w:r>
      <w:proofErr w:type="spellStart"/>
      <w:r w:rsidRPr="002F0112">
        <w:t>hydroxymethyl-ivacaftor</w:t>
      </w:r>
      <w:proofErr w:type="spellEnd"/>
      <w:r w:rsidRPr="002F0112">
        <w:t>) and M6 (</w:t>
      </w:r>
      <w:proofErr w:type="spellStart"/>
      <w:r w:rsidRPr="002F0112">
        <w:t>ivacaftor</w:t>
      </w:r>
      <w:proofErr w:type="spellEnd"/>
      <w:r w:rsidRPr="002F0112">
        <w:t xml:space="preserve"> </w:t>
      </w:r>
      <w:proofErr w:type="spellStart"/>
      <w:r w:rsidRPr="002F0112">
        <w:t>carboxylate</w:t>
      </w:r>
      <w:proofErr w:type="spellEnd"/>
      <w:r w:rsidRPr="002F0112">
        <w:t>). These metabolites accounted for approximately 65% of total dose excreted, with 22% as M1 and 43% as M6. Small amounts of M1-sulfate and M4 (</w:t>
      </w:r>
      <w:proofErr w:type="spellStart"/>
      <w:r w:rsidRPr="002F0112">
        <w:t>hydroxyquinolone-ivacaftor</w:t>
      </w:r>
      <w:proofErr w:type="spellEnd"/>
      <w:r w:rsidRPr="002F0112">
        <w:t>) were detected in faeces, each accounting for 1.2% and 3.3%, respectively, of the total administered radioactivity. The major urinary metabolite M5 (</w:t>
      </w:r>
      <w:proofErr w:type="spellStart"/>
      <w:r w:rsidRPr="002F0112">
        <w:t>hydroxy-ivacaftor</w:t>
      </w:r>
      <w:proofErr w:type="spellEnd"/>
      <w:r w:rsidRPr="002F0112">
        <w:t xml:space="preserve"> </w:t>
      </w:r>
      <w:proofErr w:type="spellStart"/>
      <w:r w:rsidRPr="002F0112">
        <w:t>glucuronide</w:t>
      </w:r>
      <w:proofErr w:type="spellEnd"/>
      <w:r w:rsidRPr="002F0112">
        <w:t>) accounted for 3.5% of the total dose. In plasma, ivacaftor, M1, and M6 were the main circulating radioactive components detected. Small amounts of M5 were detected in plasma at 6, 12, and 24 hours after dosing. After a single dose of the T1 tablet formulation (150 mg, film-coated) in the fed state, the mean exposure (AUC</w:t>
      </w:r>
      <w:r w:rsidRPr="002F0112">
        <w:rPr>
          <w:vertAlign w:val="subscript"/>
        </w:rPr>
        <w:t>0-last</w:t>
      </w:r>
      <w:r w:rsidRPr="002F0112">
        <w:t xml:space="preserve"> metabolite/AUC</w:t>
      </w:r>
      <w:r w:rsidRPr="002F0112">
        <w:rPr>
          <w:vertAlign w:val="subscript"/>
        </w:rPr>
        <w:t>0-last</w:t>
      </w:r>
      <w:r w:rsidRPr="002F0112">
        <w:t xml:space="preserve"> ivacaftor) ratio was approximately 5 for M1 and 2 for M6 (VX08-770-007). After 150 mg q12h of the commercial tablet formulation in the fed state, the mean exposure (AUC</w:t>
      </w:r>
      <w:r w:rsidR="002F0112">
        <w:t> </w:t>
      </w:r>
      <w:r w:rsidRPr="002F0112">
        <w:t>metabolite/AUC</w:t>
      </w:r>
      <w:r w:rsidR="002F0112">
        <w:t> </w:t>
      </w:r>
      <w:r w:rsidRPr="002F0112">
        <w:t>ivacaftor) ratio was approximately 6 for M1 and 2 for M6 (VX09-770-008). M1 and M6 also are major metabolites of ivacaftor in children 6 to 11 years of age, consistent with results in adult subjects from other studies (VX08-770-103).</w:t>
      </w:r>
    </w:p>
    <w:p w:rsidR="00C51B50" w:rsidRPr="00F724C8" w:rsidRDefault="00C51B50" w:rsidP="009144E6">
      <w:pPr>
        <w:pStyle w:val="Heading6"/>
      </w:pPr>
      <w:r w:rsidRPr="00F724C8">
        <w:t>Active metabolites</w:t>
      </w:r>
    </w:p>
    <w:p w:rsidR="00C51B50" w:rsidRPr="002F0112" w:rsidRDefault="00C51B50" w:rsidP="009144E6">
      <w:r w:rsidRPr="002F0112">
        <w:t>The M1 metabolite is active, but ~a sixth of that of ivacaftor, the parent drug.</w:t>
      </w:r>
    </w:p>
    <w:p w:rsidR="00C51B50" w:rsidRPr="00B41859" w:rsidRDefault="00C51B50" w:rsidP="009144E6">
      <w:pPr>
        <w:pStyle w:val="Heading6"/>
      </w:pPr>
      <w:r w:rsidRPr="00B41859">
        <w:lastRenderedPageBreak/>
        <w:t>Other metabolites</w:t>
      </w:r>
    </w:p>
    <w:p w:rsidR="00C51B50" w:rsidRPr="002F0112" w:rsidRDefault="00C51B50" w:rsidP="009144E6">
      <w:r w:rsidRPr="002F0112">
        <w:t>The M6 metabolite is inactive.</w:t>
      </w:r>
    </w:p>
    <w:p w:rsidR="00C51B50" w:rsidRPr="00F724C8" w:rsidRDefault="00C51B50" w:rsidP="009144E6">
      <w:pPr>
        <w:pStyle w:val="Heading4"/>
      </w:pPr>
      <w:bookmarkStart w:id="40" w:name="_Toc341441391"/>
      <w:r w:rsidRPr="00F724C8">
        <w:t>Excretion</w:t>
      </w:r>
      <w:bookmarkEnd w:id="40"/>
    </w:p>
    <w:p w:rsidR="00C51B50" w:rsidRPr="002F0112" w:rsidRDefault="00C51B50" w:rsidP="009144E6">
      <w:r w:rsidRPr="002F0112">
        <w:t>Following a single oral dose of 500 mg ivacaftor, the maximum cumulative excretion of unchanged ivacaftor in the urine up to 24 hours post-dose was 0.002% of the dose (VX05-770-001). The result suggested that the majority of ivacaftor is excreted from body via faeces after metabolic conversion. The mean terminal half-life of ivacaftor was similar after a single dose and steady-state (e.g., 14.08 hours at steady-state in VX08-809-005).</w:t>
      </w:r>
    </w:p>
    <w:p w:rsidR="00C51B50" w:rsidRPr="00F724C8" w:rsidRDefault="00C51B50" w:rsidP="009144E6">
      <w:pPr>
        <w:pStyle w:val="Heading5"/>
      </w:pPr>
      <w:r w:rsidRPr="00F724C8">
        <w:t>Routes and mechanisms of excretion</w:t>
      </w:r>
    </w:p>
    <w:p w:rsidR="00C51B50" w:rsidRPr="002F0112" w:rsidRDefault="00C51B50" w:rsidP="009144E6">
      <w:r w:rsidRPr="002F0112">
        <w:t xml:space="preserve">Elimination in the faeces was the predominant route of elimination for ivacaftor and its metabolites, with minimal renal excretion (VX06-770-003). Following administration of a single oral dose of 133 mg </w:t>
      </w:r>
      <w:r w:rsidRPr="002F0112">
        <w:rPr>
          <w:vertAlign w:val="superscript"/>
        </w:rPr>
        <w:t>14</w:t>
      </w:r>
      <w:r w:rsidRPr="002F0112">
        <w:t>C-ivacaftor in healthy subjects, mean recovery of total radioactivity was 95% (88% in f</w:t>
      </w:r>
      <w:r w:rsidR="00CB3A20" w:rsidRPr="002F0112">
        <w:t>a</w:t>
      </w:r>
      <w:r w:rsidRPr="002F0112">
        <w:t xml:space="preserve">eces and 6.6% in urine). On average, 86% of total radioactivity was excreted from the body by 7 days (168 hours) after oral administration. There was negligible urinary excretion of ivacaftor as unchanged parent.  Following a single oral dose of 133 mg </w:t>
      </w:r>
      <w:r w:rsidRPr="002F0112">
        <w:rPr>
          <w:vertAlign w:val="superscript"/>
        </w:rPr>
        <w:t>14</w:t>
      </w:r>
      <w:r w:rsidRPr="002F0112">
        <w:t xml:space="preserve">C-ivacaftor, most urine concentrations of ivacaftor were below the limit of quantitation. </w:t>
      </w:r>
    </w:p>
    <w:p w:rsidR="00C51B50" w:rsidRPr="00F724C8" w:rsidRDefault="00C51B50" w:rsidP="009144E6">
      <w:pPr>
        <w:pStyle w:val="Heading5"/>
      </w:pPr>
      <w:r w:rsidRPr="00F724C8">
        <w:t>Renal clearance</w:t>
      </w:r>
    </w:p>
    <w:p w:rsidR="00C51B50" w:rsidRPr="002F0112" w:rsidRDefault="00C51B50" w:rsidP="009144E6">
      <w:r w:rsidRPr="002F0112">
        <w:t>There is minimal renal clearance of ivacaftor.</w:t>
      </w:r>
    </w:p>
    <w:p w:rsidR="00C51B50" w:rsidRPr="00F724C8" w:rsidRDefault="00C51B50" w:rsidP="009144E6">
      <w:pPr>
        <w:pStyle w:val="Heading4"/>
      </w:pPr>
      <w:bookmarkStart w:id="41" w:name="_Toc341441392"/>
      <w:r w:rsidRPr="00F724C8">
        <w:t>Intra- and inter-individual variability of pharmacokinetics</w:t>
      </w:r>
      <w:bookmarkEnd w:id="41"/>
    </w:p>
    <w:p w:rsidR="00C51B50" w:rsidRPr="002F0112" w:rsidRDefault="00C51B50" w:rsidP="009144E6">
      <w:r w:rsidRPr="002F0112">
        <w:t xml:space="preserve">The inter- and intra-subject variability of AUC was estimated for the waxed, film-coated 150-mg tablet formulation from the data derived in studies VX10-770-012 and VX09-770-008. Both were single oral dose studies in healthy volunteers. The log-transformed AUC values were </w:t>
      </w:r>
      <w:proofErr w:type="spellStart"/>
      <w:r w:rsidRPr="002F0112">
        <w:t>analyzed</w:t>
      </w:r>
      <w:proofErr w:type="spellEnd"/>
      <w:r w:rsidRPr="002F0112">
        <w:t xml:space="preserve"> using linear mixed-effects model with treatment, period, and sequence as fixed effects and subject as a random effect. The variance parameter estimates obtained for the fixed effect and random effect (residual) were used to estimate the inter- and intra-subject variability, respectively. Variability was expressed in terms of coefficient of variation. Inter-subject variability was 43% and intra-subject variability was 28% in study VX10-770-012.  Inter-subject variability was 41% and intra-subject variability was 19% in study VX09-770-008. </w:t>
      </w:r>
    </w:p>
    <w:p w:rsidR="00C51B50" w:rsidRPr="00F724C8" w:rsidRDefault="00C51B50" w:rsidP="009144E6">
      <w:pPr>
        <w:pStyle w:val="Heading4"/>
      </w:pPr>
      <w:bookmarkStart w:id="42" w:name="_Toc341441393"/>
      <w:r w:rsidRPr="00F724C8">
        <w:t>Pharmacokinetics in the target population</w:t>
      </w:r>
      <w:bookmarkEnd w:id="42"/>
    </w:p>
    <w:bookmarkEnd w:id="37"/>
    <w:p w:rsidR="00C51B50" w:rsidRPr="00D73FED" w:rsidRDefault="00C51B50" w:rsidP="009144E6">
      <w:r w:rsidRPr="00D73FED">
        <w:t xml:space="preserve">When a single dose of 275 mg of ivacaftor was administered as solution in the fed state, the PK of ivacaftor in subjects with CF was similar to that in healthy subjects (VX05-770-001). PK parameter estimates from Part A of Study 103, in which 9 subjects with CF, aged 6 to 11 years, received a single oral dose of a 100-mg film-coated tablet of ivacaftor following a standard high-fat, high-calorie CF breakfast, was consistent with PK parameters in adults, after dose normalization (VX08-770-103). CF subjects 6 to 11 years of age had faster elimination than adults with a shorter apparent half-life, although the precision of the estimates may not be reliable due to limited sampling. Ivacaftor 125 mg q12h to 150 mg q12h reached steady-state within 3 to 7 days, with a median accumulation ratio of approximately 2.2 to 2.9 (VX05-770-001; VX08-770-005; VX08-809-005; VX09-770-008). </w:t>
      </w:r>
    </w:p>
    <w:p w:rsidR="00C51B50" w:rsidRPr="00D73FED" w:rsidRDefault="00C51B50" w:rsidP="009144E6">
      <w:r w:rsidRPr="00D73FED">
        <w:t>Ivacaftor administered in the fed state as solution at 125 mg q12h for 14 days reached steady-state by Day 3, with a median accumulation ratio of 2.3 (VX05-770-001). When ivacaftor was administered in the fed state as solution at 250 mg q12h for 14 days, the median accumulation ratio was 2.9 (VX05-770-001). When ivacaftor was administered in the fed state as the 50% DL-SDD tablet at a dose of 150 mg q12h for 28 days, the median accumulation ratio was 2.2 (VX08-770-005).</w:t>
      </w:r>
    </w:p>
    <w:p w:rsidR="00C51B50" w:rsidRPr="00D73FED" w:rsidRDefault="00C51B50" w:rsidP="009144E6">
      <w:r w:rsidRPr="00D73FED">
        <w:t xml:space="preserve">Administered in the fed state as the 50% DL-SDD tablet at a dose of 150 mg q12h, ivacaftor exposure reached steady-state by Day 7 (the earliest PK assessment after Day 1), with a median </w:t>
      </w:r>
      <w:r w:rsidRPr="00D73FED">
        <w:lastRenderedPageBreak/>
        <w:t xml:space="preserve">accumulation ratio of 2.7 on Day 14 (VX08-809-005). When ivacaftor was administered in the fed state as the waxed, film-coated tablet at a dose of 150 mg q12h, ivacaftor exposure reached steady-state by Day 5, with a median accumulation ratio of 2.2 on Day 5 (VX09-770-008). </w:t>
      </w:r>
    </w:p>
    <w:p w:rsidR="00C51B50" w:rsidRPr="00F724C8" w:rsidRDefault="00C51B50" w:rsidP="009144E6">
      <w:pPr>
        <w:pStyle w:val="Heading4"/>
      </w:pPr>
      <w:bookmarkStart w:id="43" w:name="_Toc290888786"/>
      <w:bookmarkStart w:id="44" w:name="_Toc341441394"/>
      <w:r w:rsidRPr="00F724C8">
        <w:t>Pharmacokinetics in other special populations</w:t>
      </w:r>
      <w:bookmarkEnd w:id="43"/>
      <w:bookmarkEnd w:id="44"/>
    </w:p>
    <w:p w:rsidR="00C51B50" w:rsidRPr="00F724C8" w:rsidRDefault="00C51B50" w:rsidP="009144E6">
      <w:pPr>
        <w:pStyle w:val="Heading5"/>
      </w:pPr>
      <w:bookmarkStart w:id="45" w:name="_Toc290888787"/>
      <w:bookmarkStart w:id="46" w:name="_Toc341441395"/>
      <w:r w:rsidRPr="00F724C8">
        <w:t>Pharmacokinetics in subjects with impaired hepatic function</w:t>
      </w:r>
      <w:bookmarkEnd w:id="45"/>
      <w:bookmarkEnd w:id="46"/>
    </w:p>
    <w:p w:rsidR="00C51B50" w:rsidRPr="00D73FED" w:rsidRDefault="00C51B50" w:rsidP="009144E6">
      <w:r w:rsidRPr="00D73FED">
        <w:t xml:space="preserve">The effect of hepatic impairment on the systemic exposure to ivacaftor and metabolites was examined in a single oral dose study (VX10-770-013). The PK was examined following of 150mg of the drug and compared to a normal control group. Subjects with moderate hepatic impairment (Child–Pugh Class B) had similar </w:t>
      </w:r>
      <w:proofErr w:type="spellStart"/>
      <w:r w:rsidRPr="00D73FED">
        <w:t>Cmax</w:t>
      </w:r>
      <w:proofErr w:type="spellEnd"/>
      <w:r w:rsidRPr="00D73FED">
        <w:t xml:space="preserve"> concentrations but the AUC</w:t>
      </w:r>
      <w:r w:rsidR="00845610" w:rsidRPr="00D73FED">
        <w:rPr>
          <w:vertAlign w:val="subscript"/>
        </w:rPr>
        <w:t>0</w:t>
      </w:r>
      <w:r w:rsidRPr="00D73FED">
        <w:rPr>
          <w:vertAlign w:val="subscript"/>
        </w:rPr>
        <w:t>-∞</w:t>
      </w:r>
      <w:r w:rsidRPr="00D73FED">
        <w:t xml:space="preserve"> (GLSMR for ivacaftor was 1.96 (90% CI: 1.43; 2.67) was about double that of the healthy controls. Exposure to the two metabolites was also similarly affected in moderate hepatic impairment. Simulations were performed based on the data obtained in this study for the prediction of steady state exposure to </w:t>
      </w:r>
      <w:proofErr w:type="spellStart"/>
      <w:r w:rsidRPr="00D73FED">
        <w:t>ivacaftor</w:t>
      </w:r>
      <w:proofErr w:type="spellEnd"/>
      <w:r w:rsidRPr="00D73FED">
        <w:t xml:space="preserve"> in moderately </w:t>
      </w:r>
      <w:proofErr w:type="spellStart"/>
      <w:r w:rsidRPr="00D73FED">
        <w:t>hepatically</w:t>
      </w:r>
      <w:proofErr w:type="spellEnd"/>
      <w:r w:rsidRPr="00D73FED">
        <w:t xml:space="preserve"> impaired patients. The simulation predicted that reduction of the dose of ivacaftor from 150mg every 12 hours to 150mg once daily would provide similar systemic exposures in impaired patients to that of non-impaired patients receiving ivacaftor 150mg every 12 hours. </w:t>
      </w:r>
    </w:p>
    <w:p w:rsidR="00C51B50" w:rsidRPr="00F724C8" w:rsidRDefault="00C51B50" w:rsidP="009144E6">
      <w:r w:rsidRPr="00F724C8">
        <w:t>Other degrees of hepatic impairment (mild or severe) were not investigated. It would seem reasonable to suggest that higher exposures to ivacaftor and metabolites would result in patients with severe impairment compared to controls. Mild hepatic impairment is likely to result in some higher exposure but probably less that the two-fold increase observed in patients with moderate impairment alt</w:t>
      </w:r>
      <w:r w:rsidR="00955523">
        <w:t xml:space="preserve">hough this was not evaluated. </w:t>
      </w:r>
    </w:p>
    <w:p w:rsidR="00C51B50" w:rsidRPr="00F724C8" w:rsidRDefault="00C51B50" w:rsidP="009144E6">
      <w:pPr>
        <w:pStyle w:val="Heading5"/>
      </w:pPr>
      <w:bookmarkStart w:id="47" w:name="_Toc290888788"/>
      <w:bookmarkStart w:id="48" w:name="_Toc341441396"/>
      <w:r w:rsidRPr="00F724C8">
        <w:t>Pharmacokinetics in subjects with impaired renal function</w:t>
      </w:r>
      <w:bookmarkEnd w:id="47"/>
      <w:bookmarkEnd w:id="48"/>
    </w:p>
    <w:p w:rsidR="00C51B50" w:rsidRPr="00F724C8" w:rsidRDefault="00C51B50" w:rsidP="009144E6">
      <w:r w:rsidRPr="00F724C8">
        <w:t>No studies were reported in renal impairment as the mass balance study showed that ivacaftor and its metabolites were only minimally excreted in urine. The lack of studies seems justified and no dose adjustment would appear to be necessary for mild to moderate renal impairment. The situation in severe renal impairment (</w:t>
      </w:r>
      <w:proofErr w:type="spellStart"/>
      <w:r w:rsidRPr="00F724C8">
        <w:t>CrCL</w:t>
      </w:r>
      <w:proofErr w:type="spellEnd"/>
      <w:r w:rsidRPr="00F724C8">
        <w:t>&lt;30ml/min) or end stage renal disease is not clear. Dosage adjustments could be necessary but the lack of data makes recommendations uncertain.</w:t>
      </w:r>
    </w:p>
    <w:p w:rsidR="00C51B50" w:rsidRPr="00F724C8" w:rsidRDefault="00C51B50" w:rsidP="009144E6">
      <w:pPr>
        <w:pStyle w:val="Heading5"/>
      </w:pPr>
      <w:bookmarkStart w:id="49" w:name="_Toc290888789"/>
      <w:bookmarkStart w:id="50" w:name="_Ref339448989"/>
      <w:bookmarkStart w:id="51" w:name="_Ref339453421"/>
      <w:bookmarkStart w:id="52" w:name="_Toc341441397"/>
      <w:r w:rsidRPr="00F724C8">
        <w:t>Pharmacokinetics according to age</w:t>
      </w:r>
      <w:bookmarkEnd w:id="49"/>
      <w:bookmarkEnd w:id="50"/>
      <w:bookmarkEnd w:id="51"/>
      <w:bookmarkEnd w:id="52"/>
    </w:p>
    <w:p w:rsidR="00C51B50" w:rsidRPr="00955523" w:rsidRDefault="00C51B50" w:rsidP="009144E6">
      <w:r w:rsidRPr="00955523">
        <w:t>A single dose PK study was conducted in nine children aged 6-11years (VX08-770-103). One subject received a single dose of ivacaftor on two occasions. The dose of ivacaftor was 150mg (tablet formulation) taken in the fed state. Mean PK parameters are reported in Table</w:t>
      </w:r>
      <w:r w:rsidR="00723157" w:rsidRPr="00955523">
        <w:t xml:space="preserve"> 2</w:t>
      </w:r>
      <w:r w:rsidRPr="00955523">
        <w:t xml:space="preserve"> however due to ethical considerations limited samples were collected and the results need to be interpreted cautiously. Overall, subjects aged 6 to 11 years with CF appeared to have faster elimination than adults with a shorter apparent half-life. M1 and M6 are major metabolites of ivacaftor in children 6 to 11 years of age, consistent with results in adults.</w:t>
      </w:r>
    </w:p>
    <w:p w:rsidR="00723157" w:rsidRPr="00723157" w:rsidRDefault="00723157" w:rsidP="009144E6">
      <w:pPr>
        <w:pStyle w:val="TableTitle"/>
      </w:pPr>
      <w:r>
        <w:lastRenderedPageBreak/>
        <w:t xml:space="preserve">Table 2. </w:t>
      </w:r>
      <w:r w:rsidRPr="00723157">
        <w:t>S</w:t>
      </w:r>
      <w:r w:rsidR="00CF3B52">
        <w:t>tudy VX08-770-103: PK Data for i</w:t>
      </w:r>
      <w:r w:rsidRPr="00723157">
        <w:t xml:space="preserve">vacaftor and </w:t>
      </w:r>
      <w:r w:rsidR="00CF3B52">
        <w:t>m</w:t>
      </w:r>
      <w:r w:rsidRPr="00723157">
        <w:t xml:space="preserve">etabolites in </w:t>
      </w:r>
      <w:r w:rsidR="00CF3B52">
        <w:t>c</w:t>
      </w:r>
      <w:r w:rsidRPr="00723157">
        <w:t>hildren</w:t>
      </w:r>
    </w:p>
    <w:p w:rsidR="00723157" w:rsidRPr="00F724C8" w:rsidRDefault="00723157" w:rsidP="009144E6">
      <w:r>
        <w:rPr>
          <w:noProof/>
          <w:lang w:eastAsia="en-AU"/>
        </w:rPr>
        <w:drawing>
          <wp:inline distT="0" distB="0" distL="0" distR="0">
            <wp:extent cx="5449611" cy="2069580"/>
            <wp:effectExtent l="19050" t="0" r="0" b="0"/>
            <wp:docPr id="6" name="Picture 2" descr="Table 2. Study VX08-770-103: PK Data for ivacaftor and metabolites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55616" cy="2071861"/>
                    </a:xfrm>
                    <a:prstGeom prst="rect">
                      <a:avLst/>
                    </a:prstGeom>
                    <a:noFill/>
                    <a:ln w="9525">
                      <a:noFill/>
                      <a:miter lim="800000"/>
                      <a:headEnd/>
                      <a:tailEnd/>
                    </a:ln>
                  </pic:spPr>
                </pic:pic>
              </a:graphicData>
            </a:graphic>
          </wp:inline>
        </w:drawing>
      </w:r>
    </w:p>
    <w:p w:rsidR="00C51B50" w:rsidRPr="00955523" w:rsidRDefault="00C51B50" w:rsidP="00792C8A">
      <w:r w:rsidRPr="00955523">
        <w:t xml:space="preserve">Population PK analysis was conducted  and predicted steady-state </w:t>
      </w:r>
      <w:proofErr w:type="spellStart"/>
      <w:r w:rsidRPr="00955523">
        <w:t>Cmin</w:t>
      </w:r>
      <w:proofErr w:type="spellEnd"/>
      <w:r w:rsidRPr="00955523">
        <w:t xml:space="preserve"> and AUC estimates for ivacaftor and its metabolites M1 and M6 by age groups (Report G198). The dataset included subjects age</w:t>
      </w:r>
      <w:r w:rsidR="00CF3B52">
        <w:t>d</w:t>
      </w:r>
      <w:r w:rsidRPr="00955523">
        <w:t xml:space="preserve"> 6 to 53 years. Compared to adult subjects, children (age 6 to 11 years) had approximately 52% and 8% higher mean and median </w:t>
      </w:r>
      <w:proofErr w:type="spellStart"/>
      <w:r w:rsidRPr="00955523">
        <w:t>Cmin</w:t>
      </w:r>
      <w:proofErr w:type="spellEnd"/>
      <w:r w:rsidRPr="00955523">
        <w:t xml:space="preserve"> of </w:t>
      </w:r>
      <w:proofErr w:type="spellStart"/>
      <w:r w:rsidRPr="00955523">
        <w:t>ivacaftor</w:t>
      </w:r>
      <w:proofErr w:type="spellEnd"/>
      <w:r w:rsidRPr="00955523">
        <w:t>, and approximately 2-fold higher mean and median AUC of ivacaftor. The PK variability in subjects age</w:t>
      </w:r>
      <w:r w:rsidR="00CF3B52">
        <w:t>d</w:t>
      </w:r>
      <w:r w:rsidRPr="00955523">
        <w:t xml:space="preserve"> 6 to 11 years was greater than in older subjects, especially for </w:t>
      </w:r>
      <w:proofErr w:type="spellStart"/>
      <w:r w:rsidRPr="00955523">
        <w:t>Cmin</w:t>
      </w:r>
      <w:proofErr w:type="spellEnd"/>
      <w:r w:rsidRPr="00955523">
        <w:t>. Because subjects age</w:t>
      </w:r>
      <w:r w:rsidR="00CF3B52">
        <w:t>d</w:t>
      </w:r>
      <w:r w:rsidRPr="00955523">
        <w:t xml:space="preserve"> 6 to 11 years have a lower absolute clearance than adults, the AUC is expected to be higher at the same dose and dose interval compared to adults. However, because subjects age</w:t>
      </w:r>
      <w:r w:rsidR="00CF3B52">
        <w:t>d</w:t>
      </w:r>
      <w:r w:rsidRPr="00955523">
        <w:t xml:space="preserve"> 6 to 11 years have faster elimination than adults, the same dose and dose interval was needed to achieve similar </w:t>
      </w:r>
      <w:proofErr w:type="spellStart"/>
      <w:r w:rsidRPr="00955523">
        <w:t>Cmin</w:t>
      </w:r>
      <w:proofErr w:type="spellEnd"/>
      <w:r w:rsidRPr="00955523">
        <w:t xml:space="preserve"> in 6- to 11-year-old subjects as in adults.</w:t>
      </w:r>
      <w:bookmarkStart w:id="53" w:name="_Toc290888790"/>
    </w:p>
    <w:p w:rsidR="00C51B50" w:rsidRPr="00F724C8" w:rsidRDefault="00C51B50" w:rsidP="00792C8A">
      <w:pPr>
        <w:pStyle w:val="Heading5"/>
      </w:pPr>
      <w:bookmarkStart w:id="54" w:name="_Toc341441398"/>
      <w:r w:rsidRPr="00F724C8">
        <w:t>Gender</w:t>
      </w:r>
      <w:bookmarkEnd w:id="54"/>
    </w:p>
    <w:p w:rsidR="00C51B50" w:rsidRPr="00955523" w:rsidRDefault="00C51B50" w:rsidP="00792C8A">
      <w:r w:rsidRPr="00955523">
        <w:t xml:space="preserve">Single-dose ivacaftor PK parameters were similar for male and female subjects (VX05-770-001). No effect of gender was seen for ivacaftor or M1 metabolite, but a gender effect was observed for M6 (an inactive metabolite) (VX08-809-005). After multiple doses of </w:t>
      </w:r>
      <w:proofErr w:type="spellStart"/>
      <w:r w:rsidRPr="00955523">
        <w:t>ivacaftor</w:t>
      </w:r>
      <w:proofErr w:type="spellEnd"/>
      <w:r w:rsidRPr="00955523">
        <w:t xml:space="preserve"> (Day 14), </w:t>
      </w:r>
      <w:proofErr w:type="spellStart"/>
      <w:r w:rsidRPr="00955523">
        <w:t>Cmax</w:t>
      </w:r>
      <w:proofErr w:type="spellEnd"/>
      <w:r w:rsidRPr="00955523">
        <w:t xml:space="preserve"> and AUC0-12 of M6 were approximately 3-fold higher in female subjects than in male subjects (VX08-809-005). Mean exposures of ivacaftor and M1 were similar in male healthy subjects (N = 38) and female healthy subjects (N = 32), and mean exposures of M6 were higher in female healthy subjects (VX09-770-008). There was no difference on the median time to reach the maximum concentrations of ivacaftor after dosing, indicating no gender effect on drug absorption. On Day 5, after administration of ivacaftor at 150 mg q12h or 450 mg q12h, the mean </w:t>
      </w:r>
      <w:proofErr w:type="spellStart"/>
      <w:r w:rsidRPr="00955523">
        <w:t>Cmax</w:t>
      </w:r>
      <w:proofErr w:type="spellEnd"/>
      <w:r w:rsidRPr="00955523">
        <w:t xml:space="preserve"> and AUC for M6 in </w:t>
      </w:r>
      <w:r w:rsidR="00CF3B52">
        <w:t>females were approximately 1.55</w:t>
      </w:r>
      <w:r w:rsidRPr="00955523">
        <w:t xml:space="preserve"> to 1.74</w:t>
      </w:r>
      <w:r w:rsidR="00CF3B52">
        <w:t>-</w:t>
      </w:r>
      <w:r w:rsidRPr="00955523">
        <w:t>fold higher than in males.</w:t>
      </w:r>
    </w:p>
    <w:p w:rsidR="00C51B50" w:rsidRPr="00955523" w:rsidRDefault="00C51B50" w:rsidP="00792C8A">
      <w:r w:rsidRPr="00955523">
        <w:t xml:space="preserve">The effect of gender on PK was also </w:t>
      </w:r>
      <w:proofErr w:type="spellStart"/>
      <w:r w:rsidRPr="00955523">
        <w:t>analyzed</w:t>
      </w:r>
      <w:proofErr w:type="spellEnd"/>
      <w:r w:rsidRPr="00955523">
        <w:t xml:space="preserve"> by population PK analyses on pooled data from Phase 2/3 studies (101, 102, 103 and 104) and Phase 1 studies (002, 007, and 010). No effect of gender on CL/F of ivacaftor, M1, or M6 was detected in the population model. One potential reason for the apparent difference from single and multiple dose PK studies could be that the population PK model included weight as a covariate, and that weight and gender are correlated, with females generally having lower weights. The population estimates resulted in a good fit of the individual data (Report G198).</w:t>
      </w:r>
    </w:p>
    <w:p w:rsidR="00C51B50" w:rsidRPr="00F724C8" w:rsidRDefault="00C51B50" w:rsidP="00792C8A">
      <w:pPr>
        <w:pStyle w:val="Heading4"/>
      </w:pPr>
      <w:bookmarkStart w:id="55" w:name="_Toc341441399"/>
      <w:r w:rsidRPr="00F724C8">
        <w:t>Pharmacokinetics related to genetic factors</w:t>
      </w:r>
      <w:bookmarkEnd w:id="53"/>
      <w:bookmarkEnd w:id="55"/>
    </w:p>
    <w:p w:rsidR="00C51B50" w:rsidRPr="00955523" w:rsidRDefault="00792C8A" w:rsidP="00792C8A">
      <w:r>
        <w:t>No data was provided.</w:t>
      </w:r>
    </w:p>
    <w:p w:rsidR="00C51B50" w:rsidRPr="00F724C8" w:rsidRDefault="00C51B50" w:rsidP="00792C8A">
      <w:pPr>
        <w:pStyle w:val="Heading4"/>
      </w:pPr>
      <w:bookmarkStart w:id="56" w:name="_Toc290888792"/>
      <w:bookmarkStart w:id="57" w:name="_Toc341441400"/>
      <w:r w:rsidRPr="00F724C8">
        <w:t>Pharmacokinetic interactions</w:t>
      </w:r>
      <w:bookmarkStart w:id="58" w:name="_Toc290888793"/>
      <w:bookmarkEnd w:id="56"/>
      <w:bookmarkEnd w:id="57"/>
    </w:p>
    <w:p w:rsidR="00C51B50" w:rsidRPr="00F724C8" w:rsidRDefault="00C51B50" w:rsidP="00792C8A">
      <w:pPr>
        <w:pStyle w:val="Heading5"/>
      </w:pPr>
      <w:bookmarkStart w:id="59" w:name="_Toc341441401"/>
      <w:r w:rsidRPr="00F724C8">
        <w:t>Pharmacokinetic interactions demonstrated in human studies</w:t>
      </w:r>
      <w:bookmarkEnd w:id="58"/>
      <w:bookmarkEnd w:id="59"/>
    </w:p>
    <w:p w:rsidR="00C51B50" w:rsidRPr="0007578F" w:rsidRDefault="00C51B50" w:rsidP="00792C8A">
      <w:r w:rsidRPr="0007578F">
        <w:t>The effects of multiple doses of the CYP3A inhibitor ketoconazole on the single-dose PK of 150 mg of ivacaftor in the fasted state were evaluated in 24 healthy male volunteers (VX08-770-</w:t>
      </w:r>
      <w:r w:rsidRPr="0007578F">
        <w:lastRenderedPageBreak/>
        <w:t>006). Ketoconazole increased ivacaftor AUC</w:t>
      </w:r>
      <w:r w:rsidRPr="0007578F">
        <w:rPr>
          <w:vertAlign w:val="subscript"/>
        </w:rPr>
        <w:t>0-∞</w:t>
      </w:r>
      <w:r w:rsidRPr="0007578F">
        <w:t xml:space="preserve"> by about 8.5-fold and </w:t>
      </w:r>
      <w:proofErr w:type="spellStart"/>
      <w:r w:rsidRPr="0007578F">
        <w:t>Cmax</w:t>
      </w:r>
      <w:proofErr w:type="spellEnd"/>
      <w:r w:rsidRPr="0007578F">
        <w:t xml:space="preserve"> 2.7-fold. The M1 metabolite AUC increased 1.7-fold while </w:t>
      </w:r>
      <w:proofErr w:type="spellStart"/>
      <w:r w:rsidRPr="0007578F">
        <w:t>Cmax</w:t>
      </w:r>
      <w:proofErr w:type="spellEnd"/>
      <w:r w:rsidRPr="0007578F">
        <w:t xml:space="preserve"> was decreased by 77%, and decreased both the AUC and </w:t>
      </w:r>
      <w:proofErr w:type="spellStart"/>
      <w:r w:rsidRPr="0007578F">
        <w:t>Cmax</w:t>
      </w:r>
      <w:proofErr w:type="spellEnd"/>
      <w:r w:rsidRPr="0007578F">
        <w:t xml:space="preserve"> of M6 by approximately 70% and 94%, respectively. These results show that CYP3A is a CYP </w:t>
      </w:r>
      <w:proofErr w:type="spellStart"/>
      <w:r w:rsidRPr="0007578F">
        <w:t>isozyme</w:t>
      </w:r>
      <w:proofErr w:type="spellEnd"/>
      <w:r w:rsidRPr="0007578F">
        <w:t xml:space="preserve"> responsible for </w:t>
      </w:r>
      <w:proofErr w:type="spellStart"/>
      <w:r w:rsidRPr="0007578F">
        <w:t>ivacaftor</w:t>
      </w:r>
      <w:proofErr w:type="spellEnd"/>
      <w:r w:rsidRPr="0007578F">
        <w:t xml:space="preserve"> metabolism. </w:t>
      </w:r>
    </w:p>
    <w:p w:rsidR="00C51B50" w:rsidRPr="0007578F" w:rsidRDefault="00C51B50" w:rsidP="00792C8A">
      <w:r w:rsidRPr="0007578F">
        <w:t xml:space="preserve">A similar study examined the effects of multiple doses of </w:t>
      </w:r>
      <w:proofErr w:type="spellStart"/>
      <w:r w:rsidRPr="0007578F">
        <w:t>fluconazole</w:t>
      </w:r>
      <w:proofErr w:type="spellEnd"/>
      <w:r w:rsidRPr="0007578F">
        <w:t xml:space="preserve"> on the multi-dose PK profile of ivacaftor in the fed state (VX09-770-010). Ivacaftor AUC</w:t>
      </w:r>
      <w:r w:rsidRPr="00CF3B52">
        <w:rPr>
          <w:vertAlign w:val="subscript"/>
        </w:rPr>
        <w:t>0-12</w:t>
      </w:r>
      <w:r w:rsidRPr="0007578F">
        <w:t xml:space="preserve"> increased approximately 3-fold and </w:t>
      </w:r>
      <w:proofErr w:type="spellStart"/>
      <w:r w:rsidRPr="0007578F">
        <w:t>Cmax</w:t>
      </w:r>
      <w:proofErr w:type="spellEnd"/>
      <w:r w:rsidRPr="0007578F">
        <w:t xml:space="preserve"> approximately 2.5-fold; M1 AUC</w:t>
      </w:r>
      <w:r w:rsidRPr="00CF3B52">
        <w:rPr>
          <w:vertAlign w:val="subscript"/>
        </w:rPr>
        <w:t>0-12</w:t>
      </w:r>
      <w:r w:rsidRPr="0007578F">
        <w:t xml:space="preserve"> increased approximately 1.9-fold and </w:t>
      </w:r>
      <w:proofErr w:type="spellStart"/>
      <w:r w:rsidRPr="0007578F">
        <w:t>Cmax</w:t>
      </w:r>
      <w:proofErr w:type="spellEnd"/>
      <w:r w:rsidRPr="0007578F">
        <w:t xml:space="preserve"> approximately 1.5-fold, and M6 AUC</w:t>
      </w:r>
      <w:r w:rsidRPr="00CF3B52">
        <w:rPr>
          <w:vertAlign w:val="subscript"/>
        </w:rPr>
        <w:t>0-12</w:t>
      </w:r>
      <w:r w:rsidRPr="0007578F">
        <w:t xml:space="preserve"> decreased by approximately 17% and </w:t>
      </w:r>
      <w:proofErr w:type="spellStart"/>
      <w:r w:rsidRPr="0007578F">
        <w:t>Cmax</w:t>
      </w:r>
      <w:proofErr w:type="spellEnd"/>
      <w:r w:rsidRPr="0007578F">
        <w:t xml:space="preserve"> by approximately 16%. </w:t>
      </w:r>
    </w:p>
    <w:p w:rsidR="00C51B50" w:rsidRPr="0007578F" w:rsidRDefault="00C51B50" w:rsidP="00792C8A">
      <w:r w:rsidRPr="0007578F">
        <w:t xml:space="preserve">Based on these results, ivacaftor should not be co-administered with strong inhibitors of CYP3A. </w:t>
      </w:r>
    </w:p>
    <w:p w:rsidR="00C51B50" w:rsidRPr="0007578F" w:rsidRDefault="00C51B50" w:rsidP="0007578F">
      <w:r w:rsidRPr="0007578F">
        <w:t xml:space="preserve">Co-administration of ivacaftor with the strong inducer of CYP3A </w:t>
      </w:r>
      <w:proofErr w:type="spellStart"/>
      <w:r w:rsidRPr="0007578F">
        <w:t>rifampicin</w:t>
      </w:r>
      <w:proofErr w:type="spellEnd"/>
      <w:r w:rsidRPr="0007578F">
        <w:t xml:space="preserve"> reduced </w:t>
      </w:r>
      <w:proofErr w:type="spellStart"/>
      <w:r w:rsidRPr="0007578F">
        <w:t>ivacaftor</w:t>
      </w:r>
      <w:proofErr w:type="spellEnd"/>
      <w:r w:rsidRPr="0007578F">
        <w:t xml:space="preserve"> exposure.  A single dose of ivacaftor (150 mg) was administered with or without </w:t>
      </w:r>
      <w:proofErr w:type="spellStart"/>
      <w:r w:rsidRPr="0007578F">
        <w:t>rifampicin</w:t>
      </w:r>
      <w:proofErr w:type="spellEnd"/>
      <w:r w:rsidRPr="0007578F">
        <w:t xml:space="preserve"> (600 mg </w:t>
      </w:r>
      <w:proofErr w:type="spellStart"/>
      <w:r w:rsidRPr="0007578F">
        <w:t>qd</w:t>
      </w:r>
      <w:proofErr w:type="spellEnd"/>
      <w:r w:rsidRPr="0007578F">
        <w:t xml:space="preserve"> for 10 days) (VX09-770-009). Ivacaftor AUC</w:t>
      </w:r>
      <w:r w:rsidRPr="0007578F">
        <w:rPr>
          <w:vertAlign w:val="subscript"/>
        </w:rPr>
        <w:t>0-last</w:t>
      </w:r>
      <w:r w:rsidRPr="0007578F">
        <w:t xml:space="preserve"> decreased by 89% and </w:t>
      </w:r>
      <w:proofErr w:type="spellStart"/>
      <w:r w:rsidRPr="0007578F">
        <w:t>Cmax</w:t>
      </w:r>
      <w:proofErr w:type="spellEnd"/>
      <w:r w:rsidRPr="0007578F">
        <w:t xml:space="preserve"> by 80%. M1 AUC</w:t>
      </w:r>
      <w:r w:rsidRPr="0007578F">
        <w:rPr>
          <w:vertAlign w:val="subscript"/>
        </w:rPr>
        <w:t>0-last</w:t>
      </w:r>
      <w:r w:rsidRPr="0007578F">
        <w:t xml:space="preserve"> was decreased by 75% and </w:t>
      </w:r>
      <w:proofErr w:type="spellStart"/>
      <w:r w:rsidRPr="0007578F">
        <w:t>Cmax</w:t>
      </w:r>
      <w:proofErr w:type="spellEnd"/>
      <w:r w:rsidRPr="0007578F">
        <w:t xml:space="preserve"> by 39%. M6 </w:t>
      </w:r>
      <w:proofErr w:type="spellStart"/>
      <w:r w:rsidRPr="0007578F">
        <w:t>Cmax</w:t>
      </w:r>
      <w:proofErr w:type="spellEnd"/>
      <w:r w:rsidRPr="0007578F">
        <w:t xml:space="preserve"> was increased to 4.8-fold and AUC</w:t>
      </w:r>
      <w:r w:rsidRPr="00CF3B52">
        <w:rPr>
          <w:vertAlign w:val="subscript"/>
        </w:rPr>
        <w:t>0-last</w:t>
      </w:r>
      <w:r w:rsidRPr="0007578F">
        <w:t xml:space="preserve"> to 1.9-fold. Thus, co-administration of ivacaftor with inducers of CYP3A is likely to lead to decreased systemic exposure with possible loss of efficacy.</w:t>
      </w:r>
    </w:p>
    <w:p w:rsidR="00C51B50" w:rsidRPr="0007578F" w:rsidRDefault="00C51B50" w:rsidP="00792C8A">
      <w:r w:rsidRPr="0007578F">
        <w:t xml:space="preserve">The effect of steady-state ivacaftor on the PK parameters of a single dose of </w:t>
      </w:r>
      <w:proofErr w:type="spellStart"/>
      <w:r w:rsidRPr="0007578F">
        <w:t>midazolam</w:t>
      </w:r>
      <w:proofErr w:type="spellEnd"/>
      <w:r w:rsidRPr="0007578F">
        <w:t xml:space="preserve"> and its metabolite 1</w:t>
      </w:r>
      <w:r w:rsidR="00F0113C" w:rsidRPr="0007578F">
        <w:t>’</w:t>
      </w:r>
      <w:r w:rsidRPr="0007578F">
        <w:t xml:space="preserve">-hydroxy-midazolam was investigated in healthy </w:t>
      </w:r>
      <w:r w:rsidR="000B50E3" w:rsidRPr="0007578F">
        <w:t xml:space="preserve">male and female </w:t>
      </w:r>
      <w:r w:rsidRPr="0007578F">
        <w:t xml:space="preserve">volunteers (VX09-770-010). </w:t>
      </w:r>
      <w:proofErr w:type="spellStart"/>
      <w:r w:rsidRPr="0007578F">
        <w:t>Iv</w:t>
      </w:r>
      <w:r w:rsidR="00CF3B52">
        <w:t>acaftor</w:t>
      </w:r>
      <w:proofErr w:type="spellEnd"/>
      <w:r w:rsidR="00CF3B52">
        <w:t xml:space="preserve"> increased </w:t>
      </w:r>
      <w:proofErr w:type="spellStart"/>
      <w:r w:rsidR="00CF3B52">
        <w:t>midazolam</w:t>
      </w:r>
      <w:proofErr w:type="spellEnd"/>
      <w:r w:rsidR="00CF3B52">
        <w:t xml:space="preserve"> AUC</w:t>
      </w:r>
      <w:r w:rsidRPr="00CF3B52">
        <w:rPr>
          <w:vertAlign w:val="subscript"/>
        </w:rPr>
        <w:t>0-∞</w:t>
      </w:r>
      <w:r w:rsidRPr="0007578F">
        <w:t xml:space="preserve"> about 1.5-fold and </w:t>
      </w:r>
      <w:proofErr w:type="spellStart"/>
      <w:r w:rsidRPr="0007578F">
        <w:t>Cmax</w:t>
      </w:r>
      <w:proofErr w:type="spellEnd"/>
      <w:r w:rsidRPr="0007578F">
        <w:t xml:space="preserve"> 1.4-fold. Exposure to 1’-hydroxy-midazolam was unaffected. The results confirm ivacaftor as a CYP3A inhibitor. </w:t>
      </w:r>
    </w:p>
    <w:p w:rsidR="00C51B50" w:rsidRPr="0007578F" w:rsidRDefault="00C51B50" w:rsidP="00792C8A">
      <w:r w:rsidRPr="0007578F">
        <w:t xml:space="preserve">The PK of </w:t>
      </w:r>
      <w:proofErr w:type="spellStart"/>
      <w:r w:rsidRPr="0007578F">
        <w:t>rosiglitazone</w:t>
      </w:r>
      <w:proofErr w:type="spellEnd"/>
      <w:r w:rsidRPr="0007578F">
        <w:t xml:space="preserve"> was assessed when administered with ivacaftor during multiple dosing to steady-state (VX09-770-010). Systemic exposure to </w:t>
      </w:r>
      <w:proofErr w:type="spellStart"/>
      <w:r w:rsidRPr="0007578F">
        <w:t>rosiglitazone</w:t>
      </w:r>
      <w:proofErr w:type="spellEnd"/>
      <w:r w:rsidRPr="0007578F">
        <w:t xml:space="preserve"> was unaffected. Ivacaftor does not inhibit CYP2C8. Similarly </w:t>
      </w:r>
      <w:proofErr w:type="spellStart"/>
      <w:r w:rsidRPr="0007578F">
        <w:t>desipramine</w:t>
      </w:r>
      <w:proofErr w:type="spellEnd"/>
      <w:r w:rsidRPr="0007578F">
        <w:t xml:space="preserve"> single dose PK was not affected when administered during a multiple dose administration of ivacaftor (VX10-770-011). Conversion of </w:t>
      </w:r>
      <w:proofErr w:type="spellStart"/>
      <w:r w:rsidRPr="0007578F">
        <w:t>desipramine</w:t>
      </w:r>
      <w:proofErr w:type="spellEnd"/>
      <w:r w:rsidRPr="0007578F">
        <w:t xml:space="preserve"> to its 2-hydroxy metabolite is dep</w:t>
      </w:r>
      <w:r w:rsidR="0007578F" w:rsidRPr="0007578F">
        <w:t>endent on CYP2D6 and was not al</w:t>
      </w:r>
      <w:r w:rsidRPr="0007578F">
        <w:t>ter</w:t>
      </w:r>
      <w:r w:rsidR="0007578F" w:rsidRPr="0007578F">
        <w:t>e</w:t>
      </w:r>
      <w:r w:rsidRPr="0007578F">
        <w:t>d by ivacaftor suggesting that ivacaftor is not an inhibitor of CYP2D6.</w:t>
      </w:r>
    </w:p>
    <w:p w:rsidR="00C51B50" w:rsidRPr="0007578F" w:rsidRDefault="00C51B50" w:rsidP="00792C8A">
      <w:r w:rsidRPr="0007578F">
        <w:t>The potential interaction between ivacaftor (150 mg q12h for 28 days) and a hormona</w:t>
      </w:r>
      <w:r w:rsidR="0007578F">
        <w:t xml:space="preserve">l oral contraceptive containing </w:t>
      </w:r>
      <w:proofErr w:type="spellStart"/>
      <w:r w:rsidRPr="0007578F">
        <w:t>ethinyl</w:t>
      </w:r>
      <w:proofErr w:type="spellEnd"/>
      <w:r w:rsidRPr="0007578F">
        <w:t xml:space="preserve"> </w:t>
      </w:r>
      <w:proofErr w:type="spellStart"/>
      <w:r w:rsidRPr="0007578F">
        <w:t>estradiol</w:t>
      </w:r>
      <w:proofErr w:type="spellEnd"/>
      <w:r w:rsidRPr="0007578F">
        <w:t xml:space="preserve"> [EE] (35 µg) and </w:t>
      </w:r>
      <w:proofErr w:type="spellStart"/>
      <w:r w:rsidRPr="0007578F">
        <w:t>norethisterone</w:t>
      </w:r>
      <w:proofErr w:type="spellEnd"/>
      <w:r w:rsidRPr="0007578F">
        <w:t xml:space="preserve"> [NE], (500 µg) was evaluated in healthy female volunteers (VX08-770-005). Each subject received a 21-Day cycle of the OC alone and a 21-Day cycle of the OC in combination with ivacaftor. Co-administration of ivacaftor with OC showed no statistically significant effects on the AUC 0-τ or total exposure of EE and NE, although there was an increase in the </w:t>
      </w:r>
      <w:proofErr w:type="spellStart"/>
      <w:r w:rsidRPr="0007578F">
        <w:t>Cmax</w:t>
      </w:r>
      <w:proofErr w:type="spellEnd"/>
      <w:r w:rsidRPr="0007578F">
        <w:t xml:space="preserve"> for EE of 1.2-fold compared with OC administered alone. Overall, progesterone levels indicated that ovulation suppression was achieved for both OC alone and OC plus ivacaftor administrations. Measurement of surrogate markers of the PD effectiveness of OC, including LH, FSH, and progesterone, is mildly suggestive of a potential for increased effect when co-administered with ivacaftor. The point estimates of GLSMRs were 22.4%, 29.5%, and 11.5% lower in FSH, LH, and progesterone levels, respectively, after administration of ivacaftor + OC as compared with administration of OC alone at Day 21. The alteration suggests increased potential for </w:t>
      </w:r>
      <w:proofErr w:type="spellStart"/>
      <w:r w:rsidRPr="0007578F">
        <w:t>ovulatory</w:t>
      </w:r>
      <w:proofErr w:type="spellEnd"/>
      <w:r w:rsidRPr="0007578F">
        <w:t xml:space="preserve"> suppression; however, the clinical relevance of this finding is not clear. These results suggest that the clinical effect of OC would not likely be adversely impacted by co-administration with ivacaftor. Co-administration of OC with ivacaftor did not appear to affect the exposure of ivacaftor and its metabolites M1 and M6.</w:t>
      </w:r>
    </w:p>
    <w:p w:rsidR="00C51B50" w:rsidRPr="00F724C8" w:rsidRDefault="00C51B50" w:rsidP="00792C8A">
      <w:pPr>
        <w:pStyle w:val="Heading5"/>
      </w:pPr>
      <w:bookmarkStart w:id="60" w:name="_Toc290888794"/>
      <w:bookmarkStart w:id="61" w:name="_Toc341441402"/>
      <w:r w:rsidRPr="00F724C8">
        <w:t xml:space="preserve">Clinical implications of </w:t>
      </w:r>
      <w:r w:rsidRPr="004F4D54">
        <w:rPr>
          <w:iCs/>
        </w:rPr>
        <w:t>in vitro</w:t>
      </w:r>
      <w:r w:rsidRPr="00F724C8">
        <w:t xml:space="preserve"> findings</w:t>
      </w:r>
      <w:bookmarkEnd w:id="60"/>
      <w:bookmarkEnd w:id="61"/>
    </w:p>
    <w:p w:rsidR="00C51B50" w:rsidRPr="0007578F" w:rsidRDefault="00C51B50" w:rsidP="00792C8A">
      <w:r w:rsidRPr="0007578F">
        <w:t xml:space="preserve">Ivacaftor and M1 were metabolized </w:t>
      </w:r>
      <w:r w:rsidRPr="0007578F">
        <w:rPr>
          <w:i/>
          <w:iCs/>
        </w:rPr>
        <w:t>in vitro</w:t>
      </w:r>
      <w:r w:rsidRPr="0007578F">
        <w:t xml:space="preserve"> by recombinant cytochrome P450 (CYP) 3A4 and 3A5; whereas M6 was metabolically stable in a panel of 9 recombinant CYP </w:t>
      </w:r>
      <w:proofErr w:type="spellStart"/>
      <w:r w:rsidRPr="0007578F">
        <w:t>isozymes</w:t>
      </w:r>
      <w:proofErr w:type="spellEnd"/>
      <w:r w:rsidRPr="0007578F">
        <w:t xml:space="preserve"> (Report H191). </w:t>
      </w:r>
      <w:r w:rsidRPr="0007578F">
        <w:rPr>
          <w:i/>
          <w:iCs/>
        </w:rPr>
        <w:t>In vitro</w:t>
      </w:r>
      <w:r w:rsidRPr="0007578F">
        <w:t xml:space="preserve"> studies showed that ivacaftor as well as M1 have a potential for drug interactions through inhibition of CYP2C8, CYP2C9, and CYP3A. M6 was not a substantive inhibitor of CYP </w:t>
      </w:r>
      <w:proofErr w:type="spellStart"/>
      <w:r w:rsidRPr="0007578F">
        <w:t>isozymes</w:t>
      </w:r>
      <w:proofErr w:type="spellEnd"/>
      <w:r w:rsidRPr="0007578F">
        <w:t xml:space="preserve"> </w:t>
      </w:r>
      <w:r w:rsidRPr="0007578F">
        <w:rPr>
          <w:i/>
          <w:iCs/>
        </w:rPr>
        <w:t>in vitro</w:t>
      </w:r>
      <w:r w:rsidRPr="0007578F">
        <w:t xml:space="preserve">. </w:t>
      </w:r>
      <w:r w:rsidRPr="0007578F">
        <w:rPr>
          <w:i/>
          <w:iCs/>
        </w:rPr>
        <w:t>In vitro</w:t>
      </w:r>
      <w:r w:rsidRPr="0007578F">
        <w:t xml:space="preserve"> studies showed that ivacaftor and M6 may be metabolism-dependent inhibitors of CYP2D6 (Reports VX-770-DMPK-DM-039). The primary Phase I metabolism </w:t>
      </w:r>
      <w:r w:rsidRPr="0007578F">
        <w:lastRenderedPageBreak/>
        <w:t xml:space="preserve">occurred by oxidation, and the primary Phase II metabolism occurred by </w:t>
      </w:r>
      <w:proofErr w:type="spellStart"/>
      <w:r w:rsidRPr="0007578F">
        <w:t>glucuronic</w:t>
      </w:r>
      <w:proofErr w:type="spellEnd"/>
      <w:r w:rsidRPr="0007578F">
        <w:t xml:space="preserve"> acid conjugation of metabolites. </w:t>
      </w:r>
    </w:p>
    <w:p w:rsidR="00C51B50" w:rsidRPr="0007578F" w:rsidRDefault="00C51B50" w:rsidP="00792C8A">
      <w:r w:rsidRPr="0007578F">
        <w:rPr>
          <w:i/>
          <w:iCs/>
        </w:rPr>
        <w:t>In vitro</w:t>
      </w:r>
      <w:r w:rsidRPr="0007578F">
        <w:t xml:space="preserve"> studies of ivacaftor, M1, and M6 on </w:t>
      </w:r>
      <w:proofErr w:type="spellStart"/>
      <w:r w:rsidRPr="0007578F">
        <w:t>isozyme</w:t>
      </w:r>
      <w:proofErr w:type="spellEnd"/>
      <w:r w:rsidRPr="0007578F">
        <w:t>-selective CYP activities in cultured human hepatocytes indicated that ivacaftor, M1, and M6 were not inducers of CYP1A2, CYP2A6, CYP2B6, CYP2C8, CYP2C9, CYP2C19, or CYP3A4/5 (Report VX-770-DMPK-DM-038).</w:t>
      </w:r>
    </w:p>
    <w:p w:rsidR="00C51B50" w:rsidRPr="00F724C8" w:rsidRDefault="00C51B50" w:rsidP="00792C8A">
      <w:pPr>
        <w:pStyle w:val="Heading3"/>
      </w:pPr>
      <w:bookmarkStart w:id="62" w:name="_Toc290888795"/>
      <w:bookmarkStart w:id="63" w:name="_Toc341441403"/>
      <w:bookmarkStart w:id="64" w:name="_Toc375055424"/>
      <w:r w:rsidRPr="00F724C8">
        <w:t>Evaluator’s overall conclusions on pharmacokinetics</w:t>
      </w:r>
      <w:bookmarkEnd w:id="62"/>
      <w:bookmarkEnd w:id="63"/>
      <w:bookmarkEnd w:id="64"/>
    </w:p>
    <w:p w:rsidR="00C51B50" w:rsidRPr="0007578F" w:rsidRDefault="00C51B50" w:rsidP="00792C8A">
      <w:r w:rsidRPr="0007578F">
        <w:t xml:space="preserve">The sponsor has provided an extensive range of PK studies evaluating single and multiple doses of ivacaftor in healthy subjects and in patients with the target condition, cystic fibrosis.  Generally, the majority of studies have been performed to a high standard and </w:t>
      </w:r>
      <w:r w:rsidRPr="005C44B7">
        <w:rPr>
          <w:i/>
          <w:iCs/>
        </w:rPr>
        <w:t>a priori</w:t>
      </w:r>
      <w:r w:rsidRPr="0007578F">
        <w:t xml:space="preserve"> power analysis has been undertaken to justify sample sizes. There were some studies where power was inadequate and these have been acknowledged by the sponsor. Principally these were in studies of the PK in children, where relatively small numbers participated and sampling times were probably inadequate to reliably assess the parameters (particularly terminal elimination half-life). Drug-drug interaction studies have primarily focused on the medications with effects on CYP3A, as ivacaftor is primarily metabolised by this cytochrome subgroup.  Special population PK studies have been conducted but there were no studies in renal impairment. This was justified by the sponsor on the basis that ivacaftor is only minimally excreted in the urine. On the other hand, a study in severe renal failure or End Stage Renal Disease might be useful. It seems unlikely that there would be any major changes in PK that could affect clinical outcome but there are no data. Given that the treatment of CF is likely to involve the concomitant use of multiple medications (at times) the DDI studies presented did not appear to focus specifically on such poly-pharmacy situations and the assessment of either the PK (or PD) effects on ivacaftor. </w:t>
      </w:r>
    </w:p>
    <w:p w:rsidR="00C51B50" w:rsidRPr="0007578F" w:rsidRDefault="00C51B50" w:rsidP="00792C8A">
      <w:r w:rsidRPr="0007578F">
        <w:t>The proposed PI reflects adequately the PK studies that have been performed and provides suitable warnings about the potential for drug-drug interactions based on the studies that have been performed as well as theoretical possibilities given the known metabolic pathways for ivacaftor. However, lack of evaluation in patients with mild hepatic impairment needs to be stated more clearly in the PI</w:t>
      </w:r>
      <w:r w:rsidR="00E15205" w:rsidRPr="0007578F">
        <w:t>.</w:t>
      </w:r>
    </w:p>
    <w:p w:rsidR="00586F98" w:rsidRDefault="00586F98" w:rsidP="00792C8A">
      <w:pPr>
        <w:pStyle w:val="Heading2"/>
      </w:pPr>
      <w:bookmarkStart w:id="65" w:name="_Toc375055425"/>
      <w:r>
        <w:t>Pharmacodynamics</w:t>
      </w:r>
      <w:bookmarkEnd w:id="65"/>
    </w:p>
    <w:p w:rsidR="009D2F4B" w:rsidRPr="002214DD" w:rsidRDefault="009D2F4B" w:rsidP="00792C8A">
      <w:pPr>
        <w:pStyle w:val="Heading3"/>
      </w:pPr>
      <w:bookmarkStart w:id="66" w:name="_Toc272414637"/>
      <w:bookmarkStart w:id="67" w:name="_Toc290846260"/>
      <w:bookmarkStart w:id="68" w:name="_Toc341441405"/>
      <w:bookmarkStart w:id="69" w:name="_Toc375055426"/>
      <w:r w:rsidRPr="002214DD">
        <w:t>Studies providing pharmacodynamic data</w:t>
      </w:r>
      <w:bookmarkEnd w:id="66"/>
      <w:bookmarkEnd w:id="67"/>
      <w:bookmarkEnd w:id="68"/>
      <w:bookmarkEnd w:id="69"/>
    </w:p>
    <w:p w:rsidR="009D2F4B" w:rsidRPr="002214DD" w:rsidRDefault="009D2F4B" w:rsidP="00792C8A">
      <w:r>
        <w:t xml:space="preserve">Table 3, below </w:t>
      </w:r>
      <w:r w:rsidRPr="002214DD">
        <w:t>shows the studies relating to each pharmacodynamic topic.</w:t>
      </w:r>
    </w:p>
    <w:p w:rsidR="009D2F4B" w:rsidRPr="00D109C2" w:rsidRDefault="009D2F4B" w:rsidP="00792C8A">
      <w:pPr>
        <w:pStyle w:val="TableTitle"/>
      </w:pPr>
      <w:bookmarkStart w:id="70" w:name="_Ref269985397"/>
      <w:bookmarkStart w:id="71" w:name="_Toc290888902"/>
      <w:bookmarkStart w:id="72" w:name="_Toc341441512"/>
      <w:r w:rsidRPr="00D109C2">
        <w:t>Table</w:t>
      </w:r>
      <w:bookmarkEnd w:id="70"/>
      <w:r w:rsidRPr="00D109C2">
        <w:t>3. Submitted pharmacodynamic studies.</w:t>
      </w:r>
      <w:bookmarkEnd w:id="71"/>
      <w:bookmarkEnd w:id="72"/>
    </w:p>
    <w:tbl>
      <w:tblPr>
        <w:tblStyle w:val="TableTGAblue"/>
        <w:tblW w:w="7826" w:type="dxa"/>
        <w:tblInd w:w="108" w:type="dxa"/>
        <w:tblLayout w:type="fixed"/>
        <w:tblLook w:val="04A0"/>
      </w:tblPr>
      <w:tblGrid>
        <w:gridCol w:w="2268"/>
        <w:gridCol w:w="3119"/>
        <w:gridCol w:w="2439"/>
      </w:tblGrid>
      <w:tr w:rsidR="00D109C2" w:rsidRPr="00D109C2" w:rsidTr="00D109C2">
        <w:trPr>
          <w:cnfStyle w:val="100000000000"/>
          <w:tblHeader/>
        </w:trPr>
        <w:tc>
          <w:tcPr>
            <w:cnfStyle w:val="001000000000"/>
            <w:tcW w:w="2268" w:type="dxa"/>
          </w:tcPr>
          <w:p w:rsidR="00D109C2" w:rsidRPr="00D109C2" w:rsidRDefault="00D109C2" w:rsidP="00792C8A">
            <w:pPr>
              <w:tabs>
                <w:tab w:val="left" w:pos="2019"/>
                <w:tab w:val="left" w:pos="2052"/>
              </w:tabs>
              <w:ind w:left="34" w:right="33"/>
            </w:pPr>
            <w:r w:rsidRPr="00D109C2">
              <w:t>PD Topic</w:t>
            </w:r>
          </w:p>
        </w:tc>
        <w:tc>
          <w:tcPr>
            <w:tcW w:w="3119" w:type="dxa"/>
          </w:tcPr>
          <w:p w:rsidR="00D109C2" w:rsidRPr="00D109C2" w:rsidRDefault="00D109C2" w:rsidP="00792C8A">
            <w:pPr>
              <w:ind w:left="34" w:right="34"/>
              <w:cnfStyle w:val="100000000000"/>
            </w:pPr>
            <w:r w:rsidRPr="00D109C2">
              <w:t>Subtopic</w:t>
            </w:r>
          </w:p>
        </w:tc>
        <w:tc>
          <w:tcPr>
            <w:tcW w:w="2439" w:type="dxa"/>
          </w:tcPr>
          <w:p w:rsidR="00D109C2" w:rsidRPr="00D109C2" w:rsidRDefault="00D109C2" w:rsidP="00792C8A">
            <w:pPr>
              <w:ind w:left="34" w:right="0"/>
              <w:cnfStyle w:val="100000000000"/>
            </w:pPr>
            <w:r w:rsidRPr="00D109C2">
              <w:t>Study ID</w:t>
            </w:r>
          </w:p>
        </w:tc>
      </w:tr>
      <w:tr w:rsidR="00D109C2" w:rsidRPr="00D109C2" w:rsidTr="00D109C2">
        <w:tc>
          <w:tcPr>
            <w:cnfStyle w:val="001000000000"/>
            <w:tcW w:w="2268" w:type="dxa"/>
          </w:tcPr>
          <w:p w:rsidR="00D109C2" w:rsidRPr="00D109C2" w:rsidRDefault="00D109C2" w:rsidP="00792C8A">
            <w:pPr>
              <w:tabs>
                <w:tab w:val="left" w:pos="2019"/>
                <w:tab w:val="left" w:pos="2052"/>
              </w:tabs>
              <w:ind w:left="34" w:right="33"/>
              <w:rPr>
                <w:b/>
              </w:rPr>
            </w:pPr>
            <w:r w:rsidRPr="00D109C2">
              <w:rPr>
                <w:b/>
              </w:rPr>
              <w:t>Primary Pharmacology</w:t>
            </w:r>
          </w:p>
        </w:tc>
        <w:tc>
          <w:tcPr>
            <w:tcW w:w="3119" w:type="dxa"/>
          </w:tcPr>
          <w:p w:rsidR="00D109C2" w:rsidRPr="00D109C2" w:rsidRDefault="00D109C2" w:rsidP="00792C8A">
            <w:pPr>
              <w:ind w:left="34" w:right="34"/>
              <w:cnfStyle w:val="000000000000"/>
            </w:pPr>
            <w:r w:rsidRPr="00D109C2">
              <w:t>Effect on FEV1 and sweat Chloride ion</w:t>
            </w:r>
          </w:p>
        </w:tc>
        <w:tc>
          <w:tcPr>
            <w:tcW w:w="2439" w:type="dxa"/>
          </w:tcPr>
          <w:p w:rsidR="00D109C2" w:rsidRPr="00D109C2" w:rsidRDefault="00D109C2" w:rsidP="00792C8A">
            <w:pPr>
              <w:ind w:left="34" w:right="0"/>
              <w:cnfStyle w:val="000000000000"/>
            </w:pPr>
            <w:r w:rsidRPr="00D109C2">
              <w:t>VX06-770-101</w:t>
            </w:r>
          </w:p>
        </w:tc>
      </w:tr>
      <w:tr w:rsidR="00D109C2" w:rsidRPr="00D109C2" w:rsidTr="00D109C2">
        <w:tc>
          <w:tcPr>
            <w:cnfStyle w:val="001000000000"/>
            <w:tcW w:w="2268" w:type="dxa"/>
          </w:tcPr>
          <w:p w:rsidR="00D109C2" w:rsidRPr="00D109C2" w:rsidRDefault="00D109C2" w:rsidP="00792C8A">
            <w:pPr>
              <w:tabs>
                <w:tab w:val="left" w:pos="2019"/>
                <w:tab w:val="left" w:pos="2052"/>
              </w:tabs>
              <w:ind w:left="34" w:right="33"/>
              <w:rPr>
                <w:b/>
              </w:rPr>
            </w:pPr>
            <w:r w:rsidRPr="00D109C2">
              <w:rPr>
                <w:b/>
              </w:rPr>
              <w:t>Secondary Pharmacology</w:t>
            </w:r>
          </w:p>
        </w:tc>
        <w:tc>
          <w:tcPr>
            <w:tcW w:w="3119" w:type="dxa"/>
          </w:tcPr>
          <w:p w:rsidR="00D109C2" w:rsidRPr="00D109C2" w:rsidRDefault="00D109C2" w:rsidP="00792C8A">
            <w:pPr>
              <w:ind w:left="34" w:right="34"/>
              <w:cnfStyle w:val="000000000000"/>
            </w:pPr>
            <w:r w:rsidRPr="00D109C2">
              <w:t xml:space="preserve">Effect on </w:t>
            </w:r>
            <w:proofErr w:type="spellStart"/>
            <w:r w:rsidRPr="00D109C2">
              <w:t>QTc</w:t>
            </w:r>
            <w:proofErr w:type="spellEnd"/>
            <w:r w:rsidRPr="00D109C2">
              <w:t xml:space="preserve"> interval</w:t>
            </w:r>
          </w:p>
        </w:tc>
        <w:tc>
          <w:tcPr>
            <w:tcW w:w="2439" w:type="dxa"/>
          </w:tcPr>
          <w:p w:rsidR="00D109C2" w:rsidRPr="00D109C2" w:rsidRDefault="00D109C2" w:rsidP="00792C8A">
            <w:pPr>
              <w:ind w:left="34" w:right="0"/>
              <w:cnfStyle w:val="000000000000"/>
            </w:pPr>
            <w:r w:rsidRPr="00D109C2">
              <w:t>VX09-770-008</w:t>
            </w:r>
          </w:p>
        </w:tc>
      </w:tr>
      <w:tr w:rsidR="00D109C2" w:rsidRPr="00D109C2" w:rsidTr="00D109C2">
        <w:tc>
          <w:tcPr>
            <w:cnfStyle w:val="001000000000"/>
            <w:tcW w:w="2268" w:type="dxa"/>
          </w:tcPr>
          <w:p w:rsidR="00D109C2" w:rsidRPr="00D109C2" w:rsidRDefault="00D109C2" w:rsidP="00792C8A">
            <w:pPr>
              <w:tabs>
                <w:tab w:val="left" w:pos="2019"/>
                <w:tab w:val="left" w:pos="2052"/>
              </w:tabs>
              <w:ind w:left="34" w:right="33"/>
              <w:rPr>
                <w:b/>
              </w:rPr>
            </w:pPr>
            <w:r w:rsidRPr="00D109C2">
              <w:rPr>
                <w:b/>
              </w:rPr>
              <w:t>Gender other genetic and Age-Related Differences in PD Response</w:t>
            </w:r>
          </w:p>
        </w:tc>
        <w:tc>
          <w:tcPr>
            <w:tcW w:w="3119" w:type="dxa"/>
          </w:tcPr>
          <w:p w:rsidR="00D109C2" w:rsidRPr="00D109C2" w:rsidRDefault="00D109C2" w:rsidP="00792C8A">
            <w:pPr>
              <w:ind w:left="34" w:right="34"/>
              <w:cnfStyle w:val="000000000000"/>
            </w:pPr>
            <w:r w:rsidRPr="00D109C2">
              <w:t>No studies</w:t>
            </w:r>
          </w:p>
        </w:tc>
        <w:tc>
          <w:tcPr>
            <w:tcW w:w="2439" w:type="dxa"/>
          </w:tcPr>
          <w:p w:rsidR="00D109C2" w:rsidRPr="00D109C2" w:rsidRDefault="00D109C2" w:rsidP="00792C8A">
            <w:pPr>
              <w:ind w:left="34" w:right="0"/>
              <w:cnfStyle w:val="000000000000"/>
            </w:pPr>
          </w:p>
        </w:tc>
      </w:tr>
      <w:tr w:rsidR="00D109C2" w:rsidRPr="00D109C2" w:rsidTr="00D109C2">
        <w:tc>
          <w:tcPr>
            <w:cnfStyle w:val="001000000000"/>
            <w:tcW w:w="2268" w:type="dxa"/>
          </w:tcPr>
          <w:p w:rsidR="00D109C2" w:rsidRPr="00D109C2" w:rsidRDefault="00D109C2" w:rsidP="00792C8A">
            <w:pPr>
              <w:tabs>
                <w:tab w:val="left" w:pos="2019"/>
                <w:tab w:val="left" w:pos="2052"/>
              </w:tabs>
              <w:ind w:left="34" w:right="33"/>
              <w:rPr>
                <w:b/>
              </w:rPr>
            </w:pPr>
            <w:r w:rsidRPr="00D109C2">
              <w:rPr>
                <w:b/>
              </w:rPr>
              <w:lastRenderedPageBreak/>
              <w:t>PD Interactions</w:t>
            </w:r>
          </w:p>
        </w:tc>
        <w:tc>
          <w:tcPr>
            <w:tcW w:w="3119" w:type="dxa"/>
          </w:tcPr>
          <w:p w:rsidR="00D109C2" w:rsidRPr="00D109C2" w:rsidRDefault="00D109C2" w:rsidP="00792C8A">
            <w:pPr>
              <w:ind w:left="34" w:right="34"/>
              <w:cnfStyle w:val="000000000000"/>
            </w:pPr>
            <w:r w:rsidRPr="00D109C2">
              <w:t>No studies</w:t>
            </w:r>
          </w:p>
        </w:tc>
        <w:tc>
          <w:tcPr>
            <w:tcW w:w="2439" w:type="dxa"/>
          </w:tcPr>
          <w:p w:rsidR="00D109C2" w:rsidRPr="00D109C2" w:rsidRDefault="00D109C2" w:rsidP="00792C8A">
            <w:pPr>
              <w:ind w:left="34" w:right="0"/>
              <w:cnfStyle w:val="000000000000"/>
            </w:pPr>
          </w:p>
        </w:tc>
      </w:tr>
      <w:tr w:rsidR="00D109C2" w:rsidRPr="00D109C2" w:rsidTr="00D109C2">
        <w:tc>
          <w:tcPr>
            <w:cnfStyle w:val="001000000000"/>
            <w:tcW w:w="2268" w:type="dxa"/>
          </w:tcPr>
          <w:p w:rsidR="00D109C2" w:rsidRPr="00D109C2" w:rsidRDefault="00D109C2" w:rsidP="00792C8A">
            <w:pPr>
              <w:tabs>
                <w:tab w:val="left" w:pos="2019"/>
                <w:tab w:val="left" w:pos="2052"/>
              </w:tabs>
              <w:ind w:left="34" w:right="33"/>
              <w:rPr>
                <w:b/>
              </w:rPr>
            </w:pPr>
            <w:r w:rsidRPr="00D109C2">
              <w:rPr>
                <w:b/>
              </w:rPr>
              <w:t>Population PD and PK PD analyses</w:t>
            </w:r>
          </w:p>
        </w:tc>
        <w:tc>
          <w:tcPr>
            <w:tcW w:w="3119" w:type="dxa"/>
          </w:tcPr>
          <w:p w:rsidR="00D109C2" w:rsidRPr="00D109C2" w:rsidRDefault="00D109C2" w:rsidP="00792C8A">
            <w:pPr>
              <w:ind w:left="34" w:right="34"/>
              <w:cnfStyle w:val="000000000000"/>
            </w:pPr>
            <w:r w:rsidRPr="00D109C2">
              <w:t>Target Population</w:t>
            </w:r>
            <w:r w:rsidR="009D2F4B" w:rsidRPr="00D109C2">
              <w:rPr>
                <w:vertAlign w:val="superscript"/>
              </w:rPr>
              <w:t>§</w:t>
            </w:r>
          </w:p>
        </w:tc>
        <w:tc>
          <w:tcPr>
            <w:tcW w:w="2439" w:type="dxa"/>
          </w:tcPr>
          <w:p w:rsidR="00D109C2" w:rsidRPr="00D109C2" w:rsidRDefault="00D109C2" w:rsidP="00792C8A">
            <w:pPr>
              <w:ind w:left="34" w:right="0"/>
              <w:cnfStyle w:val="000000000000"/>
            </w:pPr>
            <w:r w:rsidRPr="00D109C2">
              <w:t xml:space="preserve">Report </w:t>
            </w:r>
            <w:r w:rsidR="000B50E3">
              <w:t>G</w:t>
            </w:r>
            <w:r w:rsidRPr="00D109C2">
              <w:t>198</w:t>
            </w:r>
          </w:p>
        </w:tc>
      </w:tr>
    </w:tbl>
    <w:p w:rsidR="009D2F4B" w:rsidRPr="00D109C2" w:rsidRDefault="009D2F4B" w:rsidP="00792C8A">
      <w:pPr>
        <w:pStyle w:val="TableDescription"/>
      </w:pPr>
      <w:r w:rsidRPr="00D109C2">
        <w:t>§ Subjects who would be eligible to receive the drug if approved for the proposed indication.</w:t>
      </w:r>
    </w:p>
    <w:p w:rsidR="009D2F4B" w:rsidRPr="00102977" w:rsidRDefault="009D2F4B" w:rsidP="00792C8A">
      <w:r w:rsidRPr="00102977">
        <w:t xml:space="preserve">Adult subjects with CF who had at least 1 </w:t>
      </w:r>
      <w:r w:rsidRPr="00102977">
        <w:rPr>
          <w:i/>
          <w:iCs/>
        </w:rPr>
        <w:t>G551D-CFTR</w:t>
      </w:r>
      <w:r w:rsidRPr="00102977">
        <w:t xml:space="preserve"> allele treated with ivacaftor had increased forced expiratory volume in 1 second (FEV1; clinical endpoint) and responses of biomarkers of CFTR function (decreases in both sweat chloride and nasal potential difference [NPD]). Ivacaftor did not affect the </w:t>
      </w:r>
      <w:proofErr w:type="spellStart"/>
      <w:r w:rsidRPr="00102977">
        <w:t>QTcF</w:t>
      </w:r>
      <w:proofErr w:type="spellEnd"/>
      <w:r w:rsidRPr="00102977">
        <w:t xml:space="preserve"> of the ECG at either therapeutic or supra-therapeutic doses. A PK/PD model was developed to describe the minimum concentration of ivacaftor required to produce clinically significant alterations in FEV1 and sweat chloride. Based on the modelling a dose of 150mg every 12 hours would achieve the </w:t>
      </w:r>
      <w:proofErr w:type="spellStart"/>
      <w:r w:rsidRPr="00102977">
        <w:t>Cmin</w:t>
      </w:r>
      <w:proofErr w:type="spellEnd"/>
      <w:r w:rsidRPr="00102977">
        <w:t xml:space="preserve"> of ~423ng/ml needed to achieve an EC</w:t>
      </w:r>
      <w:r w:rsidRPr="00102977">
        <w:rPr>
          <w:vertAlign w:val="subscript"/>
        </w:rPr>
        <w:t>90</w:t>
      </w:r>
      <w:r w:rsidRPr="00102977">
        <w:t xml:space="preserve"> for FEV1 in adults and children. </w:t>
      </w:r>
    </w:p>
    <w:p w:rsidR="009D2F4B" w:rsidRPr="00B41859" w:rsidRDefault="009D2F4B" w:rsidP="00792C8A">
      <w:pPr>
        <w:pStyle w:val="Heading4"/>
      </w:pPr>
      <w:bookmarkStart w:id="73" w:name="_Toc290888799"/>
      <w:bookmarkStart w:id="74" w:name="_Toc341441406"/>
      <w:r w:rsidRPr="00B41859">
        <w:t>Mechanism of action</w:t>
      </w:r>
      <w:bookmarkEnd w:id="73"/>
      <w:bookmarkEnd w:id="74"/>
    </w:p>
    <w:p w:rsidR="009D2F4B" w:rsidRPr="00B41859" w:rsidRDefault="009D2F4B" w:rsidP="00A06807">
      <w:r w:rsidRPr="00B41859">
        <w:t xml:space="preserve">CFTR is an epithelial chloride channel responsible for aiding in the regulation of salt and water absorption and secretion in various tissues. Although CF affects multiple organs, the leading cause of mortality is the progressive loss of lung function. FEV1 is a validated clinical endpoint to assess the effect of therapies in CF lung disease. As ivacaftor affects the CFTR protein and increases channel activity it should result in increased chloride transport. The CFTR protein is expressed in sweat glands and in nasal epithelium, ivacaftor is expected to potentiate CFTR function in both these tissues. A decrease in either NPD or sweat chloride concentration is indicative of increased CFTR function. </w:t>
      </w:r>
    </w:p>
    <w:p w:rsidR="009D2F4B" w:rsidRPr="00B8733B" w:rsidRDefault="009D2F4B" w:rsidP="00A06807">
      <w:r w:rsidRPr="00102977">
        <w:t xml:space="preserve">Treatment with ivacaftor from 75 to 250 mg q12h of adult subjects with CF and the </w:t>
      </w:r>
      <w:r w:rsidRPr="00102977">
        <w:rPr>
          <w:i/>
          <w:iCs/>
        </w:rPr>
        <w:t>G551D-CFTR</w:t>
      </w:r>
      <w:r w:rsidRPr="00102977">
        <w:t xml:space="preserve"> mutation in at least 1 allele resulted in decreased sweat chloride and NPD values and increased FEV1 that was apparent by Day 3 for sweat chloride and FEV1 and by Day 14 for NPD [not measured earlier] and persisted through Day 14 in Part 1 and Day 28 in Part 2 (VX06-770-101).  Results for all 3 PD endpoints showed a statistically significant linear trend of increasing response with increasing dose. Significant mean changes from baseline in FEV1 (absolute volume, percent predicted, and relative change in percent predicted) were observed in the 75-, 150- and 250-mg ivacaftor groups at Day ≥3, Day 14, and Day ≥14, but not in the 25-mg ivacaftor group. The treatment differences between the 150-mg group were statistically significant in the Day 14 and Day ≥14 analyses compared to placebo.  A significant mean change from baseline in the zero chloride plus </w:t>
      </w:r>
      <w:proofErr w:type="spellStart"/>
      <w:r w:rsidRPr="00102977">
        <w:t>isoproterenol</w:t>
      </w:r>
      <w:proofErr w:type="spellEnd"/>
      <w:r w:rsidRPr="00102977">
        <w:t xml:space="preserve"> </w:t>
      </w:r>
      <w:r w:rsidR="00413BB0">
        <w:t xml:space="preserve">[Australian approved name </w:t>
      </w:r>
      <w:proofErr w:type="spellStart"/>
      <w:r w:rsidR="00413BB0">
        <w:t>isoprenaline</w:t>
      </w:r>
      <w:proofErr w:type="spellEnd"/>
      <w:r w:rsidR="00413BB0">
        <w:t xml:space="preserve">] </w:t>
      </w:r>
      <w:r w:rsidRPr="00102977">
        <w:t>response phase of the NPD measurement (greater negative ion current reflecting the flow of chloride across the cell membrane mediated by CFTR) was observed in the 75-, 150-, and 250-mg ivacaftor groups in the Day 14 and Day ≥14 analyses, but not in the 25-mg ivacaftor group. The treatment differences between the 150-mg</w:t>
      </w:r>
      <w:r w:rsidRPr="00B41859">
        <w:rPr>
          <w:color w:val="000000"/>
        </w:rPr>
        <w:t xml:space="preserve"> </w:t>
      </w:r>
      <w:r w:rsidRPr="00B8733B">
        <w:t>and 250-mg ivacaftor groups versus the placebo group were significant in the Day 14 and Day ≥14 analyses. A statistically significant decrease from baseline in maximum sweat chloride was observed in all ivacaftor groups (25-, 75-, 150-, and 250-mg) in the Day ≥3, Day 14, and Day ≥14 analyses which were significantly different from placebo in the Day ≥3, Day 14, and Day ≥14 analyses.</w:t>
      </w:r>
    </w:p>
    <w:p w:rsidR="009D2F4B" w:rsidRPr="00B41859" w:rsidRDefault="009D2F4B" w:rsidP="00A06807">
      <w:pPr>
        <w:pStyle w:val="Heading4"/>
      </w:pPr>
      <w:bookmarkStart w:id="75" w:name="_Toc341441407"/>
      <w:r w:rsidRPr="00D109C2">
        <w:t>Cardiac</w:t>
      </w:r>
      <w:r w:rsidRPr="00B41859">
        <w:t xml:space="preserve"> </w:t>
      </w:r>
      <w:r w:rsidR="00A06807">
        <w:t>s</w:t>
      </w:r>
      <w:r w:rsidRPr="00B41859">
        <w:t>afety</w:t>
      </w:r>
      <w:bookmarkEnd w:id="75"/>
    </w:p>
    <w:p w:rsidR="00D109C2" w:rsidRPr="00B8733B" w:rsidRDefault="009D2F4B" w:rsidP="00A06807">
      <w:r w:rsidRPr="00B8733B">
        <w:t>A randomized, placebo- and active-controlled, 4-treatment, double-blind, 4-period crossover study conducted in 72 healthy male and female subjects to assess the effect of ivacaftor on cardiac safety (Study VX09-770-008). ECG data were collected using continuous 12-lead ECG recording. The therapeutic dose was 150 mg ivacaftor q12h on Day 1 through the morning dose on Day 5; the supra</w:t>
      </w:r>
      <w:r w:rsidR="00A069F9">
        <w:t>-</w:t>
      </w:r>
      <w:r w:rsidRPr="00B8733B">
        <w:t xml:space="preserve">therapeutic dose was 450 mg ivacaftor q12h on Day 1 through the morning </w:t>
      </w:r>
      <w:r w:rsidRPr="00B8733B">
        <w:lastRenderedPageBreak/>
        <w:t xml:space="preserve">dose on Day 5. The placebo control was placebo q12h on Day 1 through the morning dose on Day 5; and the positive control was placebo q12h on Days 1 to 4, and a single 400-mg dose of </w:t>
      </w:r>
      <w:proofErr w:type="spellStart"/>
      <w:r w:rsidRPr="00B8733B">
        <w:t>moxifloxacin</w:t>
      </w:r>
      <w:proofErr w:type="spellEnd"/>
      <w:r w:rsidRPr="00B8733B">
        <w:t xml:space="preserve"> in the morning of Day 5. The adjusted mean and 90% CI of time-matched placebo-subtracted change from baseline in </w:t>
      </w:r>
      <w:proofErr w:type="spellStart"/>
      <w:r w:rsidRPr="00B8733B">
        <w:t>QTcF</w:t>
      </w:r>
      <w:proofErr w:type="spellEnd"/>
      <w:r w:rsidRPr="00B8733B">
        <w:t xml:space="preserve"> interval on Day 5 for the different treatments is shown in Figure </w:t>
      </w:r>
      <w:r w:rsidR="00D109C2" w:rsidRPr="00B8733B">
        <w:t>1.</w:t>
      </w:r>
      <w:r w:rsidRPr="00B8733B">
        <w:t xml:space="preserve"> </w:t>
      </w:r>
    </w:p>
    <w:p w:rsidR="00D109C2" w:rsidRPr="00D109C2" w:rsidRDefault="00D109C2" w:rsidP="00D109C2">
      <w:pPr>
        <w:pStyle w:val="FigureTitle"/>
      </w:pPr>
      <w:r w:rsidRPr="00D109C2">
        <w:t>Figure 1. Adjusted Mean and 90% CI of Time-Matched</w:t>
      </w:r>
      <w:r w:rsidR="00B8733B">
        <w:t>,</w:t>
      </w:r>
      <w:r w:rsidRPr="00D109C2">
        <w:t xml:space="preserve"> Placebo-Subtracted Change From Baseline in </w:t>
      </w:r>
      <w:proofErr w:type="spellStart"/>
      <w:r w:rsidRPr="00D109C2">
        <w:t>QTcF</w:t>
      </w:r>
      <w:proofErr w:type="spellEnd"/>
      <w:r w:rsidRPr="00D109C2">
        <w:t xml:space="preserve"> Interval on Day 5 (Study VX- VX09-770-008)</w:t>
      </w:r>
    </w:p>
    <w:p w:rsidR="00D109C2" w:rsidRDefault="00D109C2" w:rsidP="00A06807">
      <w:r w:rsidRPr="00D109C2">
        <w:rPr>
          <w:noProof/>
          <w:lang w:eastAsia="en-AU"/>
        </w:rPr>
        <w:drawing>
          <wp:inline distT="0" distB="0" distL="0" distR="0">
            <wp:extent cx="5731510" cy="3139064"/>
            <wp:effectExtent l="19050" t="0" r="2540" b="0"/>
            <wp:docPr id="27" name="Picture 27" descr="Figure 1. Adjusted Mean and 90% CI of Time-Matched, Placebo-Subtracted Change From Baseline in QTcF Interval on Day 5 (Study VX- VX09-77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5731510" cy="3139064"/>
                    </a:xfrm>
                    <a:prstGeom prst="rect">
                      <a:avLst/>
                    </a:prstGeom>
                    <a:noFill/>
                    <a:ln w="9525">
                      <a:noFill/>
                      <a:miter lim="800000"/>
                      <a:headEnd/>
                      <a:tailEnd/>
                    </a:ln>
                  </pic:spPr>
                </pic:pic>
              </a:graphicData>
            </a:graphic>
          </wp:inline>
        </w:drawing>
      </w:r>
    </w:p>
    <w:p w:rsidR="009D2F4B" w:rsidRPr="00B8733B" w:rsidRDefault="009D2F4B" w:rsidP="00A06807">
      <w:r w:rsidRPr="00B8733B">
        <w:t xml:space="preserve">Assay sensitivity was established as the change from baseline in </w:t>
      </w:r>
      <w:proofErr w:type="spellStart"/>
      <w:r w:rsidRPr="00B8733B">
        <w:t>QTcF</w:t>
      </w:r>
      <w:proofErr w:type="spellEnd"/>
      <w:r w:rsidRPr="00B8733B">
        <w:t xml:space="preserve"> and </w:t>
      </w:r>
      <w:proofErr w:type="spellStart"/>
      <w:r w:rsidRPr="00B8733B">
        <w:t>QTcB</w:t>
      </w:r>
      <w:proofErr w:type="spellEnd"/>
      <w:r w:rsidRPr="00B8733B">
        <w:t xml:space="preserve"> intervals for </w:t>
      </w:r>
      <w:proofErr w:type="spellStart"/>
      <w:r w:rsidRPr="00B8733B">
        <w:t>moxifloxacin</w:t>
      </w:r>
      <w:proofErr w:type="spellEnd"/>
      <w:r w:rsidRPr="00B8733B">
        <w:t xml:space="preserve"> exceeded 5 </w:t>
      </w:r>
      <w:proofErr w:type="spellStart"/>
      <w:r w:rsidRPr="00B8733B">
        <w:t>msec</w:t>
      </w:r>
      <w:proofErr w:type="spellEnd"/>
      <w:r w:rsidRPr="00B8733B">
        <w:t xml:space="preserve"> at 2, 3, 4, and 6 hours </w:t>
      </w:r>
      <w:proofErr w:type="spellStart"/>
      <w:r w:rsidRPr="00B8733B">
        <w:t>postdose</w:t>
      </w:r>
      <w:proofErr w:type="spellEnd"/>
      <w:r w:rsidRPr="00B8733B">
        <w:t xml:space="preserve"> on Day 5. Ivacaftor was not associated with a clinically significant effect on </w:t>
      </w:r>
      <w:proofErr w:type="spellStart"/>
      <w:r w:rsidRPr="00B8733B">
        <w:t>QTcF</w:t>
      </w:r>
      <w:proofErr w:type="spellEnd"/>
      <w:r w:rsidRPr="00B8733B">
        <w:t xml:space="preserve"> or </w:t>
      </w:r>
      <w:proofErr w:type="spellStart"/>
      <w:r w:rsidRPr="00B8733B">
        <w:t>QTcB</w:t>
      </w:r>
      <w:proofErr w:type="spellEnd"/>
      <w:r w:rsidRPr="00B8733B">
        <w:t xml:space="preserve"> intervals at either dose used. For both doses, the upper limits of the 90% 2-sided CI were below 10 </w:t>
      </w:r>
      <w:proofErr w:type="spellStart"/>
      <w:r w:rsidRPr="00B8733B">
        <w:t>msec</w:t>
      </w:r>
      <w:proofErr w:type="spellEnd"/>
      <w:r w:rsidRPr="00B8733B">
        <w:t xml:space="preserve"> at all </w:t>
      </w:r>
      <w:proofErr w:type="spellStart"/>
      <w:r w:rsidRPr="00B8733B">
        <w:t>postdose</w:t>
      </w:r>
      <w:proofErr w:type="spellEnd"/>
      <w:r w:rsidRPr="00B8733B">
        <w:t xml:space="preserve"> time points on Day 5. There no differences in effect for male and female subjects. A linear mixed-effect models demonstrated no statistical significant correlation of </w:t>
      </w:r>
      <w:proofErr w:type="spellStart"/>
      <w:r w:rsidRPr="00B8733B">
        <w:t>QTcF</w:t>
      </w:r>
      <w:proofErr w:type="spellEnd"/>
      <w:r w:rsidRPr="00B8733B">
        <w:t xml:space="preserve"> changes with concentrations of ivacaftor and its metabolites.</w:t>
      </w:r>
    </w:p>
    <w:p w:rsidR="009D2F4B" w:rsidRPr="00B41859" w:rsidRDefault="009D2F4B" w:rsidP="00A06807">
      <w:pPr>
        <w:pStyle w:val="Heading4"/>
        <w:rPr>
          <w:color w:val="000000"/>
        </w:rPr>
      </w:pPr>
      <w:bookmarkStart w:id="76" w:name="_Toc341441408"/>
      <w:r w:rsidRPr="00B41859">
        <w:t xml:space="preserve">Population </w:t>
      </w:r>
      <w:r w:rsidR="00A06807">
        <w:t>p</w:t>
      </w:r>
      <w:r w:rsidRPr="00B41859">
        <w:t>harmacokinetic/</w:t>
      </w:r>
      <w:proofErr w:type="spellStart"/>
      <w:r w:rsidR="00A06807">
        <w:t>p</w:t>
      </w:r>
      <w:r w:rsidRPr="00B41859">
        <w:t>harmacodynamic</w:t>
      </w:r>
      <w:proofErr w:type="spellEnd"/>
      <w:r w:rsidRPr="00B41859">
        <w:t xml:space="preserve"> </w:t>
      </w:r>
      <w:r w:rsidR="00A06807">
        <w:t>m</w:t>
      </w:r>
      <w:r w:rsidRPr="00B41859">
        <w:t>odelling</w:t>
      </w:r>
      <w:bookmarkEnd w:id="76"/>
    </w:p>
    <w:p w:rsidR="009D2F4B" w:rsidRPr="00B8733B" w:rsidRDefault="009D2F4B" w:rsidP="00A06807">
      <w:r w:rsidRPr="00B8733B">
        <w:t xml:space="preserve">A PK/PD model to describe the relationship for ivacaftor and M1 using forced expiratory volume in one second (FEV1) and sweat chloride as endpoints was examined (Report </w:t>
      </w:r>
      <w:r w:rsidR="000B50E3" w:rsidRPr="00B8733B">
        <w:t>G</w:t>
      </w:r>
      <w:r w:rsidRPr="00B8733B">
        <w:t>198). The study population consisted of 196 males and 191 females with ages ranging from 6 to 53 years, but was not balanced for the distribution of races (the majority of patients were Caucasian). A population model describing the exposure-response relationship of FEV1 as an</w:t>
      </w:r>
      <w:r w:rsidRPr="00B41859">
        <w:rPr>
          <w:rFonts w:cs="Utopia-Regular"/>
        </w:rPr>
        <w:t xml:space="preserve"> </w:t>
      </w:r>
      <w:proofErr w:type="spellStart"/>
      <w:r w:rsidRPr="00B8733B">
        <w:t>Emax</w:t>
      </w:r>
      <w:proofErr w:type="spellEnd"/>
      <w:r w:rsidRPr="00B8733B">
        <w:t xml:space="preserve"> model with terms for baseline, </w:t>
      </w:r>
      <w:r w:rsidRPr="005A76BE">
        <w:rPr>
          <w:i/>
          <w:iCs/>
        </w:rPr>
        <w:t>CFTR</w:t>
      </w:r>
      <w:r w:rsidRPr="00B8733B">
        <w:t xml:space="preserve"> mutation, gender, age, a slope and an effect compartment was successfully developed. Age and gender influenced the FEV1 baseline estimated by the model establishing that the model is sensitive to known effects of these variables on FEV1. Gender did not significantly influence the </w:t>
      </w:r>
      <w:proofErr w:type="spellStart"/>
      <w:r w:rsidRPr="00B8733B">
        <w:t>Emax</w:t>
      </w:r>
      <w:proofErr w:type="spellEnd"/>
      <w:r w:rsidRPr="00B8733B">
        <w:t xml:space="preserve">. Age effects were not well defined.  </w:t>
      </w:r>
      <w:proofErr w:type="spellStart"/>
      <w:r w:rsidRPr="00B8733B">
        <w:t>Emax</w:t>
      </w:r>
      <w:proofErr w:type="spellEnd"/>
      <w:r w:rsidRPr="00B8733B">
        <w:t xml:space="preserve"> estimate for a </w:t>
      </w:r>
      <w:r w:rsidR="00D109C2" w:rsidRPr="005A76BE">
        <w:t>G551D</w:t>
      </w:r>
      <w:r w:rsidR="00D109C2" w:rsidRPr="00B8733B">
        <w:t xml:space="preserve"> “</w:t>
      </w:r>
      <w:r w:rsidRPr="00B8733B">
        <w:t>typical</w:t>
      </w:r>
      <w:r w:rsidR="00D109C2" w:rsidRPr="00B8733B">
        <w:t>”</w:t>
      </w:r>
      <w:r w:rsidRPr="00B8733B">
        <w:t xml:space="preserve"> 18 year old male subject is 0.322 L. Ivacaftor monotherapy had no significant effect for subjects with the </w:t>
      </w:r>
      <w:r w:rsidRPr="005A76BE">
        <w:rPr>
          <w:i/>
          <w:iCs/>
        </w:rPr>
        <w:t>F508del</w:t>
      </w:r>
      <w:r w:rsidRPr="00B8733B">
        <w:t xml:space="preserve"> mutation. The FEV1 </w:t>
      </w:r>
      <w:proofErr w:type="spellStart"/>
      <w:r w:rsidRPr="00B8733B">
        <w:t>Emax</w:t>
      </w:r>
      <w:proofErr w:type="spellEnd"/>
      <w:r w:rsidRPr="00B8733B">
        <w:t xml:space="preserve"> estimates for subjects receiving </w:t>
      </w:r>
      <w:proofErr w:type="spellStart"/>
      <w:r w:rsidRPr="00B8733B">
        <w:t>Pulmozyme</w:t>
      </w:r>
      <w:proofErr w:type="spellEnd"/>
      <w:r w:rsidRPr="00B8733B">
        <w:t xml:space="preserve"> or </w:t>
      </w:r>
      <w:proofErr w:type="spellStart"/>
      <w:r w:rsidRPr="00B8733B">
        <w:t>azithromycin</w:t>
      </w:r>
      <w:proofErr w:type="spellEnd"/>
      <w:r w:rsidRPr="00B8733B">
        <w:t xml:space="preserve"> together with ivacaftor were reduced compared to subjects not receiving the concomitant medication. The effect was estimated at 61% and 70% respectively of the subjects not receiving either concomitant medication. The reason for this reduction is unclear. A population model describing the exposure-response relationship of sweat chloride as an </w:t>
      </w:r>
      <w:proofErr w:type="spellStart"/>
      <w:r w:rsidRPr="00B8733B">
        <w:t>Emax</w:t>
      </w:r>
      <w:proofErr w:type="spellEnd"/>
      <w:r w:rsidRPr="00B8733B">
        <w:t xml:space="preserve"> model with terms for baseline, </w:t>
      </w:r>
      <w:r w:rsidRPr="005A76BE">
        <w:rPr>
          <w:i/>
          <w:iCs/>
        </w:rPr>
        <w:t>CFTR</w:t>
      </w:r>
      <w:r w:rsidRPr="00B8733B">
        <w:t xml:space="preserve"> mutation, gender, age and an effect compartment was successfully developed. The </w:t>
      </w:r>
      <w:proofErr w:type="spellStart"/>
      <w:r w:rsidRPr="00B8733B">
        <w:t>Emax</w:t>
      </w:r>
      <w:proofErr w:type="spellEnd"/>
      <w:r w:rsidRPr="00B8733B">
        <w:t xml:space="preserve"> </w:t>
      </w:r>
      <w:r w:rsidR="00D109C2" w:rsidRPr="00B8733B">
        <w:lastRenderedPageBreak/>
        <w:t>estimate for a G551D “</w:t>
      </w:r>
      <w:r w:rsidRPr="00B8733B">
        <w:t>typical</w:t>
      </w:r>
      <w:r w:rsidR="00D109C2" w:rsidRPr="00B8733B">
        <w:t>”</w:t>
      </w:r>
      <w:r w:rsidRPr="00B8733B">
        <w:t xml:space="preserve"> 18 year</w:t>
      </w:r>
      <w:r w:rsidR="00B8733B">
        <w:t xml:space="preserve"> old male subject is -50.6 </w:t>
      </w:r>
      <w:proofErr w:type="spellStart"/>
      <w:r w:rsidR="00B8733B">
        <w:t>mM</w:t>
      </w:r>
      <w:proofErr w:type="spellEnd"/>
      <w:r w:rsidR="00B8733B">
        <w:t>. I</w:t>
      </w:r>
      <w:r w:rsidRPr="00B8733B">
        <w:t xml:space="preserve">vacaftor monotherapy had no significant effect for subjects with the </w:t>
      </w:r>
      <w:r w:rsidRPr="005A76BE">
        <w:rPr>
          <w:i/>
          <w:iCs/>
        </w:rPr>
        <w:t>F508del</w:t>
      </w:r>
      <w:r w:rsidRPr="00B8733B">
        <w:t xml:space="preserve"> mutation. The target exposure criterion for subjects 6 years and older was that the average (median) </w:t>
      </w:r>
      <w:proofErr w:type="spellStart"/>
      <w:r w:rsidRPr="00B8733B">
        <w:t>Cmin</w:t>
      </w:r>
      <w:proofErr w:type="spellEnd"/>
      <w:r w:rsidRPr="00B8733B">
        <w:t xml:space="preserve"> of the population should be at least the EC</w:t>
      </w:r>
      <w:r w:rsidRPr="00DC2370">
        <w:rPr>
          <w:vertAlign w:val="subscript"/>
        </w:rPr>
        <w:t>90</w:t>
      </w:r>
      <w:r w:rsidRPr="00B8733B">
        <w:t xml:space="preserve"> for FEV1. The predicted EC</w:t>
      </w:r>
      <w:r w:rsidRPr="005A76BE">
        <w:rPr>
          <w:vertAlign w:val="subscript"/>
        </w:rPr>
        <w:t>90</w:t>
      </w:r>
      <w:r w:rsidRPr="00B8733B">
        <w:t xml:space="preserve"> for FEV1 in this analysis is 423ng/mL in G551D subjects. In subjects 6 years and older, a dose of 150 mg q12 achieved a median </w:t>
      </w:r>
      <w:proofErr w:type="spellStart"/>
      <w:r w:rsidRPr="00B8733B">
        <w:t>ivacaftor</w:t>
      </w:r>
      <w:proofErr w:type="spellEnd"/>
      <w:r w:rsidRPr="00B8733B">
        <w:t xml:space="preserve"> </w:t>
      </w:r>
      <w:proofErr w:type="spellStart"/>
      <w:r w:rsidRPr="00B8733B">
        <w:t>Cmin</w:t>
      </w:r>
      <w:proofErr w:type="spellEnd"/>
      <w:r w:rsidRPr="00B8733B">
        <w:t xml:space="preserve"> of at least 423 </w:t>
      </w:r>
      <w:proofErr w:type="spellStart"/>
      <w:r w:rsidRPr="00B8733B">
        <w:t>ng</w:t>
      </w:r>
      <w:proofErr w:type="spellEnd"/>
      <w:r w:rsidRPr="00B8733B">
        <w:t>/</w:t>
      </w:r>
      <w:proofErr w:type="spellStart"/>
      <w:r w:rsidRPr="00B8733B">
        <w:t>mL.</w:t>
      </w:r>
      <w:proofErr w:type="spellEnd"/>
      <w:r w:rsidRPr="00B8733B">
        <w:t xml:space="preserve"> This dose achieved clinical efficacy and safety.</w:t>
      </w:r>
    </w:p>
    <w:p w:rsidR="009D2F4B" w:rsidRPr="00B41859" w:rsidRDefault="009D2F4B" w:rsidP="00A06807">
      <w:pPr>
        <w:pStyle w:val="Heading3"/>
      </w:pPr>
      <w:bookmarkStart w:id="77" w:name="_Toc290888806"/>
      <w:bookmarkStart w:id="78" w:name="_Toc341441409"/>
      <w:bookmarkStart w:id="79" w:name="_Toc375055427"/>
      <w:r w:rsidRPr="00B41859">
        <w:t>Pharmacodynamic interactions</w:t>
      </w:r>
      <w:bookmarkEnd w:id="77"/>
      <w:bookmarkEnd w:id="78"/>
      <w:bookmarkEnd w:id="79"/>
    </w:p>
    <w:p w:rsidR="009D2F4B" w:rsidRPr="00B41859" w:rsidRDefault="009D2F4B" w:rsidP="00A06807">
      <w:r w:rsidRPr="00B41859">
        <w:t>No studies were reported</w:t>
      </w:r>
      <w:r>
        <w:t>.</w:t>
      </w:r>
    </w:p>
    <w:p w:rsidR="009D2F4B" w:rsidRPr="00B41859" w:rsidRDefault="009D2F4B" w:rsidP="00A06807">
      <w:pPr>
        <w:pStyle w:val="Heading3"/>
      </w:pPr>
      <w:bookmarkStart w:id="80" w:name="_Toc290888807"/>
      <w:bookmarkStart w:id="81" w:name="_Toc341441410"/>
      <w:bookmarkStart w:id="82" w:name="_Toc375055428"/>
      <w:r w:rsidRPr="00B41859">
        <w:t>Evaluator’s overall conclusions on pharmacodynamics</w:t>
      </w:r>
      <w:bookmarkEnd w:id="80"/>
      <w:bookmarkEnd w:id="81"/>
      <w:bookmarkEnd w:id="82"/>
      <w:r w:rsidRPr="00B41859">
        <w:t xml:space="preserve"> </w:t>
      </w:r>
    </w:p>
    <w:p w:rsidR="00C22678" w:rsidRPr="00B8733B" w:rsidRDefault="009D2F4B" w:rsidP="00A06807">
      <w:r w:rsidRPr="00B8733B">
        <w:t xml:space="preserve">A small number of PD studies, which were generally well conducted and mostly adequately powered, were presented by the sponsor.  Study 101 examined the relationship between ivacaftor concentrations and biological end points (FEV1, sweat chloride). The numbers in the study were modest but a direct </w:t>
      </w:r>
      <w:proofErr w:type="spellStart"/>
      <w:r w:rsidRPr="00B8733B">
        <w:t>Emax</w:t>
      </w:r>
      <w:proofErr w:type="spellEnd"/>
      <w:r w:rsidRPr="00B8733B">
        <w:t xml:space="preserve"> model with baseline effect described the relationship between ivacaftor plasma concentration and FEV1 or sweat chloride. This was confirmed by PK/PD modelling study which included data from about 400 CF adults and children with CF. The cardiovascular safety of ivacaftor was assessed in healthy volunteers. Assay sensitivity was established by using </w:t>
      </w:r>
      <w:proofErr w:type="spellStart"/>
      <w:r w:rsidRPr="00B8733B">
        <w:t>moxafloxacin</w:t>
      </w:r>
      <w:proofErr w:type="spellEnd"/>
      <w:r w:rsidRPr="00B8733B">
        <w:t xml:space="preserve"> as a control condition. There was no significant effect on </w:t>
      </w:r>
      <w:proofErr w:type="spellStart"/>
      <w:r w:rsidRPr="00B8733B">
        <w:t>QTcF</w:t>
      </w:r>
      <w:proofErr w:type="spellEnd"/>
      <w:r w:rsidRPr="00B8733B">
        <w:t xml:space="preserve"> at doses which exceeded those recommended in clinical practise. There are no PD interaction studies with alcohol or sedative agents examining impairment of cognitive or psychomotor function which might be relevant in adults / adolescents.</w:t>
      </w:r>
    </w:p>
    <w:p w:rsidR="00586F98" w:rsidRDefault="00C22678" w:rsidP="00A06807">
      <w:pPr>
        <w:pStyle w:val="Heading2"/>
      </w:pPr>
      <w:bookmarkStart w:id="83" w:name="_Toc375055429"/>
      <w:r>
        <w:t>Dosage selection for the pivotal studies</w:t>
      </w:r>
      <w:bookmarkEnd w:id="83"/>
    </w:p>
    <w:p w:rsidR="00580439" w:rsidRPr="00BF05BE" w:rsidRDefault="00580439" w:rsidP="00A06807">
      <w:r w:rsidRPr="00BF05BE">
        <w:t xml:space="preserve">Ivacaftor is a selective </w:t>
      </w:r>
      <w:proofErr w:type="spellStart"/>
      <w:r w:rsidRPr="00BF05BE">
        <w:t>potentiator</w:t>
      </w:r>
      <w:proofErr w:type="spellEnd"/>
      <w:r w:rsidRPr="00BF05BE">
        <w:t xml:space="preserve"> of the Cystic Fibrosis </w:t>
      </w:r>
      <w:proofErr w:type="spellStart"/>
      <w:r w:rsidRPr="00BF05BE">
        <w:t>Transmembrane</w:t>
      </w:r>
      <w:proofErr w:type="spellEnd"/>
      <w:r w:rsidRPr="00BF05BE">
        <w:t xml:space="preserve"> conductance Regulator (CFTR) protein, i.e., </w:t>
      </w:r>
      <w:r w:rsidRPr="00DC2370">
        <w:rPr>
          <w:i/>
          <w:iCs/>
        </w:rPr>
        <w:t>in vitro</w:t>
      </w:r>
      <w:r w:rsidRPr="00BF05BE">
        <w:t xml:space="preserve"> ivacaftor increases CFTR channel gating to enhance chloride transport. However, the exact mechanism leading ivacaftor to prolong the gating activity of some mutant CFTR forms has not been completely elucidated.</w:t>
      </w:r>
    </w:p>
    <w:p w:rsidR="00580439" w:rsidRPr="002214DD" w:rsidRDefault="00580439" w:rsidP="00A06807">
      <w:pPr>
        <w:rPr>
          <w:rFonts w:cs="TimesNewRoman"/>
        </w:rPr>
      </w:pPr>
      <w:r w:rsidRPr="00BF05BE">
        <w:t>Study 101 was a 2-part</w:t>
      </w:r>
      <w:r w:rsidRPr="00BF05BE">
        <w:rPr>
          <w:vertAlign w:val="superscript"/>
        </w:rPr>
        <w:footnoteReference w:id="1"/>
      </w:r>
      <w:r w:rsidRPr="00BF05BE">
        <w:t xml:space="preserve">, double-blind, placebo-controlled, cross-over, multiple-dose,  </w:t>
      </w:r>
      <w:proofErr w:type="spellStart"/>
      <w:r w:rsidRPr="00BF05BE">
        <w:t>multicentered</w:t>
      </w:r>
      <w:proofErr w:type="spellEnd"/>
      <w:r w:rsidRPr="00BF05BE">
        <w:t xml:space="preserve">, randomized study of up to 28 days of dosing in 39 subjects (male and female) with CF and the </w:t>
      </w:r>
      <w:r w:rsidRPr="004C3C9F">
        <w:rPr>
          <w:i/>
          <w:iCs/>
        </w:rPr>
        <w:t xml:space="preserve">G551D </w:t>
      </w:r>
      <w:r w:rsidRPr="00BF05BE">
        <w:t xml:space="preserve">mutation on at least 1 </w:t>
      </w:r>
      <w:r w:rsidRPr="004C3C9F">
        <w:rPr>
          <w:i/>
          <w:iCs/>
        </w:rPr>
        <w:t>CFTR</w:t>
      </w:r>
      <w:r w:rsidRPr="00BF05BE">
        <w:t xml:space="preserve"> allele and FEV1 ≥40% of predicted normal</w:t>
      </w:r>
      <w:r w:rsidRPr="002214DD">
        <w:rPr>
          <w:rFonts w:cs="TimesNewRoman"/>
        </w:rPr>
        <w:t xml:space="preserve"> for age, sex, and height. Enrolment occurred at 15 </w:t>
      </w:r>
      <w:proofErr w:type="spellStart"/>
      <w:r w:rsidRPr="002214DD">
        <w:rPr>
          <w:rFonts w:cs="TimesNewRoman"/>
        </w:rPr>
        <w:t>centers</w:t>
      </w:r>
      <w:proofErr w:type="spellEnd"/>
      <w:r w:rsidRPr="002214DD">
        <w:rPr>
          <w:rFonts w:cs="TimesNewRoman"/>
        </w:rPr>
        <w:t xml:space="preserve"> in the US, Canada, and Germany. During the study, 31 subjects received at least 1 dose of VX-770</w:t>
      </w:r>
      <w:r w:rsidRPr="002214DD">
        <w:rPr>
          <w:rFonts w:cs="TimesNewRoman"/>
          <w:b/>
        </w:rPr>
        <w:t>.</w:t>
      </w:r>
      <w:r w:rsidRPr="002214DD">
        <w:rPr>
          <w:rFonts w:cs="TimesNewRoman"/>
        </w:rPr>
        <w:t xml:space="preserve"> VX-770 was administered at a dosage of 25 mg, 75 mg, 150 mg, or 250 mg every 12 hours (q12h), 30 minutes after the start of a meal or snack. VX-770 or placebo was taken for 28 days in the study (Part 1: 2 periods of 14 days; Part 2: 1 period of 28 days).</w:t>
      </w:r>
    </w:p>
    <w:p w:rsidR="00580439" w:rsidRPr="002214DD" w:rsidRDefault="00580439" w:rsidP="00A06807">
      <w:pPr>
        <w:rPr>
          <w:rFonts w:cs="TimesNewRoman"/>
        </w:rPr>
      </w:pPr>
      <w:r w:rsidRPr="002214DD">
        <w:t xml:space="preserve">Results from Study 101 suggested that VX-770 was well tolerated, with all subjects completing dosing and study visits without discontinuations or interruptions. </w:t>
      </w:r>
      <w:r w:rsidRPr="002214DD">
        <w:rPr>
          <w:rFonts w:cs="TimesNewRoman"/>
        </w:rPr>
        <w:t xml:space="preserve">The secondary endpoints of </w:t>
      </w:r>
      <w:r w:rsidRPr="002214DD">
        <w:rPr>
          <w:rFonts w:cs="TimesNewRoman"/>
        </w:rPr>
        <w:lastRenderedPageBreak/>
        <w:t>the study included efficacy assessments of NPD</w:t>
      </w:r>
      <w:r w:rsidRPr="002214DD">
        <w:rPr>
          <w:rStyle w:val="FootnoteReference"/>
          <w:rFonts w:eastAsia="Calibri" w:cs="TimesNewRoman"/>
        </w:rPr>
        <w:footnoteReference w:id="2"/>
      </w:r>
      <w:r w:rsidRPr="002214DD">
        <w:rPr>
          <w:rFonts w:cs="TimesNewRoman"/>
        </w:rPr>
        <w:t>, sweat chloride, and FEV1 (Part 1 and Part 2) and CFQ-R (Part 2 only). Part 1 was a cross-over design; thus, a linear mixed model was used to determine least square mean change from baseline, and results were presented as mean (95% CI). A linear mixed effect model including baseline, dose, time, and dose by time interaction was to have been used in Part 1. Because the carryover effect was found not to be of clinical or statistical significance, a linear mixed effect model including baseline, period, and dose as fixed effects and subject as a random effect was used. In Part 2, a parallel study design was used.</w:t>
      </w:r>
    </w:p>
    <w:p w:rsidR="00580439" w:rsidRPr="00BF05BE" w:rsidRDefault="00580439" w:rsidP="00A06807">
      <w:r w:rsidRPr="00BF05BE">
        <w:t xml:space="preserve">Results from Part 1 showed statistically significant changes from baseline in forced expiratory volume in 1 second (FEV1), sweat chloride levels, and nasal potential difference for the ivacaftor 75mg and 150 mg groups compared with placebo following every 12 hours (q12h) dosing for 14 days. Results from Part 2 showed statistically significant greater improvements with ivacaftor 150- and 250-mg dosing (for 28 days) compared with placebo in FEV1 sweat chloride levels and NPD. Subjects receiving ivacaftor 150- and 250-mg dosing also reported improvements greater than the minimal clinically important difference (MCID) of 4 points in the respiratory domain of the Cystic Fibrosis Questionnaire-Revised (CFQ-R, a preliminary MCID of 5 points was originally reported during the development of the protocol for the present study). </w:t>
      </w:r>
    </w:p>
    <w:p w:rsidR="00580439" w:rsidRPr="00BF05BE" w:rsidRDefault="00580439" w:rsidP="00A06807">
      <w:r w:rsidRPr="00BF05BE">
        <w:t xml:space="preserve">Furthermore, the number and proportion of subjects considered responders based on the criteria of &gt;10% relative increase in FEV1, ≥ -5mV increase in zero chloride plus </w:t>
      </w:r>
      <w:proofErr w:type="spellStart"/>
      <w:r w:rsidRPr="00BF05BE">
        <w:t>isoproterenol</w:t>
      </w:r>
      <w:proofErr w:type="spellEnd"/>
      <w:r w:rsidRPr="00BF05BE">
        <w:t xml:space="preserve"> response in NPD, ≥20 </w:t>
      </w:r>
      <w:proofErr w:type="spellStart"/>
      <w:r w:rsidRPr="00BF05BE">
        <w:t>mmol</w:t>
      </w:r>
      <w:proofErr w:type="spellEnd"/>
      <w:r w:rsidRPr="00BF05BE">
        <w:t xml:space="preserve">/L decrease in sweat chloride from the baseline measurement after 14 days of dosing (Part 1, Part 2, and Part 1 and Part 2 Combined) and after 28 days of dosing (Part 2) was consistently greater in subjects receiving 150 and 250mg ivacaftor compared with placebo. </w:t>
      </w:r>
    </w:p>
    <w:p w:rsidR="00C22678" w:rsidRPr="00BF05BE" w:rsidRDefault="00580439" w:rsidP="00A06807">
      <w:r w:rsidRPr="00BF05BE">
        <w:t>Phase 2a study 101 established proof-of-concept for ivacaftor treatment and provided dose selection information for subjects with CF. Based on results of this study and modelling and simulations using data from a Phase 1 study (Study 007; Module 5.3.1.2), a dose of 150 mg q12h was selected for Phase 3 Study 102 and a dose of 100 mg was selected for Part A, a lead-in PK evaluation, of Phase 3 Study 103. Subsequent modelling and simulations additionally using data from Part A of Study 103 resulted in selecting the 150-mg q12h dose for subjects age 6 to 11 years in Part B of the Phase 3 Study 103</w:t>
      </w:r>
      <w:r w:rsidR="00D32B67" w:rsidRPr="00BF05BE">
        <w:t>.</w:t>
      </w:r>
      <w:r w:rsidRPr="00BF05BE">
        <w:t xml:space="preserve"> </w:t>
      </w:r>
    </w:p>
    <w:p w:rsidR="00C22678" w:rsidRDefault="00C22678" w:rsidP="00A06807">
      <w:pPr>
        <w:pStyle w:val="Heading2"/>
      </w:pPr>
      <w:bookmarkStart w:id="84" w:name="_Toc375055430"/>
      <w:r>
        <w:t>Clinical efficacy</w:t>
      </w:r>
      <w:bookmarkEnd w:id="84"/>
    </w:p>
    <w:p w:rsidR="004F5877" w:rsidRPr="004F5877" w:rsidRDefault="004F5877" w:rsidP="00A06807">
      <w:pPr>
        <w:pStyle w:val="Heading3"/>
      </w:pPr>
      <w:bookmarkStart w:id="85" w:name="_Ref271037274"/>
      <w:bookmarkStart w:id="86" w:name="_Toc272414652"/>
      <w:bookmarkStart w:id="87" w:name="_Toc290846274"/>
      <w:bookmarkStart w:id="88" w:name="_Toc341441413"/>
      <w:bookmarkStart w:id="89" w:name="_Toc375055431"/>
      <w:r w:rsidRPr="004F5877">
        <w:t>Pivotal efficacy studies</w:t>
      </w:r>
      <w:bookmarkEnd w:id="85"/>
      <w:bookmarkEnd w:id="86"/>
      <w:bookmarkEnd w:id="87"/>
      <w:bookmarkEnd w:id="88"/>
      <w:bookmarkEnd w:id="89"/>
    </w:p>
    <w:p w:rsidR="004F5877" w:rsidRPr="004F5877" w:rsidRDefault="004F5877" w:rsidP="00A06807">
      <w:pPr>
        <w:rPr>
          <w:lang w:eastAsia="ja-JP"/>
        </w:rPr>
      </w:pPr>
      <w:r w:rsidRPr="004F5877">
        <w:rPr>
          <w:lang w:eastAsia="ja-JP"/>
        </w:rPr>
        <w:t xml:space="preserve">The efficacy of ivacaftor was evaluated in two pivotal Phase </w:t>
      </w:r>
      <w:r w:rsidR="00196C60">
        <w:rPr>
          <w:lang w:eastAsia="ja-JP"/>
        </w:rPr>
        <w:t xml:space="preserve">3, placebo-controlled, 48-week </w:t>
      </w:r>
      <w:r w:rsidRPr="004F5877">
        <w:rPr>
          <w:lang w:eastAsia="ja-JP"/>
        </w:rPr>
        <w:t xml:space="preserve">studies (102 and 103) in 213 subjects with CF who had a </w:t>
      </w:r>
      <w:r w:rsidRPr="00DC2370">
        <w:rPr>
          <w:i/>
          <w:iCs/>
          <w:lang w:eastAsia="ja-JP"/>
        </w:rPr>
        <w:t>G551D</w:t>
      </w:r>
      <w:r w:rsidRPr="004F5877">
        <w:rPr>
          <w:lang w:eastAsia="ja-JP"/>
        </w:rPr>
        <w:t xml:space="preserve"> mutation in the </w:t>
      </w:r>
      <w:r w:rsidRPr="00DC2370">
        <w:rPr>
          <w:i/>
          <w:iCs/>
          <w:lang w:eastAsia="ja-JP"/>
        </w:rPr>
        <w:t>CFTR</w:t>
      </w:r>
      <w:r w:rsidRPr="004F5877">
        <w:rPr>
          <w:lang w:eastAsia="ja-JP"/>
        </w:rPr>
        <w:t xml:space="preserve"> gene and mild or moderately impaired lung function (as determined by FEV1 percent predicted of normal for age, sex, and height by the Knudson standards). </w:t>
      </w:r>
    </w:p>
    <w:p w:rsidR="004F5877" w:rsidRPr="004F5877" w:rsidRDefault="004F5877" w:rsidP="00A06807">
      <w:pPr>
        <w:pStyle w:val="Heading4"/>
      </w:pPr>
      <w:bookmarkStart w:id="90" w:name="_Toc341441414"/>
      <w:r w:rsidRPr="004F5877">
        <w:t>Study 102</w:t>
      </w:r>
      <w:bookmarkEnd w:id="90"/>
    </w:p>
    <w:p w:rsidR="004F5877" w:rsidRPr="004F5877" w:rsidRDefault="004F5877" w:rsidP="00A06807">
      <w:pPr>
        <w:pStyle w:val="Heading5"/>
        <w:rPr>
          <w:lang w:eastAsia="ja-JP"/>
        </w:rPr>
      </w:pPr>
      <w:bookmarkStart w:id="91" w:name="_Toc341441415"/>
      <w:r w:rsidRPr="004F5877">
        <w:rPr>
          <w:lang w:eastAsia="ja-JP"/>
        </w:rPr>
        <w:t>Study design, objectives, locations and dates</w:t>
      </w:r>
      <w:bookmarkEnd w:id="91"/>
    </w:p>
    <w:p w:rsidR="004F5877" w:rsidRPr="00933C63" w:rsidRDefault="002D30FB" w:rsidP="00A06807">
      <w:r w:rsidRPr="00933C63">
        <w:t xml:space="preserve">Study </w:t>
      </w:r>
      <w:r w:rsidR="004F5877" w:rsidRPr="00933C63">
        <w:t xml:space="preserve">102 </w:t>
      </w:r>
      <w:r w:rsidR="00933C63" w:rsidRPr="00933C63">
        <w:t>(</w:t>
      </w:r>
      <w:r w:rsidR="00933C63">
        <w:t xml:space="preserve">design shown in </w:t>
      </w:r>
      <w:r w:rsidR="00933C63" w:rsidRPr="00933C63">
        <w:t>Figure 2</w:t>
      </w:r>
      <w:r w:rsidRPr="00933C63">
        <w:t xml:space="preserve">) </w:t>
      </w:r>
      <w:r w:rsidR="004F5877" w:rsidRPr="00933C63">
        <w:t xml:space="preserve">was a Phase 3, randomized, double-blind, placebo-controlled, parallel-group multicenter study of orally administered VX-770 in subjects with CF. The study was conducted at 65 centres in Europe, America and Australia from 10 June 2009 to </w:t>
      </w:r>
      <w:r w:rsidR="004F5877" w:rsidRPr="00933C63">
        <w:lastRenderedPageBreak/>
        <w:t xml:space="preserve">11 Jan 2011. The primary objective was to evaluate the efficacy of VX-770 after 24 weeks of treatment in subjects with cystic fibrosis (CF) and a </w:t>
      </w:r>
      <w:r w:rsidR="004F5877" w:rsidRPr="004C3C9F">
        <w:rPr>
          <w:i/>
          <w:iCs/>
        </w:rPr>
        <w:t>G551D</w:t>
      </w:r>
      <w:r w:rsidR="004F5877" w:rsidRPr="00933C63">
        <w:t xml:space="preserve">-cystic fibrosis </w:t>
      </w:r>
      <w:proofErr w:type="spellStart"/>
      <w:r w:rsidR="004F5877" w:rsidRPr="00933C63">
        <w:t>transmembrane</w:t>
      </w:r>
      <w:proofErr w:type="spellEnd"/>
      <w:r w:rsidR="004F5877" w:rsidRPr="00933C63">
        <w:t xml:space="preserve"> conductance regulator (</w:t>
      </w:r>
      <w:r w:rsidR="004F5877" w:rsidRPr="004C3C9F">
        <w:rPr>
          <w:i/>
          <w:iCs/>
        </w:rPr>
        <w:t>CFTR</w:t>
      </w:r>
      <w:r w:rsidR="004F5877" w:rsidRPr="00933C63">
        <w:t xml:space="preserve">) mutation. The secondary objectives were to evaluate safety of VX-770 after 24 and 48 weeks of treatment and also to evaluate efficacy of VX-770 after 48 weeks of treatment. Subjects in the study were randomized to receive either 150 mg VX-770 or placebo every 12 hours (q12h) for 48 weeks. The study included a Screening Period (Day -35 to Day -15), a Run-In Period (Day -14 to Day -1 relative to the first dose of study drug [VX-770 or placebo]), a Treatment Period (Day 1 [first dose of study drug] to Week 24), and an Extension Period (Week 25 to Week 48). All subjects who completed 48 weeks of study drug treatment were offered the opportunity to enrol in an open-label safety study of VX-770 (Study 105).  </w:t>
      </w:r>
    </w:p>
    <w:p w:rsidR="002D30FB" w:rsidRDefault="002D30FB" w:rsidP="00A06807">
      <w:pPr>
        <w:pStyle w:val="FigureTitle"/>
        <w:rPr>
          <w:lang w:eastAsia="ja-JP"/>
        </w:rPr>
      </w:pPr>
      <w:r>
        <w:rPr>
          <w:lang w:eastAsia="ja-JP"/>
        </w:rPr>
        <w:t>Figu</w:t>
      </w:r>
      <w:r w:rsidR="00933C63">
        <w:rPr>
          <w:lang w:eastAsia="ja-JP"/>
        </w:rPr>
        <w:t xml:space="preserve">re </w:t>
      </w:r>
      <w:r w:rsidR="000E7B43">
        <w:rPr>
          <w:lang w:eastAsia="ja-JP"/>
        </w:rPr>
        <w:t>2</w:t>
      </w:r>
      <w:r>
        <w:rPr>
          <w:lang w:eastAsia="ja-JP"/>
        </w:rPr>
        <w:t xml:space="preserve">. </w:t>
      </w:r>
      <w:r w:rsidR="00933C63" w:rsidRPr="00933C63">
        <w:rPr>
          <w:lang w:eastAsia="ja-JP"/>
        </w:rPr>
        <w:t xml:space="preserve">Study 102 </w:t>
      </w:r>
      <w:r>
        <w:rPr>
          <w:lang w:eastAsia="ja-JP"/>
        </w:rPr>
        <w:t xml:space="preserve">Schematic design </w:t>
      </w:r>
    </w:p>
    <w:p w:rsidR="002D30FB" w:rsidRPr="004F5877" w:rsidRDefault="002D30FB" w:rsidP="00A06807">
      <w:pPr>
        <w:rPr>
          <w:lang w:eastAsia="ja-JP"/>
        </w:rPr>
      </w:pPr>
      <w:r w:rsidRPr="002D30FB">
        <w:rPr>
          <w:noProof/>
          <w:lang w:eastAsia="en-AU"/>
        </w:rPr>
        <w:drawing>
          <wp:inline distT="0" distB="0" distL="0" distR="0">
            <wp:extent cx="4815417" cy="5710082"/>
            <wp:effectExtent l="19050" t="0" r="4233" b="0"/>
            <wp:docPr id="40" name="Picture 50" descr="Figure 2. Study 102 Schematic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srcRect t="3451"/>
                    <a:stretch>
                      <a:fillRect/>
                    </a:stretch>
                  </pic:blipFill>
                  <pic:spPr bwMode="auto">
                    <a:xfrm>
                      <a:off x="0" y="0"/>
                      <a:ext cx="4812810" cy="5706991"/>
                    </a:xfrm>
                    <a:prstGeom prst="rect">
                      <a:avLst/>
                    </a:prstGeom>
                    <a:noFill/>
                    <a:ln w="9525">
                      <a:noFill/>
                      <a:miter lim="800000"/>
                      <a:headEnd/>
                      <a:tailEnd/>
                    </a:ln>
                  </pic:spPr>
                </pic:pic>
              </a:graphicData>
            </a:graphic>
          </wp:inline>
        </w:drawing>
      </w:r>
    </w:p>
    <w:p w:rsidR="004F5877" w:rsidRPr="004F5877" w:rsidRDefault="004F5877" w:rsidP="00A06807">
      <w:pPr>
        <w:pStyle w:val="Heading5"/>
        <w:rPr>
          <w:lang w:eastAsia="ja-JP"/>
        </w:rPr>
      </w:pPr>
      <w:bookmarkStart w:id="92" w:name="_Toc341441416"/>
      <w:r w:rsidRPr="004F5877">
        <w:rPr>
          <w:lang w:eastAsia="ja-JP"/>
        </w:rPr>
        <w:lastRenderedPageBreak/>
        <w:t>Inclusion and exclusion criteria</w:t>
      </w:r>
      <w:bookmarkEnd w:id="92"/>
    </w:p>
    <w:p w:rsidR="004F5877" w:rsidRPr="004F5877" w:rsidRDefault="004F5877" w:rsidP="008A78BD">
      <w:pPr>
        <w:rPr>
          <w:lang w:eastAsia="ja-JP"/>
        </w:rPr>
      </w:pPr>
      <w:r w:rsidRPr="004F5877">
        <w:rPr>
          <w:lang w:eastAsia="ja-JP"/>
        </w:rPr>
        <w:t>The</w:t>
      </w:r>
      <w:r w:rsidR="009F6F3B">
        <w:rPr>
          <w:lang w:eastAsia="ja-JP"/>
        </w:rPr>
        <w:t xml:space="preserve"> main inclusion criteria were: m</w:t>
      </w:r>
      <w:r w:rsidRPr="004F5877">
        <w:rPr>
          <w:lang w:eastAsia="ja-JP"/>
        </w:rPr>
        <w:t>ale and female subjects with confirmed diagnosis of CF</w:t>
      </w:r>
      <w:r w:rsidRPr="004F5877">
        <w:rPr>
          <w:vertAlign w:val="superscript"/>
          <w:lang w:eastAsia="ja-JP"/>
        </w:rPr>
        <w:footnoteReference w:id="3"/>
      </w:r>
      <w:r w:rsidRPr="004F5877">
        <w:rPr>
          <w:lang w:eastAsia="ja-JP"/>
        </w:rPr>
        <w:t xml:space="preserve">, 12 years of age and older, who have the </w:t>
      </w:r>
      <w:r w:rsidRPr="004F5877">
        <w:rPr>
          <w:i/>
          <w:iCs/>
          <w:lang w:eastAsia="ja-JP"/>
        </w:rPr>
        <w:t>G551D</w:t>
      </w:r>
      <w:r w:rsidRPr="004F5877">
        <w:rPr>
          <w:lang w:eastAsia="ja-JP"/>
        </w:rPr>
        <w:t>-</w:t>
      </w:r>
      <w:r w:rsidRPr="004F5877">
        <w:rPr>
          <w:i/>
          <w:iCs/>
          <w:lang w:eastAsia="ja-JP"/>
        </w:rPr>
        <w:t xml:space="preserve">CFTR </w:t>
      </w:r>
      <w:r w:rsidRPr="004F5877">
        <w:rPr>
          <w:lang w:eastAsia="ja-JP"/>
        </w:rPr>
        <w:t xml:space="preserve">mutation in at least 1 allele; mild or moderately impaired lung function (FEV1 40% to 90% of predicted normal for age, gender, and height (Knudson standards). </w:t>
      </w:r>
    </w:p>
    <w:p w:rsidR="004F5877" w:rsidRPr="004F5877" w:rsidRDefault="004F5877" w:rsidP="008A78BD">
      <w:pPr>
        <w:rPr>
          <w:lang w:eastAsia="ja-JP"/>
        </w:rPr>
      </w:pPr>
      <w:r w:rsidRPr="004F5877">
        <w:rPr>
          <w:lang w:eastAsia="ja-JP"/>
        </w:rPr>
        <w:t>The main exclusion criteria were: subjects whose CF disease was not stable</w:t>
      </w:r>
      <w:r w:rsidRPr="004F5877">
        <w:rPr>
          <w:vertAlign w:val="superscript"/>
          <w:lang w:eastAsia="ja-JP"/>
        </w:rPr>
        <w:footnoteReference w:id="4"/>
      </w:r>
      <w:r w:rsidRPr="004F5877">
        <w:rPr>
          <w:lang w:eastAsia="ja-JP"/>
        </w:rPr>
        <w:t>; subjects with “normal” lung function (FEV1 values above 90% predicted [or above 105% for age 6 to 11 years]) or those with severe lung disease (FEV1 less than 40% predicted); An acute upper or lower respiratory infection, pulmonary exacerbation, or changes in therapy (including antibiotics) for pulmonary disease within 4 weeks before Day 1 (first dose of study drug). History of prolonged QT/</w:t>
      </w:r>
      <w:proofErr w:type="spellStart"/>
      <w:r w:rsidRPr="004F5877">
        <w:rPr>
          <w:lang w:eastAsia="ja-JP"/>
        </w:rPr>
        <w:t>QTc</w:t>
      </w:r>
      <w:proofErr w:type="spellEnd"/>
      <w:r w:rsidRPr="004F5877">
        <w:rPr>
          <w:lang w:eastAsia="ja-JP"/>
        </w:rPr>
        <w:t xml:space="preserve"> interval with </w:t>
      </w:r>
      <w:proofErr w:type="spellStart"/>
      <w:r w:rsidRPr="004F5877">
        <w:rPr>
          <w:lang w:eastAsia="ja-JP"/>
        </w:rPr>
        <w:t>Fridericia’s</w:t>
      </w:r>
      <w:proofErr w:type="spellEnd"/>
      <w:r w:rsidRPr="004F5877">
        <w:rPr>
          <w:lang w:eastAsia="ja-JP"/>
        </w:rPr>
        <w:t xml:space="preserve"> correction (</w:t>
      </w:r>
      <w:proofErr w:type="spellStart"/>
      <w:r w:rsidRPr="004F5877">
        <w:rPr>
          <w:lang w:eastAsia="ja-JP"/>
        </w:rPr>
        <w:t>QTcF</w:t>
      </w:r>
      <w:proofErr w:type="spellEnd"/>
      <w:r w:rsidRPr="004F5877">
        <w:rPr>
          <w:lang w:eastAsia="ja-JP"/>
        </w:rPr>
        <w:t xml:space="preserve">) &gt;450 </w:t>
      </w:r>
      <w:proofErr w:type="spellStart"/>
      <w:r w:rsidRPr="004F5877">
        <w:rPr>
          <w:lang w:eastAsia="ja-JP"/>
        </w:rPr>
        <w:t>msec</w:t>
      </w:r>
      <w:proofErr w:type="spellEnd"/>
      <w:r w:rsidRPr="004F5877">
        <w:rPr>
          <w:lang w:eastAsia="ja-JP"/>
        </w:rPr>
        <w:t xml:space="preserve"> or </w:t>
      </w:r>
      <w:proofErr w:type="spellStart"/>
      <w:r w:rsidRPr="004F5877">
        <w:rPr>
          <w:lang w:eastAsia="ja-JP"/>
        </w:rPr>
        <w:t>QTcF</w:t>
      </w:r>
      <w:proofErr w:type="spellEnd"/>
      <w:r w:rsidRPr="004F5877">
        <w:rPr>
          <w:lang w:eastAsia="ja-JP"/>
        </w:rPr>
        <w:t xml:space="preserve"> &gt; 450 </w:t>
      </w:r>
      <w:proofErr w:type="spellStart"/>
      <w:r w:rsidRPr="004F5877">
        <w:rPr>
          <w:lang w:eastAsia="ja-JP"/>
        </w:rPr>
        <w:t>msec</w:t>
      </w:r>
      <w:proofErr w:type="spellEnd"/>
      <w:r w:rsidRPr="004F5877">
        <w:rPr>
          <w:lang w:eastAsia="ja-JP"/>
        </w:rPr>
        <w:t xml:space="preserve"> at screening; History of solid organ or </w:t>
      </w:r>
      <w:proofErr w:type="spellStart"/>
      <w:r w:rsidRPr="004F5877">
        <w:rPr>
          <w:lang w:eastAsia="ja-JP"/>
        </w:rPr>
        <w:t>hematological</w:t>
      </w:r>
      <w:proofErr w:type="spellEnd"/>
      <w:r w:rsidRPr="004F5877">
        <w:rPr>
          <w:lang w:eastAsia="ja-JP"/>
        </w:rPr>
        <w:t xml:space="preserve"> transplantation; History of alcohol, medication or illicit drug abuse within one year prior to Day 1 (first dose of study drug); clinically significant medical illness; clinically significant </w:t>
      </w:r>
      <w:proofErr w:type="spellStart"/>
      <w:r w:rsidRPr="004F5877">
        <w:rPr>
          <w:lang w:eastAsia="ja-JP"/>
        </w:rPr>
        <w:t>hematology</w:t>
      </w:r>
      <w:proofErr w:type="spellEnd"/>
      <w:r w:rsidRPr="004F5877">
        <w:rPr>
          <w:lang w:eastAsia="ja-JP"/>
        </w:rPr>
        <w:t xml:space="preserve">, serum chemistry, coagulation, urinalysis, LFT or RFT results; pregnancy/ lactation; Ongoing participation in another therapeutic clinical study or prior participation in an investigational drug study within 30 days prior to Screening; Any “non-CF-related” illness within 2 weeks prior to Day 1 (first dose of study drug), i.e., illness” is defined as an acute (serious or non-serious) condition (e.g., gastroenteritis); Use of inhaled hypertonic saline treatment (Subjects who had stopped inhaled hypertonic saline treatment were eligible to participate, but they must have undergone a wash-out period of 4 weeks prior to Day 1). </w:t>
      </w:r>
    </w:p>
    <w:p w:rsidR="004F5877" w:rsidRPr="004F5877" w:rsidRDefault="004F5877" w:rsidP="008A78BD">
      <w:pPr>
        <w:pStyle w:val="Heading5"/>
        <w:rPr>
          <w:lang w:eastAsia="ja-JP"/>
        </w:rPr>
      </w:pPr>
      <w:bookmarkStart w:id="93" w:name="_Toc341441417"/>
      <w:r w:rsidRPr="004F5877">
        <w:rPr>
          <w:lang w:eastAsia="ja-JP"/>
        </w:rPr>
        <w:t>Study treatments</w:t>
      </w:r>
      <w:bookmarkEnd w:id="93"/>
    </w:p>
    <w:p w:rsidR="004F5877" w:rsidRPr="00B76C1C" w:rsidRDefault="004F5877" w:rsidP="008A78BD">
      <w:r w:rsidRPr="00B76C1C">
        <w:t xml:space="preserve">VX-770 150-mg tablet or matching placebo tablet was administered orally 150 mg q12h (recommended to take study drug 30 minutes after the start of a standard “CF” high-fat, high calorie meal or snack). Study drug was administered q12h for 48 weeks (24 weeks in the treatment period and 24 weeks in the extension period). Whenever possible, subjects should have taken the study drug at the same time each day. If subjects forgot to take a dose and remembered within 0 to 6 hours (before the halfway point of the dosing interval), they should have taken the dose at that time with a standard “CF” high fat, high calorie meal or snack, and resumed their normal schedule for the following dose. If subjects forgot to take a dose and remembered within 6 to 12 hours after the missed dose, they should have skipped that dose and resumed their normal schedule for the following dose. </w:t>
      </w:r>
    </w:p>
    <w:p w:rsidR="004F5877" w:rsidRPr="00B76C1C" w:rsidRDefault="004F5877" w:rsidP="008A78BD">
      <w:r w:rsidRPr="00B76C1C">
        <w:t xml:space="preserve">To ensure treatment compliance, the investigator or designee supervised all study drug dosing that occurred at the site and also reminded the subject of study drug dosing requirements. Compliance was also confirmed by ongoing drug accountability. </w:t>
      </w:r>
    </w:p>
    <w:p w:rsidR="004F5877" w:rsidRPr="00B76C1C" w:rsidRDefault="004F5877" w:rsidP="008A78BD">
      <w:r w:rsidRPr="00B76C1C">
        <w:t>It was recommended that subjects remain on stable medication regimens</w:t>
      </w:r>
      <w:r w:rsidRPr="00B76C1C">
        <w:rPr>
          <w:vertAlign w:val="superscript"/>
        </w:rPr>
        <w:footnoteReference w:id="5"/>
      </w:r>
      <w:r w:rsidRPr="00B76C1C">
        <w:t xml:space="preserve"> for their CF (including high-dose ibuprofen, </w:t>
      </w:r>
      <w:proofErr w:type="spellStart"/>
      <w:r w:rsidRPr="00B76C1C">
        <w:t>dornase</w:t>
      </w:r>
      <w:proofErr w:type="spellEnd"/>
      <w:r w:rsidRPr="00B76C1C">
        <w:t xml:space="preserve"> </w:t>
      </w:r>
      <w:proofErr w:type="spellStart"/>
      <w:r w:rsidRPr="00B76C1C">
        <w:t>alfa</w:t>
      </w:r>
      <w:proofErr w:type="spellEnd"/>
      <w:r w:rsidRPr="00B76C1C">
        <w:t xml:space="preserve"> or other inhaled antibiotics) from 6 weeks before Day 1 through the Week 48 Visit or, if applicable, the Follow-up Visit. Use of short-acting and long-acting bronchodilators was collected and documented in the source documents for each subject.</w:t>
      </w:r>
    </w:p>
    <w:p w:rsidR="004F5877" w:rsidRPr="004F5877" w:rsidRDefault="004F5877" w:rsidP="008A78BD">
      <w:pPr>
        <w:pStyle w:val="Heading5"/>
        <w:rPr>
          <w:lang w:eastAsia="ja-JP"/>
        </w:rPr>
      </w:pPr>
      <w:bookmarkStart w:id="94" w:name="_Toc341441418"/>
      <w:r w:rsidRPr="004F5877">
        <w:rPr>
          <w:lang w:eastAsia="ja-JP"/>
        </w:rPr>
        <w:lastRenderedPageBreak/>
        <w:t>Efficacy variables and outcomes</w:t>
      </w:r>
      <w:bookmarkEnd w:id="94"/>
    </w:p>
    <w:p w:rsidR="004F5877" w:rsidRPr="00B76C1C" w:rsidRDefault="004F5877" w:rsidP="008A78BD">
      <w:r w:rsidRPr="00B76C1C">
        <w:t xml:space="preserve">The efficacy variables assessed in the study were </w:t>
      </w:r>
      <w:proofErr w:type="spellStart"/>
      <w:r w:rsidRPr="00B76C1C">
        <w:t>Spirometry</w:t>
      </w:r>
      <w:proofErr w:type="spellEnd"/>
      <w:r w:rsidRPr="00B76C1C">
        <w:t>, sweat chloride test, CF Questionnaire-Revised (CFQ-R)</w:t>
      </w:r>
      <w:r w:rsidRPr="000C4386">
        <w:rPr>
          <w:vertAlign w:val="superscript"/>
        </w:rPr>
        <w:footnoteReference w:id="6"/>
      </w:r>
      <w:r w:rsidRPr="00B76C1C">
        <w:t xml:space="preserve">, documentation of events related to outcomes (e.g., pulmonary exacerbations, hospitalizations, antibiotic therapy for </w:t>
      </w:r>
      <w:proofErr w:type="spellStart"/>
      <w:r w:rsidRPr="00B76C1C">
        <w:t>sinopulmonary</w:t>
      </w:r>
      <w:proofErr w:type="spellEnd"/>
      <w:r w:rsidRPr="00B76C1C">
        <w:t xml:space="preserve"> signs/symptoms, and outpatient sick visits to the clinic or hospital  for CF-related complications), </w:t>
      </w:r>
      <w:proofErr w:type="spellStart"/>
      <w:r w:rsidRPr="00B76C1C">
        <w:t>EuroQol</w:t>
      </w:r>
      <w:proofErr w:type="spellEnd"/>
      <w:r w:rsidRPr="00B76C1C">
        <w:t xml:space="preserve"> Questionnaire (EQ-5D)</w:t>
      </w:r>
      <w:r w:rsidRPr="00B76C1C">
        <w:rPr>
          <w:vertAlign w:val="superscript"/>
        </w:rPr>
        <w:footnoteReference w:id="7"/>
      </w:r>
      <w:r w:rsidRPr="00B76C1C">
        <w:t xml:space="preserve">, pulse </w:t>
      </w:r>
      <w:proofErr w:type="spellStart"/>
      <w:r w:rsidRPr="00B76C1C">
        <w:t>oximetry</w:t>
      </w:r>
      <w:proofErr w:type="spellEnd"/>
      <w:r w:rsidRPr="00B76C1C">
        <w:t xml:space="preserve">, and weight. The schedule of assessments during the study, from the Screening Visit through the Follow-up Visit and the Long-term Follow-up Visits is shown in Table </w:t>
      </w:r>
      <w:r w:rsidR="00B76C1C">
        <w:t>4</w:t>
      </w:r>
      <w:r w:rsidRPr="00B76C1C">
        <w:t xml:space="preserve">. </w:t>
      </w:r>
    </w:p>
    <w:p w:rsidR="005D62D7" w:rsidRPr="004F5877" w:rsidRDefault="00B76C1C" w:rsidP="008A78BD">
      <w:pPr>
        <w:pStyle w:val="TableTitle"/>
        <w:rPr>
          <w:lang w:eastAsia="ja-JP"/>
        </w:rPr>
      </w:pPr>
      <w:r>
        <w:rPr>
          <w:lang w:eastAsia="ja-JP"/>
        </w:rPr>
        <w:lastRenderedPageBreak/>
        <w:t>Table 4</w:t>
      </w:r>
      <w:r w:rsidR="005D62D7">
        <w:rPr>
          <w:lang w:eastAsia="ja-JP"/>
        </w:rPr>
        <w:t>. Study 102 Schedule of assessments</w:t>
      </w:r>
    </w:p>
    <w:p w:rsidR="00B76C1C" w:rsidRDefault="002D30FB" w:rsidP="008A78BD">
      <w:pPr>
        <w:rPr>
          <w:lang w:eastAsia="ja-JP"/>
        </w:rPr>
      </w:pPr>
      <w:r>
        <w:rPr>
          <w:noProof/>
          <w:lang w:eastAsia="en-AU"/>
        </w:rPr>
        <w:drawing>
          <wp:inline distT="0" distB="0" distL="0" distR="0">
            <wp:extent cx="5731510" cy="7120816"/>
            <wp:effectExtent l="19050" t="0" r="2540" b="0"/>
            <wp:docPr id="7" name="Picture 5" descr="Table 4. Study 102 Schedule of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731510" cy="7120816"/>
                    </a:xfrm>
                    <a:prstGeom prst="rect">
                      <a:avLst/>
                    </a:prstGeom>
                    <a:noFill/>
                    <a:ln w="9525">
                      <a:noFill/>
                      <a:miter lim="800000"/>
                      <a:headEnd/>
                      <a:tailEnd/>
                    </a:ln>
                  </pic:spPr>
                </pic:pic>
              </a:graphicData>
            </a:graphic>
          </wp:inline>
        </w:drawing>
      </w:r>
    </w:p>
    <w:p w:rsidR="004F5877" w:rsidRPr="00B76C1C" w:rsidRDefault="004F5877" w:rsidP="008A78BD">
      <w:r w:rsidRPr="004F5877">
        <w:rPr>
          <w:lang w:eastAsia="ja-JP"/>
        </w:rPr>
        <w:t xml:space="preserve">The primary endpoint was the absolute change in percent predicted FEV1 through Week 24 of treatment. The secondary efficacy variables were absolute change from baseline in percent predicted FEV1 through Week 48, absolute change from baseline in CFQ-R score, absolute </w:t>
      </w:r>
      <w:r w:rsidRPr="00B76C1C">
        <w:lastRenderedPageBreak/>
        <w:t>change from baseline in sweat chloride, time to first pulmonary exacerbation</w:t>
      </w:r>
      <w:r w:rsidRPr="00034FC1">
        <w:rPr>
          <w:vertAlign w:val="superscript"/>
        </w:rPr>
        <w:footnoteReference w:id="8"/>
      </w:r>
      <w:r w:rsidRPr="00B76C1C">
        <w:t>, and absolute change from baseline in weight. Key secondary endpoints were absolute change from baseline in pooled respiratory CFQ-R score through Week 24, absolute change from baseline in sweat chloride through Week 24, time to first pulmonary exacerbation through Week 48, and absolute change from baseline in weight at Week 48.</w:t>
      </w:r>
    </w:p>
    <w:p w:rsidR="004F5877" w:rsidRPr="00B76C1C" w:rsidRDefault="004F5877" w:rsidP="008A78BD">
      <w:r w:rsidRPr="00B76C1C">
        <w:t xml:space="preserve">The tertiary efficacy variables included: absolute change from baseline in oxygen saturation, absolute change from baseline in EQ-5D, pulmonary exacerbations (count and duration), hospitalizations, outpatient sick visits to the clinic or hospital for CF-related complications, antibiotic therapy for </w:t>
      </w:r>
      <w:proofErr w:type="spellStart"/>
      <w:r w:rsidRPr="00B76C1C">
        <w:t>sinopulmonary</w:t>
      </w:r>
      <w:proofErr w:type="spellEnd"/>
      <w:r w:rsidRPr="00B76C1C">
        <w:t xml:space="preserve"> signs/symptoms, and rate of decline in FEV1.</w:t>
      </w:r>
    </w:p>
    <w:p w:rsidR="004F5877" w:rsidRPr="00B76C1C" w:rsidRDefault="004F5877" w:rsidP="008A78BD">
      <w:r w:rsidRPr="00B76C1C">
        <w:t>Exploratory endpoints were assessments of the levels of inflammatory mediators in blood including C-reactive protein, immunoglobulin G, and interleukin-8.</w:t>
      </w:r>
    </w:p>
    <w:p w:rsidR="004F5877" w:rsidRPr="004F5877" w:rsidRDefault="004F5877" w:rsidP="008A78BD">
      <w:pPr>
        <w:pStyle w:val="Heading5"/>
        <w:rPr>
          <w:lang w:eastAsia="ja-JP"/>
        </w:rPr>
      </w:pPr>
      <w:bookmarkStart w:id="95" w:name="_Toc341441419"/>
      <w:r w:rsidRPr="004F5877">
        <w:rPr>
          <w:lang w:eastAsia="ja-JP"/>
        </w:rPr>
        <w:t>Randomisation and blinding methods</w:t>
      </w:r>
      <w:bookmarkEnd w:id="95"/>
    </w:p>
    <w:p w:rsidR="004F5877" w:rsidRPr="00B76C1C" w:rsidRDefault="004F5877" w:rsidP="00034FC1">
      <w:r w:rsidRPr="00B76C1C">
        <w:t xml:space="preserve">Subjects were randomized in a 1:1 ratio, stratifying for age (&lt; 18 versus ≥ 18 years of age) and FEV1 (&lt; 70% versus ≥ 70% predicted) at screening. To protect the scientific integrity of the blind, 2 biostatisticians were involved in the randomization process: a study biostatistician, who was blinded to the actual treatment code, and an </w:t>
      </w:r>
      <w:proofErr w:type="spellStart"/>
      <w:r w:rsidRPr="00B76C1C">
        <w:t>unblinded</w:t>
      </w:r>
      <w:proofErr w:type="spellEnd"/>
      <w:r w:rsidRPr="00B76C1C">
        <w:t xml:space="preserve"> biostatistician who was not associated with the study. The study biostatistician created the randomization specification and dummy randomization code, which were reviewed and approved by the </w:t>
      </w:r>
      <w:proofErr w:type="spellStart"/>
      <w:r w:rsidRPr="00B76C1C">
        <w:t>unblinded</w:t>
      </w:r>
      <w:proofErr w:type="spellEnd"/>
      <w:r w:rsidRPr="00B76C1C">
        <w:t xml:space="preserve"> biostatistician. After approval, the </w:t>
      </w:r>
      <w:proofErr w:type="spellStart"/>
      <w:r w:rsidRPr="00B76C1C">
        <w:t>unblinded</w:t>
      </w:r>
      <w:proofErr w:type="spellEnd"/>
      <w:r w:rsidRPr="00B76C1C">
        <w:t xml:space="preserve"> biostatistician generated the final (production) randomization list that was provided to the Interactive Voice Response System (IVRS)/Interactive Web Response System (IWRS). A copy of the final randomization list (in sealed tamper-evident envelopes) was archived at Vertex. </w:t>
      </w:r>
    </w:p>
    <w:p w:rsidR="004F5877" w:rsidRPr="00B76C1C" w:rsidRDefault="004F5877" w:rsidP="00034FC1">
      <w:r w:rsidRPr="00B76C1C">
        <w:t xml:space="preserve">The subjects, all site personnel including the investigator, the study monitor, and the Vertex study team were blinded with the exception of the following:- Any site personnel for whom this information was important to ensure the safety of the subject, in the event of a life-threatening medical emergency; Vertex Global Patient Safety and Regulatory Affairs personnel to satisfy SAE processing regulations; </w:t>
      </w:r>
      <w:proofErr w:type="spellStart"/>
      <w:r w:rsidRPr="00B76C1C">
        <w:t>Unblinded</w:t>
      </w:r>
      <w:proofErr w:type="spellEnd"/>
      <w:r w:rsidRPr="00B76C1C">
        <w:t xml:space="preserve"> statistician preparing the final (production) randomization list who was not part of the study team; IVRS/IWRS vendor; Vertex Clinical Supply Chain; DMC, and Vendor preparing the </w:t>
      </w:r>
      <w:proofErr w:type="spellStart"/>
      <w:r w:rsidRPr="00B76C1C">
        <w:t>unblinded</w:t>
      </w:r>
      <w:proofErr w:type="spellEnd"/>
      <w:r w:rsidRPr="00B76C1C">
        <w:t xml:space="preserve"> analyses for the DMC. Sweat chloride laboratory personnel, and the monitor who was reviewing the sweat chloride results, were </w:t>
      </w:r>
      <w:proofErr w:type="spellStart"/>
      <w:r w:rsidRPr="00B76C1C">
        <w:t>unblinded</w:t>
      </w:r>
      <w:proofErr w:type="spellEnd"/>
      <w:r w:rsidRPr="00B76C1C">
        <w:t xml:space="preserve"> to the sweat chloride results but remained blinded to treatment assignment. </w:t>
      </w:r>
    </w:p>
    <w:p w:rsidR="004F5877" w:rsidRPr="004F5877" w:rsidRDefault="004F5877" w:rsidP="00034FC1">
      <w:pPr>
        <w:pStyle w:val="Heading5"/>
        <w:rPr>
          <w:lang w:eastAsia="ja-JP"/>
        </w:rPr>
      </w:pPr>
      <w:bookmarkStart w:id="96" w:name="_Toc341441420"/>
      <w:r w:rsidRPr="004F5877">
        <w:rPr>
          <w:lang w:eastAsia="ja-JP"/>
        </w:rPr>
        <w:t>Analysis populations</w:t>
      </w:r>
      <w:bookmarkEnd w:id="96"/>
    </w:p>
    <w:p w:rsidR="004F5877" w:rsidRPr="00B76C1C" w:rsidRDefault="004F5877" w:rsidP="00034FC1">
      <w:r w:rsidRPr="00B76C1C">
        <w:t>Full Analysis Set (FAS) was defined as all randomized subjects who received at least 1 dose of study drug (i.e., VX-770 or placebo). The Per protocol set (PPS) was defined as all FAS subjects without major protocol violations having at least 80% overall study drug compliance and having completed at least 80% of the analysis period. For the Week 24 PPS, subjects having more than 1 missing assessment of FEV1 or who were missing the Week 24 assessment of FEV1 were excluded; for the Week 48 PPS, subjects having more than 1 missing assessment of FEV1 were excluded. Major protocol violations were defined as violations that may have had a substantial impact on efficacy assessments. The PPS analyses were performed for the primary and secondary endpoints to provide supportive evidence for efficacy at Week 24 and Week 48. Safety Set was defined as all subjects who received at least 1 dose of study drug (VX-770 or placebo).</w:t>
      </w:r>
    </w:p>
    <w:p w:rsidR="004F5877" w:rsidRPr="00053490" w:rsidDel="0081373E" w:rsidRDefault="004F5877" w:rsidP="00034FC1">
      <w:pPr>
        <w:pStyle w:val="Heading5"/>
      </w:pPr>
      <w:bookmarkStart w:id="97" w:name="_Toc341441421"/>
      <w:r w:rsidRPr="00053490" w:rsidDel="0081373E">
        <w:lastRenderedPageBreak/>
        <w:t>Sample size</w:t>
      </w:r>
      <w:bookmarkEnd w:id="97"/>
    </w:p>
    <w:p w:rsidR="004F5877" w:rsidRPr="00B76C1C" w:rsidRDefault="004F5877" w:rsidP="00872177">
      <w:r w:rsidRPr="00B76C1C">
        <w:t xml:space="preserve">The treatment effect size and standard deviation was based on the results of Study 101 and a review of the clinical CF literature, taking into consideration the likelihood of a larger variability in this study in approximately 80 sites compared with Study 101, which enrolled 39 subjects (total) at 15 sites. The estimated study power for detecting different treatment effect sizes between VX-770 and placebo in the absolute change in percent predicted FEV1 from baseline through Week 24, assuming 80 randomized subjects (total) is summarised in Table </w:t>
      </w:r>
      <w:r w:rsidR="00B76C1C">
        <w:t>5</w:t>
      </w:r>
      <w:r w:rsidRPr="00B76C1C">
        <w:t>.</w:t>
      </w:r>
    </w:p>
    <w:p w:rsidR="004F5877" w:rsidRDefault="004F5877" w:rsidP="00872177">
      <w:pPr>
        <w:pStyle w:val="TableTitle"/>
      </w:pPr>
      <w:bookmarkStart w:id="98" w:name="_Toc341441513"/>
      <w:r w:rsidRPr="00053490">
        <w:t xml:space="preserve">Table </w:t>
      </w:r>
      <w:r w:rsidR="00B76C1C">
        <w:t>5</w:t>
      </w:r>
      <w:r w:rsidR="00053490" w:rsidRPr="00053490">
        <w:t xml:space="preserve">. </w:t>
      </w:r>
      <w:bookmarkEnd w:id="98"/>
      <w:r w:rsidR="00053490" w:rsidRPr="00053490">
        <w:t>Power estimates under possible scenarios of treatment effects, given a total of 80 randomised and evaluable subjects</w:t>
      </w:r>
    </w:p>
    <w:p w:rsidR="00053490" w:rsidRPr="00053490" w:rsidRDefault="00053490" w:rsidP="00872177">
      <w:r>
        <w:rPr>
          <w:noProof/>
          <w:lang w:eastAsia="en-AU"/>
        </w:rPr>
        <w:drawing>
          <wp:inline distT="0" distB="0" distL="0" distR="0">
            <wp:extent cx="5734050" cy="2123440"/>
            <wp:effectExtent l="19050" t="0" r="0" b="0"/>
            <wp:docPr id="8" name="Picture 6" descr="Table 5. Power estimates under possible scenarios of treatment effects, given a total of 80 randomised and evaluabl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t="2336"/>
                    <a:stretch>
                      <a:fillRect/>
                    </a:stretch>
                  </pic:blipFill>
                  <pic:spPr bwMode="auto">
                    <a:xfrm>
                      <a:off x="0" y="0"/>
                      <a:ext cx="5734050" cy="2123440"/>
                    </a:xfrm>
                    <a:prstGeom prst="rect">
                      <a:avLst/>
                    </a:prstGeom>
                    <a:noFill/>
                    <a:ln w="9525">
                      <a:noFill/>
                      <a:miter lim="800000"/>
                      <a:headEnd/>
                      <a:tailEnd/>
                    </a:ln>
                  </pic:spPr>
                </pic:pic>
              </a:graphicData>
            </a:graphic>
          </wp:inline>
        </w:drawing>
      </w:r>
    </w:p>
    <w:p w:rsidR="004F5877" w:rsidRPr="004F5877" w:rsidRDefault="004F5877" w:rsidP="00872177">
      <w:pPr>
        <w:pStyle w:val="Heading5"/>
        <w:rPr>
          <w:lang w:eastAsia="ja-JP"/>
        </w:rPr>
      </w:pPr>
      <w:bookmarkStart w:id="99" w:name="_Toc341441422"/>
      <w:r w:rsidRPr="004F5877">
        <w:rPr>
          <w:lang w:eastAsia="ja-JP"/>
        </w:rPr>
        <w:t>Statistical methods</w:t>
      </w:r>
      <w:bookmarkEnd w:id="99"/>
    </w:p>
    <w:p w:rsidR="004F5877" w:rsidRPr="00B76C1C" w:rsidRDefault="004F5877" w:rsidP="00872177">
      <w:r w:rsidRPr="00B76C1C">
        <w:t xml:space="preserve">The primary efficacy endpoint was the absolute change from baseline in percent predicted FEV1 through Week 24. The primary analysis for this endpoint was based on a Mixed-Effects Model for Repeated Measures (MMRM). No imputation on missing data was done for the primary analysis using the MMRM. In addition to the primary analysis based on FAS, a supportive analysis based on the PPS was conducted. To assess the robustness of the primary analysis, analyses were conducted using different variance-covariance matrices in MMRM, nonparametric analysis, and analysis of covariance (ANCOVA) with missing data imputed using 3 methods: the last observation carried forward (LOCF), worst-case, and dropout reason-based. </w:t>
      </w:r>
    </w:p>
    <w:p w:rsidR="004F5877" w:rsidRPr="00B76C1C" w:rsidRDefault="004F5877" w:rsidP="00872177">
      <w:r w:rsidRPr="00B76C1C">
        <w:t xml:space="preserve">The secondary efficacy variables were absolute change from baseline in percent predicted FEV1 through Week 48, absolute change from baseline in CFQ-R score, sweat chloride, time to first pulmonary exacerbation, and weight. Key secondary endpoints were absolute change from baseline in pooled respiratory CFQ-R score through Week 24, absolute change from baseline in sweat chloride through Week 24, time to first pulmonary exacerbation through Week 48, and absolute change from baseline in weight at Week 48. Primary analysis for the first three variables was similar to that of the primary efficacy endpoint. However, change from baseline in weight was analysed using a linear mixed effect (LME) model and time to first pulmonary exacerbation was analysed using Cox regression and Kaplan-Meier methods. The primary analysis of the secondary efficacy variables was repeated based on the PPS. To assess the robustness of the primary analysis of change from baseline in weight, the following alternative endpoints were used: weight adjusted for age and sex and analysed as weight-for-age z-scores (calculated using </w:t>
      </w:r>
      <w:proofErr w:type="spellStart"/>
      <w:r w:rsidRPr="00B76C1C">
        <w:t>Centers</w:t>
      </w:r>
      <w:proofErr w:type="spellEnd"/>
      <w:r w:rsidRPr="00B76C1C">
        <w:t xml:space="preserve"> for Disease Control and Prevention [CDC] growth charts), body mass index (BMI), and BMI adjusted for age and sex, analysed as BMI-for-age z-scores (calculated using CDC growth charts). To assess the robustness of the primary analysis of other secondary endpoints for which primary analysis was performed using the MMRM, sensitivity analyses were conducted using different variance-covariance matrices in MMRM, nonparametric analysis, and analysis of covariance (ANCOVA) with missing data imputed using 3 methods: the last observation carried forward (LOCF), worst-case, and dropout reason based. </w:t>
      </w:r>
    </w:p>
    <w:p w:rsidR="004F5877" w:rsidRPr="00B76C1C" w:rsidRDefault="004F5877" w:rsidP="00B76C1C">
      <w:r w:rsidRPr="00B76C1C">
        <w:lastRenderedPageBreak/>
        <w:t>Subgroup analyses of the primary and secondary endpoints were performed for the following subgroups: age (&lt; 18 and ≥ 18 years), percent predicted FEV1 severity at baseline (&lt; 70% and ≥70% predicted), sex (female and male), and geographic region (North America, Europe, and Australia). Sensitivity and subgroup analyses were only performed based on the FAS.</w:t>
      </w:r>
    </w:p>
    <w:p w:rsidR="004F5877" w:rsidRPr="00B76C1C" w:rsidRDefault="004F5877" w:rsidP="00872177">
      <w:r w:rsidRPr="00B76C1C">
        <w:t xml:space="preserve">The tertiary efficacy variables included: absolute change from baseline in oxygen saturation, absolute change from baseline in EQ-5D, pulmonary exacerbations (count and duration), hospitalizations, outpatient sick visits to the clinic or hospital for CF-related complications, antibiotic therapy for </w:t>
      </w:r>
      <w:proofErr w:type="spellStart"/>
      <w:r w:rsidRPr="00B76C1C">
        <w:t>sinopulmonary</w:t>
      </w:r>
      <w:proofErr w:type="spellEnd"/>
      <w:r w:rsidRPr="00B76C1C">
        <w:t xml:space="preserve"> signs/symptoms, and rate of decline in FEV1. The primary analysis of the tertiary variables was performed on the FAS only. Primary analysis for the first two variables was similar to that of the primary efficacy endpoint. Event variables described above were analysed as follows (as appropriate): count (negative binomial regression), duration (number of days; </w:t>
      </w:r>
      <w:proofErr w:type="spellStart"/>
      <w:r w:rsidRPr="00B76C1C">
        <w:t>Wilcoxon</w:t>
      </w:r>
      <w:proofErr w:type="spellEnd"/>
      <w:r w:rsidRPr="00B76C1C">
        <w:t xml:space="preserve"> rank-sum test), and time to first (Cox regression and Kaplan-Meier methods).</w:t>
      </w:r>
    </w:p>
    <w:p w:rsidR="004F5877" w:rsidRPr="00B76C1C" w:rsidRDefault="004F5877" w:rsidP="00872177">
      <w:r w:rsidRPr="00B76C1C">
        <w:t xml:space="preserve">The following additional FEV1 endpoints (through Week 24 and Week 48) were analysed in a similar manner to that of the primary analysis of the primary efficacy endpoint (no sensitivity analysis was performed):- Absolute change in FEV1 from baseline, relative change in FEV1 from baseline, relative change in percent predicted FEV1 from baseline, absolute change in percent predicted forced vital capacity (FVC) from baseline, absolute change in percent predicted forced </w:t>
      </w:r>
      <w:proofErr w:type="spellStart"/>
      <w:r w:rsidRPr="00B76C1C">
        <w:t>midexpiratory</w:t>
      </w:r>
      <w:proofErr w:type="spellEnd"/>
      <w:r w:rsidRPr="00B76C1C">
        <w:t xml:space="preserve"> flow rate (FEF25-75%) from baseline, absolute change in percent predicted FEV1/FVC from baseline.</w:t>
      </w:r>
    </w:p>
    <w:p w:rsidR="004F5877" w:rsidRPr="00B76C1C" w:rsidRDefault="004F5877" w:rsidP="00872177">
      <w:r w:rsidRPr="00B76C1C">
        <w:t>Exploratory Evaluations: Assessments of the levels of inflammatory mediators in blood included C-reactive protein, immunoglobulin G, and interleukin-8. Analysis was conducted on the raw and the log-transformed change from baseline result and was analysed using ANCOVA.</w:t>
      </w:r>
    </w:p>
    <w:p w:rsidR="004F5877" w:rsidRPr="004F5877" w:rsidRDefault="004F5877" w:rsidP="00872177">
      <w:pPr>
        <w:pStyle w:val="Heading5"/>
        <w:rPr>
          <w:lang w:eastAsia="ja-JP"/>
        </w:rPr>
      </w:pPr>
      <w:r w:rsidRPr="004F5877">
        <w:rPr>
          <w:lang w:eastAsia="ja-JP"/>
        </w:rPr>
        <w:t>Participant flow</w:t>
      </w:r>
    </w:p>
    <w:p w:rsidR="004F5877" w:rsidRPr="00B76C1C" w:rsidRDefault="004F5877" w:rsidP="00872177">
      <w:r w:rsidRPr="00B76C1C">
        <w:t>A total of 167 subjects were randomized; 84 subjects were randomized to VX-770 and 83 subjects were randomized to placebo treatment; 83 subjects in the VX-770 group and 78 subjects in the placebo group received at least 1 dose of the study drug. (the FAS and the safety set were identical).</w:t>
      </w:r>
    </w:p>
    <w:p w:rsidR="004F5877" w:rsidRPr="00B76C1C" w:rsidRDefault="004F5877" w:rsidP="00872177">
      <w:r w:rsidRPr="00B76C1C">
        <w:t xml:space="preserve">A total of 80 (96.4%) subjects in the VX-770 group and 71 (91.0%) subjects in the placebo group completed dosing in the Treatment Period (through Week 24). Through Week 24, 3 (3.6%) subjects in the VX-770 group and 7 (9.0%) subjects in the placebo group discontinued study drug dosing; the most frequent reason for discontinuation was an AE (1 [1.2%] subjects in the VX-770 group and 3 [3.8%] subjects in the placebo group). A total of 77 (92.8%) subjects in the VX-770 group and 68 (87.2%) subjects in the placebo group completed dosing in both the Treatment and Extension Periods (through Week 48). Through Week 48, 6 (7.2%) subjects in the VX-770 group and 10 (12.8%) subjects in the placebo group discontinued study drug dosing; the most frequent reason for discontinuation was an AE (1 [1.2%] subjects in the VX-770 group and 4 [5.1%] subjects in the placebo group). </w:t>
      </w:r>
    </w:p>
    <w:p w:rsidR="004F5877" w:rsidRPr="004F5877" w:rsidRDefault="004F5877" w:rsidP="00872177">
      <w:pPr>
        <w:pStyle w:val="Heading5"/>
        <w:rPr>
          <w:lang w:eastAsia="ja-JP"/>
        </w:rPr>
      </w:pPr>
      <w:r w:rsidRPr="004F5877">
        <w:rPr>
          <w:lang w:eastAsia="ja-JP"/>
        </w:rPr>
        <w:t>Major protocol violations/deviations</w:t>
      </w:r>
    </w:p>
    <w:p w:rsidR="004F5877" w:rsidRPr="00B76C1C" w:rsidRDefault="004F5877" w:rsidP="00872177">
      <w:r w:rsidRPr="00B76C1C">
        <w:t xml:space="preserve">The majority of protocol deviations were minor, not considered to have had substantial impact on the efficacy assessments or subject safety and were related to completion of study assessments, subject visits that were out of the protocol-specified visit window, study drug administration, PK blood collection, minor, non-reportable completion errors of the ICF form, and prohibited medications. The PPS at Week 24 included 138 subjects (74 and 64 subjects in the VX-770 and placebo groups, respectively), and the Week 48 PPS included 133 subjects (69 and 64 subjects in the placebo group); the most common protocol violations leading to exclusion from the PPS were prohibited medications, overall drug compliance and missing FEV1 assessments with similar incidence in the ivacaftor and placebo groups. </w:t>
      </w:r>
    </w:p>
    <w:p w:rsidR="004F5877" w:rsidRPr="004F5877" w:rsidRDefault="004F5877" w:rsidP="00872177">
      <w:pPr>
        <w:pStyle w:val="Heading5"/>
        <w:rPr>
          <w:lang w:eastAsia="ja-JP"/>
        </w:rPr>
      </w:pPr>
      <w:r w:rsidRPr="004F5877">
        <w:rPr>
          <w:lang w:eastAsia="ja-JP"/>
        </w:rPr>
        <w:lastRenderedPageBreak/>
        <w:t>Baseline data</w:t>
      </w:r>
    </w:p>
    <w:p w:rsidR="004F5877" w:rsidRPr="00B76C1C" w:rsidRDefault="004F5877" w:rsidP="00872177">
      <w:r w:rsidRPr="00B76C1C">
        <w:t xml:space="preserve">Majority of subjects in both groups were White (VX-770 </w:t>
      </w:r>
      <w:proofErr w:type="spellStart"/>
      <w:r w:rsidRPr="00B76C1C">
        <w:t>vs</w:t>
      </w:r>
      <w:proofErr w:type="spellEnd"/>
      <w:r w:rsidRPr="00B76C1C">
        <w:t xml:space="preserve"> placebo: 97.6% </w:t>
      </w:r>
      <w:proofErr w:type="spellStart"/>
      <w:r w:rsidRPr="00B76C1C">
        <w:t>vs</w:t>
      </w:r>
      <w:proofErr w:type="spellEnd"/>
      <w:r w:rsidRPr="00B76C1C">
        <w:t xml:space="preserve"> 98.7%) of non-Hispanic or Latino ethnicity (97.6% </w:t>
      </w:r>
      <w:proofErr w:type="spellStart"/>
      <w:r w:rsidRPr="00B76C1C">
        <w:t>vs</w:t>
      </w:r>
      <w:proofErr w:type="spellEnd"/>
      <w:r w:rsidRPr="00B76C1C">
        <w:t xml:space="preserve"> 98.7%), from North America (60.2% </w:t>
      </w:r>
      <w:proofErr w:type="spellStart"/>
      <w:r w:rsidRPr="00B76C1C">
        <w:t>vs</w:t>
      </w:r>
      <w:proofErr w:type="spellEnd"/>
      <w:r w:rsidRPr="00B76C1C">
        <w:t xml:space="preserve"> 64.1%) and female (53.</w:t>
      </w:r>
      <w:r w:rsidR="00196C60" w:rsidRPr="00B76C1C">
        <w:t xml:space="preserve">0% </w:t>
      </w:r>
      <w:proofErr w:type="spellStart"/>
      <w:r w:rsidR="00196C60" w:rsidRPr="00B76C1C">
        <w:t>vs</w:t>
      </w:r>
      <w:proofErr w:type="spellEnd"/>
      <w:r w:rsidR="00196C60" w:rsidRPr="00B76C1C">
        <w:t xml:space="preserve"> 51.3%). The mean age was </w:t>
      </w:r>
      <w:r w:rsidRPr="00B76C1C">
        <w:t>26</w:t>
      </w:r>
      <w:r w:rsidR="00196C60" w:rsidRPr="00B76C1C">
        <w:t>.2</w:t>
      </w:r>
      <w:r w:rsidRPr="00B76C1C">
        <w:t xml:space="preserve"> years (range: 12-53) with 36 (22.4%) &lt; 18 years and 125 (77.6%) subjects in the ≥ 18 years subgroup. Baseline sweat chloride values (100.35 </w:t>
      </w:r>
      <w:proofErr w:type="spellStart"/>
      <w:r w:rsidRPr="00B76C1C">
        <w:t>mmol</w:t>
      </w:r>
      <w:proofErr w:type="spellEnd"/>
      <w:r w:rsidRPr="00B76C1C">
        <w:t xml:space="preserve">/L in the VX-770 group and 100.13 </w:t>
      </w:r>
      <w:proofErr w:type="spellStart"/>
      <w:r w:rsidRPr="00B76C1C">
        <w:t>mmol</w:t>
      </w:r>
      <w:proofErr w:type="spellEnd"/>
      <w:r w:rsidRPr="00B76C1C">
        <w:t>/L in the placebo group), mean percent predicted FEV1 at baseline (63.</w:t>
      </w:r>
      <w:r w:rsidR="00196C60" w:rsidRPr="00B76C1C">
        <w:t>5</w:t>
      </w:r>
      <w:r w:rsidRPr="00B76C1C">
        <w:t xml:space="preserve">6%), and oxygen saturation (97%) were similar between the 2 treatment groups. Mean height, weight, weight-for-age z-score, BMI, and BMI-for-age z-score at screening were also similar between the 2 treatment groups. The most commonly reported continuing conditions were CF lung disease (100%), pancreatic insufficiency (92.5%), sinus disease (symptomatic; 50.9%), </w:t>
      </w:r>
      <w:proofErr w:type="spellStart"/>
      <w:r w:rsidRPr="00B76C1C">
        <w:t>gastroesophageal</w:t>
      </w:r>
      <w:proofErr w:type="spellEnd"/>
      <w:r w:rsidRPr="00B76C1C">
        <w:t xml:space="preserve"> reflux disease (GERD; 37.9 %), asthma (27.3%), and CF-related diabetes (CFRD; 18.6%) with similar incidence in both treatment groups. During 24 and 48 weeks, the most commonly reported concomitant medications were indicated for management of CF complications and the use of these medications was generally similar between the 2 treatment groups. At the start of the study, patients in the placebo group used some medicinal products at a higher frequency than the ivacaftor group which included </w:t>
      </w:r>
      <w:proofErr w:type="spellStart"/>
      <w:r w:rsidRPr="00B76C1C">
        <w:t>dornase</w:t>
      </w:r>
      <w:proofErr w:type="spellEnd"/>
      <w:r w:rsidRPr="00B76C1C">
        <w:t xml:space="preserve"> </w:t>
      </w:r>
      <w:proofErr w:type="spellStart"/>
      <w:r w:rsidRPr="00B76C1C">
        <w:t>alfa</w:t>
      </w:r>
      <w:proofErr w:type="spellEnd"/>
      <w:r w:rsidRPr="00B76C1C">
        <w:t xml:space="preserve"> (placebo vs. </w:t>
      </w:r>
      <w:proofErr w:type="spellStart"/>
      <w:r w:rsidRPr="00B76C1C">
        <w:t>ivacaftor</w:t>
      </w:r>
      <w:proofErr w:type="spellEnd"/>
      <w:r w:rsidRPr="00B76C1C">
        <w:t xml:space="preserve">: 73.1% </w:t>
      </w:r>
      <w:proofErr w:type="spellStart"/>
      <w:r w:rsidRPr="00B76C1C">
        <w:t>vs</w:t>
      </w:r>
      <w:proofErr w:type="spellEnd"/>
      <w:r w:rsidRPr="00B76C1C">
        <w:t xml:space="preserve"> 65.1%), </w:t>
      </w:r>
      <w:proofErr w:type="spellStart"/>
      <w:r w:rsidRPr="00B76C1C">
        <w:t>salbutamol</w:t>
      </w:r>
      <w:proofErr w:type="spellEnd"/>
      <w:r w:rsidRPr="00B76C1C">
        <w:t xml:space="preserve"> (53.8% </w:t>
      </w:r>
      <w:proofErr w:type="spellStart"/>
      <w:r w:rsidRPr="00B76C1C">
        <w:t>vs</w:t>
      </w:r>
      <w:proofErr w:type="spellEnd"/>
      <w:r w:rsidRPr="00B76C1C">
        <w:t xml:space="preserve"> 42.2%), </w:t>
      </w:r>
      <w:proofErr w:type="spellStart"/>
      <w:r w:rsidRPr="00B76C1C">
        <w:t>tobramycin</w:t>
      </w:r>
      <w:proofErr w:type="spellEnd"/>
      <w:r w:rsidRPr="00B76C1C">
        <w:t xml:space="preserve"> (44.9% </w:t>
      </w:r>
      <w:proofErr w:type="spellStart"/>
      <w:r w:rsidRPr="00B76C1C">
        <w:t>vs</w:t>
      </w:r>
      <w:proofErr w:type="spellEnd"/>
      <w:r w:rsidRPr="00B76C1C">
        <w:t xml:space="preserve"> 33.7%), and </w:t>
      </w:r>
      <w:proofErr w:type="spellStart"/>
      <w:r w:rsidRPr="00B76C1C">
        <w:t>salmeterol</w:t>
      </w:r>
      <w:proofErr w:type="spellEnd"/>
      <w:r w:rsidRPr="00B76C1C">
        <w:t>/</w:t>
      </w:r>
      <w:proofErr w:type="spellStart"/>
      <w:r w:rsidRPr="00B76C1C">
        <w:t>fluticasone</w:t>
      </w:r>
      <w:proofErr w:type="spellEnd"/>
      <w:r w:rsidRPr="00B76C1C">
        <w:t xml:space="preserve"> (41.0% </w:t>
      </w:r>
      <w:proofErr w:type="spellStart"/>
      <w:r w:rsidRPr="00B76C1C">
        <w:t>vs</w:t>
      </w:r>
      <w:proofErr w:type="spellEnd"/>
      <w:r w:rsidRPr="00B76C1C">
        <w:t xml:space="preserve"> 27.7%). During first 24 weeks, the proportion of subjects administered the following concomitant medications was at least 10% higher in the placebo group than the VX-770 group: </w:t>
      </w:r>
      <w:proofErr w:type="spellStart"/>
      <w:r w:rsidRPr="00B76C1C">
        <w:t>salbutamol</w:t>
      </w:r>
      <w:proofErr w:type="spellEnd"/>
      <w:r w:rsidRPr="00B76C1C">
        <w:t xml:space="preserve">, </w:t>
      </w:r>
      <w:proofErr w:type="spellStart"/>
      <w:r w:rsidRPr="00B76C1C">
        <w:t>seretide</w:t>
      </w:r>
      <w:proofErr w:type="spellEnd"/>
      <w:r w:rsidRPr="00B76C1C">
        <w:t xml:space="preserve">, ciprofloxacin, calcium carbonate, and </w:t>
      </w:r>
      <w:proofErr w:type="spellStart"/>
      <w:r w:rsidRPr="00B76C1C">
        <w:t>minocycline</w:t>
      </w:r>
      <w:proofErr w:type="spellEnd"/>
      <w:r w:rsidRPr="00B76C1C">
        <w:t xml:space="preserve">; conversely, administration of sodium chloride was at least 10% higher in the VX-770 group than the placebo group. During 48 weeks, the proportion of subjects administered the following concomitant medications was at least 10% higher in the placebo group than the VX-770 group: </w:t>
      </w:r>
      <w:proofErr w:type="spellStart"/>
      <w:r w:rsidRPr="00B76C1C">
        <w:t>tobramycin</w:t>
      </w:r>
      <w:proofErr w:type="spellEnd"/>
      <w:r w:rsidRPr="00B76C1C">
        <w:t xml:space="preserve">, ciprofloxacin, </w:t>
      </w:r>
      <w:proofErr w:type="spellStart"/>
      <w:r w:rsidRPr="00B76C1C">
        <w:t>seretide</w:t>
      </w:r>
      <w:proofErr w:type="spellEnd"/>
      <w:r w:rsidRPr="00B76C1C">
        <w:t xml:space="preserve">, </w:t>
      </w:r>
      <w:proofErr w:type="spellStart"/>
      <w:r w:rsidRPr="00B76C1C">
        <w:t>ceftazidime</w:t>
      </w:r>
      <w:proofErr w:type="spellEnd"/>
      <w:r w:rsidRPr="00B76C1C">
        <w:t xml:space="preserve">, </w:t>
      </w:r>
      <w:proofErr w:type="spellStart"/>
      <w:r w:rsidRPr="00B76C1C">
        <w:t>meropenem</w:t>
      </w:r>
      <w:proofErr w:type="spellEnd"/>
      <w:r w:rsidRPr="00B76C1C">
        <w:t xml:space="preserve">, </w:t>
      </w:r>
      <w:proofErr w:type="spellStart"/>
      <w:r w:rsidRPr="00B76C1C">
        <w:t>minocycline</w:t>
      </w:r>
      <w:proofErr w:type="spellEnd"/>
      <w:r w:rsidRPr="00B76C1C">
        <w:t xml:space="preserve">, prednisone, and </w:t>
      </w:r>
      <w:proofErr w:type="spellStart"/>
      <w:r w:rsidRPr="00B76C1C">
        <w:t>montelukast</w:t>
      </w:r>
      <w:proofErr w:type="spellEnd"/>
      <w:r w:rsidRPr="00B76C1C">
        <w:t xml:space="preserve"> sodium; conversely, administration of sodium</w:t>
      </w:r>
      <w:r w:rsidRPr="004F5877">
        <w:rPr>
          <w:lang w:eastAsia="ja-JP"/>
        </w:rPr>
        <w:t xml:space="preserve"> </w:t>
      </w:r>
      <w:r w:rsidRPr="00B76C1C">
        <w:t xml:space="preserve">chloride was at least 10% higher in the VX-770 group than the placebo group. Of the concomitant medications received by at least 10% of subjects in any group, the following medications were administered to subjects in the placebo group at least (approximately) twice as frequently as subjects in the VX-770 group: </w:t>
      </w:r>
      <w:proofErr w:type="spellStart"/>
      <w:r w:rsidRPr="00B76C1C">
        <w:t>ceftazidime</w:t>
      </w:r>
      <w:proofErr w:type="spellEnd"/>
      <w:r w:rsidRPr="00B76C1C">
        <w:t xml:space="preserve">, </w:t>
      </w:r>
      <w:proofErr w:type="spellStart"/>
      <w:r w:rsidRPr="00B76C1C">
        <w:t>meropenem</w:t>
      </w:r>
      <w:proofErr w:type="spellEnd"/>
      <w:r w:rsidRPr="00B76C1C">
        <w:t>, co-</w:t>
      </w:r>
      <w:proofErr w:type="spellStart"/>
      <w:r w:rsidRPr="00B76C1C">
        <w:t>trimoxazole</w:t>
      </w:r>
      <w:proofErr w:type="spellEnd"/>
      <w:r w:rsidRPr="00B76C1C">
        <w:t xml:space="preserve">, prednisone, </w:t>
      </w:r>
      <w:proofErr w:type="spellStart"/>
      <w:r w:rsidRPr="00B76C1C">
        <w:t>montelukast</w:t>
      </w:r>
      <w:proofErr w:type="spellEnd"/>
      <w:r w:rsidRPr="00B76C1C">
        <w:t xml:space="preserve"> sodium, </w:t>
      </w:r>
      <w:proofErr w:type="spellStart"/>
      <w:r w:rsidRPr="00B76C1C">
        <w:t>budesonide</w:t>
      </w:r>
      <w:proofErr w:type="spellEnd"/>
      <w:r w:rsidRPr="00B76C1C">
        <w:t xml:space="preserve"> w/</w:t>
      </w:r>
      <w:proofErr w:type="spellStart"/>
      <w:r w:rsidRPr="00B76C1C">
        <w:t>formoterol</w:t>
      </w:r>
      <w:proofErr w:type="spellEnd"/>
      <w:r w:rsidRPr="00B76C1C">
        <w:t xml:space="preserve"> </w:t>
      </w:r>
      <w:proofErr w:type="spellStart"/>
      <w:r w:rsidRPr="00B76C1C">
        <w:t>fumarate</w:t>
      </w:r>
      <w:proofErr w:type="spellEnd"/>
      <w:r w:rsidRPr="00B76C1C">
        <w:t xml:space="preserve">, </w:t>
      </w:r>
      <w:proofErr w:type="spellStart"/>
      <w:r w:rsidRPr="00B76C1C">
        <w:t>minocycline</w:t>
      </w:r>
      <w:proofErr w:type="spellEnd"/>
      <w:r w:rsidRPr="00B76C1C">
        <w:t xml:space="preserve">, heparin, and calcium carbonate; these medications were also administered more frequently in the placebo group than the VX-770 group before the study, with the exception of </w:t>
      </w:r>
      <w:proofErr w:type="spellStart"/>
      <w:r w:rsidRPr="00B76C1C">
        <w:t>meropenem</w:t>
      </w:r>
      <w:proofErr w:type="spellEnd"/>
      <w:r w:rsidRPr="00B76C1C">
        <w:t xml:space="preserve"> and prednisone. </w:t>
      </w:r>
    </w:p>
    <w:p w:rsidR="004F5877" w:rsidRPr="00B76C1C" w:rsidRDefault="004F5877" w:rsidP="00872177">
      <w:r w:rsidRPr="00B76C1C">
        <w:t>During the Treatment Period (through Week 24) the mean (SD) overall compliance</w:t>
      </w:r>
      <w:r w:rsidRPr="00B76C1C">
        <w:rPr>
          <w:vertAlign w:val="superscript"/>
        </w:rPr>
        <w:footnoteReference w:id="9"/>
      </w:r>
      <w:r w:rsidRPr="00B76C1C">
        <w:t xml:space="preserve"> was similar between the treatment groups: 95.29% (11.52) in the VX-770 group and 91.42% (17.5) in the placebo group, but a greater proportion of subjects were ≥ 85% compliant with the study drug treatment in the VX-770 group (91.6%, 76 subjects) than in the placebo group (83.3%, 65 subjects). However, the mean (SD) ‘on-study’ compliance was similar between the treatment groups (96.14% </w:t>
      </w:r>
      <w:proofErr w:type="spellStart"/>
      <w:r w:rsidRPr="00B76C1C">
        <w:t>vs</w:t>
      </w:r>
      <w:proofErr w:type="spellEnd"/>
      <w:r w:rsidRPr="00B76C1C">
        <w:t xml:space="preserve"> 95.29%) and the proportion of subjects with ≥ 85% on-study drug compliance was similar (94.0% </w:t>
      </w:r>
      <w:proofErr w:type="spellStart"/>
      <w:r w:rsidRPr="00B76C1C">
        <w:t>vs</w:t>
      </w:r>
      <w:proofErr w:type="spellEnd"/>
      <w:r w:rsidRPr="00B76C1C">
        <w:t xml:space="preserve"> 92.3%). Through Week 48, the mean (SD) overall compliance was similar between the treatment groups (91.03% </w:t>
      </w:r>
      <w:proofErr w:type="spellStart"/>
      <w:r w:rsidRPr="00B76C1C">
        <w:t>vs</w:t>
      </w:r>
      <w:proofErr w:type="spellEnd"/>
      <w:r w:rsidRPr="00B76C1C">
        <w:t xml:space="preserve"> 88.79% with a similar proportion of subjects ≥ 90% compliant with the study drug treatment (74.7% </w:t>
      </w:r>
      <w:proofErr w:type="spellStart"/>
      <w:r w:rsidRPr="00B76C1C">
        <w:t>vs</w:t>
      </w:r>
      <w:proofErr w:type="spellEnd"/>
      <w:r w:rsidRPr="00B76C1C">
        <w:t xml:space="preserve"> 78.2%). The mean on-study compliance was similar between the treatment groups (93.49% </w:t>
      </w:r>
      <w:proofErr w:type="spellStart"/>
      <w:r w:rsidRPr="00B76C1C">
        <w:t>vs</w:t>
      </w:r>
      <w:proofErr w:type="spellEnd"/>
      <w:r w:rsidRPr="00B76C1C">
        <w:t xml:space="preserve"> 96.01%) but a slightly lower proportion had ≥ 90% on-study drug compliance in the VX-770 group than in the placebo group (74.7% </w:t>
      </w:r>
      <w:proofErr w:type="spellStart"/>
      <w:r w:rsidRPr="00B76C1C">
        <w:t>vs</w:t>
      </w:r>
      <w:proofErr w:type="spellEnd"/>
      <w:r w:rsidRPr="00B76C1C">
        <w:t xml:space="preserve"> 88.5%). </w:t>
      </w:r>
    </w:p>
    <w:p w:rsidR="004F5877" w:rsidRPr="004F5877" w:rsidRDefault="004F5877" w:rsidP="00872177">
      <w:pPr>
        <w:pStyle w:val="Heading5"/>
        <w:rPr>
          <w:lang w:eastAsia="ja-JP"/>
        </w:rPr>
      </w:pPr>
      <w:r w:rsidRPr="004F5877">
        <w:rPr>
          <w:lang w:eastAsia="ja-JP"/>
        </w:rPr>
        <w:t>Results for the primary efficacy outcome</w:t>
      </w:r>
    </w:p>
    <w:p w:rsidR="004F5877" w:rsidRPr="00B76C1C" w:rsidRDefault="004F5877" w:rsidP="00872177">
      <w:r w:rsidRPr="00B76C1C">
        <w:t xml:space="preserve">The adjusted mean absolute change from baseline through Week 24 in percent predicted FEV1 was significantly greater in the VX-770 group than the placebo group (10.4% </w:t>
      </w:r>
      <w:proofErr w:type="spellStart"/>
      <w:r w:rsidRPr="00B76C1C">
        <w:t>vs</w:t>
      </w:r>
      <w:proofErr w:type="spellEnd"/>
      <w:r w:rsidRPr="00B76C1C">
        <w:t xml:space="preserve"> -0.18%;</w:t>
      </w:r>
      <w:r w:rsidR="00B76C1C">
        <w:rPr>
          <w:lang w:eastAsia="ja-JP"/>
        </w:rPr>
        <w:t xml:space="preserve"> </w:t>
      </w:r>
      <w:r w:rsidR="000C4386">
        <w:rPr>
          <w:lang w:eastAsia="ja-JP"/>
        </w:rPr>
        <w:lastRenderedPageBreak/>
        <w:t>diff=</w:t>
      </w:r>
      <w:r w:rsidRPr="004F5877">
        <w:rPr>
          <w:lang w:eastAsia="ja-JP"/>
        </w:rPr>
        <w:t xml:space="preserve">10.58% ; 95% CI: 8.6, 12.6; </w:t>
      </w:r>
      <w:r w:rsidRPr="004F5877">
        <w:rPr>
          <w:i/>
          <w:iCs/>
          <w:lang w:eastAsia="ja-JP"/>
        </w:rPr>
        <w:t xml:space="preserve">P </w:t>
      </w:r>
      <w:r w:rsidRPr="004F5877">
        <w:rPr>
          <w:lang w:eastAsia="ja-JP"/>
        </w:rPr>
        <w:t xml:space="preserve">&lt; 0.0001). </w:t>
      </w:r>
      <w:r w:rsidRPr="00B76C1C">
        <w:t xml:space="preserve">Statistically significant differences between treatment groups were detected by Day 15 (first post-baseline time point assessed) and were sustained for the duration of the treatment period (Figure </w:t>
      </w:r>
      <w:r w:rsidR="00B76C1C">
        <w:t>3</w:t>
      </w:r>
      <w:r w:rsidRPr="00B76C1C">
        <w:t xml:space="preserve">). The robustness of the primary analysis was supported by the results of sensitivity analyses (Table </w:t>
      </w:r>
      <w:r w:rsidR="00B76C1C">
        <w:t>6</w:t>
      </w:r>
      <w:r w:rsidRPr="00B76C1C">
        <w:t xml:space="preserve">). </w:t>
      </w:r>
    </w:p>
    <w:p w:rsidR="00C71026" w:rsidRPr="00B76C1C" w:rsidRDefault="00B76C1C" w:rsidP="00872177">
      <w:pPr>
        <w:pStyle w:val="FigureTitle"/>
      </w:pPr>
      <w:r>
        <w:t>Figure 3</w:t>
      </w:r>
      <w:r w:rsidR="00C71026" w:rsidRPr="00B76C1C">
        <w:t>. Mean absolute change from baseline in percent predicted FEV1 by treatment, Full Analysis Set.</w:t>
      </w:r>
    </w:p>
    <w:p w:rsidR="00C71026" w:rsidRDefault="00C71026" w:rsidP="00872177">
      <w:pPr>
        <w:rPr>
          <w:lang w:eastAsia="ja-JP"/>
        </w:rPr>
      </w:pPr>
      <w:r>
        <w:rPr>
          <w:noProof/>
          <w:lang w:eastAsia="en-AU"/>
        </w:rPr>
        <w:drawing>
          <wp:inline distT="0" distB="0" distL="0" distR="0">
            <wp:extent cx="5205574" cy="3504650"/>
            <wp:effectExtent l="19050" t="0" r="0" b="0"/>
            <wp:docPr id="9" name="Picture 9" descr="Figure 3. Mean absolute change from baseline in percent predicted FEV1 by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204048" cy="3503622"/>
                    </a:xfrm>
                    <a:prstGeom prst="rect">
                      <a:avLst/>
                    </a:prstGeom>
                    <a:noFill/>
                    <a:ln w="9525">
                      <a:noFill/>
                      <a:miter lim="800000"/>
                      <a:headEnd/>
                      <a:tailEnd/>
                    </a:ln>
                  </pic:spPr>
                </pic:pic>
              </a:graphicData>
            </a:graphic>
          </wp:inline>
        </w:drawing>
      </w:r>
    </w:p>
    <w:p w:rsidR="00C71026" w:rsidRPr="00C71026" w:rsidRDefault="00B76C1C" w:rsidP="00872177">
      <w:pPr>
        <w:pStyle w:val="TableTitle"/>
        <w:rPr>
          <w:lang w:eastAsia="ja-JP"/>
        </w:rPr>
      </w:pPr>
      <w:r>
        <w:rPr>
          <w:lang w:eastAsia="ja-JP"/>
        </w:rPr>
        <w:t>Table 6</w:t>
      </w:r>
      <w:r w:rsidR="00C71026">
        <w:rPr>
          <w:lang w:eastAsia="ja-JP"/>
        </w:rPr>
        <w:t>. A</w:t>
      </w:r>
      <w:r w:rsidR="00C71026" w:rsidRPr="00C71026">
        <w:rPr>
          <w:lang w:eastAsia="ja-JP"/>
        </w:rPr>
        <w:t>bsolute change from baseline in percent predicted FEV</w:t>
      </w:r>
      <w:r w:rsidR="00C71026" w:rsidRPr="00C71026">
        <w:rPr>
          <w:vertAlign w:val="subscript"/>
          <w:lang w:eastAsia="ja-JP"/>
        </w:rPr>
        <w:t>1</w:t>
      </w:r>
      <w:r w:rsidR="00C71026" w:rsidRPr="00C71026">
        <w:rPr>
          <w:lang w:eastAsia="ja-JP"/>
        </w:rPr>
        <w:t xml:space="preserve">, </w:t>
      </w:r>
      <w:r w:rsidR="00C71026">
        <w:rPr>
          <w:lang w:eastAsia="ja-JP"/>
        </w:rPr>
        <w:t xml:space="preserve">Week 24, Sensitivity Analysis, </w:t>
      </w:r>
      <w:r w:rsidR="00C71026" w:rsidRPr="00C71026">
        <w:rPr>
          <w:lang w:eastAsia="ja-JP"/>
        </w:rPr>
        <w:t>Full Analysis Set.</w:t>
      </w:r>
    </w:p>
    <w:p w:rsidR="00C71026" w:rsidRPr="004F5877" w:rsidRDefault="00C71026" w:rsidP="00872177">
      <w:pPr>
        <w:rPr>
          <w:lang w:eastAsia="ja-JP"/>
        </w:rPr>
      </w:pPr>
      <w:r>
        <w:rPr>
          <w:noProof/>
          <w:lang w:eastAsia="en-AU"/>
        </w:rPr>
        <w:drawing>
          <wp:inline distT="0" distB="0" distL="0" distR="0">
            <wp:extent cx="5150256" cy="3200420"/>
            <wp:effectExtent l="19050" t="0" r="0" b="0"/>
            <wp:docPr id="12" name="Picture 12" descr="Table 6. Absolute change from baseline in percent predicted FEV1, Week 24, Sensitivity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151033" cy="3200903"/>
                    </a:xfrm>
                    <a:prstGeom prst="rect">
                      <a:avLst/>
                    </a:prstGeom>
                    <a:noFill/>
                    <a:ln w="9525">
                      <a:noFill/>
                      <a:miter lim="800000"/>
                      <a:headEnd/>
                      <a:tailEnd/>
                    </a:ln>
                  </pic:spPr>
                </pic:pic>
              </a:graphicData>
            </a:graphic>
          </wp:inline>
        </w:drawing>
      </w:r>
    </w:p>
    <w:p w:rsidR="004F5877" w:rsidRPr="004F5877" w:rsidRDefault="004F5877" w:rsidP="00872177">
      <w:pPr>
        <w:pStyle w:val="Heading5"/>
        <w:rPr>
          <w:lang w:eastAsia="ja-JP"/>
        </w:rPr>
      </w:pPr>
      <w:r w:rsidRPr="004F5877">
        <w:rPr>
          <w:lang w:eastAsia="ja-JP"/>
        </w:rPr>
        <w:lastRenderedPageBreak/>
        <w:t>Results for other efficacy outcomes</w:t>
      </w:r>
    </w:p>
    <w:p w:rsidR="004F5877" w:rsidRPr="00080EA3" w:rsidRDefault="004F5877" w:rsidP="00872177">
      <w:pPr>
        <w:pStyle w:val="Heading6"/>
      </w:pPr>
      <w:r w:rsidRPr="00080EA3">
        <w:t xml:space="preserve">Key secondary efficacy endpoints </w:t>
      </w:r>
    </w:p>
    <w:p w:rsidR="004F5877" w:rsidRPr="00B76C1C" w:rsidRDefault="004F5877" w:rsidP="00872177">
      <w:r w:rsidRPr="00B76C1C">
        <w:t xml:space="preserve">Change from baseline in pooled CFQ-R respiratory domain score (in the pooled adolescents/adults and 12 to 13 year-old versions of CFQ-R) through Week 24 was a key secondary efficacy endpoint and was significantly greater in the VX-770 group than the placebo group (5.97 </w:t>
      </w:r>
      <w:proofErr w:type="spellStart"/>
      <w:r w:rsidRPr="00B76C1C">
        <w:t>vs</w:t>
      </w:r>
      <w:proofErr w:type="spellEnd"/>
      <w:r w:rsidRPr="00B76C1C">
        <w:t xml:space="preserve"> -2.10 points; difference= 8.08 points; 95% CI: 4.73, 11.42; P &lt; 0.0001). Similar changes were observed through week 48. Improvements in CFQ-R respiratory domain scores occurred by Day 15 and were sustained for the duration of the treatment period.  Sensitivity analyses included ANCOVA with no imputation of missing measurements, and ANCOVA using the last non-missing CFQ-R respiratory domain score carried forward, worst case imputation, and dropout reason-based imputation. In all of these analyses, the mean absolute change from baseline across all post-baseline visits was greater in the VX-770 group than in the placebo group, and the difference was statistically significant (P &lt; 0.0001). These results were consistent with the results of the primary analysis. Statistically significant differences in the adjusted mean changes from baseline through Week 24 in the pooled adolescents/adults and 12 to 13 year-old CFQ-R versions were also observed for the physical, vitality, social, eating and health domains.</w:t>
      </w:r>
    </w:p>
    <w:p w:rsidR="004F5877" w:rsidRPr="004D53F3" w:rsidRDefault="004F5877" w:rsidP="00872177">
      <w:r w:rsidRPr="004D53F3">
        <w:t>Change from baseline in sweat chloride through Week 24 was a key secondary efficacy endpoint and the adjusted mean absolute change from baseline through Week 24 in sweat chloride values was greater in the VX-770 group tha</w:t>
      </w:r>
      <w:r w:rsidR="000C4386">
        <w:t xml:space="preserve">n in the placebo group (-48.70 </w:t>
      </w:r>
      <w:proofErr w:type="spellStart"/>
      <w:r w:rsidRPr="004D53F3">
        <w:t>vs</w:t>
      </w:r>
      <w:proofErr w:type="spellEnd"/>
      <w:r w:rsidRPr="004D53F3">
        <w:t xml:space="preserve"> -0.77 </w:t>
      </w:r>
      <w:proofErr w:type="spellStart"/>
      <w:r w:rsidRPr="004D53F3">
        <w:t>mmol</w:t>
      </w:r>
      <w:proofErr w:type="spellEnd"/>
      <w:r w:rsidRPr="004D53F3">
        <w:t xml:space="preserve">/L; diff= -47.93 </w:t>
      </w:r>
      <w:proofErr w:type="spellStart"/>
      <w:r w:rsidRPr="004D53F3">
        <w:t>mmol</w:t>
      </w:r>
      <w:proofErr w:type="spellEnd"/>
      <w:r w:rsidRPr="004D53F3">
        <w:t xml:space="preserve">/L; 95% CI: -51.34, -44.52; p &lt; 0.0001). Similarly, the adjusted mean change from baseline through Week 48 in sweat chloride values was also greater in the VX-770 group than in the placebo group (-48.65 </w:t>
      </w:r>
      <w:proofErr w:type="spellStart"/>
      <w:r w:rsidRPr="004D53F3">
        <w:t>vs</w:t>
      </w:r>
      <w:proofErr w:type="spellEnd"/>
      <w:r w:rsidRPr="004D53F3">
        <w:t xml:space="preserve"> -0.58 </w:t>
      </w:r>
      <w:proofErr w:type="spellStart"/>
      <w:r w:rsidRPr="004D53F3">
        <w:t>mm</w:t>
      </w:r>
      <w:r w:rsidR="001B598B" w:rsidRPr="004D53F3">
        <w:t>ol</w:t>
      </w:r>
      <w:proofErr w:type="spellEnd"/>
      <w:r w:rsidR="001B598B" w:rsidRPr="004D53F3">
        <w:t xml:space="preserve">/L; difference= -48.07 </w:t>
      </w:r>
      <w:proofErr w:type="spellStart"/>
      <w:r w:rsidR="001B598B" w:rsidRPr="004D53F3">
        <w:t>mmol</w:t>
      </w:r>
      <w:proofErr w:type="spellEnd"/>
      <w:r w:rsidR="001B598B" w:rsidRPr="004D53F3">
        <w:t>/L</w:t>
      </w:r>
      <w:r w:rsidRPr="004D53F3">
        <w:t xml:space="preserve">; 95% CI: -51.47, -44.68; p &lt; 0.0001). The changes in sweat chloride in subjects treated with VX-770 occurred by Day 15 and were sustained for the duration of the 24-week treatment period and for the duration of the extension period (through Week 48). These results were also confirmed in the sensitivity analysis. </w:t>
      </w:r>
    </w:p>
    <w:p w:rsidR="004F5877" w:rsidRPr="004D53F3" w:rsidRDefault="004F5877" w:rsidP="00872177">
      <w:r w:rsidRPr="004F5877">
        <w:rPr>
          <w:lang w:eastAsia="ja-JP"/>
        </w:rPr>
        <w:t xml:space="preserve">The estimated Week 48 pulmonary exacerbation-free rate was 67% in the VX-770 group and </w:t>
      </w:r>
      <w:r w:rsidRPr="004D53F3">
        <w:t xml:space="preserve">41% in the placebo group. Over 48 weeks there was a 54.5% statistically significant (p = .0012) reduction in risk of a pulmonary exacerbation for subjects in the VX-770 group relative to subjects in the placebo group (hazard ratio [95% CI]: 0.455 [0.282, 0.733]). The estimated Week 24 pulmonary exacerbation-free rate was greater in the VX-770 compared to the placebo group (78% </w:t>
      </w:r>
      <w:proofErr w:type="spellStart"/>
      <w:r w:rsidRPr="004D53F3">
        <w:t>vs</w:t>
      </w:r>
      <w:proofErr w:type="spellEnd"/>
      <w:r w:rsidRPr="004D53F3">
        <w:t xml:space="preserve"> 51%; p = 0.0016) with a significant 60.1% reduction in risk of pulmonary exacerbation over 24 weeks (hazard ratio [95% CI]: 0.399 [0.225, 0.706]). </w:t>
      </w:r>
    </w:p>
    <w:p w:rsidR="004F5877" w:rsidRPr="004D53F3" w:rsidRDefault="004F5877" w:rsidP="00872177">
      <w:r w:rsidRPr="004D53F3">
        <w:t xml:space="preserve">Change from baseline in weight at Week 48 was a key secondary efficacy endpoint and the adjusted mean change from baseline in weight at Week 48 was greater in the VX-770 group than the placebo group (3.11 </w:t>
      </w:r>
      <w:proofErr w:type="spellStart"/>
      <w:r w:rsidRPr="004D53F3">
        <w:t>vs</w:t>
      </w:r>
      <w:proofErr w:type="spellEnd"/>
      <w:r w:rsidRPr="004D53F3">
        <w:t xml:space="preserve"> 0.40 kg;  treatment diff=2.71 kg; 95% CI: 1.33, 4.09; p = 0.0001).</w:t>
      </w:r>
    </w:p>
    <w:p w:rsidR="004F5877" w:rsidRPr="004D53F3" w:rsidRDefault="004F5877" w:rsidP="00872177">
      <w:r w:rsidRPr="004D53F3">
        <w:t xml:space="preserve">The adjusted mean change from baseline in weight at Week 24 was also greater in the VX-770 group than the placebo group (2.95 </w:t>
      </w:r>
      <w:proofErr w:type="spellStart"/>
      <w:r w:rsidRPr="004D53F3">
        <w:t>vs</w:t>
      </w:r>
      <w:proofErr w:type="spellEnd"/>
      <w:r w:rsidRPr="004D53F3">
        <w:t xml:space="preserve"> 0.21 kg; treatment difference =2.75 kg; 95% CI: 1.76, 3.74; p&lt;0.0001)</w:t>
      </w:r>
      <w:r w:rsidR="001B598B" w:rsidRPr="004D53F3">
        <w:t>.</w:t>
      </w:r>
      <w:r w:rsidRPr="004D53F3">
        <w:t xml:space="preserve"> </w:t>
      </w:r>
    </w:p>
    <w:p w:rsidR="004F5877" w:rsidRPr="001B598B" w:rsidRDefault="004F5877" w:rsidP="00872177">
      <w:pPr>
        <w:pStyle w:val="Heading6"/>
      </w:pPr>
      <w:r w:rsidRPr="001B598B">
        <w:t>Other Secondary efficacy endpoints:</w:t>
      </w:r>
    </w:p>
    <w:p w:rsidR="004F5877" w:rsidRPr="004D53F3" w:rsidRDefault="004F5877" w:rsidP="00872177">
      <w:r w:rsidRPr="004D53F3">
        <w:t xml:space="preserve">For the 47 subjects 20 years of age or younger, weight-for-age z-scores were calculated using the CDC growth chart and the mean change from baseline at Week 24 and 48 for weight-for-age z-score was greater in the VX-770 group than the placebo group. Similarly change in BMI was significantly greater in the ivacaftor groups compared with placebo. </w:t>
      </w:r>
    </w:p>
    <w:p w:rsidR="004F5877" w:rsidRPr="004D53F3" w:rsidRDefault="004F5877" w:rsidP="00872177">
      <w:r w:rsidRPr="004D53F3">
        <w:t xml:space="preserve">The adjusted mean absolute change from baseline in percent predicted FEV1 through Week 48 was greater in the VX-770 group than in the placebo group (10.13% </w:t>
      </w:r>
      <w:proofErr w:type="spellStart"/>
      <w:r w:rsidRPr="004D53F3">
        <w:t>vs</w:t>
      </w:r>
      <w:proofErr w:type="spellEnd"/>
      <w:r w:rsidRPr="004D53F3">
        <w:t xml:space="preserve"> -0.37%; treatment difference= 10.5%; 95% CI: 8.5, 12.5; p&lt; 0.0001) with consistent effects maintained through the</w:t>
      </w:r>
      <w:r w:rsidRPr="004F5877">
        <w:rPr>
          <w:lang w:eastAsia="ja-JP"/>
        </w:rPr>
        <w:t xml:space="preserve"> </w:t>
      </w:r>
      <w:r w:rsidRPr="004D53F3">
        <w:lastRenderedPageBreak/>
        <w:t xml:space="preserve">48 weeks of treatment. The results of the sensitivity analysis were consistent with the results of the primary analysis. </w:t>
      </w:r>
    </w:p>
    <w:p w:rsidR="004F5877" w:rsidRPr="004F5877" w:rsidRDefault="004F5877" w:rsidP="00872177">
      <w:pPr>
        <w:pStyle w:val="Heading6"/>
        <w:rPr>
          <w:lang w:eastAsia="ja-JP"/>
        </w:rPr>
      </w:pPr>
      <w:r w:rsidRPr="004F5877">
        <w:rPr>
          <w:lang w:eastAsia="ja-JP"/>
        </w:rPr>
        <w:t xml:space="preserve">Tertiary efficacy endpoints </w:t>
      </w:r>
    </w:p>
    <w:p w:rsidR="004F5877" w:rsidRPr="004D53F3" w:rsidRDefault="004F5877" w:rsidP="00872177">
      <w:r w:rsidRPr="004D53F3">
        <w:t xml:space="preserve">The estimated event-free rate was 86% in the VX-770 group and 68% in the placebo group. There was a statistically significant 66.5% reduction in risk of a pulmonary exacerbation requiring hospitalization for subjects in the VX-770 group relative to subjects in the placebo group (hazard ratio [95% CI]: 0.335 [0.161, 0.699] P = 0.0035). </w:t>
      </w:r>
    </w:p>
    <w:p w:rsidR="004F5877" w:rsidRPr="004D53F3" w:rsidRDefault="004F5877" w:rsidP="00872177">
      <w:r w:rsidRPr="004D53F3">
        <w:t xml:space="preserve">For time to first </w:t>
      </w:r>
      <w:proofErr w:type="spellStart"/>
      <w:r w:rsidRPr="004D53F3">
        <w:t>sinopulmonary</w:t>
      </w:r>
      <w:proofErr w:type="spellEnd"/>
      <w:r w:rsidRPr="004D53F3">
        <w:t xml:space="preserve"> signs and symptoms requiring hospitalization through 48 weeks</w:t>
      </w:r>
      <w:r w:rsidR="004D53F3">
        <w:t>:</w:t>
      </w:r>
      <w:r w:rsidRPr="004D53F3">
        <w:t xml:space="preserve"> </w:t>
      </w:r>
      <w:r w:rsidR="004D53F3">
        <w:t>t</w:t>
      </w:r>
      <w:r w:rsidRPr="004D53F3">
        <w:t xml:space="preserve">he estimated event-free rate was higher in the ivacaftor group compared with placebo (85% </w:t>
      </w:r>
      <w:proofErr w:type="spellStart"/>
      <w:r w:rsidRPr="004D53F3">
        <w:t>vs</w:t>
      </w:r>
      <w:proofErr w:type="spellEnd"/>
      <w:r w:rsidRPr="004D53F3">
        <w:t xml:space="preserve"> 60%). There was a statistically significant 72.1% reduction in risk of </w:t>
      </w:r>
      <w:proofErr w:type="spellStart"/>
      <w:r w:rsidRPr="004D53F3">
        <w:t>sinopulmonary</w:t>
      </w:r>
      <w:proofErr w:type="spellEnd"/>
      <w:r w:rsidRPr="004D53F3">
        <w:t xml:space="preserve"> signs and symptoms requiring hospitalization for subjects in the VX-770 group compared with placebo (hazard ratio [95% CI]: 0.28 [0.140, 0.556; P = 0.0003).  In addition to the secondary endpoint time to first pulmonary exacerbation, there was a reduction in the risk of all clinical events of interest, with the exception of unplanned hospitalizations for reasons other than </w:t>
      </w:r>
      <w:proofErr w:type="spellStart"/>
      <w:r w:rsidRPr="004D53F3">
        <w:t>sinopulmonary</w:t>
      </w:r>
      <w:proofErr w:type="spellEnd"/>
      <w:r w:rsidRPr="004D53F3">
        <w:t xml:space="preserve"> signs and symptoms (risk free at Week 24). These reductions were statistically significant, with the exception of time to first pulmonary exacerbations requiring hospitalization, time to first IV antibiotic therapy administered for pulmonary exacerbations, time to first outpatient sick visits for CF complications, time to first unplanned hospitalizations for pulmonary exacerbation. </w:t>
      </w:r>
    </w:p>
    <w:p w:rsidR="004F5877" w:rsidRPr="004D53F3" w:rsidRDefault="004F5877" w:rsidP="00872177">
      <w:r w:rsidRPr="004D53F3">
        <w:t xml:space="preserve">At 24 weeks, statistically significant differences were observed for the following events: the rate of pulmonary exacerbations was 62.3 % lower in the VX-770 group than the placebo group (rate ratio [95% CI] = 0.377 [0.222, 0.641]; P = 0.0003); the rate of </w:t>
      </w:r>
      <w:proofErr w:type="spellStart"/>
      <w:r w:rsidRPr="004D53F3">
        <w:t>sinopulmonary</w:t>
      </w:r>
      <w:proofErr w:type="spellEnd"/>
      <w:r w:rsidRPr="004D53F3">
        <w:t xml:space="preserve"> signs and symptoms was 50.8% lower in the VX-770 group than the placebo group (rate ratio [95% CI] = 0.492 [0.339, 0.713]; P = 0.0002); and the rate of </w:t>
      </w:r>
      <w:proofErr w:type="spellStart"/>
      <w:r w:rsidRPr="004D53F3">
        <w:t>sinopulmonary</w:t>
      </w:r>
      <w:proofErr w:type="spellEnd"/>
      <w:r w:rsidRPr="004D53F3">
        <w:t xml:space="preserve"> signs and symptoms requiring IV antibiotic therapy was 56.1% lower in the VX-770 group than the placebo group (rate ratio [95% CI] = 0.439 [0.224, 0.859] P = 0.0163) with similar results observed at 48 weeks. </w:t>
      </w:r>
    </w:p>
    <w:p w:rsidR="004F5877" w:rsidRPr="004D53F3" w:rsidRDefault="004F5877" w:rsidP="00872177">
      <w:r w:rsidRPr="004D53F3">
        <w:t>During the Treatment Period, the mean (SD) adjusted durations</w:t>
      </w:r>
      <w:r w:rsidRPr="004D53F3">
        <w:rPr>
          <w:vertAlign w:val="superscript"/>
        </w:rPr>
        <w:footnoteReference w:id="10"/>
      </w:r>
      <w:r w:rsidRPr="004D53F3">
        <w:t xml:space="preserve"> were shorter in the VX-770 group than in the placebo group for the following clinical events of interest: pulmonary exacerbations: 6.24 (14.42) days in the VX-770 group and 15.47 (24.53) days in the placebo group (P = 0.0016); </w:t>
      </w:r>
      <w:proofErr w:type="spellStart"/>
      <w:r w:rsidRPr="004D53F3">
        <w:t>sinopulmonary</w:t>
      </w:r>
      <w:proofErr w:type="spellEnd"/>
      <w:r w:rsidRPr="004D53F3">
        <w:t xml:space="preserve"> signs and symptoms: 11.44 (19.43) days versus 24.19 (26.45) days (P = 0.0003); IV antibiotic therapy administered for pulmonary exacerbations: 3.15 (10.02) days versus 4.39 (9.4) days (P = 0.12); IV antibiotic therapy administered for </w:t>
      </w:r>
      <w:proofErr w:type="spellStart"/>
      <w:r w:rsidRPr="004D53F3">
        <w:t>sinopulmonary</w:t>
      </w:r>
      <w:proofErr w:type="spellEnd"/>
      <w:r w:rsidRPr="004D53F3">
        <w:t xml:space="preserve"> signs and symptoms: 3.45 (10.46) days versus 5.83 (11.47) days (P = 0.0223). These differences were statistically significant, with the exception of IV antibiotic therapy administered for pulmonary exacerbations. The durations of the following events through Week 24 were similar between treatment groups for the following clinical events of interest: unplanned hospitalizations for pulmonary exacerbations: 1.82 (6.75) days in the VX-770 group versus 1.53 (4.44) days in the placebo group (P = 0.3106); unplanned hospitalizations for </w:t>
      </w:r>
      <w:proofErr w:type="spellStart"/>
      <w:r w:rsidRPr="004D53F3">
        <w:t>sinopulmonary</w:t>
      </w:r>
      <w:proofErr w:type="spellEnd"/>
      <w:r w:rsidRPr="004D53F3">
        <w:t xml:space="preserve"> signs and symptoms: 2.22 (7.46) days versus 1.99 (4.93) days (P = 0.1167); and unplanned hospitalizations for reasons other than </w:t>
      </w:r>
      <w:proofErr w:type="spellStart"/>
      <w:r w:rsidRPr="004D53F3">
        <w:t>sinopulmonary</w:t>
      </w:r>
      <w:proofErr w:type="spellEnd"/>
      <w:r w:rsidRPr="004D53F3">
        <w:t xml:space="preserve"> signs and symptoms: 0.23 (1.74) days versus 0.15 (0.95) days (P = 0.9132). Similar results were observed for duration of clinical events through 48 weeks. </w:t>
      </w:r>
    </w:p>
    <w:p w:rsidR="004F5877" w:rsidRPr="004D53F3" w:rsidRDefault="004F5877" w:rsidP="00872177">
      <w:r w:rsidRPr="004D53F3">
        <w:t xml:space="preserve">The estimated rate of decline in FEV1 through Week 24 and 48 was lesser in the VX-770 group compared with the placebo group. The adjusted mean absolute change from baseline through Week 24 and week 48 in oxygen saturation was also higher in the VX-770 group than the placebo group.  </w:t>
      </w:r>
    </w:p>
    <w:p w:rsidR="004F5877" w:rsidRPr="00FA7352" w:rsidRDefault="004F5877" w:rsidP="00872177">
      <w:pPr>
        <w:pStyle w:val="Heading6"/>
      </w:pPr>
      <w:r w:rsidRPr="00FA7352">
        <w:lastRenderedPageBreak/>
        <w:t>Other additional efficacy endpoints:</w:t>
      </w:r>
    </w:p>
    <w:p w:rsidR="004F5877" w:rsidRPr="004D53F3" w:rsidRDefault="004F5877" w:rsidP="00872177">
      <w:r w:rsidRPr="004D53F3">
        <w:t xml:space="preserve">The absolute change from baseline in FEV1 (L) through Week 24 was greater in the VX-770 group (0.367 L) than the placebo group (0.006 L); the treatment difference of 0.361 L (95% CI: 0.286, 0.436) was statistically significant (P &lt; 0.0001) with similar results observed at week 48. Statistically significant treatment differences were observed for C-reactive protein, </w:t>
      </w:r>
      <w:proofErr w:type="spellStart"/>
      <w:r w:rsidRPr="004D53F3">
        <w:t>IgG</w:t>
      </w:r>
      <w:proofErr w:type="spellEnd"/>
      <w:r w:rsidRPr="004D53F3">
        <w:t xml:space="preserve">, and IL-8 at Week 24 and Week 48 with the exception of C-reactive protein at Week 48. Taken together, these data suggest a small reduction in inflammation with VX-770 treatment </w:t>
      </w:r>
      <w:r w:rsidR="00872177">
        <w:t xml:space="preserve">through 24 weeks and 48 weeks. </w:t>
      </w:r>
    </w:p>
    <w:p w:rsidR="004F5877" w:rsidRPr="004F5877" w:rsidRDefault="004F5877" w:rsidP="00977B6C">
      <w:pPr>
        <w:pStyle w:val="Heading4"/>
      </w:pPr>
      <w:bookmarkStart w:id="100" w:name="_Toc290846276"/>
      <w:bookmarkStart w:id="101" w:name="_Toc341441423"/>
      <w:r w:rsidRPr="004F5877">
        <w:t>Study 103</w:t>
      </w:r>
      <w:bookmarkEnd w:id="100"/>
      <w:bookmarkEnd w:id="101"/>
    </w:p>
    <w:p w:rsidR="004F5877" w:rsidRPr="004F5877" w:rsidRDefault="004F5877" w:rsidP="00977B6C">
      <w:pPr>
        <w:pStyle w:val="Heading5"/>
        <w:rPr>
          <w:lang w:eastAsia="ja-JP"/>
        </w:rPr>
      </w:pPr>
      <w:bookmarkStart w:id="102" w:name="_Toc341441424"/>
      <w:r w:rsidRPr="004F5877">
        <w:rPr>
          <w:lang w:eastAsia="ja-JP"/>
        </w:rPr>
        <w:t>Study design, objectives, locations and dates</w:t>
      </w:r>
      <w:bookmarkEnd w:id="102"/>
    </w:p>
    <w:p w:rsidR="004F5877" w:rsidRPr="004D53F3" w:rsidRDefault="004F5877" w:rsidP="00977B6C">
      <w:r w:rsidRPr="004D53F3">
        <w:t xml:space="preserve">This was a Phase 3, 2-part, randomized, double-blind, placebo-controlled, parallel-group study to evaluate the pharmacokinetics, efficacy, and safety of VX-770 in subjects aged 6 to 11 years with Cystic Fibrosis and the </w:t>
      </w:r>
      <w:r w:rsidRPr="00DC2370">
        <w:rPr>
          <w:i/>
          <w:iCs/>
        </w:rPr>
        <w:t>G551D</w:t>
      </w:r>
      <w:r w:rsidRPr="004D53F3">
        <w:t xml:space="preserve"> mutation. It was conducted at 24 sites in North America, Europe, and Australia. Part A of the study was from 5/8/2009 to 2/11/2009 and Part B was from 12/3/2010 to 28/4/2011. </w:t>
      </w:r>
    </w:p>
    <w:p w:rsidR="004F5877" w:rsidRPr="004D53F3" w:rsidRDefault="004F5877" w:rsidP="00977B6C">
      <w:r w:rsidRPr="004D53F3">
        <w:t xml:space="preserve">The objectives of Part A of the study was to evaluate the pharmacokinetics (PK) and safety of ivacaftor and its metabolites (M1 and M6) following a single oral dose of VX-770 treatment in subjects 6 to 11 years of age with cystic fibrosis (CF) who have the </w:t>
      </w:r>
      <w:r w:rsidRPr="00DC2370">
        <w:rPr>
          <w:i/>
          <w:iCs/>
        </w:rPr>
        <w:t>G551D CFTR</w:t>
      </w:r>
      <w:r w:rsidRPr="004D53F3">
        <w:t xml:space="preserve"> mutation on at least 1 allele. Part A of study 103 has been discussed in Section 4.2.</w:t>
      </w:r>
      <w:r w:rsidR="00B62994" w:rsidRPr="004D53F3">
        <w:t>7</w:t>
      </w:r>
      <w:r w:rsidRPr="004D53F3">
        <w:t xml:space="preserve">.3 of this report. </w:t>
      </w:r>
    </w:p>
    <w:p w:rsidR="004F5877" w:rsidRPr="004D53F3" w:rsidRDefault="004F5877" w:rsidP="00977B6C">
      <w:r w:rsidRPr="004D53F3">
        <w:t xml:space="preserve">The primary objective of Part B of this study was to evaluate the efficacy of ivacaftor in subjects 6 to 11 years of age with cystic fibrosis (CF) who have the </w:t>
      </w:r>
      <w:r w:rsidRPr="00DC2370">
        <w:rPr>
          <w:i/>
          <w:iCs/>
        </w:rPr>
        <w:t>G551D CFTR</w:t>
      </w:r>
      <w:r w:rsidRPr="004D53F3">
        <w:t xml:space="preserve"> mutation on at least 1 allele following 24 weeks of treatment. The secondary objectives were to determine safety and also efficacy following 48 weeks of treatment. Part B included a Screening Period (Days -35 to -15), a Run-in Period (Days -14 to -1 relative to the first dose of study drug [VX-770 or placebo]), a Treatment Period (Day 1 [first dose of study drug]</w:t>
      </w:r>
      <w:r w:rsidRPr="00977B6C">
        <w:t xml:space="preserve"> </w:t>
      </w:r>
      <w:r w:rsidRPr="004D53F3">
        <w:t>to Week 24), and an Extension Period (Week 25 to Week 48). Subjects were randomized to receive either 150 mg of VX-770 or placebo q12h for 48 weeks (24 weeks in the Treatment Period and 24 weeks in the Extension Period). All subjects who completed 48 weeks of study drug treatment in Part B were offered the opportunity to enrol in an open-label safety study of VX-770 (Study VX08-770-105 [Study 105]). Subjects who did not enrol in Study 105 were required to complete the Follow-up Visit (4</w:t>
      </w:r>
      <w:r w:rsidR="000C4386">
        <w:t> </w:t>
      </w:r>
      <w:r w:rsidRPr="004D53F3">
        <w:t>weeks [</w:t>
      </w:r>
      <w:r w:rsidR="000C4386">
        <w:t>±</w:t>
      </w:r>
      <w:r w:rsidRPr="004D53F3">
        <w:t xml:space="preserve">7 days] after the last dose of study drug) and were to be followed for 2 years after the last dose of study drug (Long-term Follow-up Visits). </w:t>
      </w:r>
    </w:p>
    <w:p w:rsidR="004F5877" w:rsidRPr="004D53F3" w:rsidRDefault="004F5877" w:rsidP="00977B6C">
      <w:r w:rsidRPr="004D53F3">
        <w:t>The Multiple breath washout (MBW)</w:t>
      </w:r>
      <w:r w:rsidRPr="004D53F3">
        <w:rPr>
          <w:vertAlign w:val="superscript"/>
        </w:rPr>
        <w:footnoteReference w:id="11"/>
      </w:r>
      <w:r w:rsidRPr="004D53F3">
        <w:t xml:space="preserve"> was a 2-center </w:t>
      </w:r>
      <w:proofErr w:type="spellStart"/>
      <w:r w:rsidRPr="004D53F3">
        <w:t>substudy</w:t>
      </w:r>
      <w:proofErr w:type="spellEnd"/>
      <w:r w:rsidRPr="004D53F3">
        <w:t xml:space="preserve"> to be conducted concurrently with Part B of Study 103.  Study 103 Part B subjects who consented to this </w:t>
      </w:r>
      <w:proofErr w:type="spellStart"/>
      <w:r w:rsidRPr="004D53F3">
        <w:t>substudy</w:t>
      </w:r>
      <w:proofErr w:type="spellEnd"/>
      <w:r w:rsidRPr="004D53F3">
        <w:t xml:space="preserve"> underwent MBW testing at 3 time points during the study (</w:t>
      </w:r>
      <w:proofErr w:type="spellStart"/>
      <w:r w:rsidRPr="004D53F3">
        <w:t>predose</w:t>
      </w:r>
      <w:proofErr w:type="spellEnd"/>
      <w:r w:rsidRPr="004D53F3">
        <w:t xml:space="preserve"> at Day 1 and at the Week 8 and Week 24 Visits). Data collected from MBW testing were used to calculate the lung clearance index (LCI) for the number of lung volume turnovers (cumulative expired volume divided by the functional residual capacity) required to reduce the end-tidal </w:t>
      </w:r>
      <w:proofErr w:type="spellStart"/>
      <w:r w:rsidRPr="004D53F3">
        <w:t>sulfur</w:t>
      </w:r>
      <w:proofErr w:type="spellEnd"/>
      <w:r w:rsidRPr="004D53F3">
        <w:t xml:space="preserve"> hexafluoride concentration to 1/40th of the starting value. </w:t>
      </w:r>
    </w:p>
    <w:p w:rsidR="004F5877" w:rsidRPr="004F5877" w:rsidRDefault="004F5877" w:rsidP="00977B6C">
      <w:pPr>
        <w:pStyle w:val="Heading5"/>
        <w:rPr>
          <w:lang w:eastAsia="ja-JP"/>
        </w:rPr>
      </w:pPr>
      <w:bookmarkStart w:id="103" w:name="_Toc341441425"/>
      <w:r w:rsidRPr="004F5877">
        <w:rPr>
          <w:lang w:eastAsia="ja-JP"/>
        </w:rPr>
        <w:t>Inclusion and exclusion criteria</w:t>
      </w:r>
      <w:bookmarkEnd w:id="103"/>
    </w:p>
    <w:p w:rsidR="004F5877" w:rsidRPr="004D53F3" w:rsidRDefault="004F5877" w:rsidP="00977B6C">
      <w:r w:rsidRPr="004D53F3">
        <w:t xml:space="preserve">This study included male and female subjects with CF, 6 to 11 years of age, who had the </w:t>
      </w:r>
      <w:r w:rsidRPr="004D53F3">
        <w:rPr>
          <w:i/>
          <w:iCs/>
        </w:rPr>
        <w:t>G551D-CFTR</w:t>
      </w:r>
      <w:r w:rsidRPr="004D53F3">
        <w:t xml:space="preserve"> mutation on at least 1 allele. Other inclusion and exclusion criteria were similar to those described for pivotal study 102. </w:t>
      </w:r>
    </w:p>
    <w:p w:rsidR="004F5877" w:rsidRPr="004F5877" w:rsidRDefault="004F5877" w:rsidP="00977B6C">
      <w:pPr>
        <w:pStyle w:val="Heading5"/>
        <w:rPr>
          <w:lang w:eastAsia="ja-JP"/>
        </w:rPr>
      </w:pPr>
      <w:bookmarkStart w:id="104" w:name="_Toc341441426"/>
      <w:r w:rsidRPr="004F5877">
        <w:rPr>
          <w:lang w:eastAsia="ja-JP"/>
        </w:rPr>
        <w:lastRenderedPageBreak/>
        <w:t>Study treatments</w:t>
      </w:r>
      <w:bookmarkEnd w:id="104"/>
    </w:p>
    <w:p w:rsidR="004F5877" w:rsidRPr="004D53F3" w:rsidRDefault="004F5877" w:rsidP="00977B6C">
      <w:r w:rsidRPr="004D53F3">
        <w:t>VX-770 150-mg tablet was to be administered orally in the fed state (30 minutes</w:t>
      </w:r>
      <w:r w:rsidR="00E05AA1" w:rsidRPr="004D53F3">
        <w:t xml:space="preserve"> after the start of a standard “</w:t>
      </w:r>
      <w:r w:rsidRPr="004D53F3">
        <w:t xml:space="preserve">CF” high-fat, high calorie meal or snack Study drug (VX-770 150 mg or placebo) was administered q12h for 48 weeks (24 weeks in the treatment period and 24 weeks in the extension period). It was recommended that subjects remain on stable CF medication regimens from 6 weeks before Part B Day 1 through Week 48 or, if applicable, the Follow-up Visit. Stable medication regimen was defined as the current medication regimen that subjects had been following for at least 6 weeks before Part B Day 1. </w:t>
      </w:r>
    </w:p>
    <w:p w:rsidR="004F5877" w:rsidRPr="004F5877" w:rsidRDefault="004F5877" w:rsidP="00977B6C">
      <w:pPr>
        <w:pStyle w:val="Heading5"/>
        <w:rPr>
          <w:lang w:eastAsia="ja-JP"/>
        </w:rPr>
      </w:pPr>
      <w:bookmarkStart w:id="105" w:name="_Toc341441427"/>
      <w:r w:rsidRPr="004F5877">
        <w:rPr>
          <w:lang w:eastAsia="ja-JP"/>
        </w:rPr>
        <w:t>Efficacy variables and outcomes</w:t>
      </w:r>
      <w:bookmarkEnd w:id="105"/>
    </w:p>
    <w:p w:rsidR="004F5877" w:rsidRPr="004D53F3" w:rsidRDefault="004F5877" w:rsidP="00977B6C">
      <w:r w:rsidRPr="004D53F3">
        <w:t xml:space="preserve">These were similar to those described for pivotal study 102. </w:t>
      </w:r>
    </w:p>
    <w:p w:rsidR="004F5877" w:rsidRPr="004F5877" w:rsidRDefault="004F5877" w:rsidP="00977B6C">
      <w:pPr>
        <w:pStyle w:val="Heading5"/>
        <w:rPr>
          <w:lang w:eastAsia="ja-JP"/>
        </w:rPr>
      </w:pPr>
      <w:bookmarkStart w:id="106" w:name="_Toc341441428"/>
      <w:r w:rsidRPr="004F5877">
        <w:rPr>
          <w:lang w:eastAsia="ja-JP"/>
        </w:rPr>
        <w:t>Randomisation and blinding methods</w:t>
      </w:r>
      <w:bookmarkEnd w:id="106"/>
    </w:p>
    <w:p w:rsidR="004F5877" w:rsidRPr="004D53F3" w:rsidRDefault="004F5877" w:rsidP="00977B6C">
      <w:r w:rsidRPr="004D53F3">
        <w:t>Subjects were randomized in a 1:1 ratio within each FEV1 severity</w:t>
      </w:r>
      <w:r w:rsidRPr="000C4386">
        <w:rPr>
          <w:vertAlign w:val="superscript"/>
        </w:rPr>
        <w:footnoteReference w:id="12"/>
      </w:r>
      <w:r w:rsidRPr="004D53F3">
        <w:t xml:space="preserve"> strata to ensure each subgroup had a similar number of subjects.</w:t>
      </w:r>
    </w:p>
    <w:p w:rsidR="004F5877" w:rsidRPr="004D53F3" w:rsidRDefault="004F5877" w:rsidP="00977B6C">
      <w:r w:rsidRPr="004D53F3">
        <w:t>These were also similar to those described for pivotal study 102.</w:t>
      </w:r>
    </w:p>
    <w:p w:rsidR="004F5877" w:rsidRPr="004F5877" w:rsidRDefault="004F5877" w:rsidP="00977B6C">
      <w:pPr>
        <w:pStyle w:val="Heading5"/>
        <w:rPr>
          <w:lang w:eastAsia="ja-JP"/>
        </w:rPr>
      </w:pPr>
      <w:bookmarkStart w:id="107" w:name="_Toc341441429"/>
      <w:r w:rsidRPr="004F5877">
        <w:rPr>
          <w:lang w:eastAsia="ja-JP"/>
        </w:rPr>
        <w:t>Analysis populations</w:t>
      </w:r>
      <w:bookmarkEnd w:id="107"/>
    </w:p>
    <w:p w:rsidR="004F5877" w:rsidRPr="004D53F3" w:rsidRDefault="004F5877" w:rsidP="00977B6C">
      <w:r w:rsidRPr="004D53F3">
        <w:t>These were similar to those described for pivotal study 102.</w:t>
      </w:r>
    </w:p>
    <w:p w:rsidR="004F5877" w:rsidRPr="004F5877" w:rsidDel="0081373E" w:rsidRDefault="004F5877" w:rsidP="00977B6C">
      <w:pPr>
        <w:pStyle w:val="Heading5"/>
        <w:rPr>
          <w:lang w:eastAsia="ja-JP"/>
        </w:rPr>
      </w:pPr>
      <w:bookmarkStart w:id="108" w:name="_Toc341441430"/>
      <w:r w:rsidRPr="004F5877" w:rsidDel="0081373E">
        <w:rPr>
          <w:lang w:eastAsia="ja-JP"/>
        </w:rPr>
        <w:t>Sample size</w:t>
      </w:r>
      <w:bookmarkEnd w:id="108"/>
    </w:p>
    <w:p w:rsidR="004F5877" w:rsidRPr="004D53F3" w:rsidDel="0081373E" w:rsidRDefault="004F5877" w:rsidP="00977B6C">
      <w:r w:rsidRPr="004D53F3">
        <w:t xml:space="preserve">The sample size of a minimum of 30 subjects to be enrolled in Part B was based on the availability of the subject population and not on any statistical consideration. Therefore, the study was not powered to detect a statistically significant treatment effect. In the Part B MBW </w:t>
      </w:r>
      <w:proofErr w:type="spellStart"/>
      <w:r w:rsidRPr="004D53F3">
        <w:t>substudy</w:t>
      </w:r>
      <w:proofErr w:type="spellEnd"/>
      <w:r w:rsidRPr="004D53F3">
        <w:t xml:space="preserve">, the expected enrolment was approximately 8 subjects. This sample size was determined based on the expected availability of the subject population at these 2 sites. </w:t>
      </w:r>
    </w:p>
    <w:p w:rsidR="004F5877" w:rsidRPr="004F5877" w:rsidRDefault="004F5877" w:rsidP="00977B6C">
      <w:pPr>
        <w:pStyle w:val="Heading5"/>
        <w:rPr>
          <w:lang w:eastAsia="ja-JP"/>
        </w:rPr>
      </w:pPr>
      <w:bookmarkStart w:id="109" w:name="_Toc341441431"/>
      <w:r w:rsidRPr="004F5877">
        <w:rPr>
          <w:lang w:eastAsia="ja-JP"/>
        </w:rPr>
        <w:t>Statistical methods</w:t>
      </w:r>
      <w:bookmarkEnd w:id="109"/>
    </w:p>
    <w:p w:rsidR="004F5877" w:rsidRPr="004F5877" w:rsidRDefault="004F5877" w:rsidP="00977B6C">
      <w:pPr>
        <w:rPr>
          <w:lang w:eastAsia="ja-JP"/>
        </w:rPr>
      </w:pPr>
      <w:r w:rsidRPr="004F5877">
        <w:rPr>
          <w:lang w:eastAsia="ja-JP"/>
        </w:rPr>
        <w:t xml:space="preserve">These were similar to those described for pivotal study 102. </w:t>
      </w:r>
    </w:p>
    <w:p w:rsidR="004F5877" w:rsidRPr="004F5877" w:rsidRDefault="004F5877" w:rsidP="00977B6C">
      <w:pPr>
        <w:pStyle w:val="Heading5"/>
        <w:rPr>
          <w:lang w:eastAsia="ja-JP"/>
        </w:rPr>
      </w:pPr>
      <w:bookmarkStart w:id="110" w:name="_Toc341441432"/>
      <w:r w:rsidRPr="004F5877">
        <w:rPr>
          <w:lang w:eastAsia="ja-JP"/>
        </w:rPr>
        <w:t>Participant flow</w:t>
      </w:r>
      <w:bookmarkEnd w:id="110"/>
    </w:p>
    <w:p w:rsidR="004F5877" w:rsidRPr="004D53F3" w:rsidRDefault="004F5877" w:rsidP="00977B6C">
      <w:r w:rsidRPr="004D53F3">
        <w:t xml:space="preserve">A total of 52 subjects were randomized; 26 subjects were randomized to VX-770, and 26 subjects were randomized to placebo treatment. All of these subjects received at least 1 dose of study drug and were included in the FAS. The FAS and the Safety Set were identical. A total of 26 (100.0%) subjects in the VX-770 group and 23 (88.5%) subjects in the placebo group completed dosing in the treatment period (through Week 24). A total of 26 (100.0%) subjects in the VX-770 group and 22 (84.6%) subjects in the placebo group completed dosing in the treatment and extension periods (through Week 48). All subjects who discontinued study drug dosing were in the placebo group. The majority of these discontinuations occurred during the treatment period with 1 additional discontinuation between Week 25 and Week 48. Through Week 24, no subjects in the VX-770 group and 3 (11.5%) subjects in the placebo group discontinued study drug dosing. </w:t>
      </w:r>
    </w:p>
    <w:p w:rsidR="004F5877" w:rsidRPr="004F5877" w:rsidRDefault="004F5877" w:rsidP="00977B6C">
      <w:pPr>
        <w:pStyle w:val="Heading5"/>
        <w:rPr>
          <w:lang w:eastAsia="ja-JP"/>
        </w:rPr>
      </w:pPr>
      <w:bookmarkStart w:id="111" w:name="_Toc341441433"/>
      <w:r w:rsidRPr="004F5877">
        <w:rPr>
          <w:lang w:eastAsia="ja-JP"/>
        </w:rPr>
        <w:t>Major protocol violations/deviations</w:t>
      </w:r>
      <w:bookmarkEnd w:id="111"/>
    </w:p>
    <w:p w:rsidR="004F5877" w:rsidRPr="004F5877" w:rsidRDefault="004F5877" w:rsidP="00977B6C">
      <w:pPr>
        <w:rPr>
          <w:lang w:eastAsia="ja-JP"/>
        </w:rPr>
      </w:pPr>
      <w:r w:rsidRPr="004F5877">
        <w:rPr>
          <w:lang w:eastAsia="ja-JP"/>
        </w:rPr>
        <w:t>The majority of protocol deviations were related to completion of study assessments, subject visits that were out of the protocol-specified visit window, study drug administration, PK blood collection, minor non-reportable completion errors of the ICF, and prohibited medications. The majority of the protocol deviations were minor and not considered to have had a substantial impact on the efficacy assessments or subject safety.</w:t>
      </w:r>
    </w:p>
    <w:p w:rsidR="004F5877" w:rsidRPr="004F5877" w:rsidRDefault="004F5877" w:rsidP="00977B6C">
      <w:pPr>
        <w:rPr>
          <w:lang w:eastAsia="ja-JP"/>
        </w:rPr>
      </w:pPr>
      <w:r w:rsidRPr="004F5877">
        <w:rPr>
          <w:lang w:eastAsia="ja-JP"/>
        </w:rPr>
        <w:lastRenderedPageBreak/>
        <w:t xml:space="preserve">Through Week 48, 2 subjects in the VX-770 group and 2 subjects  in the placebo group had a less than 80% overall study drug compliance rate; these subjects were excluded from the Week 48 PPS. </w:t>
      </w:r>
    </w:p>
    <w:p w:rsidR="004F5877" w:rsidRPr="004F5877" w:rsidRDefault="004F5877" w:rsidP="00977B6C">
      <w:pPr>
        <w:pStyle w:val="Heading5"/>
        <w:rPr>
          <w:lang w:eastAsia="ja-JP"/>
        </w:rPr>
      </w:pPr>
      <w:bookmarkStart w:id="112" w:name="_Toc341441434"/>
      <w:r w:rsidRPr="004F5877">
        <w:rPr>
          <w:lang w:eastAsia="ja-JP"/>
        </w:rPr>
        <w:t>Baseline data</w:t>
      </w:r>
      <w:bookmarkEnd w:id="112"/>
    </w:p>
    <w:p w:rsidR="004F5877" w:rsidRPr="00111E07" w:rsidRDefault="004F5877" w:rsidP="00977B6C">
      <w:r w:rsidRPr="00111E07">
        <w:t xml:space="preserve">The majority of study subjects in both treatment groups were White (84-88%) and of non-Hispanic ethnicity (88-92%). The VX-770 group had a higher percentage of females than the placebo group (65.4% versus 38.5%). The mean age was 8.9 years (range: 6, 12) and there were 25 (48.1%) subjects overall in the 6 to 8 years subgroup, 23 (44.2%) subjects in the 9 to 11 subgroup, and 4 (7.7%) subjects in the &gt;11 subgroup. All subjects met the age criteria (6 to 11 years of age) as of the date of assent for Part A or Part B although 4 subjects were 12 years of age by Day 1 of Part B. Baseline values for mean height, weight, weight-for-age z-score, BMI, and BMI-for-age z-score were also similar between the 2 treatment groups. </w:t>
      </w:r>
    </w:p>
    <w:p w:rsidR="004F5877" w:rsidRPr="00111E07" w:rsidRDefault="004F5877" w:rsidP="00977B6C">
      <w:r w:rsidRPr="00111E07">
        <w:t>Baseline values for sweat chl</w:t>
      </w:r>
      <w:r w:rsidR="006A573F" w:rsidRPr="00111E07">
        <w:t xml:space="preserve">oride (approximately 104 </w:t>
      </w:r>
      <w:proofErr w:type="spellStart"/>
      <w:r w:rsidR="006A573F" w:rsidRPr="00111E07">
        <w:t>mmol</w:t>
      </w:r>
      <w:proofErr w:type="spellEnd"/>
      <w:r w:rsidR="006A573F" w:rsidRPr="00111E07">
        <w:t>/L</w:t>
      </w:r>
      <w:r w:rsidRPr="00111E07">
        <w:t>), mean percent predicted FEV1 (83-84%),</w:t>
      </w:r>
      <w:r w:rsidR="009F6F3B">
        <w:t xml:space="preserve"> and oxygen saturation (approx.</w:t>
      </w:r>
      <w:r w:rsidRPr="00111E07">
        <w:t xml:space="preserve"> 97%) were similar between the 2 treatment groups.</w:t>
      </w:r>
    </w:p>
    <w:p w:rsidR="004F5877" w:rsidRPr="00111E07" w:rsidRDefault="004F5877" w:rsidP="00977B6C">
      <w:r w:rsidRPr="00111E07">
        <w:t xml:space="preserve">All subjects met the percent predicted FEV1 criteria (FEV1 40% to 105% of predicted normal for age, gender, and height) at the screening visit). However, 4 subjects had a percent predicted FEV1 &gt;105% on Day 1 of Part B. </w:t>
      </w:r>
    </w:p>
    <w:p w:rsidR="004F5877" w:rsidRPr="00111E07" w:rsidRDefault="004F5877" w:rsidP="00977B6C">
      <w:r w:rsidRPr="00111E07">
        <w:t xml:space="preserve">While the number of subjects in the percent predicted FEV1 &gt;90% subgroup was comparable between the treatment groups, the VX-770 group had more subjects in the ≥70% to ≤90% subgroup and fewer subjects in the &lt;70% subgroup compared with placebo. </w:t>
      </w:r>
    </w:p>
    <w:p w:rsidR="004F5877" w:rsidRPr="00111E07" w:rsidRDefault="004F5877" w:rsidP="00111E07">
      <w:r w:rsidRPr="00111E07">
        <w:t xml:space="preserve">The FAS included 1 subject with the </w:t>
      </w:r>
      <w:r w:rsidRPr="004C3C9F">
        <w:rPr>
          <w:i/>
          <w:iCs/>
        </w:rPr>
        <w:t>G551D-CFTR</w:t>
      </w:r>
      <w:r w:rsidRPr="00111E07">
        <w:t xml:space="preserve"> mutation on both alleles (VX-770 group), 1 subject with </w:t>
      </w:r>
      <w:r w:rsidRPr="004C3C9F">
        <w:rPr>
          <w:i/>
          <w:iCs/>
        </w:rPr>
        <w:t>R553X/1717-1G&gt;A</w:t>
      </w:r>
      <w:r w:rsidRPr="00111E07">
        <w:t xml:space="preserve"> (placebo), 42 subjects with </w:t>
      </w:r>
      <w:r w:rsidRPr="00111E07">
        <w:rPr>
          <w:i/>
          <w:iCs/>
        </w:rPr>
        <w:t>G551D/F508del</w:t>
      </w:r>
      <w:r w:rsidRPr="00111E07">
        <w:t xml:space="preserve"> (22 [84.6%] subjects in the VX-770 group and 20 [76.9%] subjects in the placebo group), and 8 subjects with the </w:t>
      </w:r>
      <w:r w:rsidRPr="004C3C9F">
        <w:rPr>
          <w:i/>
          <w:iCs/>
        </w:rPr>
        <w:t>G551D-CFTR</w:t>
      </w:r>
      <w:r w:rsidRPr="00111E07">
        <w:t xml:space="preserve"> mutation on 1 allele and a non-</w:t>
      </w:r>
      <w:r w:rsidRPr="000E6F4C">
        <w:rPr>
          <w:i/>
          <w:iCs/>
        </w:rPr>
        <w:t>F508del-CFTR</w:t>
      </w:r>
      <w:r w:rsidRPr="00111E07">
        <w:t xml:space="preserve"> mutation on the second allele (3 [11.5%] subjects in the VX-770 group and 5 [19.2%] subjects in the placebo group)</w:t>
      </w:r>
    </w:p>
    <w:p w:rsidR="004F5877" w:rsidRPr="000E6F4C" w:rsidRDefault="004F5877" w:rsidP="00977B6C">
      <w:r w:rsidRPr="000E6F4C">
        <w:t xml:space="preserve">The most commonly reported continuing conditions (&gt;10% overall) were CF lung disease (100%), pancreatic insufficiency (96.2%), GERD (25.0%), sinus disease (symptomatic; 21.2%), and asthma (13.5%). The most commonly reported non-CF conditions (&gt;10% overall by PT) were allergic rhinitis (17.3%), constipation (17.3%), clubbing (19.2%), and drug hypersensitivity (11.5%) with similar incidence in both treatment groups. </w:t>
      </w:r>
    </w:p>
    <w:p w:rsidR="004F5877" w:rsidRPr="000E6F4C" w:rsidRDefault="004F5877" w:rsidP="00977B6C">
      <w:r w:rsidRPr="000E6F4C">
        <w:t xml:space="preserve">The most commonly reported concomitant medications were indicated for management of CF complications and the use of these medications was generally similar between the 2 treatment groups. The proportion of subjects administered the following concomitant medications was at least 10% higher in the placebo group than the VX-770 group: </w:t>
      </w:r>
      <w:proofErr w:type="spellStart"/>
      <w:r w:rsidRPr="000E6F4C">
        <w:t>dornase</w:t>
      </w:r>
      <w:proofErr w:type="spellEnd"/>
      <w:r w:rsidRPr="000E6F4C">
        <w:t xml:space="preserve"> </w:t>
      </w:r>
      <w:proofErr w:type="spellStart"/>
      <w:r w:rsidRPr="000E6F4C">
        <w:t>alfa</w:t>
      </w:r>
      <w:proofErr w:type="spellEnd"/>
      <w:r w:rsidRPr="000E6F4C">
        <w:t xml:space="preserve">, ADEKS, </w:t>
      </w:r>
      <w:proofErr w:type="spellStart"/>
      <w:r w:rsidRPr="000E6F4C">
        <w:t>Bactrim</w:t>
      </w:r>
      <w:proofErr w:type="spellEnd"/>
      <w:r w:rsidRPr="000E6F4C">
        <w:t xml:space="preserve">, influenza vaccine, fat/carbohydrates/proteins/minerals/vitamins, </w:t>
      </w:r>
      <w:proofErr w:type="spellStart"/>
      <w:r w:rsidRPr="000E6F4C">
        <w:t>fluticasone</w:t>
      </w:r>
      <w:proofErr w:type="spellEnd"/>
      <w:r w:rsidRPr="000E6F4C">
        <w:t xml:space="preserve"> propionate, </w:t>
      </w:r>
      <w:proofErr w:type="spellStart"/>
      <w:r w:rsidRPr="000E6F4C">
        <w:t>fluticasone</w:t>
      </w:r>
      <w:proofErr w:type="spellEnd"/>
      <w:r w:rsidRPr="000E6F4C">
        <w:t xml:space="preserve">, </w:t>
      </w:r>
      <w:proofErr w:type="spellStart"/>
      <w:r w:rsidRPr="000E6F4C">
        <w:t>lactulose</w:t>
      </w:r>
      <w:proofErr w:type="spellEnd"/>
      <w:r w:rsidRPr="000E6F4C">
        <w:t xml:space="preserve">, </w:t>
      </w:r>
      <w:proofErr w:type="spellStart"/>
      <w:r w:rsidRPr="000E6F4C">
        <w:t>ondansetron</w:t>
      </w:r>
      <w:proofErr w:type="spellEnd"/>
      <w:r w:rsidRPr="000E6F4C">
        <w:t xml:space="preserve">, </w:t>
      </w:r>
      <w:proofErr w:type="spellStart"/>
      <w:r w:rsidRPr="000E6F4C">
        <w:t>tocopherol</w:t>
      </w:r>
      <w:proofErr w:type="spellEnd"/>
      <w:r w:rsidRPr="000E6F4C">
        <w:t xml:space="preserve">, and </w:t>
      </w:r>
      <w:proofErr w:type="spellStart"/>
      <w:r w:rsidRPr="000E6F4C">
        <w:t>aztreonam</w:t>
      </w:r>
      <w:proofErr w:type="spellEnd"/>
      <w:r w:rsidRPr="000E6F4C">
        <w:t xml:space="preserve">. With the exception of </w:t>
      </w:r>
      <w:proofErr w:type="spellStart"/>
      <w:r w:rsidRPr="000E6F4C">
        <w:t>Bactrim</w:t>
      </w:r>
      <w:proofErr w:type="spellEnd"/>
      <w:r w:rsidRPr="000E6F4C">
        <w:t xml:space="preserve">, </w:t>
      </w:r>
      <w:proofErr w:type="spellStart"/>
      <w:r w:rsidRPr="000E6F4C">
        <w:t>ondansetron</w:t>
      </w:r>
      <w:proofErr w:type="spellEnd"/>
      <w:r w:rsidRPr="000E6F4C">
        <w:t xml:space="preserve">, and </w:t>
      </w:r>
      <w:proofErr w:type="spellStart"/>
      <w:r w:rsidRPr="000E6F4C">
        <w:t>aztreonam</w:t>
      </w:r>
      <w:proofErr w:type="spellEnd"/>
      <w:r w:rsidRPr="000E6F4C">
        <w:t xml:space="preserve">, these medications were also administered more frequently in the placebo group than the VX-770 group before the study. The proportion of subjects administered the following concomitant medications was at least 10% higher in the VX-770 group than the placebo group: paracetamol, ibuprofen, and ranitidine hydrochloride. With the exception of paracetamol, these medications were also administered more frequently in the VX-770 group than the placebo group before the study. </w:t>
      </w:r>
    </w:p>
    <w:p w:rsidR="004F5877" w:rsidRDefault="004F5877" w:rsidP="00977B6C">
      <w:r w:rsidRPr="000E6F4C">
        <w:t>Through Week 48, the mean (SD) overall compliance was higher in the VX-770 group (94.19% [7.63]) than the placebo group (86.31% [26.22]). Through Week 48, the proportion of subjects who were ≥90% compliant with study drug treatment was higher in the VX-770 group (76.9% [20 subjects]) than the placebo group (69.2% [18 subjects])</w:t>
      </w:r>
      <w:r w:rsidR="000C4386">
        <w:t xml:space="preserve"> (</w:t>
      </w:r>
      <w:r w:rsidR="00B7229C">
        <w:t>Table 7</w:t>
      </w:r>
      <w:r w:rsidR="000C4386">
        <w:t>)</w:t>
      </w:r>
      <w:r w:rsidR="00B7229C">
        <w:t>.</w:t>
      </w:r>
    </w:p>
    <w:p w:rsidR="00B7229C" w:rsidRDefault="00B7229C" w:rsidP="00977B6C">
      <w:pPr>
        <w:pStyle w:val="TableTitle"/>
      </w:pPr>
      <w:r>
        <w:lastRenderedPageBreak/>
        <w:t>Table 7. Study 103. Part B. Study drug compliance (%), Week 48, Full Analysis Set.</w:t>
      </w:r>
    </w:p>
    <w:p w:rsidR="00B7229C" w:rsidRPr="000E6F4C" w:rsidRDefault="00B7229C" w:rsidP="00977B6C">
      <w:r>
        <w:rPr>
          <w:noProof/>
          <w:lang w:eastAsia="en-AU"/>
        </w:rPr>
        <w:drawing>
          <wp:inline distT="0" distB="0" distL="0" distR="0">
            <wp:extent cx="5234732" cy="4124560"/>
            <wp:effectExtent l="19050" t="0" r="4018" b="0"/>
            <wp:docPr id="14" name="Picture 14" descr="Table 7. Study 103. Part B. Study drug compliance (%), Week 4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234161" cy="4124110"/>
                    </a:xfrm>
                    <a:prstGeom prst="rect">
                      <a:avLst/>
                    </a:prstGeom>
                    <a:noFill/>
                    <a:ln w="9525">
                      <a:noFill/>
                      <a:miter lim="800000"/>
                      <a:headEnd/>
                      <a:tailEnd/>
                    </a:ln>
                  </pic:spPr>
                </pic:pic>
              </a:graphicData>
            </a:graphic>
          </wp:inline>
        </w:drawing>
      </w:r>
    </w:p>
    <w:p w:rsidR="004F5877" w:rsidRPr="004F5877" w:rsidRDefault="004F5877" w:rsidP="00977B6C">
      <w:pPr>
        <w:pStyle w:val="Heading5"/>
        <w:rPr>
          <w:lang w:eastAsia="ja-JP"/>
        </w:rPr>
      </w:pPr>
      <w:bookmarkStart w:id="113" w:name="_Toc341441435"/>
      <w:r w:rsidRPr="004F5877">
        <w:rPr>
          <w:lang w:eastAsia="ja-JP"/>
        </w:rPr>
        <w:t>Results for the primary efficacy outcome</w:t>
      </w:r>
      <w:bookmarkEnd w:id="113"/>
    </w:p>
    <w:p w:rsidR="004F5877" w:rsidRPr="00425457" w:rsidRDefault="004F5877" w:rsidP="00DB5F23">
      <w:r w:rsidRPr="00425457">
        <w:t xml:space="preserve">The adjusted mean absolute change from baseline in percent predicted FEV1 through Week 24 was statistically significantly greater in the VX-770 group than the placebo group (12.58% </w:t>
      </w:r>
      <w:proofErr w:type="spellStart"/>
      <w:r w:rsidRPr="00425457">
        <w:t>vs</w:t>
      </w:r>
      <w:proofErr w:type="spellEnd"/>
      <w:r w:rsidRPr="00425457">
        <w:t xml:space="preserve"> 0.13%; estimated treatment difference= 12.45%; 95% CI: 6.6, 18.34; P &lt; 0.0001) (Table </w:t>
      </w:r>
      <w:r w:rsidR="00425457" w:rsidRPr="00425457">
        <w:t>8</w:t>
      </w:r>
      <w:r w:rsidRPr="00425457">
        <w:t>). Statistically significant differences between treatment groups were detected by Day 15 (first post</w:t>
      </w:r>
      <w:r w:rsidR="00425457">
        <w:t xml:space="preserve"> </w:t>
      </w:r>
      <w:r w:rsidRPr="00425457">
        <w:t xml:space="preserve">baseline time point assessed) and at each time point up to Week 24 (Table </w:t>
      </w:r>
      <w:r w:rsidR="00425457" w:rsidRPr="00425457">
        <w:t xml:space="preserve">9 </w:t>
      </w:r>
      <w:r w:rsidRPr="00425457">
        <w:t xml:space="preserve">and Figure </w:t>
      </w:r>
      <w:r w:rsidR="00425457" w:rsidRPr="00425457">
        <w:t>4</w:t>
      </w:r>
      <w:r w:rsidRPr="00425457">
        <w:t xml:space="preserve">). Similar results were observed in the Per Protocol Set which included 26 ivacaftor and 21 placebo subjects (13.09% </w:t>
      </w:r>
      <w:proofErr w:type="spellStart"/>
      <w:r w:rsidRPr="00425457">
        <w:t>vs</w:t>
      </w:r>
      <w:proofErr w:type="spellEnd"/>
      <w:r w:rsidRPr="00425457">
        <w:t xml:space="preserve"> 0.50%; treatment diff= 12.59; 95% CI: 6.16, 19.01; p=0.0003). </w:t>
      </w:r>
    </w:p>
    <w:p w:rsidR="00E00DC4" w:rsidRPr="00425457" w:rsidRDefault="00E00DC4" w:rsidP="00DB5F23">
      <w:pPr>
        <w:pStyle w:val="TableTitle"/>
      </w:pPr>
      <w:r w:rsidRPr="00425457">
        <w:t xml:space="preserve">Table </w:t>
      </w:r>
      <w:r w:rsidR="00425457" w:rsidRPr="00425457">
        <w:t>8</w:t>
      </w:r>
      <w:r w:rsidRPr="00425457">
        <w:t xml:space="preserve">. Part B: Absolute change from baseline in percent predicted FEV1 by MMRM, Week 24, Full Analysis Set </w:t>
      </w:r>
    </w:p>
    <w:p w:rsidR="00E00DC4" w:rsidRDefault="00E00DC4" w:rsidP="00DB5F23">
      <w:pPr>
        <w:rPr>
          <w:lang w:eastAsia="ja-JP"/>
        </w:rPr>
      </w:pPr>
      <w:r>
        <w:rPr>
          <w:noProof/>
          <w:lang w:eastAsia="en-AU"/>
        </w:rPr>
        <w:drawing>
          <wp:inline distT="0" distB="0" distL="0" distR="0">
            <wp:extent cx="5189220" cy="2366560"/>
            <wp:effectExtent l="19050" t="0" r="0" b="0"/>
            <wp:docPr id="15" name="Picture 15" descr="Table 8. Part B: Absolute change from baseline in percent predicted FEV1 by MMRM, Week 24,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186921" cy="2365512"/>
                    </a:xfrm>
                    <a:prstGeom prst="rect">
                      <a:avLst/>
                    </a:prstGeom>
                    <a:noFill/>
                    <a:ln w="9525">
                      <a:noFill/>
                      <a:miter lim="800000"/>
                      <a:headEnd/>
                      <a:tailEnd/>
                    </a:ln>
                  </pic:spPr>
                </pic:pic>
              </a:graphicData>
            </a:graphic>
          </wp:inline>
        </w:drawing>
      </w:r>
    </w:p>
    <w:p w:rsidR="00E00DC4" w:rsidRDefault="00E00DC4" w:rsidP="00DB5F23">
      <w:pPr>
        <w:pStyle w:val="TableTitle"/>
        <w:rPr>
          <w:lang w:eastAsia="ja-JP"/>
        </w:rPr>
      </w:pPr>
      <w:r>
        <w:rPr>
          <w:lang w:eastAsia="ja-JP"/>
        </w:rPr>
        <w:lastRenderedPageBreak/>
        <w:t xml:space="preserve">Table </w:t>
      </w:r>
      <w:r w:rsidR="00425457">
        <w:rPr>
          <w:lang w:eastAsia="ja-JP"/>
        </w:rPr>
        <w:t>9</w:t>
      </w:r>
      <w:r w:rsidRPr="00E00DC4">
        <w:rPr>
          <w:lang w:eastAsia="ja-JP"/>
        </w:rPr>
        <w:t>. Part B: Absolute change from baseline in percent predicted FEV</w:t>
      </w:r>
      <w:r w:rsidRPr="00E00DC4">
        <w:rPr>
          <w:vertAlign w:val="subscript"/>
          <w:lang w:eastAsia="ja-JP"/>
        </w:rPr>
        <w:t>1</w:t>
      </w:r>
      <w:r w:rsidRPr="00E00DC4">
        <w:rPr>
          <w:lang w:eastAsia="ja-JP"/>
        </w:rPr>
        <w:t xml:space="preserve"> by MMRM, Week 24, </w:t>
      </w:r>
      <w:r>
        <w:rPr>
          <w:lang w:eastAsia="ja-JP"/>
        </w:rPr>
        <w:t xml:space="preserve">Consistency of treatment effects over visits, </w:t>
      </w:r>
      <w:r w:rsidRPr="00E00DC4">
        <w:rPr>
          <w:lang w:eastAsia="ja-JP"/>
        </w:rPr>
        <w:t>Full Analysis Set</w:t>
      </w:r>
    </w:p>
    <w:p w:rsidR="00E00DC4" w:rsidRPr="004F5877" w:rsidRDefault="00E00DC4" w:rsidP="00DB5F23">
      <w:pPr>
        <w:rPr>
          <w:lang w:eastAsia="ja-JP"/>
        </w:rPr>
      </w:pPr>
      <w:r>
        <w:rPr>
          <w:noProof/>
          <w:lang w:eastAsia="en-AU"/>
        </w:rPr>
        <w:drawing>
          <wp:inline distT="0" distB="0" distL="0" distR="0">
            <wp:extent cx="4728073" cy="4144441"/>
            <wp:effectExtent l="19050" t="0" r="0" b="0"/>
            <wp:docPr id="18" name="Picture 18" descr="Table 9. Part B: Absolute change from baseline in percent predicted FEV1 by MMRM, Week 24, Consistency of treatment effects over visi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728867" cy="4145137"/>
                    </a:xfrm>
                    <a:prstGeom prst="rect">
                      <a:avLst/>
                    </a:prstGeom>
                    <a:noFill/>
                    <a:ln w="9525">
                      <a:noFill/>
                      <a:miter lim="800000"/>
                      <a:headEnd/>
                      <a:tailEnd/>
                    </a:ln>
                  </pic:spPr>
                </pic:pic>
              </a:graphicData>
            </a:graphic>
          </wp:inline>
        </w:drawing>
      </w:r>
    </w:p>
    <w:p w:rsidR="00E00DC4" w:rsidRPr="00E00DC4" w:rsidRDefault="00E00DC4" w:rsidP="00DB5F23">
      <w:pPr>
        <w:pStyle w:val="FigureTitle"/>
        <w:rPr>
          <w:lang w:eastAsia="ja-JP"/>
        </w:rPr>
      </w:pPr>
      <w:r>
        <w:rPr>
          <w:lang w:eastAsia="ja-JP"/>
        </w:rPr>
        <w:t xml:space="preserve">Figure </w:t>
      </w:r>
      <w:r w:rsidR="00425457">
        <w:rPr>
          <w:lang w:eastAsia="ja-JP"/>
        </w:rPr>
        <w:t>4</w:t>
      </w:r>
      <w:r>
        <w:rPr>
          <w:lang w:eastAsia="ja-JP"/>
        </w:rPr>
        <w:t xml:space="preserve">. </w:t>
      </w:r>
      <w:r w:rsidRPr="00E00DC4">
        <w:rPr>
          <w:lang w:eastAsia="ja-JP"/>
        </w:rPr>
        <w:t xml:space="preserve">Part B: </w:t>
      </w:r>
      <w:r>
        <w:rPr>
          <w:lang w:eastAsia="ja-JP"/>
        </w:rPr>
        <w:t xml:space="preserve">Mean </w:t>
      </w:r>
      <w:r w:rsidRPr="00E00DC4">
        <w:rPr>
          <w:lang w:eastAsia="ja-JP"/>
        </w:rPr>
        <w:t>Absolute change from baseline in percent predicted FEV</w:t>
      </w:r>
      <w:r w:rsidRPr="00E00DC4">
        <w:rPr>
          <w:vertAlign w:val="subscript"/>
          <w:lang w:eastAsia="ja-JP"/>
        </w:rPr>
        <w:t>1</w:t>
      </w:r>
      <w:r w:rsidRPr="00E00DC4">
        <w:rPr>
          <w:lang w:eastAsia="ja-JP"/>
        </w:rPr>
        <w:t xml:space="preserve"> by </w:t>
      </w:r>
      <w:r>
        <w:rPr>
          <w:lang w:eastAsia="ja-JP"/>
        </w:rPr>
        <w:t>treatment</w:t>
      </w:r>
      <w:r w:rsidRPr="00E00DC4">
        <w:rPr>
          <w:lang w:eastAsia="ja-JP"/>
        </w:rPr>
        <w:t xml:space="preserve">, Full Analysis Set </w:t>
      </w:r>
    </w:p>
    <w:p w:rsidR="00E00DC4" w:rsidRDefault="00E00DC4" w:rsidP="00DB5F23">
      <w:pPr>
        <w:rPr>
          <w:lang w:eastAsia="ja-JP"/>
        </w:rPr>
      </w:pPr>
      <w:r>
        <w:rPr>
          <w:noProof/>
          <w:lang w:eastAsia="en-AU"/>
        </w:rPr>
        <w:drawing>
          <wp:inline distT="0" distB="0" distL="0" distR="0">
            <wp:extent cx="4438152" cy="2802728"/>
            <wp:effectExtent l="19050" t="0" r="498" b="0"/>
            <wp:docPr id="21" name="Picture 21" descr="Figure 4. Part B: Mean Absolute change from baseline in percent predicted FEV1 by treatment,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4439979" cy="2803881"/>
                    </a:xfrm>
                    <a:prstGeom prst="rect">
                      <a:avLst/>
                    </a:prstGeom>
                    <a:noFill/>
                    <a:ln w="9525">
                      <a:noFill/>
                      <a:miter lim="800000"/>
                      <a:headEnd/>
                      <a:tailEnd/>
                    </a:ln>
                  </pic:spPr>
                </pic:pic>
              </a:graphicData>
            </a:graphic>
          </wp:inline>
        </w:drawing>
      </w:r>
    </w:p>
    <w:p w:rsidR="004F5877" w:rsidRPr="0034500F" w:rsidRDefault="004F5877" w:rsidP="00DB5F23">
      <w:r w:rsidRPr="004F5877">
        <w:rPr>
          <w:lang w:eastAsia="ja-JP"/>
        </w:rPr>
        <w:t xml:space="preserve">To assess the impact of missing data, ANCOVA was conducted on the mean change from baseline </w:t>
      </w:r>
      <w:r w:rsidRPr="0034500F">
        <w:t xml:space="preserve">in percent predicted FEV1 through Week 24 with the last </w:t>
      </w:r>
      <w:proofErr w:type="spellStart"/>
      <w:r w:rsidRPr="0034500F">
        <w:t>nonmissing</w:t>
      </w:r>
      <w:proofErr w:type="spellEnd"/>
      <w:r w:rsidRPr="0034500F">
        <w:t xml:space="preserve"> percent predicted FEV1 observation carried forward (LOCF), worst-case imputation, and dropout reason-based imputation. In all of these analyses, the mean absolute change from baseline across all post</w:t>
      </w:r>
      <w:r w:rsidR="009F6F3B">
        <w:t xml:space="preserve"> </w:t>
      </w:r>
      <w:r w:rsidRPr="0034500F">
        <w:t>baseline visits was greater in the VX-770 group than in the placebo group, and the</w:t>
      </w:r>
      <w:r w:rsidRPr="004F5877">
        <w:rPr>
          <w:lang w:eastAsia="ja-JP"/>
        </w:rPr>
        <w:t xml:space="preserve"> </w:t>
      </w:r>
      <w:r w:rsidRPr="0034500F">
        <w:t xml:space="preserve">differences </w:t>
      </w:r>
      <w:r w:rsidRPr="0034500F">
        <w:lastRenderedPageBreak/>
        <w:t>were statistically significant (P ≤ 0.0007). Resu</w:t>
      </w:r>
      <w:r w:rsidR="009F6F3B">
        <w:t>lts of these sensitivity analyse</w:t>
      </w:r>
      <w:r w:rsidRPr="0034500F">
        <w:t xml:space="preserve">s were consistent with the results of the primary analysis (Table </w:t>
      </w:r>
      <w:r w:rsidR="0034500F" w:rsidRPr="0034500F">
        <w:t>10</w:t>
      </w:r>
      <w:r w:rsidRPr="0034500F">
        <w:t>).</w:t>
      </w:r>
    </w:p>
    <w:p w:rsidR="00E00DC4" w:rsidRPr="0034500F" w:rsidRDefault="00E00DC4" w:rsidP="00DB5F23">
      <w:pPr>
        <w:pStyle w:val="TableTitle"/>
      </w:pPr>
      <w:r w:rsidRPr="0034500F">
        <w:t xml:space="preserve">Table </w:t>
      </w:r>
      <w:r w:rsidR="0034500F" w:rsidRPr="0034500F">
        <w:t>10</w:t>
      </w:r>
      <w:r w:rsidRPr="0034500F">
        <w:t xml:space="preserve">. Part B: Absolute change from baseline in percent predicted FEV1, Week 24, Sensitivity analysis, Full Analysis Set </w:t>
      </w:r>
    </w:p>
    <w:p w:rsidR="00E00DC4" w:rsidRPr="004F5877" w:rsidRDefault="00E00DC4" w:rsidP="00DB5F23">
      <w:pPr>
        <w:rPr>
          <w:lang w:eastAsia="ja-JP"/>
        </w:rPr>
      </w:pPr>
      <w:r>
        <w:rPr>
          <w:noProof/>
          <w:lang w:eastAsia="en-AU"/>
        </w:rPr>
        <w:drawing>
          <wp:inline distT="0" distB="0" distL="0" distR="0">
            <wp:extent cx="5399975" cy="4917440"/>
            <wp:effectExtent l="19050" t="0" r="0" b="0"/>
            <wp:docPr id="24" name="Picture 24" descr="Table 10. Part B: Absolute change from baseline in percent predicted FEV1, Week 24, Sensitivity analysis,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5402241" cy="4919503"/>
                    </a:xfrm>
                    <a:prstGeom prst="rect">
                      <a:avLst/>
                    </a:prstGeom>
                    <a:noFill/>
                    <a:ln w="9525">
                      <a:noFill/>
                      <a:miter lim="800000"/>
                      <a:headEnd/>
                      <a:tailEnd/>
                    </a:ln>
                  </pic:spPr>
                </pic:pic>
              </a:graphicData>
            </a:graphic>
          </wp:inline>
        </w:drawing>
      </w:r>
    </w:p>
    <w:p w:rsidR="004F5877" w:rsidRPr="004F5877" w:rsidRDefault="004F5877" w:rsidP="00DB5F23">
      <w:pPr>
        <w:pStyle w:val="Heading5"/>
        <w:rPr>
          <w:lang w:eastAsia="ja-JP"/>
        </w:rPr>
      </w:pPr>
      <w:bookmarkStart w:id="114" w:name="_Toc341441436"/>
      <w:r w:rsidRPr="004F5877">
        <w:rPr>
          <w:lang w:eastAsia="ja-JP"/>
        </w:rPr>
        <w:t>Results for other efficacy outcomes</w:t>
      </w:r>
      <w:bookmarkEnd w:id="114"/>
    </w:p>
    <w:p w:rsidR="004F5877" w:rsidRPr="00BB6C0C" w:rsidRDefault="004F5877" w:rsidP="00DB5F23">
      <w:pPr>
        <w:pStyle w:val="Heading6"/>
      </w:pPr>
      <w:r w:rsidRPr="00BB6C0C">
        <w:t>Key secondary efficacy results:</w:t>
      </w:r>
    </w:p>
    <w:p w:rsidR="004F5877" w:rsidRPr="0034500F" w:rsidRDefault="004F5877" w:rsidP="00DB5F23">
      <w:r w:rsidRPr="0034500F">
        <w:t xml:space="preserve">The adjusted mean absolute change from baseline in weight at Week 24 was statistically significantly greater in the VX-770 group than the placebo group (3.69 </w:t>
      </w:r>
      <w:proofErr w:type="spellStart"/>
      <w:r w:rsidRPr="0034500F">
        <w:t>vs</w:t>
      </w:r>
      <w:proofErr w:type="spellEnd"/>
      <w:r w:rsidRPr="0034500F">
        <w:t xml:space="preserve"> 1.79 kg; estimated treatment difference = 1.90 kg; 95% CI: 0.86, 2.94; p= 0.0004) with similar results observed at week 48</w:t>
      </w:r>
      <w:r w:rsidR="00BB6C0C" w:rsidRPr="0034500F">
        <w:t>.</w:t>
      </w:r>
      <w:r w:rsidR="000C4386">
        <w:t xml:space="preserve"> </w:t>
      </w:r>
      <w:r w:rsidRPr="0034500F">
        <w:t xml:space="preserve">Mean (SD) absolute changes from baseline in weight occurred by Day 15, increased at Week 24, and continued to increase at Week 48. The absolute change from baseline in weight-for-age z-score </w:t>
      </w:r>
      <w:r w:rsidRPr="0034500F">
        <w:rPr>
          <w:vertAlign w:val="superscript"/>
        </w:rPr>
        <w:footnoteReference w:id="13"/>
      </w:r>
      <w:r w:rsidRPr="0034500F">
        <w:t xml:space="preserve"> was statistically significantly greater with ivacaftor compared with placebo at 24 weeks (estimated treatment diff, ivacaftor - placebo=0.27 points; 95% CI: 0.151, 0.39</w:t>
      </w:r>
      <w:r w:rsidR="00196C60" w:rsidRPr="0034500F">
        <w:t>51</w:t>
      </w:r>
      <w:r w:rsidRPr="0034500F">
        <w:t xml:space="preserve">; P&lt;0.0001) and at 48 weeks (diff=0.39 points; 95% CI: 0.24, 0.53; P&lt;0.0001).  The absolute change from baseline in BMI was also statistically significantly greater with ivacaftor compared with placebo at both 24 and 48 weeks. The absolute change from baseline in BMI-for-age z-scores also showed similar results. </w:t>
      </w:r>
    </w:p>
    <w:p w:rsidR="004F5877" w:rsidRPr="0034500F" w:rsidRDefault="004F5877" w:rsidP="00DB5F23">
      <w:r w:rsidRPr="0034500F">
        <w:lastRenderedPageBreak/>
        <w:t xml:space="preserve">The adjusted mean change from baseline through Week 24 in sweat chloride was statistically significantly greater in the VX-770 group than in the placebo group at 24 weeks (-55.53 </w:t>
      </w:r>
      <w:proofErr w:type="spellStart"/>
      <w:r w:rsidRPr="0034500F">
        <w:t>vs</w:t>
      </w:r>
      <w:proofErr w:type="spellEnd"/>
      <w:r w:rsidRPr="0034500F">
        <w:t xml:space="preserve"> -1.21 </w:t>
      </w:r>
      <w:proofErr w:type="spellStart"/>
      <w:r w:rsidRPr="0034500F">
        <w:t>mmol</w:t>
      </w:r>
      <w:proofErr w:type="spellEnd"/>
      <w:r w:rsidRPr="0034500F">
        <w:t xml:space="preserve">/L; estimated treatment difference VX-770- placebo=-54.32 </w:t>
      </w:r>
      <w:proofErr w:type="spellStart"/>
      <w:r w:rsidRPr="0034500F">
        <w:t>mmol</w:t>
      </w:r>
      <w:proofErr w:type="spellEnd"/>
      <w:r w:rsidRPr="0034500F">
        <w:t xml:space="preserve">/L; 95% CI: -61.83, </w:t>
      </w:r>
      <w:r w:rsidR="00BB6C0C" w:rsidRPr="0034500F">
        <w:noBreakHyphen/>
      </w:r>
      <w:r w:rsidRPr="0034500F">
        <w:t xml:space="preserve">46.82; P &lt; 0.0001) and at 48 weeks (-56.04 </w:t>
      </w:r>
      <w:proofErr w:type="spellStart"/>
      <w:r w:rsidRPr="0034500F">
        <w:t>vs</w:t>
      </w:r>
      <w:proofErr w:type="spellEnd"/>
      <w:r w:rsidRPr="0034500F">
        <w:t xml:space="preserve"> -2.57 </w:t>
      </w:r>
      <w:proofErr w:type="spellStart"/>
      <w:r w:rsidRPr="0034500F">
        <w:t>mmol</w:t>
      </w:r>
      <w:proofErr w:type="spellEnd"/>
      <w:r w:rsidRPr="0034500F">
        <w:t xml:space="preserve">/L; diff= -53.47 </w:t>
      </w:r>
      <w:proofErr w:type="spellStart"/>
      <w:r w:rsidRPr="0034500F">
        <w:t>mmol</w:t>
      </w:r>
      <w:proofErr w:type="spellEnd"/>
      <w:r w:rsidRPr="0034500F">
        <w:t xml:space="preserve">/L; 95% CI: -60.92, -46.02; P &lt; 0.0001). Mean (SD) absolute changes from baseline in sweat chloride levels occurred by Day 15 and were sustained for the duration of the treatment and extension Periods (through Week 48). </w:t>
      </w:r>
    </w:p>
    <w:p w:rsidR="004F5877" w:rsidRPr="0034500F" w:rsidRDefault="004F5877" w:rsidP="00DB5F23">
      <w:r w:rsidRPr="0034500F">
        <w:t xml:space="preserve">The absolute change in the respiratory domain score of the CFQ-R through Week 24 was a key secondary efficacy endpoint. Two versions of the questionnaire were used: 1 in which the subject was interviewed (CFQ-R [child], key secondary endpoint) and 1 in which the subject's parent or caregiver was the respondent (CFQ-R [parent/caregiver]).Both versions of the CFQ-R showed greater improvement with ivacaftor compared with placebo at both 24 and 48 weeks. </w:t>
      </w:r>
    </w:p>
    <w:p w:rsidR="004F5877" w:rsidRPr="0034500F" w:rsidRDefault="004F5877" w:rsidP="00DB5F23">
      <w:r w:rsidRPr="0034500F">
        <w:t>Absolute change from baseline in percent predicted FEV1 through Week 48 was a secondary efficacy endpoint which was statistically significant</w:t>
      </w:r>
      <w:r w:rsidR="0034500F">
        <w:t xml:space="preserve">ly greater in the VX-770 group </w:t>
      </w:r>
      <w:r w:rsidRPr="0034500F">
        <w:t xml:space="preserve">than the placebo group (10.67% </w:t>
      </w:r>
      <w:proofErr w:type="spellStart"/>
      <w:r w:rsidRPr="0034500F">
        <w:t>vs</w:t>
      </w:r>
      <w:proofErr w:type="spellEnd"/>
      <w:r w:rsidRPr="0034500F">
        <w:t xml:space="preserve"> 0.68%; estimated treatment difference= 9.99%; 95% CI: 4.52, 15.46; P = 0.0006). Statistically significant differences between treatment groups were detected by Day 15 (first post-baseline time point assessed) and at each time point up to Week 48. At Week 40, the magnitude of treatment effect was substantially less than that seen at the other time points; however, the magnitude at Week 48 was similar to the magnitude of the other time points. This drop coincided with several subjects having AEs related to respiratory symptoms. </w:t>
      </w:r>
    </w:p>
    <w:p w:rsidR="004F5877" w:rsidRPr="0034500F" w:rsidRDefault="004F5877" w:rsidP="00DB5F23">
      <w:r w:rsidRPr="0034500F">
        <w:t xml:space="preserve">Results for the primary efficacy endpoint and key secondary efficacy endpoints in the per protocol analysis were consistent with the results observed in the FAS. </w:t>
      </w:r>
    </w:p>
    <w:p w:rsidR="004F5877" w:rsidRPr="004F5877" w:rsidRDefault="00BB6C0C" w:rsidP="00DB5F23">
      <w:pPr>
        <w:pStyle w:val="Heading6"/>
        <w:rPr>
          <w:lang w:eastAsia="ja-JP"/>
        </w:rPr>
      </w:pPr>
      <w:r>
        <w:rPr>
          <w:lang w:eastAsia="ja-JP"/>
        </w:rPr>
        <w:t>Tertiary efficacy endpoints</w:t>
      </w:r>
    </w:p>
    <w:p w:rsidR="004F5877" w:rsidRPr="00D0160C" w:rsidRDefault="004F5877" w:rsidP="00DB5F23">
      <w:r w:rsidRPr="00D0160C">
        <w:t xml:space="preserve">Due to the small sample size and low incidence of clinical events observed during the study, the analysis of clinical events did not support inferential conclusions regarding the risk, frequency, or duration of CF related clinical events (including pulmonary exacerbations, hospitalizations, outpatient sick visits for CF-related complications, and antibiotic therapy for </w:t>
      </w:r>
      <w:proofErr w:type="spellStart"/>
      <w:r w:rsidRPr="00D0160C">
        <w:t>sinopulmonary</w:t>
      </w:r>
      <w:proofErr w:type="spellEnd"/>
      <w:r w:rsidRPr="00D0160C">
        <w:t xml:space="preserve"> signs/symptoms).  </w:t>
      </w:r>
    </w:p>
    <w:p w:rsidR="004F5877" w:rsidRPr="0034500F" w:rsidRDefault="004F5877" w:rsidP="00DB5F23">
      <w:r w:rsidRPr="0034500F">
        <w:t>Through Week 24, the estimated rate of decline in FEV1 was -0.</w:t>
      </w:r>
      <w:r w:rsidR="0034500F">
        <w:t xml:space="preserve">269 L for the VX-770 group and </w:t>
      </w:r>
      <w:r w:rsidR="0034500F">
        <w:noBreakHyphen/>
      </w:r>
      <w:r w:rsidRPr="0034500F">
        <w:t>0.108 L for the placebo group (a negative rate of decline is equivalent to a positive rate of change, which represents an increase in FEV1); this treatment difference (-0.161 L) was statistically significant (P = 0.0049) and the rate of decline in FEV1 showed similar results at Week 48 although the treatment difference was not statistically significant</w:t>
      </w:r>
      <w:r w:rsidR="0034500F">
        <w:t xml:space="preserve"> (-0.293 </w:t>
      </w:r>
      <w:proofErr w:type="spellStart"/>
      <w:r w:rsidR="0034500F">
        <w:t>vs</w:t>
      </w:r>
      <w:proofErr w:type="spellEnd"/>
      <w:r w:rsidR="0034500F">
        <w:t xml:space="preserve"> </w:t>
      </w:r>
      <w:r w:rsidRPr="0034500F">
        <w:t xml:space="preserve">-0.185L; difference =-0.108L; P = 0.0667). Through Week 24, the adjusted mean absolute change from baseline in oxygen saturation was statistically significantly higher in the VX-770 group than the placebo group (0.7% </w:t>
      </w:r>
      <w:proofErr w:type="spellStart"/>
      <w:r w:rsidRPr="0034500F">
        <w:t>vs</w:t>
      </w:r>
      <w:proofErr w:type="spellEnd"/>
      <w:r w:rsidRPr="0034500F">
        <w:t xml:space="preserve"> 0.2%; treatment difference=0.5%; P = 0.0220) with similar results at Week 48 (0.7% </w:t>
      </w:r>
      <w:proofErr w:type="spellStart"/>
      <w:r w:rsidRPr="0034500F">
        <w:t>vs</w:t>
      </w:r>
      <w:proofErr w:type="spellEnd"/>
      <w:r w:rsidRPr="0034500F">
        <w:t xml:space="preserve"> 0.3%; difference=0.4%; P = 0.0531).</w:t>
      </w:r>
    </w:p>
    <w:p w:rsidR="004F5877" w:rsidRPr="004F5877" w:rsidRDefault="004F5877" w:rsidP="00DB5F23">
      <w:pPr>
        <w:rPr>
          <w:lang w:eastAsia="ja-JP"/>
        </w:rPr>
      </w:pPr>
      <w:r w:rsidRPr="004F5877">
        <w:rPr>
          <w:b/>
          <w:bCs/>
          <w:lang w:eastAsia="ja-JP"/>
        </w:rPr>
        <w:t xml:space="preserve">Additional Efficacy Evaluations: </w:t>
      </w:r>
      <w:r w:rsidRPr="004F5877">
        <w:rPr>
          <w:lang w:eastAsia="ja-JP"/>
        </w:rPr>
        <w:t>Consistent with the outcome of the analysis of the absolute change from baseline in percent predicted FEV1, treatment with VX-770 resulted in statistically significant improvements in the relative change from baseline in percent predicted FEV1 and absolute and relative changes from baseline FEV1 through Week 24 and Week 48</w:t>
      </w:r>
      <w:r w:rsidRPr="004F5877">
        <w:rPr>
          <w:b/>
          <w:lang w:eastAsia="ja-JP"/>
        </w:rPr>
        <w:t>.</w:t>
      </w:r>
      <w:r w:rsidRPr="004F5877">
        <w:rPr>
          <w:lang w:eastAsia="ja-JP"/>
        </w:rPr>
        <w:t xml:space="preserve"> Analyses of additional </w:t>
      </w:r>
      <w:proofErr w:type="spellStart"/>
      <w:r w:rsidRPr="004F5877">
        <w:rPr>
          <w:lang w:eastAsia="ja-JP"/>
        </w:rPr>
        <w:t>spirometry</w:t>
      </w:r>
      <w:proofErr w:type="spellEnd"/>
      <w:r w:rsidRPr="004F5877">
        <w:rPr>
          <w:lang w:eastAsia="ja-JP"/>
        </w:rPr>
        <w:t xml:space="preserve"> parameters were also conducted (FVC, FEF25-75%, and FEV1/FVC) and the adjusted mean changes from baseline through Week 24 and through Week 48 were greater in the VX-770 group than in the placebo group for all parameters analysed. With the exception of absolute and relative changes from baseline in percent predicted FVC, the treatment differences for the majority of these parameters were statistically significant (</w:t>
      </w:r>
      <w:r w:rsidRPr="004F5877">
        <w:rPr>
          <w:i/>
          <w:iCs/>
          <w:lang w:eastAsia="ja-JP"/>
        </w:rPr>
        <w:t xml:space="preserve">P </w:t>
      </w:r>
      <w:r w:rsidRPr="004F5877">
        <w:rPr>
          <w:lang w:eastAsia="ja-JP"/>
        </w:rPr>
        <w:t xml:space="preserve">&lt; 0.05). </w:t>
      </w:r>
    </w:p>
    <w:p w:rsidR="004F5877" w:rsidRPr="009B41F4" w:rsidRDefault="004F5877" w:rsidP="00DB5F23">
      <w:pPr>
        <w:pStyle w:val="Heading3"/>
      </w:pPr>
      <w:bookmarkStart w:id="115" w:name="_Ref271037188"/>
      <w:bookmarkStart w:id="116" w:name="_Ref271037210"/>
      <w:bookmarkStart w:id="117" w:name="_Toc272414655"/>
      <w:bookmarkStart w:id="118" w:name="_Toc290846277"/>
      <w:bookmarkStart w:id="119" w:name="_Toc341441437"/>
      <w:bookmarkStart w:id="120" w:name="_Toc241374311"/>
      <w:bookmarkStart w:id="121" w:name="_Ref243294291"/>
      <w:bookmarkStart w:id="122" w:name="_Toc375055432"/>
      <w:r w:rsidRPr="009B41F4">
        <w:lastRenderedPageBreak/>
        <w:t>Other efficacy studies</w:t>
      </w:r>
      <w:bookmarkEnd w:id="115"/>
      <w:bookmarkEnd w:id="116"/>
      <w:bookmarkEnd w:id="117"/>
      <w:bookmarkEnd w:id="118"/>
      <w:bookmarkEnd w:id="119"/>
      <w:bookmarkEnd w:id="122"/>
    </w:p>
    <w:p w:rsidR="004F5877" w:rsidRPr="009B41F4" w:rsidRDefault="004F5877" w:rsidP="00DB5F23">
      <w:pPr>
        <w:pStyle w:val="Heading4"/>
      </w:pPr>
      <w:bookmarkStart w:id="123" w:name="_Toc341441438"/>
      <w:bookmarkEnd w:id="120"/>
      <w:bookmarkEnd w:id="121"/>
      <w:r w:rsidRPr="009B41F4">
        <w:t>Phase 2 study 104</w:t>
      </w:r>
      <w:bookmarkEnd w:id="123"/>
    </w:p>
    <w:p w:rsidR="004F5877" w:rsidRPr="00AE1351" w:rsidRDefault="009F6F3B" w:rsidP="00DB5F23">
      <w:r>
        <w:t xml:space="preserve">Study </w:t>
      </w:r>
      <w:r w:rsidR="004F5877" w:rsidRPr="00AE1351">
        <w:t xml:space="preserve">104 was a Phase 2, randomized, double-blind, placebo-controlled, parallel-group study (Part A) with an open-label extension (Part B) of orally administered VX-770 in 140 subjects with CF (aged </w:t>
      </w:r>
      <w:r w:rsidR="006105DB" w:rsidRPr="00AE1351">
        <w:t>≥</w:t>
      </w:r>
      <w:r w:rsidR="004F5877" w:rsidRPr="00AE1351">
        <w:t xml:space="preserve">12 years). The study was conducted from 21/9/2009 (start of Part A) to 20/7/2011(end of Part B) at 34 sites in USA. The main objectives of Part A of this study were to evaluate the safety/ efficacy and pharmacokinetics following 16 weeks of treatment with VX-770 in subjects with cystic fibrosis (CF) who are homozygous for the </w:t>
      </w:r>
      <w:r w:rsidR="004F5877" w:rsidRPr="00AE1351">
        <w:rPr>
          <w:i/>
          <w:iCs/>
        </w:rPr>
        <w:t>F508del</w:t>
      </w:r>
      <w:r w:rsidR="004F5877" w:rsidRPr="00AE1351">
        <w:t xml:space="preserve">-CF </w:t>
      </w:r>
      <w:proofErr w:type="spellStart"/>
      <w:r w:rsidR="004F5877" w:rsidRPr="00AE1351">
        <w:t>transmembrane</w:t>
      </w:r>
      <w:proofErr w:type="spellEnd"/>
      <w:r w:rsidR="004F5877" w:rsidRPr="00AE1351">
        <w:t xml:space="preserve"> conductance regulator (CFTR) mutation. The main objectives of the open-label Part B were to evaluate safety and efficacy of long-term treatment with ivacaftor for 96 weeks. </w:t>
      </w:r>
    </w:p>
    <w:p w:rsidR="004F5877" w:rsidRPr="00AE1351" w:rsidRDefault="004F5877" w:rsidP="00DB5F23">
      <w:r w:rsidRPr="00AE1351">
        <w:t>Subjects in Part A of this study were randomized to receive either 150 mg VX-770 or placebo every 12 hours (q12h) for 16 weeks.  Part A included a Screening Period (Day -35 to Day -15), a Run-In Period (Day -14 to Day -1, before first dose of study drug [VX-770 or placebo]), a Treatment Period (Day 1 [first dose of study drug] to Week 16), a Follow-up Visit (4 weeks after last dose of study drug), and a Long-term Follow-up (for 2 years after the last dose of study drug) for subjects who received study drug for more than 4 weeks and who did not participate in Part B.</w:t>
      </w:r>
    </w:p>
    <w:p w:rsidR="004F5877" w:rsidRPr="00AE1351" w:rsidRDefault="004F5877" w:rsidP="00DB5F23">
      <w:r w:rsidRPr="00AE1351">
        <w:t xml:space="preserve">Subjects who met one of the following response criteria and completed 16 weeks of study drug dosing were eligible to participate </w:t>
      </w:r>
      <w:r w:rsidR="00196C60" w:rsidRPr="00AE1351">
        <w:t>in Part B:- (1) An increase of ≥</w:t>
      </w:r>
      <w:r w:rsidRPr="00AE1351">
        <w:t>10% relative to baseline in percent predicted forced expiratory volume in 1 second (FEV1)at 1 or more time points from Day 15 through Week 16, inclusive;(2) A decrease from baseline in s</w:t>
      </w:r>
      <w:r w:rsidR="00196C60" w:rsidRPr="00AE1351">
        <w:t>weat chloride concentration of ≥</w:t>
      </w:r>
      <w:r w:rsidRPr="00AE1351">
        <w:t xml:space="preserve">15 </w:t>
      </w:r>
      <w:proofErr w:type="spellStart"/>
      <w:r w:rsidRPr="00AE1351">
        <w:t>mmol</w:t>
      </w:r>
      <w:proofErr w:type="spellEnd"/>
      <w:r w:rsidRPr="00AE1351">
        <w:t xml:space="preserve">/L at both the Day 15 and Week 8 visits. Subjects in Part B were to have received open-label 150 mg VX-770 q12h for 96 weeks. Part B included an Extension Period (Week 16 through Week 112). However, the study was discontinued by the sponsor following results obtained from a pre-specified evaluation the Part B data (through Week 40). </w:t>
      </w:r>
    </w:p>
    <w:p w:rsidR="004F5877" w:rsidRPr="00AE1351" w:rsidRDefault="004F5877" w:rsidP="00DB5F23">
      <w:r w:rsidRPr="00AE1351">
        <w:t>Overall 140 subjects were randomised to treatment in Part A (112 to ivacaftor 150mg and 28 to placebo) given twice daily (at 12 hour interval). Of these, 38 subjects (5 treated with placebo in Part A and 33 treated with VX-770 in Part A) were enrolled in Part B of the study. All 38 subjects in Part B received at least 1 dose of open-label VX-770 in Part B and were included in the Full Analysis Set (FAS) and the Safety set. Nine subjects discontinued treatment in Part B before the study was terminated by the sponsor.</w:t>
      </w:r>
    </w:p>
    <w:p w:rsidR="004F5877" w:rsidRPr="00AE1351" w:rsidRDefault="004F5877" w:rsidP="00DB5F23">
      <w:r w:rsidRPr="00AE1351">
        <w:t>The adjusted mean absolute change from baseline through Week 16 in percent predicted FEV1 was greater in the VX-770 group (1.54%) than in the placebo group (-0.183%), but the treatment difference was not statistically significant</w:t>
      </w:r>
      <w:r w:rsidR="009B41F4" w:rsidRPr="00AE1351">
        <w:t xml:space="preserve">. </w:t>
      </w:r>
      <w:r w:rsidRPr="00AE1351">
        <w:t xml:space="preserve">The results of the sensitivity analysis confirmed results of the primary analysis. </w:t>
      </w:r>
    </w:p>
    <w:p w:rsidR="004F5877" w:rsidRPr="00AE1351" w:rsidRDefault="004F5877" w:rsidP="00DB5F23">
      <w:r w:rsidRPr="00AE1351">
        <w:t>As the treatment effect for the primary efficacy endpoint was not statistically significant, any observed statistical significance in other efficacy e</w:t>
      </w:r>
      <w:r w:rsidR="00D0160C">
        <w:t xml:space="preserve">ndpoints was reported nominal. </w:t>
      </w:r>
      <w:r w:rsidRPr="00AE1351">
        <w:t xml:space="preserve">The adjusted mean decrease from baseline through Week 16 in sweat chloride values was greater in the VX-770 group than in the placebo group (-2.74 </w:t>
      </w:r>
      <w:proofErr w:type="spellStart"/>
      <w:r w:rsidRPr="00AE1351">
        <w:t>vs</w:t>
      </w:r>
      <w:proofErr w:type="spellEnd"/>
      <w:r w:rsidRPr="00AE1351">
        <w:t xml:space="preserve"> 0.13 </w:t>
      </w:r>
      <w:proofErr w:type="spellStart"/>
      <w:r w:rsidRPr="00AE1351">
        <w:t>mmol</w:t>
      </w:r>
      <w:proofErr w:type="spellEnd"/>
      <w:r w:rsidRPr="00AE1351">
        <w:t>/L; P = 0.0384). The changes in sweat chloride occurred by Day 15 and were sustained for the duration of the 16-week treatment period.</w:t>
      </w:r>
    </w:p>
    <w:p w:rsidR="004F5877" w:rsidRPr="00AE1351" w:rsidRDefault="004F5877" w:rsidP="00DB5F23">
      <w:r w:rsidRPr="00AE1351">
        <w:t xml:space="preserve">Ivacaftor did not have any significant effect on respiratory symptoms (measured by the change in CFQ-R respiratory domain score over 16 weeks of treatment), weight (measured by the change in weight, weight-for-age z-score, BMI, and BMI-for-age z-score over 16 weeks of treatment). </w:t>
      </w:r>
    </w:p>
    <w:p w:rsidR="004F5877" w:rsidRPr="00AE1351" w:rsidRDefault="004F5877" w:rsidP="00DB5F23">
      <w:r w:rsidRPr="00AE1351">
        <w:t xml:space="preserve">Ivacaftor did not have any significant effect on oxygen saturation or EQ-5D score.  A smaller number, shorter duration, and longer time-to-onset of most CF-related events of interest (including pulmonary exacerbations and antibiotic therapy for </w:t>
      </w:r>
      <w:proofErr w:type="spellStart"/>
      <w:r w:rsidRPr="00AE1351">
        <w:t>sinopulmonary</w:t>
      </w:r>
      <w:proofErr w:type="spellEnd"/>
      <w:r w:rsidRPr="00AE1351">
        <w:t xml:space="preserve"> signs/symptoms) were observed in the VX-770 group than in the placebo group, but these</w:t>
      </w:r>
      <w:r w:rsidRPr="004F5877">
        <w:rPr>
          <w:lang w:eastAsia="ja-JP"/>
        </w:rPr>
        <w:t xml:space="preserve"> </w:t>
      </w:r>
      <w:r w:rsidRPr="00AE1351">
        <w:lastRenderedPageBreak/>
        <w:t xml:space="preserve">differences were not statistically significant. Similarly, percent predicted FEV1 and additional </w:t>
      </w:r>
      <w:proofErr w:type="spellStart"/>
      <w:r w:rsidRPr="00AE1351">
        <w:t>spirometry</w:t>
      </w:r>
      <w:proofErr w:type="spellEnd"/>
      <w:r w:rsidRPr="00AE1351">
        <w:t xml:space="preserve"> parameters (FVC, FEF27-75%, and FEV1/FVC) showed small improvements in the VX-770 group compared with placebo group, but the differences were not statistically significant.</w:t>
      </w:r>
    </w:p>
    <w:p w:rsidR="004F5877" w:rsidRPr="00AE1351" w:rsidRDefault="004F5877" w:rsidP="00DB5F23">
      <w:r w:rsidRPr="00AE1351">
        <w:t xml:space="preserve">The mean concentration of immunoglobulin G decreased from baseline to Week 16 in the VX-770 group (adjusted change from baseline: -0.697 g/L) and increased in the placebo group (adjusted change from baseline: 0.079 g/L), but the estimated treatment difference for VX-770 versus placebo was not statistically significant. Similar results were obtained for the analysis of the log-transformed data. Ivacaftor did not have any significant effect on C-reactive protein and interleukin-8 concentrations. </w:t>
      </w:r>
    </w:p>
    <w:p w:rsidR="004F5877" w:rsidRPr="00AE1351" w:rsidRDefault="005B0F76" w:rsidP="00DB5F23">
      <w:bookmarkStart w:id="124" w:name="_Toc241374312"/>
      <w:bookmarkStart w:id="125" w:name="_Toc272414656"/>
      <w:bookmarkStart w:id="126" w:name="_Toc290846281"/>
      <w:r w:rsidRPr="00AE1351">
        <w:t>In Part B t</w:t>
      </w:r>
      <w:r w:rsidR="004F5877" w:rsidRPr="00AE1351">
        <w:t>here were no differences in the rate of decline from baseline in percent predicted FEV1 through Week 64 between the VX-770/VX-770 group (-1.074%) an</w:t>
      </w:r>
      <w:r w:rsidRPr="00AE1351">
        <w:t>d the placebo/VX-770 group (5.74</w:t>
      </w:r>
      <w:r w:rsidR="004F5877" w:rsidRPr="00AE1351">
        <w:t xml:space="preserve">%). The rate of decline in percent predicted FEV1 from Part B baseline through Week 64 was 5.3% in the placebo/VX-770 group and -5.3% in the VX-770/VX-770 group. Although this difference was statistically significant (P = 0.0336), the clinical significance of this finding is uncertain. For subjects treated with VX-770 for 64 weeks (VX-770/VX-770 group), the marginal decrease in mean absolute change in sweat chloride that was observed from baseline to Week 16 in Part A was not sustained through Week 64. Treatment with VX-770 for 48 weeks in Part B did not have any additional effect on sweat chloride. There was no effect of VX-770 on respiratory  symptoms, as measured by the change in CFQ-R respiratory domain score, in subjects treated with VX-770 for 64 weeks (VX-770/VX-770 group) or in subjects treated with VX-770 for 48 weeks in Part B (placebo/VX-770 group). There was no improvement in the yearly rate of pulmonary exacerbations with prolonged treatment of VX-770. Subjects in both treatment groups gained weight throughout the duration of the study although there were no overall differences in weight gain between subjects treated with VX-770 for 64 weeks (VX-770/VX-770 group; 2.35 [5.600] kg) or subjects treated with VX-770 for 48 weeks in Part B (placebo/VX-770 group; 3.00 [3.550] kg). </w:t>
      </w:r>
    </w:p>
    <w:p w:rsidR="004F5877" w:rsidRPr="00AE1351" w:rsidRDefault="004F5877" w:rsidP="00DB5F23">
      <w:r w:rsidRPr="00AE1351">
        <w:t xml:space="preserve">VX-770 administered at 150 mg q12h for 16 weeks resulted in no improvement in FEV1 relative to placebo in patients with CF who are homozygous for the </w:t>
      </w:r>
      <w:r w:rsidRPr="00AE1351">
        <w:rPr>
          <w:i/>
          <w:iCs/>
        </w:rPr>
        <w:t>F508del-CF</w:t>
      </w:r>
      <w:r w:rsidRPr="00AE1351">
        <w:t xml:space="preserve"> </w:t>
      </w:r>
      <w:proofErr w:type="spellStart"/>
      <w:r w:rsidRPr="00AE1351">
        <w:t>transmembrane</w:t>
      </w:r>
      <w:proofErr w:type="spellEnd"/>
      <w:r w:rsidRPr="00AE1351">
        <w:t xml:space="preserve"> conductance regulator (CFTR</w:t>
      </w:r>
      <w:r w:rsidR="006105DB" w:rsidRPr="00AE1351">
        <w:t>) mutation</w:t>
      </w:r>
      <w:r w:rsidRPr="00AE1351">
        <w:t xml:space="preserve">. VX-770 administered at 150 mg q12h for an additional 48 weeks resulted in no improvement in FEV1 in this population. VX-770 administered at 150 mg q12h for 16 weeks resulted in a small reduction in sweat chloride relative to placebo in this study population; this difference was nominally statistically significant. The marginal improvement in sweat chloride observed in Part A of the study was not sustained with additional treatment of VX-770 from Week 16 to Week 64 in Part B. In this study, VX-770 did not have any effect on number, duration, and time-to-onset of most CF-related events of interest (including pulmonary exacerbations and antibiotic therapy for </w:t>
      </w:r>
      <w:proofErr w:type="spellStart"/>
      <w:r w:rsidRPr="00AE1351">
        <w:t>sinopulmonary</w:t>
      </w:r>
      <w:proofErr w:type="spellEnd"/>
      <w:r w:rsidRPr="00AE1351">
        <w:t xml:space="preserve"> signs/symptoms), on respiratory domain CFQ-R score, weight, oxygen saturation, or EQ-5D score.</w:t>
      </w:r>
    </w:p>
    <w:p w:rsidR="004F5877" w:rsidRPr="004F5877" w:rsidRDefault="004F5877" w:rsidP="00DB5F23">
      <w:pPr>
        <w:pStyle w:val="Heading4"/>
      </w:pPr>
      <w:bookmarkStart w:id="127" w:name="_Toc341441439"/>
      <w:r w:rsidRPr="004F5877">
        <w:t>Long term efficacy</w:t>
      </w:r>
      <w:bookmarkEnd w:id="127"/>
    </w:p>
    <w:p w:rsidR="004F5877" w:rsidRPr="00AE1351" w:rsidRDefault="00AE1351" w:rsidP="00DB5F23">
      <w:r w:rsidRPr="00AE1351">
        <w:t xml:space="preserve">Study </w:t>
      </w:r>
      <w:r w:rsidR="004F5877" w:rsidRPr="00AE1351">
        <w:t>105 was an open-label, lon</w:t>
      </w:r>
      <w:r w:rsidR="005B0F76" w:rsidRPr="00AE1351">
        <w:t>g-term study in patients (aged ≥</w:t>
      </w:r>
      <w:r w:rsidR="004F5877" w:rsidRPr="00AE1351">
        <w:t>6 years) with cystic fibrosis and the main objectives were to evaluate safety and efficacy. The study was conducted at 67 sites and started from 8/7/2010 with t</w:t>
      </w:r>
      <w:r w:rsidR="005B0F76" w:rsidRPr="00AE1351">
        <w:t>he second interim report on 22/11</w:t>
      </w:r>
      <w:r w:rsidR="004F5877" w:rsidRPr="00AE1351">
        <w:t xml:space="preserve">/2011 and it is still ongoing. This was a rollover study and planned to enrol all subjects who completed Study 102 or Study 103 and met the inclusion-exclusion criteria for this study. All subjects in Study 102 and Study 103 who completed 48 weeks of treatment and elected to roll over to Study 105 were dosed in Study 105 (N = 144 and N = 48, respectively), for a total enrolment in Study 105 of 192 subjects; 192 subjects received at least 1 dose of study drug in Study 105 and were included in the full analysis set (FAS) and the Safety Set. </w:t>
      </w:r>
    </w:p>
    <w:p w:rsidR="004F5877" w:rsidRPr="000E7B43" w:rsidRDefault="004F5877" w:rsidP="00DB5F23">
      <w:r w:rsidRPr="000E7B43">
        <w:lastRenderedPageBreak/>
        <w:t xml:space="preserve">Of the 144 subjects from Study 102, 137 subjects (95.2%) completed at least 48 weeks of treatment at the time of this analysis, 73 subjects in the VX-770/VX-770 group and 64 subjects in the placebo/ VX-770 group. Of the 48 subjects from Study 103, all subjects completed at least 24 weeks of treatment at the time of this analysis, 26 subjects in the VX-770/VX-770 group and 22 subjects in the placebo/VX-770. Majority of the subjects in study 105 were White with equal proportion of males and females. </w:t>
      </w:r>
    </w:p>
    <w:p w:rsidR="004F5877" w:rsidRPr="000E7B43" w:rsidRDefault="004F5877" w:rsidP="00DB5F23">
      <w:r w:rsidRPr="000E7B43">
        <w:t>For subjects in the VX-770/VX-770 group, the improvements in FEV1, CFQ-R respiratory domain scores and weight observed in the previous study were sustained in the current study; for subjects in the placebo/VX-770 group, the improvements in FEV1, CFQ-R respiratory domain scores and weight in the current study were similar to those observed in the previous study for subjects in the VX-770/VX-770 group</w:t>
      </w:r>
      <w:r w:rsidR="000E7B43">
        <w:t xml:space="preserve"> (</w:t>
      </w:r>
      <w:proofErr w:type="spellStart"/>
      <w:r w:rsidR="000E7B43">
        <w:t>eg</w:t>
      </w:r>
      <w:proofErr w:type="spellEnd"/>
      <w:r w:rsidR="000E7B43">
        <w:t>, see Table 11 and Figure 5</w:t>
      </w:r>
      <w:r w:rsidR="000E7B43" w:rsidRPr="000E7B43">
        <w:t xml:space="preserve"> and Figure </w:t>
      </w:r>
      <w:r w:rsidR="000E7B43">
        <w:t>6</w:t>
      </w:r>
      <w:r w:rsidR="000E7B43" w:rsidRPr="000E7B43">
        <w:t>)</w:t>
      </w:r>
      <w:r w:rsidRPr="000E7B43">
        <w:t xml:space="preserve">. </w:t>
      </w:r>
    </w:p>
    <w:p w:rsidR="000E7B43" w:rsidRDefault="000E7B43" w:rsidP="00DB5F23">
      <w:pPr>
        <w:pStyle w:val="TableTitle"/>
      </w:pPr>
      <w:r>
        <w:t>Table 11. Study 105. Change in baseline in percent predicted FEV1, Full Analysis set</w:t>
      </w:r>
    </w:p>
    <w:p w:rsidR="000E7B43" w:rsidRDefault="000E7B43" w:rsidP="00DB5F23">
      <w:r>
        <w:rPr>
          <w:noProof/>
          <w:lang w:eastAsia="en-AU"/>
        </w:rPr>
        <w:drawing>
          <wp:inline distT="0" distB="0" distL="0" distR="0">
            <wp:extent cx="5266983" cy="2911731"/>
            <wp:effectExtent l="19050" t="0" r="0" b="0"/>
            <wp:docPr id="1" name="Picture 5" descr="Table 11. Study 105. Change in baseline in percent predicted FEV1,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264291" cy="2910243"/>
                    </a:xfrm>
                    <a:prstGeom prst="rect">
                      <a:avLst/>
                    </a:prstGeom>
                    <a:noFill/>
                    <a:ln w="9525">
                      <a:noFill/>
                      <a:miter lim="800000"/>
                      <a:headEnd/>
                      <a:tailEnd/>
                    </a:ln>
                  </pic:spPr>
                </pic:pic>
              </a:graphicData>
            </a:graphic>
          </wp:inline>
        </w:drawing>
      </w:r>
    </w:p>
    <w:p w:rsidR="000E7B43" w:rsidRDefault="000E7B43" w:rsidP="00DB5F23">
      <w:pPr>
        <w:pStyle w:val="FigureTitle"/>
      </w:pPr>
      <w:r>
        <w:t xml:space="preserve">Figure 5. Study 105. Mean percent </w:t>
      </w:r>
      <w:r w:rsidRPr="000E7B43">
        <w:t xml:space="preserve">predicted FEV1, </w:t>
      </w:r>
      <w:r>
        <w:t xml:space="preserve">by treatment in Study 102 and 105, </w:t>
      </w:r>
      <w:r w:rsidRPr="000E7B43">
        <w:t>Full Analysis set</w:t>
      </w:r>
    </w:p>
    <w:p w:rsidR="000E7B43" w:rsidRDefault="000E7B43" w:rsidP="000E7B43">
      <w:r>
        <w:rPr>
          <w:noProof/>
          <w:lang w:eastAsia="en-AU"/>
        </w:rPr>
        <w:drawing>
          <wp:inline distT="0" distB="0" distL="0" distR="0">
            <wp:extent cx="5318959" cy="2496923"/>
            <wp:effectExtent l="19050" t="0" r="0" b="0"/>
            <wp:docPr id="3" name="Picture 8" descr="Figure 5. Study 105. Mean percent predicted FEV1, by treatment in Study 102 and 105,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315177" cy="2495148"/>
                    </a:xfrm>
                    <a:prstGeom prst="rect">
                      <a:avLst/>
                    </a:prstGeom>
                    <a:noFill/>
                    <a:ln w="9525">
                      <a:noFill/>
                      <a:miter lim="800000"/>
                      <a:headEnd/>
                      <a:tailEnd/>
                    </a:ln>
                  </pic:spPr>
                </pic:pic>
              </a:graphicData>
            </a:graphic>
          </wp:inline>
        </w:drawing>
      </w:r>
    </w:p>
    <w:p w:rsidR="000E7B43" w:rsidRPr="000E7B43" w:rsidRDefault="000E7B43" w:rsidP="00DB5F23">
      <w:pPr>
        <w:pStyle w:val="FigureTitle"/>
      </w:pPr>
      <w:r>
        <w:lastRenderedPageBreak/>
        <w:t>Figure 6</w:t>
      </w:r>
      <w:r w:rsidRPr="000E7B43">
        <w:t>. Study 105. Mean percent predicted FEV1, by treatment in Study 10</w:t>
      </w:r>
      <w:r>
        <w:t>3</w:t>
      </w:r>
      <w:r w:rsidRPr="000E7B43">
        <w:t xml:space="preserve"> and 105, Full Analysis set</w:t>
      </w:r>
    </w:p>
    <w:p w:rsidR="000E7B43" w:rsidRPr="000E7B43" w:rsidRDefault="000E7B43" w:rsidP="00DB5F23">
      <w:r>
        <w:rPr>
          <w:noProof/>
          <w:lang w:eastAsia="en-AU"/>
        </w:rPr>
        <w:drawing>
          <wp:inline distT="0" distB="0" distL="0" distR="0">
            <wp:extent cx="5320905" cy="2468632"/>
            <wp:effectExtent l="19050" t="0" r="0" b="0"/>
            <wp:docPr id="11" name="Picture 11" descr="Figure 6. Study 105. Mean percent predicted FEV1, by treatment in Study 103 and 105,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320905" cy="2468632"/>
                    </a:xfrm>
                    <a:prstGeom prst="rect">
                      <a:avLst/>
                    </a:prstGeom>
                    <a:noFill/>
                    <a:ln w="9525">
                      <a:noFill/>
                      <a:miter lim="800000"/>
                      <a:headEnd/>
                      <a:tailEnd/>
                    </a:ln>
                  </pic:spPr>
                </pic:pic>
              </a:graphicData>
            </a:graphic>
          </wp:inline>
        </w:drawing>
      </w:r>
    </w:p>
    <w:p w:rsidR="004F5877" w:rsidRPr="004F5877" w:rsidRDefault="004F5877" w:rsidP="00DB5F23">
      <w:pPr>
        <w:rPr>
          <w:lang w:eastAsia="ja-JP"/>
        </w:rPr>
      </w:pPr>
      <w:r w:rsidRPr="004F5877">
        <w:rPr>
          <w:lang w:eastAsia="ja-JP"/>
        </w:rPr>
        <w:t>For subjects in the placebo/VX-770 group from Study 102 and Study 103, fewer subjects had pulmonary exacerbations and the duration of pulmonary exacerbations was shorter during the current study than during Study 102 and Study 103, respectively. However, for subjects in the VX-770/VX-770 group from Study 102, more subjects had pulmonary exacerbations and the duration of pulmonary exacerbations was longer in the current study than during Study 102. Among subjects in the VX-770/VX-770 group who had pulmonary exacerbations, the number of events per subject treated with VX-770 was similar in Study 102 and Study 105 and lower than the number of events per subject treated with placebo for 48 weeks in Study 102.  For subjects in the VX-770/VX-770 group from Study 103, the number of subjects who had pulmonary exacerbations was similar and the duration of pulmonary exacerbations was shorter during the first 24 weeks of the current study than the first 24 weeks in Study 103</w:t>
      </w:r>
      <w:r w:rsidR="00623E1D">
        <w:rPr>
          <w:lang w:eastAsia="ja-JP"/>
        </w:rPr>
        <w:t>.</w:t>
      </w:r>
      <w:r w:rsidRPr="004F5877">
        <w:rPr>
          <w:lang w:eastAsia="ja-JP"/>
        </w:rPr>
        <w:t xml:space="preserve"> </w:t>
      </w:r>
    </w:p>
    <w:p w:rsidR="004F5877" w:rsidRPr="00EF4F73" w:rsidRDefault="004F5877" w:rsidP="00DB5F23">
      <w:r w:rsidRPr="00EF4F73">
        <w:t>Although subjects with less than 40% predicted FEV1 at screening were excluded from the previous studies, 8 subjects in the placebo/VX-770 group from Study 102 had less than 40% predicted FEV1 at baseline in current study 105. In these 8 subjects, improvements in percent predicted FEV1, CFQ-R respiratory domain score, and weight observed at Week 24 of VX-770 treatment were sustained at Week 48. The magnitude of improvements for these 8 subjects with severe disease was similar to the magnitude of improvements observed for all subjects in the placebo/VX-770 group</w:t>
      </w:r>
      <w:r w:rsidR="00623E1D" w:rsidRPr="00EF4F73">
        <w:t>.</w:t>
      </w:r>
      <w:r w:rsidRPr="00EF4F73">
        <w:t xml:space="preserve"> </w:t>
      </w:r>
    </w:p>
    <w:p w:rsidR="004F5877" w:rsidRPr="00623E1D" w:rsidRDefault="004F5877" w:rsidP="00DB5F23">
      <w:pPr>
        <w:pStyle w:val="Heading4"/>
      </w:pPr>
      <w:bookmarkStart w:id="128" w:name="_Toc341441440"/>
      <w:r w:rsidRPr="00623E1D">
        <w:t>Other studies</w:t>
      </w:r>
      <w:bookmarkEnd w:id="128"/>
    </w:p>
    <w:p w:rsidR="004F5877" w:rsidRPr="00EF4F73" w:rsidRDefault="00EF4F73" w:rsidP="00DB5F23">
      <w:r w:rsidRPr="00EF4F73">
        <w:t xml:space="preserve">Study </w:t>
      </w:r>
      <w:r w:rsidR="004F5877" w:rsidRPr="00EF4F73">
        <w:t xml:space="preserve">106 </w:t>
      </w:r>
      <w:r w:rsidR="00623E1D" w:rsidRPr="00EF4F73">
        <w:t xml:space="preserve">was a </w:t>
      </w:r>
      <w:r w:rsidR="004F5877" w:rsidRPr="00EF4F73">
        <w:t>Phase 2, randomized, double-blind, placebo-controlled, crossover study to evaluate the effect of VX-770 on Lung Clear</w:t>
      </w:r>
      <w:r w:rsidR="005B0F76" w:rsidRPr="00EF4F73">
        <w:t>ance Index in 17 subjects aged ≥</w:t>
      </w:r>
      <w:r w:rsidR="004F5877" w:rsidRPr="00EF4F73">
        <w:t xml:space="preserve">6 years with Cystic Fibrosis, the </w:t>
      </w:r>
      <w:r w:rsidR="004F5877" w:rsidRPr="004C3C9F">
        <w:rPr>
          <w:i/>
          <w:iCs/>
        </w:rPr>
        <w:t>G551D</w:t>
      </w:r>
      <w:r w:rsidR="004F5877" w:rsidRPr="00EF4F73">
        <w:t xml:space="preserve"> Mutation, and FEV1 &gt; 90% Predicted; other efficacy endpoints were </w:t>
      </w:r>
      <w:proofErr w:type="spellStart"/>
      <w:r w:rsidR="004F5877" w:rsidRPr="00EF4F73">
        <w:t>spirometry</w:t>
      </w:r>
      <w:proofErr w:type="spellEnd"/>
      <w:r w:rsidR="004F5877" w:rsidRPr="00EF4F73">
        <w:t xml:space="preserve">, sweat chloride levels and CFQ-R. </w:t>
      </w:r>
    </w:p>
    <w:p w:rsidR="004F5877" w:rsidRPr="00EF4F73" w:rsidRDefault="004F5877" w:rsidP="00DB5F23">
      <w:pPr>
        <w:ind w:left="1418" w:hanging="1418"/>
      </w:pPr>
      <w:r w:rsidRPr="00EF4F73">
        <w:rPr>
          <w:b/>
          <w:bCs/>
          <w:lang w:eastAsia="ja-JP"/>
        </w:rPr>
        <w:t>Comments:</w:t>
      </w:r>
      <w:r w:rsidRPr="004F5877">
        <w:rPr>
          <w:lang w:eastAsia="ja-JP"/>
        </w:rPr>
        <w:t xml:space="preserve"> </w:t>
      </w:r>
      <w:r w:rsidRPr="004F5877">
        <w:rPr>
          <w:lang w:eastAsia="ja-JP"/>
        </w:rPr>
        <w:tab/>
      </w:r>
      <w:r w:rsidRPr="00EF4F73">
        <w:t xml:space="preserve">However, no efficacy results were presented and only a 4-page synopsis was provided in module 5 which only listed SAEs. </w:t>
      </w:r>
    </w:p>
    <w:p w:rsidR="004F5877" w:rsidRPr="00EF4F73" w:rsidRDefault="00EF4F73" w:rsidP="00DB5F23">
      <w:r w:rsidRPr="00EF4F73">
        <w:t xml:space="preserve">Study </w:t>
      </w:r>
      <w:r w:rsidR="004F5877" w:rsidRPr="00EF4F73">
        <w:t xml:space="preserve">107 was a Phase 2, single-blind, placebo-controlled study to evaluate the effect of VX-770  on hyperpolarized Helium-3 Magnetic Resonance Imaging (3He-MRI) in 8 subjects aged &gt;12 years with Cystic Fibrosis (CF), the </w:t>
      </w:r>
      <w:r w:rsidR="004F5877" w:rsidRPr="004C3C9F">
        <w:rPr>
          <w:i/>
          <w:iCs/>
        </w:rPr>
        <w:t>G551D</w:t>
      </w:r>
      <w:r w:rsidR="004F5877" w:rsidRPr="00EF4F73">
        <w:t xml:space="preserve"> Mutation, and Forced Expiratory Volume in 1 Second (FEV1) ≥ 40% predicted. Other efficacy endpoints were </w:t>
      </w:r>
      <w:proofErr w:type="spellStart"/>
      <w:r w:rsidR="004F5877" w:rsidRPr="00EF4F73">
        <w:t>spirometry</w:t>
      </w:r>
      <w:proofErr w:type="spellEnd"/>
      <w:r w:rsidR="004F5877" w:rsidRPr="00EF4F73">
        <w:t xml:space="preserve">, sweat chloride levels and CFQ-R. </w:t>
      </w:r>
    </w:p>
    <w:p w:rsidR="004F5877" w:rsidRPr="00EF4F73" w:rsidRDefault="004F5877" w:rsidP="00DB5F23">
      <w:pPr>
        <w:ind w:left="1418" w:hanging="1418"/>
      </w:pPr>
      <w:r w:rsidRPr="00EF4F73">
        <w:rPr>
          <w:b/>
          <w:bCs/>
        </w:rPr>
        <w:t>Comments:</w:t>
      </w:r>
      <w:r w:rsidR="00EF4F73" w:rsidRPr="00EF4F73">
        <w:t xml:space="preserve">  </w:t>
      </w:r>
      <w:r w:rsidR="00EF4F73">
        <w:tab/>
      </w:r>
      <w:r w:rsidRPr="00EF4F73">
        <w:t xml:space="preserve">However, no efficacy results were presented and only a 2-page synopsis was provided with only listing of SAEs. </w:t>
      </w:r>
    </w:p>
    <w:p w:rsidR="004F5877" w:rsidRPr="00413BB0" w:rsidRDefault="004F5877" w:rsidP="00DB5F23">
      <w:pPr>
        <w:pStyle w:val="Heading3"/>
      </w:pPr>
      <w:bookmarkStart w:id="129" w:name="_Toc341441441"/>
      <w:bookmarkStart w:id="130" w:name="_Toc375055433"/>
      <w:r w:rsidRPr="00413BB0">
        <w:lastRenderedPageBreak/>
        <w:t>Analyses performed across trials (pooled analyses and meta-analyses)</w:t>
      </w:r>
      <w:bookmarkEnd w:id="124"/>
      <w:bookmarkEnd w:id="125"/>
      <w:bookmarkEnd w:id="126"/>
      <w:bookmarkEnd w:id="129"/>
      <w:bookmarkEnd w:id="130"/>
    </w:p>
    <w:p w:rsidR="004F5877" w:rsidRPr="00EF4F73" w:rsidRDefault="004F5877" w:rsidP="00DB5F23">
      <w:r w:rsidRPr="00EF4F73">
        <w:t xml:space="preserve">There were no pooled or meta-analyses for efficacy. However, analysis of efficacy in subgroups based on baseline disease severity, age, sex, geographic regions, and type of CFTR mutations was presented. </w:t>
      </w:r>
    </w:p>
    <w:p w:rsidR="004F5877" w:rsidRPr="004F5877" w:rsidRDefault="004F5877" w:rsidP="00DB5F23">
      <w:pPr>
        <w:pStyle w:val="Heading4"/>
      </w:pPr>
      <w:bookmarkStart w:id="131" w:name="_Toc341441442"/>
      <w:r w:rsidRPr="004F5877">
        <w:t>Efficacy in subgroups</w:t>
      </w:r>
      <w:bookmarkEnd w:id="131"/>
    </w:p>
    <w:p w:rsidR="004F5877" w:rsidRPr="002D30BE" w:rsidRDefault="004F5877" w:rsidP="00563321">
      <w:r w:rsidRPr="004F5877">
        <w:rPr>
          <w:lang w:eastAsia="ja-JP"/>
        </w:rPr>
        <w:t xml:space="preserve">In the 2 placebo-controlled Phase 3 studies, ivacaftor treatment resulted in improvements in </w:t>
      </w:r>
      <w:r w:rsidRPr="002D30BE">
        <w:t xml:space="preserve">percent predicted FEV1 and respiratory symptoms, reduction in the risk of a pulmonary exacerbation (analysed only in Study 102), increase in weight gain, and reduction in sweat chloride concentrations, regardless of disease severity (measured by percent predicted FEV1 at screening), age, and sex. Treatment effects were generally consistent across geographic regions. A substantial treatment effect was observed in percent predicted FEV1 across subpopulations analysed in Study 102 and Study 103. The subpopulations with wide 95% CIs reflect small sample sizes (≤10 subjects). </w:t>
      </w:r>
    </w:p>
    <w:p w:rsidR="004F5877" w:rsidRPr="002D30BE" w:rsidRDefault="004F5877" w:rsidP="00563321">
      <w:r w:rsidRPr="002D30BE">
        <w:t xml:space="preserve">Subjects were required to have the </w:t>
      </w:r>
      <w:r w:rsidRPr="002D30BE">
        <w:rPr>
          <w:i/>
          <w:iCs/>
        </w:rPr>
        <w:t>G551D</w:t>
      </w:r>
      <w:r w:rsidRPr="002D30BE">
        <w:t xml:space="preserve"> mutation in at least 1 allele of the </w:t>
      </w:r>
      <w:r w:rsidRPr="004C3C9F">
        <w:rPr>
          <w:i/>
          <w:iCs/>
        </w:rPr>
        <w:t>CFTR</w:t>
      </w:r>
      <w:r w:rsidRPr="002D30BE">
        <w:t xml:space="preserve"> gene for study eligibility. Given the rarity of individual second-allele mutations other than </w:t>
      </w:r>
      <w:r w:rsidRPr="004C3C9F">
        <w:rPr>
          <w:i/>
          <w:iCs/>
        </w:rPr>
        <w:t>F508del</w:t>
      </w:r>
      <w:r w:rsidRPr="002D30BE">
        <w:t xml:space="preserve">, data for this analysis were pooled for Studies 102 and 103. Most (77%) subjects had the </w:t>
      </w:r>
      <w:r w:rsidRPr="00B5597F">
        <w:rPr>
          <w:i/>
          <w:iCs/>
        </w:rPr>
        <w:t>F508del</w:t>
      </w:r>
      <w:r w:rsidRPr="002D30BE">
        <w:t xml:space="preserve"> mutation in the second allele of the CFTR gene. Except for the </w:t>
      </w:r>
      <w:r w:rsidRPr="00B5597F">
        <w:rPr>
          <w:i/>
          <w:iCs/>
        </w:rPr>
        <w:t>F508del</w:t>
      </w:r>
      <w:r w:rsidRPr="002D30BE">
        <w:t xml:space="preserve"> mutation, the frequency of any given second-allele mutation was less than 4% (1 to 5 subjects in the pooled study population). Among the subgroup of subjects with the </w:t>
      </w:r>
      <w:r w:rsidRPr="002D30BE">
        <w:rPr>
          <w:i/>
          <w:iCs/>
        </w:rPr>
        <w:t>G551D</w:t>
      </w:r>
      <w:r w:rsidRPr="002D30BE">
        <w:t xml:space="preserve"> mutation in 1 allele and the </w:t>
      </w:r>
      <w:r w:rsidRPr="002D30BE">
        <w:rPr>
          <w:i/>
          <w:iCs/>
        </w:rPr>
        <w:t>F508del</w:t>
      </w:r>
      <w:r w:rsidRPr="002D30BE">
        <w:t xml:space="preserve"> mutation in the second allele, mean (SD) change in percent predicted FEV1 baseline to Week 24 was -0.7 (5.95) percentage points in the placebo group and 11.1 (9.11) percentage points in the ivacaftor group.  Number</w:t>
      </w:r>
      <w:r w:rsidR="00623E1D" w:rsidRPr="002D30BE">
        <w:t>s</w:t>
      </w:r>
      <w:r w:rsidRPr="002D30BE">
        <w:t xml:space="preserve"> of subjects in the other subgroups were too small to draw definitive conclusions. Regardless of the mutation in the second allele of the </w:t>
      </w:r>
      <w:r w:rsidRPr="004C3C9F">
        <w:rPr>
          <w:i/>
          <w:iCs/>
        </w:rPr>
        <w:t>CFTR</w:t>
      </w:r>
      <w:r w:rsidRPr="002D30BE">
        <w:t xml:space="preserve"> gene, little or no change in percent predicted FEV1 from baseline through Week 24 was observed in the placebo group, and improvements in percent predicted FEV1 from baseline through Week 24 were generally observed in the ivacaftor group.</w:t>
      </w:r>
    </w:p>
    <w:p w:rsidR="004F5877" w:rsidRPr="002D30BE" w:rsidRDefault="004F5877" w:rsidP="00563321">
      <w:r w:rsidRPr="002D30BE">
        <w:t xml:space="preserve">For the key secondary endpoints, treatment effects were consistent and substantial across the majority of subgroups, although variation in the magnitude of treatment effect across some subgroups was observed.  A comparison of effects on pulmonary exacerbations across subgroups in Study 103 was not possible given the low overall frequency of events. Evaluation of subgroups by race was not performed, as CF is predominantly a disease of the Caucasian population, which is reflected in the demographics of the subjects enrolled in Phase 3 studies. </w:t>
      </w:r>
    </w:p>
    <w:p w:rsidR="004F5877" w:rsidRPr="002D30BE" w:rsidRDefault="004F5877" w:rsidP="00563321">
      <w:r w:rsidRPr="002D30BE">
        <w:t xml:space="preserve">Similar reductions in percent predicted FEV1 were observed in the various subgroups (based on baseline disease severity, age, sex, geographic region) at week 48 in studies 102 </w:t>
      </w:r>
      <w:r w:rsidR="009D3DBE" w:rsidRPr="002D30BE">
        <w:t>and 103</w:t>
      </w:r>
      <w:r w:rsidRPr="002D30BE">
        <w:t>, although interpretation of this subgroup analysis was limited in study 103 due to small sample sizes. No subgroup analyses were done for the secondary efficacy endpoints at 48 weeks.</w:t>
      </w:r>
    </w:p>
    <w:p w:rsidR="004F5877" w:rsidRPr="009D3DBE" w:rsidRDefault="004F5877" w:rsidP="00563321">
      <w:pPr>
        <w:pStyle w:val="Heading3"/>
      </w:pPr>
      <w:bookmarkStart w:id="132" w:name="_Toc341441443"/>
      <w:bookmarkStart w:id="133" w:name="_Ref271126605"/>
      <w:bookmarkStart w:id="134" w:name="_Toc272414657"/>
      <w:bookmarkStart w:id="135" w:name="_Toc290846282"/>
      <w:bookmarkStart w:id="136" w:name="_Toc375055434"/>
      <w:r w:rsidRPr="009D3DBE">
        <w:t>Evaluator’s conclusions on clinical efficacy</w:t>
      </w:r>
      <w:bookmarkEnd w:id="132"/>
      <w:bookmarkEnd w:id="136"/>
      <w:r w:rsidRPr="009D3DBE">
        <w:t xml:space="preserve"> </w:t>
      </w:r>
      <w:bookmarkEnd w:id="133"/>
      <w:bookmarkEnd w:id="134"/>
      <w:bookmarkEnd w:id="135"/>
    </w:p>
    <w:p w:rsidR="004F5877" w:rsidRPr="004F5877" w:rsidRDefault="004F5877" w:rsidP="00563321">
      <w:pPr>
        <w:rPr>
          <w:lang w:eastAsia="ja-JP"/>
        </w:rPr>
      </w:pPr>
      <w:r w:rsidRPr="004F5877">
        <w:rPr>
          <w:lang w:eastAsia="ja-JP"/>
        </w:rPr>
        <w:t xml:space="preserve">Two Phase 2 studies (101 and 104) were conducted to assess the effect of ivacaftor in subjects with CF. In the dose-ranging study 101, treatment with ivacaftor with doses ranging from 75 mg to 250 mg every 12 hours (q12h) resulted in improved CFTR activity as measured by decreased sweat chloride and nasal potential difference (NPD) values as well as improved lung function as measured by increased forced expiratory volume in one second (FEV1).  The randomized, double-blind, placebo-controlled, parallel-group, 16-week study 104 (Part A) with a 96-week, open-label extension (Part B) in subjects homozygous for the </w:t>
      </w:r>
      <w:r w:rsidRPr="004F5877">
        <w:rPr>
          <w:i/>
          <w:iCs/>
          <w:lang w:eastAsia="ja-JP"/>
        </w:rPr>
        <w:t xml:space="preserve">F508del </w:t>
      </w:r>
      <w:r w:rsidRPr="004F5877">
        <w:rPr>
          <w:lang w:eastAsia="ja-JP"/>
        </w:rPr>
        <w:t xml:space="preserve">mutation in the </w:t>
      </w:r>
      <w:r w:rsidRPr="004F5877">
        <w:rPr>
          <w:i/>
          <w:iCs/>
          <w:lang w:eastAsia="ja-JP"/>
        </w:rPr>
        <w:t xml:space="preserve">CFTR </w:t>
      </w:r>
      <w:r w:rsidRPr="004F5877">
        <w:rPr>
          <w:lang w:eastAsia="ja-JP"/>
        </w:rPr>
        <w:t xml:space="preserve">gene showed no apparent clinical benefit during Part A of the study or over the first 24 weeks of open-label treatment in Part B (therefore, Part B of the study was terminated early). </w:t>
      </w:r>
    </w:p>
    <w:p w:rsidR="004F5877" w:rsidRPr="002D30BE" w:rsidRDefault="004F5877" w:rsidP="00563321">
      <w:r w:rsidRPr="002D30BE">
        <w:t xml:space="preserve">The recommended dosing regimen for ivacaftor is 150 mg q12h. Chronic administration of ivacaftor is required to maintain improvement in CFTR and thus clinical benefit. For Phase 2b </w:t>
      </w:r>
      <w:r w:rsidRPr="002D30BE">
        <w:lastRenderedPageBreak/>
        <w:t xml:space="preserve">and Phase 3 studies, plasma </w:t>
      </w:r>
      <w:proofErr w:type="spellStart"/>
      <w:r w:rsidRPr="002D30BE">
        <w:t>ivacaftor</w:t>
      </w:r>
      <w:proofErr w:type="spellEnd"/>
      <w:r w:rsidRPr="002D30BE">
        <w:t xml:space="preserve"> </w:t>
      </w:r>
      <w:proofErr w:type="spellStart"/>
      <w:r w:rsidRPr="002D30BE">
        <w:t>Cmin,ss</w:t>
      </w:r>
      <w:proofErr w:type="spellEnd"/>
      <w:r w:rsidRPr="002D30BE">
        <w:t xml:space="preserve"> was chosen as the target exposure parameter to maintain CFTR activity throughout a dose interval. The ivacaftor dose was selected to provide a median </w:t>
      </w:r>
      <w:proofErr w:type="spellStart"/>
      <w:r w:rsidRPr="002D30BE">
        <w:t>Cmin,ss</w:t>
      </w:r>
      <w:proofErr w:type="spellEnd"/>
      <w:r w:rsidRPr="002D30BE">
        <w:t xml:space="preserve"> of at least the predicted EC</w:t>
      </w:r>
      <w:r w:rsidRPr="00DC2370">
        <w:rPr>
          <w:vertAlign w:val="subscript"/>
        </w:rPr>
        <w:t>90</w:t>
      </w:r>
      <w:r w:rsidRPr="002D30BE">
        <w:t xml:space="preserve"> for FEV1. Dosing recommendations were based on a combination of factors, including safety/tolerability, PK/PD modelling, simulations, and efficacy Based on safety/tolerability, PK/PD modelling, and simulations using data from Studies 101 and 007, the ivacaftor dose selected for Study 102 (subjects 12 years of age and older) was 150 mg q12h, and the ivacaftor dose selected for Study 103 Part A (lead-in PK, subjects 6 to 11 years of age) was 100 mg. Based on subsequent modelling and simulations using data from Studies 007 and 103 Part A, the ivacaftor dose selected for the placebo-controlled treatment period in Study 103 Part B (subjects 6 to 11 years of age) was 150 mg q12h. Population PK/PD exposure-response analyses indicate that 150 mg ivacaftor q12h resulted in a median </w:t>
      </w:r>
      <w:proofErr w:type="spellStart"/>
      <w:r w:rsidRPr="002D30BE">
        <w:t>Cmin,ss</w:t>
      </w:r>
      <w:proofErr w:type="spellEnd"/>
      <w:r w:rsidRPr="002D30BE">
        <w:t xml:space="preserve"> of at least the EC</w:t>
      </w:r>
      <w:r w:rsidRPr="00DC2370">
        <w:rPr>
          <w:vertAlign w:val="subscript"/>
        </w:rPr>
        <w:t>90</w:t>
      </w:r>
      <w:r w:rsidRPr="002D30BE">
        <w:t xml:space="preserve"> for FEV1 across age groups ranging from 6 years of age to adults.</w:t>
      </w:r>
    </w:p>
    <w:p w:rsidR="004F5877" w:rsidRPr="00E22A63" w:rsidRDefault="004F5877" w:rsidP="00563321">
      <w:r w:rsidRPr="00E22A63">
        <w:t>Two placebo-controlled Phase 3 studies were designed to assess the efficacy and safety of 24 weeks of treatment with ivacaftor 150 mg q12h in subjects age 12 years and older (Study 102) and 6 to 11 years (Study 103). Placebo-controlled treatment was continued through 48 weeks to further assess safety and to confirm the durability of response. Subjects who completed 48 weeks of treatment were eligible to enrol in a long-term open-label study (Study 105).</w:t>
      </w:r>
    </w:p>
    <w:p w:rsidR="004F5877" w:rsidRPr="00E22A63" w:rsidRDefault="004F5877" w:rsidP="00563321">
      <w:r w:rsidRPr="00E22A63">
        <w:t xml:space="preserve">Since ivacaftor is a systemic therapy that targets the underlying defect in CF, Studies 102 and 103 were designed to evaluate both pulmonary effects (FEV1, respiratory symptoms, and pulmonary exacerbations) and important </w:t>
      </w:r>
      <w:proofErr w:type="spellStart"/>
      <w:r w:rsidRPr="00E22A63">
        <w:t>extrapulmonary</w:t>
      </w:r>
      <w:proofErr w:type="spellEnd"/>
      <w:r w:rsidRPr="00E22A63">
        <w:t xml:space="preserve"> measures associated with CF (weight, body mass index [BMI], sweat chloride levels, and inflammatory mediators).</w:t>
      </w:r>
    </w:p>
    <w:p w:rsidR="004F5877" w:rsidRPr="00E22A63" w:rsidRDefault="004F5877" w:rsidP="00563321">
      <w:r w:rsidRPr="00E22A63">
        <w:t>The same primary endpoint - the absolute change from baseline in percent predicted FEV1 through Week 24 - was selected for the placebo-controlled Phase 3 studies which is the recommended primary clinical endpoint in efficacy studies for CF and chronic obstructive pulmonary disease.  The efficacy assessments used in the pivotal Phase 3 studies were widely accepted and generally recognized as reliable, accurate, and relevant to the study of subjects with CF.</w:t>
      </w:r>
    </w:p>
    <w:p w:rsidR="004F5877" w:rsidRPr="00E22A63" w:rsidRDefault="004F5877" w:rsidP="00563321">
      <w:r w:rsidRPr="00E22A63">
        <w:t>The duration of evaluation in Studies 102 and 103 was consistent with recent registration studies for other therapies approved for CF and with guideline recommendations establishing durability of efficacy in chronic progressive lung diseases, including CF and chronic obstructive pulmonary disease.</w:t>
      </w:r>
    </w:p>
    <w:p w:rsidR="004F5877" w:rsidRPr="00E22A63" w:rsidRDefault="004F5877" w:rsidP="00563321">
      <w:r w:rsidRPr="00E22A63">
        <w:t xml:space="preserve">Based on agreement with regulatory authorities and in consideration of the small size of the population of patients who have the </w:t>
      </w:r>
      <w:r w:rsidRPr="00E22A63">
        <w:rPr>
          <w:i/>
          <w:iCs/>
        </w:rPr>
        <w:t>G551D</w:t>
      </w:r>
      <w:r w:rsidRPr="00E22A63">
        <w:t xml:space="preserve"> mutation in the CFTR gene, both the studies were adequately powered to detect clinically relevant differences between ivacaftor and placebo. Study 102 was designed to enrol a minimum of 80 subjects to provide at least 80% power to detect a treatment effect of 4.5 percentage points in absolute change in percent predicted FEV1. Study 103 was designed to enrol a minimum of 30 subjects (based on feasibility due to the size of the available population) and although it was not designed to achieve statistical significance, it was anticipated to be supportive, demonstrating a treatment effect of similar magnitude as in Study 102.</w:t>
      </w:r>
    </w:p>
    <w:p w:rsidR="004F5877" w:rsidRPr="00E22A63" w:rsidRDefault="004F5877" w:rsidP="00563321">
      <w:r w:rsidRPr="00E22A63">
        <w:t xml:space="preserve">In the placebo-controlled Phase 3 studies, the intended commercial formulation of ivacaftor was administered orally q12h for 48 weeks to subjects with CF age 6 years and older who have a </w:t>
      </w:r>
      <w:r w:rsidRPr="00E22A63">
        <w:rPr>
          <w:i/>
          <w:iCs/>
        </w:rPr>
        <w:t>G551D</w:t>
      </w:r>
      <w:r w:rsidRPr="00E22A63">
        <w:t xml:space="preserve"> gating mutation in the </w:t>
      </w:r>
      <w:r w:rsidRPr="005A76BE">
        <w:rPr>
          <w:i/>
          <w:iCs/>
        </w:rPr>
        <w:t>CFTR</w:t>
      </w:r>
      <w:r w:rsidRPr="00E22A63">
        <w:t xml:space="preserve"> gene. Subject demographics and baseline characteristics were, in general, representative of the population of patients with CF for whom ivacaftor is intended. Subjects also continued on their prescribed CF therapies during the studies (with the exception of hypertonic saline). Thus, the treatment effect of ivacaftor occurred in addition to</w:t>
      </w:r>
      <w:r w:rsidRPr="004F5877">
        <w:rPr>
          <w:lang w:eastAsia="ja-JP"/>
        </w:rPr>
        <w:t xml:space="preserve"> </w:t>
      </w:r>
      <w:r w:rsidRPr="00E22A63">
        <w:t xml:space="preserve">any benefit the subjects incurred while on their already-prescribed medications. Within each study, the baseline demographics of subjects (including age, weight, sex, baseline FEV1, and use of concomitant medications) were generally comparable in the ivacaftor and placebo groups. </w:t>
      </w:r>
    </w:p>
    <w:p w:rsidR="004F5877" w:rsidRPr="00E22A63" w:rsidRDefault="004F5877" w:rsidP="00563321">
      <w:r w:rsidRPr="00E22A63">
        <w:lastRenderedPageBreak/>
        <w:t xml:space="preserve">Analysis of the primary endpoint in the placebo-controlled Phase 3 studies (absolute change in percent predicted FEV1 through Week 24) showed a substantial and durable treatment effect (10.6 to 12.5 percentage points) that was highly significant (P &lt;0.0001). The improvements in FEV1 were rapid in onset and durable through the 48-week treatment period. In all subgroups evaluated (including disease severity, age, sex, and geographic region), a treatment effect in percent predicted FEV1 </w:t>
      </w:r>
      <w:r w:rsidR="00E22A63" w:rsidRPr="00E22A63">
        <w:t>favouring</w:t>
      </w:r>
      <w:r w:rsidRPr="00E22A63">
        <w:t xml:space="preserve"> ivacaftor was observed. </w:t>
      </w:r>
    </w:p>
    <w:p w:rsidR="004F5877" w:rsidRPr="00E22A63" w:rsidRDefault="004F5877" w:rsidP="00563321">
      <w:r w:rsidRPr="00E22A63">
        <w:t xml:space="preserve">According to EMA and FDA regulatory guidance, FEV1 is the recommended primary clinical endpoint in efficacy studies for CF and chronic obstructive pulmonary disease. Improvement in FEV1 has served as the primary clinical efficacy measure in definitive CF clinical studies supporting the registration of 2 chronic CF pulmonary therapies. In the pivotal clinical studies of inhaled </w:t>
      </w:r>
      <w:proofErr w:type="spellStart"/>
      <w:r w:rsidRPr="00E22A63">
        <w:t>dornase</w:t>
      </w:r>
      <w:proofErr w:type="spellEnd"/>
      <w:r w:rsidRPr="00E22A63">
        <w:t xml:space="preserve"> </w:t>
      </w:r>
      <w:proofErr w:type="spellStart"/>
      <w:r w:rsidRPr="00E22A63">
        <w:t>alfa</w:t>
      </w:r>
      <w:proofErr w:type="spellEnd"/>
      <w:r w:rsidRPr="00E22A63">
        <w:t xml:space="preserve"> and </w:t>
      </w:r>
      <w:proofErr w:type="spellStart"/>
      <w:r w:rsidRPr="00E22A63">
        <w:t>tobramycin</w:t>
      </w:r>
      <w:proofErr w:type="spellEnd"/>
      <w:r w:rsidRPr="00E22A63">
        <w:t>, 24 weeks of treatment in subjects with mild to severe CF lung disease resulted in 6% (</w:t>
      </w:r>
      <w:proofErr w:type="spellStart"/>
      <w:r w:rsidRPr="00E22A63">
        <w:t>dornase</w:t>
      </w:r>
      <w:proofErr w:type="spellEnd"/>
      <w:r w:rsidRPr="00E22A63">
        <w:t xml:space="preserve"> </w:t>
      </w:r>
      <w:proofErr w:type="spellStart"/>
      <w:r w:rsidRPr="00E22A63">
        <w:t>alfa</w:t>
      </w:r>
      <w:proofErr w:type="spellEnd"/>
      <w:r w:rsidRPr="00E22A63">
        <w:t xml:space="preserve">) and 8% (tobramycin) relative improvement in percent predicted FEV1. FEV1 was also a secondary endpoint in the pivotal studies of inhaled </w:t>
      </w:r>
      <w:proofErr w:type="spellStart"/>
      <w:r w:rsidRPr="00E22A63">
        <w:t>aztreonam</w:t>
      </w:r>
      <w:proofErr w:type="spellEnd"/>
      <w:r w:rsidRPr="00E22A63">
        <w:t>, where a relative improvement in percent predicted FEV1 of 10.2% was seen after 28 days.</w:t>
      </w:r>
    </w:p>
    <w:p w:rsidR="004F5877" w:rsidRPr="00E22A63" w:rsidRDefault="004F5877" w:rsidP="00563321">
      <w:r w:rsidRPr="00E22A63">
        <w:t>Analysis of other pulmonary outcomes showed clinically meaningful improvements in respiratory symptom scores (CFQ-R) in both Studies 102 and 103 and significant reduction in the risk of pulmonary exacerbations as well as substantially decreased frequency and duration of pulmonary exacerbations. Treatment with ivacaftor resulted in statistically significant improvements in measures of nutritional status, as measured by weight and BMI. The BMI-for-age z-score of subjects age</w:t>
      </w:r>
      <w:r w:rsidR="00413BB0">
        <w:t>d</w:t>
      </w:r>
      <w:r w:rsidRPr="00E22A63">
        <w:t xml:space="preserve"> 6 to 20 years who were treated with ivacaftor in the placebo-controlled Phase 3 studies also improved compared with the score for subjects treated with placebo. At Week 48 in both Studies 102 and 103, subjects treated with ivacaftor had BMI-for-age z-scores above 50th percentile, whereas subjects treated with placebo had scores below 50th percentile. </w:t>
      </w:r>
    </w:p>
    <w:p w:rsidR="004F5877" w:rsidRPr="00E22A63" w:rsidRDefault="004F5877" w:rsidP="00563321">
      <w:r w:rsidRPr="00E22A63">
        <w:t xml:space="preserve">In addition to clinically meaningful improvements in CF lung disease and nutritional measures, ivacaftor is the first treatment to demonstrate an effect on CFTR function, as measured by sweat chloride levels. The decrease in sweat chloride levels with ivacaftor treatment is consistent with the </w:t>
      </w:r>
      <w:r w:rsidRPr="00DC2370">
        <w:rPr>
          <w:i/>
          <w:iCs/>
        </w:rPr>
        <w:t>in vitro</w:t>
      </w:r>
      <w:r w:rsidRPr="00E22A63">
        <w:t xml:space="preserve"> effect of ivacaftor on </w:t>
      </w:r>
      <w:r w:rsidRPr="00DC2370">
        <w:t>G551D-CFTR</w:t>
      </w:r>
      <w:r w:rsidRPr="00E22A63">
        <w:t xml:space="preserve">. Analyses of the relationship between the change in sweat chloride and clinical outcomes demonstrate that the overall improvement in CFTR activity during treatment with ivacaftor, as represented by a sweat chloride reduction of at least 20 </w:t>
      </w:r>
      <w:proofErr w:type="spellStart"/>
      <w:r w:rsidRPr="00E22A63">
        <w:t>mmol</w:t>
      </w:r>
      <w:proofErr w:type="spellEnd"/>
      <w:r w:rsidRPr="00E22A63">
        <w:t xml:space="preserve">/L, was associated with significantly improved pulmonary and nutritional measures. These analyses are limited by the minimal number (2 out of 101) of any subjects treated with ivacaftor who did not have a reduction of sweat chloride that was less than 20 </w:t>
      </w:r>
      <w:proofErr w:type="spellStart"/>
      <w:r w:rsidRPr="00E22A63">
        <w:t>mmol</w:t>
      </w:r>
      <w:proofErr w:type="spellEnd"/>
      <w:r w:rsidRPr="00E22A63">
        <w:t xml:space="preserve">/L and by the variability in FEV1. Thus, it remains to be determined whether a smaller magnitude of improvement in CFTR activity might also be associated with clinical benefit. </w:t>
      </w:r>
    </w:p>
    <w:p w:rsidR="004F5877" w:rsidRPr="00E22A63" w:rsidRDefault="004F5877" w:rsidP="00563321">
      <w:r w:rsidRPr="00E22A63">
        <w:t xml:space="preserve">Improvements in FEV1 were similar through Week 24 and Week 48 of treatment. The treatment difference for ivacaftor versus placebo through Week 48 was 10.5 percentage points in Study 102 and 10.0 percentage points in Study 103; these differences were statistically significant (P&lt;0.0001 for Study 102 and P = 0.0006 for Study 103). Similarly, reductions in sweat chloride concentration were durable through Week 48, consistent with a sustained improvement in CFTR function. The magnitude of observed treatment effect was similar through Week 24 and Week 48 of treatment. The treatment difference for ivacaftor versus placebo through Week 48 was -48.1 </w:t>
      </w:r>
      <w:proofErr w:type="spellStart"/>
      <w:r w:rsidRPr="00E22A63">
        <w:t>mmol</w:t>
      </w:r>
      <w:proofErr w:type="spellEnd"/>
      <w:r w:rsidRPr="00E22A63">
        <w:t xml:space="preserve">/L in Study 102 and -53.5 </w:t>
      </w:r>
      <w:proofErr w:type="spellStart"/>
      <w:r w:rsidRPr="00E22A63">
        <w:t>mmol</w:t>
      </w:r>
      <w:proofErr w:type="spellEnd"/>
      <w:r w:rsidRPr="00E22A63">
        <w:t>/L in Study 103;these differences were statistically significant (P&lt;0.0001 in both studies). Substantial, durable, and consistent improvements were also observed in other clinical endpoints, including the risk of experiencing a pulmonary exacerbation, respiratory symptoms as measured by CFQ-R, weight gain, and frequency and duration of pulmonary exacerbations.</w:t>
      </w:r>
    </w:p>
    <w:p w:rsidR="004F5877" w:rsidRPr="00E22A63" w:rsidRDefault="004F5877" w:rsidP="00563321">
      <w:r w:rsidRPr="00E22A63">
        <w:t xml:space="preserve">In study 105, treatment with VX-770 was durable for up to 96 weeks. For subjects previously treated with VX-770 for 48 weeks in Studies 102 and 103, the improvements in FEV1, respiratory symptoms, and weight gain in the previous study were generally sustained with an </w:t>
      </w:r>
      <w:r w:rsidRPr="00E22A63">
        <w:lastRenderedPageBreak/>
        <w:t xml:space="preserve">additional 48 and 24 weeks of treatment with VX-770 in the current study. VX-770–treated subjects continued to experience pulmonary exacerbations, consistent with the </w:t>
      </w:r>
      <w:proofErr w:type="spellStart"/>
      <w:r w:rsidRPr="00E22A63">
        <w:t>pathophysiology</w:t>
      </w:r>
      <w:proofErr w:type="spellEnd"/>
      <w:r w:rsidRPr="00E22A63">
        <w:t xml:space="preserve"> of the disease. However, VX-770 treatment delayed the onset of pulmonary exacerbations, and the reduction in the number of pulmonary exacerbations per subject observed with VX-770 treatment in Study 102 was sustained in Study 105, for a total treatment duration of 96 weeks. For subjects previously treated with placebo for 48 weeks in Study 102 and Study 103, the improvements in FEV1, respiratory symptoms, weight gain, and pulmonary exacerbations observed after VX-770 treatment were comparable to the improvements observed with VX-770 treatment in Study 102 and Study 103.</w:t>
      </w:r>
    </w:p>
    <w:p w:rsidR="004F5877" w:rsidRPr="00E22A63" w:rsidRDefault="004F5877" w:rsidP="00563321">
      <w:r w:rsidRPr="00E22A63">
        <w:t xml:space="preserve">Ivacaftor is the first therapy to demonstrate an effect on both pulmonary and </w:t>
      </w:r>
      <w:proofErr w:type="spellStart"/>
      <w:r w:rsidRPr="00E22A63">
        <w:t>extrapulmonary</w:t>
      </w:r>
      <w:proofErr w:type="spellEnd"/>
      <w:r w:rsidRPr="00E22A63">
        <w:t xml:space="preserve"> manifestations of CF in registration studies. Ivacaftor is unique in demonstrating broad effects in both pulmonary outcomes and nutritional status after 24 and 48 weeks of treatment; and the magnitude of the improvements in all of these measures is large and clinically meaningful. </w:t>
      </w:r>
    </w:p>
    <w:p w:rsidR="008B7ADC" w:rsidRPr="00E22A63" w:rsidRDefault="004F5877" w:rsidP="00563321">
      <w:r w:rsidRPr="00E22A63">
        <w:t xml:space="preserve">Overall, results from the Phase 3 studies of ivacaftor showed that systemic treatment with ivacaftor was highly effective in the treatment of CF, as evidenced by improvement in CFTR function and substantial, durable improvements in important clinical outcomes, including FEV1, pulmonary exacerbations, respiratory symptoms, and nutritional status. The design of the Phase 3 studies adequately demonstrated the effects of ivacaftor, evidenced by the achievement of clinically meaningful and statistically significant effects in the primary and key secondary endpoints, and by the reproducibility of these effects in the placebo group of Study 102 that enrolled in Study 105 These data support the chronic use of ivacaftor as treatment of CF in patients age 6 years and older who have a </w:t>
      </w:r>
      <w:r w:rsidRPr="00E22A63">
        <w:rPr>
          <w:i/>
          <w:iCs/>
        </w:rPr>
        <w:t>G551D</w:t>
      </w:r>
      <w:r w:rsidRPr="00E22A63">
        <w:t xml:space="preserve"> mutation in the </w:t>
      </w:r>
      <w:r w:rsidRPr="00E22A63">
        <w:rPr>
          <w:i/>
          <w:iCs/>
        </w:rPr>
        <w:t>CFTR</w:t>
      </w:r>
      <w:r w:rsidRPr="00E22A63">
        <w:t xml:space="preserve"> gene.</w:t>
      </w:r>
    </w:p>
    <w:p w:rsidR="00C22678" w:rsidRDefault="00C22678" w:rsidP="00563321">
      <w:pPr>
        <w:pStyle w:val="Heading2"/>
      </w:pPr>
      <w:bookmarkStart w:id="137" w:name="_Toc375055435"/>
      <w:r>
        <w:t>Clinical safety</w:t>
      </w:r>
      <w:bookmarkEnd w:id="137"/>
    </w:p>
    <w:p w:rsidR="008B7ADC" w:rsidRPr="008B7ADC" w:rsidRDefault="008B7ADC" w:rsidP="00563321">
      <w:pPr>
        <w:pStyle w:val="Heading3"/>
      </w:pPr>
      <w:bookmarkStart w:id="138" w:name="_Toc272414659"/>
      <w:bookmarkStart w:id="139" w:name="_Toc290846284"/>
      <w:bookmarkStart w:id="140" w:name="_Toc341441445"/>
      <w:bookmarkStart w:id="141" w:name="_Toc375055436"/>
      <w:r w:rsidRPr="008B7ADC">
        <w:t>Studies providing evaluable safety data</w:t>
      </w:r>
      <w:bookmarkEnd w:id="138"/>
      <w:bookmarkEnd w:id="139"/>
      <w:bookmarkEnd w:id="140"/>
      <w:bookmarkEnd w:id="141"/>
    </w:p>
    <w:p w:rsidR="008B7ADC" w:rsidRPr="000F43A1" w:rsidRDefault="008B7ADC" w:rsidP="00563321">
      <w:bookmarkStart w:id="142" w:name="_Ref268776745"/>
      <w:r w:rsidRPr="000F43A1">
        <w:t>The ivacaftor development program consists of a total of 23 clinical studies, with 17 completed clinical studies and 6 ongoing studies. In addition, an expanded access program was initiated in the US to make ivacaftor available to patients in need</w:t>
      </w:r>
      <w:r w:rsidR="008F5246">
        <w:t xml:space="preserve">. Studies in the Summary of Clinical Safety </w:t>
      </w:r>
      <w:r w:rsidR="00063ADB">
        <w:t xml:space="preserve">(SCS) </w:t>
      </w:r>
      <w:r w:rsidR="008F5246">
        <w:t xml:space="preserve">are shown in </w:t>
      </w:r>
      <w:r w:rsidRPr="000F43A1">
        <w:t xml:space="preserve">Figure </w:t>
      </w:r>
      <w:r w:rsidR="000F43A1">
        <w:t>7</w:t>
      </w:r>
      <w:r w:rsidRPr="000F43A1">
        <w:t xml:space="preserve">. </w:t>
      </w:r>
    </w:p>
    <w:p w:rsidR="00136C92" w:rsidRPr="000F43A1" w:rsidRDefault="00136C92" w:rsidP="00563321">
      <w:pPr>
        <w:pStyle w:val="FigureTitle"/>
      </w:pPr>
      <w:r w:rsidRPr="000F43A1">
        <w:t>Figure</w:t>
      </w:r>
      <w:r w:rsidR="00B7229C">
        <w:t xml:space="preserve"> </w:t>
      </w:r>
      <w:r w:rsidR="000F43A1" w:rsidRPr="000F43A1">
        <w:t>7</w:t>
      </w:r>
      <w:r w:rsidR="000F43A1">
        <w:t>.</w:t>
      </w:r>
      <w:r w:rsidR="000F43A1" w:rsidRPr="000F43A1">
        <w:t xml:space="preserve"> </w:t>
      </w:r>
      <w:r w:rsidRPr="000F43A1">
        <w:t xml:space="preserve">Overview of studies and </w:t>
      </w:r>
      <w:proofErr w:type="spellStart"/>
      <w:r w:rsidRPr="000F43A1">
        <w:t>poolings</w:t>
      </w:r>
      <w:proofErr w:type="spellEnd"/>
      <w:r w:rsidRPr="000F43A1">
        <w:t xml:space="preserve"> in the </w:t>
      </w:r>
      <w:r w:rsidR="008F5246">
        <w:t>Summary of Clinical Safety (</w:t>
      </w:r>
      <w:r w:rsidRPr="000F43A1">
        <w:t>SCS</w:t>
      </w:r>
      <w:r w:rsidR="008F5246">
        <w:t>)</w:t>
      </w:r>
      <w:r w:rsidRPr="000F43A1">
        <w:t>.</w:t>
      </w:r>
    </w:p>
    <w:p w:rsidR="00063ADB" w:rsidRDefault="00063ADB" w:rsidP="00563321">
      <w:r>
        <w:rPr>
          <w:noProof/>
          <w:lang w:eastAsia="en-AU"/>
        </w:rPr>
        <w:drawing>
          <wp:inline distT="0" distB="0" distL="0" distR="0">
            <wp:extent cx="5731510" cy="2820381"/>
            <wp:effectExtent l="19050" t="0" r="2540" b="0"/>
            <wp:docPr id="17" name="Picture 17" descr="Figure 7. Overview of studies and poolings in the Summary of Clinical Safety (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731510" cy="2820381"/>
                    </a:xfrm>
                    <a:prstGeom prst="rect">
                      <a:avLst/>
                    </a:prstGeom>
                    <a:noFill/>
                    <a:ln w="9525">
                      <a:noFill/>
                      <a:miter lim="800000"/>
                      <a:headEnd/>
                      <a:tailEnd/>
                    </a:ln>
                  </pic:spPr>
                </pic:pic>
              </a:graphicData>
            </a:graphic>
          </wp:inline>
        </w:drawing>
      </w:r>
    </w:p>
    <w:p w:rsidR="00063ADB" w:rsidRPr="00063ADB" w:rsidRDefault="00063ADB" w:rsidP="00563321">
      <w:pPr>
        <w:pStyle w:val="TableDescription"/>
      </w:pPr>
      <w:r w:rsidRPr="00063ADB">
        <w:lastRenderedPageBreak/>
        <w:t xml:space="preserve">CF: cystic fibrosis; IVA N: number of subjects who received at least 1 dose of ivacaftor; PBO N: number of subjects who received at least 1 dose of placebo; PBO/IVA N: number of subjects who received placebo in a placebo-controlled study and then received ivacaftor in an uncontrolled extension study; IVA/IVA N: number of subjects who received ivacaftor in a placebo-controlled study and then received ivacaftor in an uncontrolled extension study </w:t>
      </w:r>
    </w:p>
    <w:p w:rsidR="00063ADB" w:rsidRPr="00063ADB" w:rsidRDefault="00063ADB" w:rsidP="00563321">
      <w:pPr>
        <w:pStyle w:val="TableDescription"/>
      </w:pPr>
      <w:r w:rsidRPr="00063ADB">
        <w:t>Note: The number of subjects in this figure is based on the cut-off date of 01 July 2011. Studies with multiple parts (e.g., Part A and Part B) appear more than once in this figure based on the methodology within that phase of the study; however, these studies are only counted once toward the total number of studies investigating ivacaftor. Study 001 Part D enrolled 6 subjects (PBO N = 2 and IVA N = 4 subjects) with CF. Study 013 includes subjects with moderate hepatic impairment and healthy subjects. Study 103 Part A was designed to evaluate a single dose of ivacaftor to confirm the dose for Study 103 Part B and is therefore not included in this figure. Subjects in the long-term follow-up period (no administration of ivacaftor) of Study 102, Study 103 Part B, and Study 104 are not included in this figure. Shaded boxes denote analysis pooling for safety analyses.</w:t>
      </w:r>
    </w:p>
    <w:p w:rsidR="008B7ADC" w:rsidRPr="00136C92" w:rsidRDefault="000F43A1" w:rsidP="00563321">
      <w:r>
        <w:t>S</w:t>
      </w:r>
      <w:r w:rsidR="008B7ADC" w:rsidRPr="00136C92">
        <w:t>tudies provided evaluable safety data</w:t>
      </w:r>
      <w:r>
        <w:t xml:space="preserve"> are described in detail below (sections 8.11-8.1.5). </w:t>
      </w:r>
    </w:p>
    <w:p w:rsidR="008B7ADC" w:rsidRPr="00136C92" w:rsidRDefault="008B7ADC" w:rsidP="00563321">
      <w:pPr>
        <w:pStyle w:val="Heading4"/>
      </w:pPr>
      <w:r w:rsidRPr="00136C92">
        <w:t>Pivotal efficacy studies</w:t>
      </w:r>
      <w:bookmarkEnd w:id="142"/>
    </w:p>
    <w:p w:rsidR="008B7ADC" w:rsidRPr="00136C92" w:rsidRDefault="008B7ADC" w:rsidP="000D44AF">
      <w:r w:rsidRPr="00136C92">
        <w:t xml:space="preserve">Three Phase 3 Studies in Subjects with CF (2 completed Phase 3 studies 102 and 103; 1 ongoing Phase 3 study 105) </w:t>
      </w:r>
    </w:p>
    <w:p w:rsidR="008B7ADC" w:rsidRPr="00136C92" w:rsidRDefault="008B7ADC" w:rsidP="000D44AF">
      <w:r w:rsidRPr="00136C92">
        <w:t>In the pivotal efficacy studies, the following safety data were collected:</w:t>
      </w:r>
    </w:p>
    <w:p w:rsidR="008B7ADC" w:rsidRPr="008B7ADC" w:rsidRDefault="008B7ADC" w:rsidP="00136C92">
      <w:pPr>
        <w:rPr>
          <w:lang w:eastAsia="ja-JP"/>
        </w:rPr>
      </w:pPr>
      <w:r w:rsidRPr="00136C92">
        <w:t>The Safety set included all subjects who received at least 1 dose of study drug. Adverse events were coded using Medical Dictionary for Regulatory Activities (MedDRA; Version 12.0). The</w:t>
      </w:r>
      <w:r w:rsidRPr="008B7ADC">
        <w:rPr>
          <w:lang w:eastAsia="ja-JP"/>
        </w:rPr>
        <w:t xml:space="preserve"> incidence of AEs that started at, or after, or increased in severity after the initial study drug dosing was summarized by treatment group (VX-770 and placebo). Descriptive statistics (raw values) were summarized for chemistry, </w:t>
      </w:r>
      <w:r w:rsidR="00413BB0" w:rsidRPr="008B7ADC">
        <w:rPr>
          <w:lang w:eastAsia="ja-JP"/>
        </w:rPr>
        <w:t>haematology</w:t>
      </w:r>
      <w:r w:rsidRPr="008B7ADC">
        <w:rPr>
          <w:lang w:eastAsia="ja-JP"/>
        </w:rPr>
        <w:t xml:space="preserve">, vital signs, and ECG parameters. In addition, change-from-baseline, and shift-from-baseline analyses were performed for chemistry, </w:t>
      </w:r>
      <w:proofErr w:type="spellStart"/>
      <w:r w:rsidRPr="008B7ADC">
        <w:rPr>
          <w:lang w:eastAsia="ja-JP"/>
        </w:rPr>
        <w:t>hematology</w:t>
      </w:r>
      <w:proofErr w:type="spellEnd"/>
      <w:r w:rsidRPr="008B7ADC">
        <w:rPr>
          <w:lang w:eastAsia="ja-JP"/>
        </w:rPr>
        <w:t>, and ECG parameters. The number and percentage of subjects having treatment-emergent elevated liver function test (LFT) results (e.g., categorized by 3 × upper limit of normal [ULN], 5 × ULN, 8 × ULN) were summarized. The number and percentage of subjects by maximum on-treatment value and by maximum on-treatment change from baseline in QT/QT corrected for heart rate (</w:t>
      </w:r>
      <w:proofErr w:type="spellStart"/>
      <w:r w:rsidRPr="008B7ADC">
        <w:rPr>
          <w:lang w:eastAsia="ja-JP"/>
        </w:rPr>
        <w:t>QTc</w:t>
      </w:r>
      <w:proofErr w:type="spellEnd"/>
      <w:r w:rsidRPr="008B7ADC">
        <w:rPr>
          <w:lang w:eastAsia="ja-JP"/>
        </w:rPr>
        <w:t xml:space="preserve">) intervals was analysed. A shift table for ECG complexes was analysed and a listing of abnormal ECG complexes from the 24-hour ambulatory recordings was compiled.  In addition to the final analysis, 2 </w:t>
      </w:r>
      <w:proofErr w:type="spellStart"/>
      <w:r w:rsidRPr="008B7ADC">
        <w:rPr>
          <w:lang w:eastAsia="ja-JP"/>
        </w:rPr>
        <w:t>unblinded</w:t>
      </w:r>
      <w:proofErr w:type="spellEnd"/>
      <w:r w:rsidRPr="008B7ADC">
        <w:rPr>
          <w:lang w:eastAsia="ja-JP"/>
        </w:rPr>
        <w:t xml:space="preserve"> safety reviews were conducted by the Data Monitoring Committee (DMC) during the course of the study. </w:t>
      </w:r>
    </w:p>
    <w:p w:rsidR="008B7ADC" w:rsidRPr="008B7ADC" w:rsidRDefault="008B7ADC" w:rsidP="000D44AF">
      <w:pPr>
        <w:pStyle w:val="Heading4"/>
      </w:pPr>
      <w:r w:rsidRPr="008B7ADC">
        <w:t>Pivotal studies that assessed safety as a primary outcome</w:t>
      </w:r>
    </w:p>
    <w:p w:rsidR="008B7ADC" w:rsidRPr="000F43A1" w:rsidRDefault="008B7ADC" w:rsidP="000D44AF">
      <w:r w:rsidRPr="000F43A1">
        <w:t xml:space="preserve">Not applicable. </w:t>
      </w:r>
    </w:p>
    <w:p w:rsidR="008B7ADC" w:rsidRPr="008B7ADC" w:rsidRDefault="008B7ADC" w:rsidP="000D44AF">
      <w:pPr>
        <w:pStyle w:val="Heading4"/>
      </w:pPr>
      <w:r w:rsidRPr="008B7ADC">
        <w:t>Dose-response and non-pivotal efficacy studies</w:t>
      </w:r>
    </w:p>
    <w:p w:rsidR="008B7ADC" w:rsidRPr="000F43A1" w:rsidRDefault="008B7ADC" w:rsidP="000D44AF">
      <w:r w:rsidRPr="000F43A1">
        <w:t xml:space="preserve">The dose-response and non-pivotal efficacy studies which provided safety data were: - 4 Phase 2 studies in subjects with CF (1 completed Phase 2a study 101; 2 ongoing Phase 2 studies [106 and 107] and 1 ongoing Phase 2b study (Study 104). </w:t>
      </w:r>
    </w:p>
    <w:p w:rsidR="008B7ADC" w:rsidRPr="000F43A1" w:rsidRDefault="008B7ADC" w:rsidP="000D44AF">
      <w:r w:rsidRPr="000F43A1">
        <w:t>Long-term follow-up (after stopping ivacaftor) is ongoing for subjects from Study 104 and subjects from Studies 102 and 103 Part B who did not enrol in Study 105. This follow-up is not included in the submitted dossier because no data were available till the cut-off date of 01 July 2011. The ongoing expanded access program (Study 9</w:t>
      </w:r>
      <w:r w:rsidR="005B0F76" w:rsidRPr="000F43A1">
        <w:t>01</w:t>
      </w:r>
      <w:r w:rsidRPr="000F43A1">
        <w:t xml:space="preserve">) in the US is not included in this submission because subjects were not enrolled in this study as of the cut-off date of 01 July 2011. </w:t>
      </w:r>
    </w:p>
    <w:p w:rsidR="008B7ADC" w:rsidRPr="008B7ADC" w:rsidRDefault="008B7ADC" w:rsidP="000D44AF">
      <w:pPr>
        <w:pStyle w:val="Heading4"/>
      </w:pPr>
      <w:r w:rsidRPr="008B7ADC">
        <w:t>Other studies evaluable for safety only</w:t>
      </w:r>
    </w:p>
    <w:p w:rsidR="008B7ADC" w:rsidRPr="000F43A1" w:rsidRDefault="008B7ADC" w:rsidP="000D44AF">
      <w:r w:rsidRPr="008B7ADC">
        <w:rPr>
          <w:lang w:eastAsia="ja-JP"/>
        </w:rPr>
        <w:t xml:space="preserve">The safety update provides data on deaths and other SAEs for Studies 104 (Part B), 105, 106, </w:t>
      </w:r>
      <w:r w:rsidRPr="000F43A1">
        <w:t>and 107, and the Expanded Access Program (VX11-770-901), as agreed at the Pre-NDA Meeting (FDA Pre-NDA Meeting Minutes, 20 June 2011). The reporting period for this update is 02 July 2011 through 01 November 2011.</w:t>
      </w:r>
    </w:p>
    <w:p w:rsidR="008B7ADC" w:rsidRPr="000F43A1" w:rsidRDefault="008B7ADC" w:rsidP="000D44AF">
      <w:r w:rsidRPr="000F43A1">
        <w:lastRenderedPageBreak/>
        <w:t>Study 106 is currently blinded and the treatment assignments are blinded for individual subjects. Studies 104 Part B, and 105, and the Expanded Access Program are open-label and the treatment assignments are known for individual subjects.</w:t>
      </w:r>
    </w:p>
    <w:p w:rsidR="008B7ADC" w:rsidRPr="000F43A1" w:rsidRDefault="008B7ADC" w:rsidP="000D44AF">
      <w:r w:rsidRPr="000F43A1">
        <w:t>In addition, an amended protocol for Study 107 was approved during the reporting period for this update. Study 107 Part A was single-blind and Part B was open-label; thus treatment assignments are known for individual subjects.</w:t>
      </w:r>
    </w:p>
    <w:p w:rsidR="008B7ADC" w:rsidRPr="008B7ADC" w:rsidRDefault="008B7ADC" w:rsidP="000D44AF">
      <w:pPr>
        <w:pStyle w:val="Heading4"/>
      </w:pPr>
      <w:r w:rsidRPr="008B7ADC">
        <w:t>Clinical pharmacology studies</w:t>
      </w:r>
    </w:p>
    <w:p w:rsidR="008B7ADC" w:rsidRPr="000F43A1" w:rsidRDefault="008B7ADC" w:rsidP="000D44AF">
      <w:r w:rsidRPr="000F43A1">
        <w:t>15 Phase 1 Studies in Healthy Subjects -14 completed Phase 1 studies (Studies 001, 002, 003, 004, 005, 006, 007, 008, 009, 010, 011, 012, 013, and 809-005)</w:t>
      </w:r>
      <w:r w:rsidRPr="00B7229C">
        <w:rPr>
          <w:vertAlign w:val="superscript"/>
        </w:rPr>
        <w:footnoteReference w:id="14"/>
      </w:r>
      <w:r w:rsidRPr="000F43A1">
        <w:t xml:space="preserve">; 1 ongoing Phase 1 study (Study 014). </w:t>
      </w:r>
    </w:p>
    <w:p w:rsidR="008B7ADC" w:rsidRPr="008B7ADC" w:rsidRDefault="008B7ADC" w:rsidP="000D44AF">
      <w:pPr>
        <w:pStyle w:val="Heading3"/>
      </w:pPr>
      <w:bookmarkStart w:id="143" w:name="_Ref269204367"/>
      <w:bookmarkStart w:id="144" w:name="_Ref271195835"/>
      <w:bookmarkStart w:id="145" w:name="_Ref271195841"/>
      <w:bookmarkStart w:id="146" w:name="_Toc272414660"/>
      <w:bookmarkStart w:id="147" w:name="_Toc290846285"/>
      <w:bookmarkStart w:id="148" w:name="_Toc341441446"/>
      <w:bookmarkStart w:id="149" w:name="_Toc375055437"/>
      <w:r w:rsidRPr="008B7ADC">
        <w:t>Pivotal studies that assessed safety as a primary outcome</w:t>
      </w:r>
      <w:bookmarkEnd w:id="143"/>
      <w:bookmarkEnd w:id="144"/>
      <w:bookmarkEnd w:id="145"/>
      <w:bookmarkEnd w:id="146"/>
      <w:bookmarkEnd w:id="147"/>
      <w:bookmarkEnd w:id="148"/>
      <w:bookmarkEnd w:id="149"/>
    </w:p>
    <w:p w:rsidR="008B7ADC" w:rsidRPr="008B7ADC" w:rsidRDefault="008B7ADC" w:rsidP="000D44AF">
      <w:pPr>
        <w:rPr>
          <w:lang w:eastAsia="ja-JP"/>
        </w:rPr>
      </w:pPr>
      <w:r w:rsidRPr="008B7ADC">
        <w:rPr>
          <w:lang w:eastAsia="ja-JP"/>
        </w:rPr>
        <w:t xml:space="preserve">Not applicable. </w:t>
      </w:r>
    </w:p>
    <w:p w:rsidR="008B7ADC" w:rsidRPr="008B7ADC" w:rsidRDefault="008B7ADC" w:rsidP="000D44AF">
      <w:pPr>
        <w:pStyle w:val="Heading3"/>
      </w:pPr>
      <w:bookmarkStart w:id="150" w:name="_Toc241374318"/>
      <w:bookmarkStart w:id="151" w:name="_Ref271196630"/>
      <w:bookmarkStart w:id="152" w:name="_Toc272414662"/>
      <w:bookmarkStart w:id="153" w:name="_Toc290846300"/>
      <w:bookmarkStart w:id="154" w:name="_Toc341441447"/>
      <w:bookmarkStart w:id="155" w:name="_Toc375055438"/>
      <w:r w:rsidRPr="008B7ADC">
        <w:t>Patient exposure</w:t>
      </w:r>
      <w:bookmarkEnd w:id="150"/>
      <w:bookmarkEnd w:id="151"/>
      <w:bookmarkEnd w:id="152"/>
      <w:bookmarkEnd w:id="153"/>
      <w:bookmarkEnd w:id="154"/>
      <w:bookmarkEnd w:id="155"/>
    </w:p>
    <w:p w:rsidR="008B7ADC" w:rsidRPr="008B7ADC" w:rsidRDefault="008B7ADC" w:rsidP="000D44AF">
      <w:pPr>
        <w:rPr>
          <w:lang w:eastAsia="ja-JP"/>
        </w:rPr>
      </w:pPr>
      <w:r w:rsidRPr="008B7ADC">
        <w:rPr>
          <w:lang w:eastAsia="ja-JP"/>
        </w:rPr>
        <w:t xml:space="preserve">In studies conducted in subjects with CF, most subjects were administered ivacaftor orally at 150 mg q12h. In the initial Phase 1 (Study 001 Part D) and Phase 2a studies (Study 101), ivacaftor was administered as single doses of 25 mg to 800 mg or multiple doses of 25 mg to 250 mg q12h, respectively. In the Phase 2b study (Study 104) and other ongoing Phase 2 studies (Studies 106 and 107), the commercial formulation of ivacaftor was administered at 150 mg q12h. In the Phase 3 studies (Studies 102, 103, and 105), the commercial formulation of ivacaftor was administered at 150 mg q12h, except during the lead-in PK evaluation period of a Phase 3 study (Study 103 Part A, where subjects who were 6 to 11 years of age were administered a single dose of ivacaftor at 100 mg). </w:t>
      </w:r>
    </w:p>
    <w:p w:rsidR="008B7ADC" w:rsidRPr="008B7ADC" w:rsidRDefault="008B7ADC" w:rsidP="000D44AF">
      <w:pPr>
        <w:rPr>
          <w:lang w:eastAsia="ja-JP"/>
        </w:rPr>
      </w:pPr>
      <w:r w:rsidRPr="008B7ADC">
        <w:rPr>
          <w:lang w:eastAsia="ja-JP"/>
        </w:rPr>
        <w:t>In the majority of the Phase 1 studies conducted in healthy subjects, ivacaftor was administered as a single dose of 150 mg. In the remaining Phase 1 studies, the dose range was single doses of 25 mg to 800 mg or multiple doses of up to 450 mg every 12 hours (q12h).</w:t>
      </w:r>
    </w:p>
    <w:p w:rsidR="008B7ADC" w:rsidRPr="002C02D4" w:rsidRDefault="008B7ADC" w:rsidP="000D44AF">
      <w:r w:rsidRPr="008B7ADC">
        <w:rPr>
          <w:lang w:eastAsia="ja-JP"/>
        </w:rPr>
        <w:t>Ivacaftor was studied in four Phase 2b/3 studies in subjects with CF (102, 103, 105 and 104</w:t>
      </w:r>
      <w:r w:rsidRPr="008B7ADC">
        <w:rPr>
          <w:vertAlign w:val="superscript"/>
          <w:lang w:eastAsia="ja-JP"/>
        </w:rPr>
        <w:footnoteReference w:id="15"/>
      </w:r>
      <w:r w:rsidRPr="008B7ADC">
        <w:rPr>
          <w:lang w:eastAsia="ja-JP"/>
        </w:rPr>
        <w:t xml:space="preserve">).  All studies used the same dose of ivacaftor: 150 mg q12h. The pivotal, placebo-controlled Phase 3 studies 102 and 103 were designed to evaluate the efficacy and safety of ivacaftor in subjects who had the </w:t>
      </w:r>
      <w:r w:rsidRPr="008B7ADC">
        <w:rPr>
          <w:i/>
          <w:iCs/>
          <w:lang w:eastAsia="ja-JP"/>
        </w:rPr>
        <w:t xml:space="preserve">G551D </w:t>
      </w:r>
      <w:r w:rsidRPr="008B7ADC">
        <w:rPr>
          <w:lang w:eastAsia="ja-JP"/>
        </w:rPr>
        <w:t xml:space="preserve">mutation in the </w:t>
      </w:r>
      <w:r w:rsidRPr="008B7ADC">
        <w:rPr>
          <w:i/>
          <w:iCs/>
          <w:lang w:eastAsia="ja-JP"/>
        </w:rPr>
        <w:t xml:space="preserve">CFTR </w:t>
      </w:r>
      <w:r w:rsidRPr="008B7ADC">
        <w:rPr>
          <w:lang w:eastAsia="ja-JP"/>
        </w:rPr>
        <w:t xml:space="preserve">gene. Study 105, the uncontrolled Phase 3 extension study was designed to evaluate long-term treatment with ivacaftor in this population. Study 104, the Phase 2b study, was designed to augment the safety experience with ivacaftor and to evaluate the efficacy in another population of patients (subjects with CF who are homozygous for the </w:t>
      </w:r>
      <w:r w:rsidRPr="008B7ADC">
        <w:rPr>
          <w:i/>
          <w:iCs/>
          <w:lang w:eastAsia="ja-JP"/>
        </w:rPr>
        <w:t xml:space="preserve">F508del </w:t>
      </w:r>
      <w:r w:rsidRPr="008B7ADC">
        <w:rPr>
          <w:lang w:eastAsia="ja-JP"/>
        </w:rPr>
        <w:t xml:space="preserve">mutation on the </w:t>
      </w:r>
      <w:r w:rsidRPr="008B7ADC">
        <w:rPr>
          <w:i/>
          <w:iCs/>
          <w:lang w:eastAsia="ja-JP"/>
        </w:rPr>
        <w:t xml:space="preserve">CFTR </w:t>
      </w:r>
      <w:r w:rsidRPr="008B7ADC">
        <w:rPr>
          <w:lang w:eastAsia="ja-JP"/>
        </w:rPr>
        <w:t xml:space="preserve">gene). Studies 102 and 103 Part B had 48-week treatment durations, and Study 104 Part A </w:t>
      </w:r>
      <w:r w:rsidRPr="00063ADB">
        <w:t>had a 16-week treatment duration</w:t>
      </w:r>
      <w:r w:rsidRPr="008B7ADC">
        <w:rPr>
          <w:lang w:eastAsia="ja-JP"/>
        </w:rPr>
        <w:t xml:space="preserve">. For Study 104 Part B, data through the first 24 weeks were available and included in this SCS; this provided a total duration of 40 weeks of ivacaftor for Study 104 Part B subjects (16 weeks of ivacaftor in Study 104 Part A and 24 weeks of ivacaftor in Study 104 Part B). For Study 105, data through the first </w:t>
      </w:r>
      <w:r w:rsidRPr="002C02D4">
        <w:t xml:space="preserve">12 weeks of treatment from subjects previously enrolled in Study 102 were available and included in this SCS; this provided a total duration of 60 weeks of ivacaftor treatment for subjects who had been treated with ivacaftor in Study 102 (48 weeks of ivacaftor in Study 102 and 12 weeks of ivacaftor in Study 105). No subjects in Study 103 had reached the 12-week point in Study 105 at the time of the cut-off date of 01 July 2011; therefore, no Study 103 </w:t>
      </w:r>
      <w:r w:rsidRPr="002C02D4">
        <w:lastRenderedPageBreak/>
        <w:t xml:space="preserve">subjects were included in the Study 105 safety analysis. Across the 4 pooled Phase 2b/3 studies, a total of 293 subjects were exposed to ivacaftor (Table </w:t>
      </w:r>
      <w:r w:rsidR="00B006B6" w:rsidRPr="002C02D4">
        <w:t xml:space="preserve">12 </w:t>
      </w:r>
      <w:r w:rsidRPr="002C02D4">
        <w:t xml:space="preserve">and Figure 8). </w:t>
      </w:r>
    </w:p>
    <w:p w:rsidR="0004626A" w:rsidRPr="002C02D4" w:rsidRDefault="002C02D4" w:rsidP="000D44AF">
      <w:pPr>
        <w:pStyle w:val="TableTitle"/>
      </w:pPr>
      <w:r w:rsidRPr="002C02D4">
        <w:t>Table 12</w:t>
      </w:r>
      <w:r>
        <w:t>. Number of subjects unique to i</w:t>
      </w:r>
      <w:r w:rsidR="0004626A" w:rsidRPr="002C02D4">
        <w:t>vacaftor exposure: Pooled Phase 2B/3 Studies</w:t>
      </w:r>
    </w:p>
    <w:p w:rsidR="0004626A" w:rsidRDefault="0004626A" w:rsidP="000D44AF">
      <w:pPr>
        <w:rPr>
          <w:lang w:eastAsia="ja-JP"/>
        </w:rPr>
      </w:pPr>
      <w:r>
        <w:rPr>
          <w:noProof/>
          <w:lang w:eastAsia="en-AU"/>
        </w:rPr>
        <w:drawing>
          <wp:inline distT="0" distB="0" distL="0" distR="0">
            <wp:extent cx="5244347" cy="2471057"/>
            <wp:effectExtent l="19050" t="0" r="0" b="0"/>
            <wp:docPr id="30" name="Picture 30" descr="Table 12. Number of subjects unique to ivacaftor exposure: Pooled Phase 2B/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5246181" cy="2471921"/>
                    </a:xfrm>
                    <a:prstGeom prst="rect">
                      <a:avLst/>
                    </a:prstGeom>
                    <a:noFill/>
                    <a:ln w="9525">
                      <a:noFill/>
                      <a:miter lim="800000"/>
                      <a:headEnd/>
                      <a:tailEnd/>
                    </a:ln>
                  </pic:spPr>
                </pic:pic>
              </a:graphicData>
            </a:graphic>
          </wp:inline>
        </w:drawing>
      </w:r>
    </w:p>
    <w:p w:rsidR="0004626A" w:rsidRPr="002C02D4" w:rsidRDefault="0004626A" w:rsidP="000D44AF">
      <w:pPr>
        <w:pStyle w:val="FigureTitle"/>
      </w:pPr>
      <w:r w:rsidRPr="002C02D4">
        <w:t xml:space="preserve">Figure 8. Number of subjects exposed to </w:t>
      </w:r>
      <w:r w:rsidR="002C02D4">
        <w:t>i</w:t>
      </w:r>
      <w:r w:rsidRPr="002C02D4">
        <w:t xml:space="preserve">vacaftor or </w:t>
      </w:r>
      <w:r w:rsidR="002C02D4">
        <w:t>p</w:t>
      </w:r>
      <w:r w:rsidRPr="002C02D4">
        <w:t>lacebo in Pooled Phase 2</w:t>
      </w:r>
      <w:r w:rsidR="002C02D4">
        <w:t>b</w:t>
      </w:r>
      <w:r w:rsidRPr="002C02D4">
        <w:t>/3 Studies</w:t>
      </w:r>
    </w:p>
    <w:p w:rsidR="0004626A" w:rsidRDefault="0004626A" w:rsidP="000D44AF">
      <w:pPr>
        <w:rPr>
          <w:lang w:eastAsia="ja-JP"/>
        </w:rPr>
      </w:pPr>
      <w:r>
        <w:rPr>
          <w:noProof/>
          <w:lang w:eastAsia="en-AU"/>
        </w:rPr>
        <w:drawing>
          <wp:inline distT="0" distB="0" distL="0" distR="0">
            <wp:extent cx="5364649" cy="3661208"/>
            <wp:effectExtent l="19050" t="0" r="7451" b="0"/>
            <wp:docPr id="33" name="Picture 33" descr="Figure 8. Number of subjects exposed to ivacaftor or Placebo in Pooled Phase 2B/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5364649" cy="3661208"/>
                    </a:xfrm>
                    <a:prstGeom prst="rect">
                      <a:avLst/>
                    </a:prstGeom>
                    <a:noFill/>
                    <a:ln w="9525">
                      <a:noFill/>
                      <a:miter lim="800000"/>
                      <a:headEnd/>
                      <a:tailEnd/>
                    </a:ln>
                  </pic:spPr>
                </pic:pic>
              </a:graphicData>
            </a:graphic>
          </wp:inline>
        </w:drawing>
      </w:r>
    </w:p>
    <w:p w:rsidR="008B7ADC" w:rsidRPr="008B7ADC" w:rsidRDefault="008B7ADC" w:rsidP="000D44AF">
      <w:pPr>
        <w:rPr>
          <w:lang w:eastAsia="ja-JP"/>
        </w:rPr>
      </w:pPr>
      <w:r w:rsidRPr="008B7ADC">
        <w:rPr>
          <w:lang w:eastAsia="ja-JP"/>
        </w:rPr>
        <w:t>The pooled placebo-controlled studies formed the primary basis for the ivacaftor safety assessment, including assessments in subgroups. The 2 treatment arms analysed for the placebo-controlled Phase 3 pooling were placebo (104 subjects) and ivacaftor (109 subjects). This placebo-controlled Phase 3 pooling was the most directly relevant pooling to the indication sought, provided placebo-controlled data (for a treatment duration of 48 weeks) for a population of subjects in which ivacaftor has demonstrated clinical benefit. Therefore, this pooling was used for the purposes of identifying ivacaftor adverse drug reactions (ADRs).</w:t>
      </w:r>
    </w:p>
    <w:p w:rsidR="008B7ADC" w:rsidRPr="008B7ADC" w:rsidRDefault="008B7ADC" w:rsidP="000D44AF">
      <w:pPr>
        <w:rPr>
          <w:lang w:eastAsia="ja-JP"/>
        </w:rPr>
      </w:pPr>
      <w:r w:rsidRPr="008B7ADC">
        <w:rPr>
          <w:lang w:eastAsia="ja-JP"/>
        </w:rPr>
        <w:lastRenderedPageBreak/>
        <w:t xml:space="preserve">Results from Study 104, the Phase 2b study, showed that ivacaftor did not have clinical benefit in subjects with the </w:t>
      </w:r>
      <w:r w:rsidRPr="008B7ADC">
        <w:rPr>
          <w:i/>
          <w:iCs/>
          <w:lang w:eastAsia="ja-JP"/>
        </w:rPr>
        <w:t xml:space="preserve">F508del </w:t>
      </w:r>
      <w:r w:rsidRPr="008B7ADC">
        <w:rPr>
          <w:lang w:eastAsia="ja-JP"/>
        </w:rPr>
        <w:t xml:space="preserve">mutation in the </w:t>
      </w:r>
      <w:r w:rsidRPr="008B7ADC">
        <w:rPr>
          <w:i/>
          <w:iCs/>
          <w:lang w:eastAsia="ja-JP"/>
        </w:rPr>
        <w:t xml:space="preserve">CFTR </w:t>
      </w:r>
      <w:r w:rsidRPr="008B7ADC">
        <w:rPr>
          <w:lang w:eastAsia="ja-JP"/>
        </w:rPr>
        <w:t xml:space="preserve">gene but the safety data from this study was pooled with data from the two Phase 3 studies (102 and 103 Part B) in subjects with the </w:t>
      </w:r>
      <w:r w:rsidRPr="008B7ADC">
        <w:rPr>
          <w:i/>
          <w:iCs/>
          <w:lang w:eastAsia="ja-JP"/>
        </w:rPr>
        <w:t xml:space="preserve">G551D </w:t>
      </w:r>
      <w:r w:rsidRPr="008B7ADC">
        <w:rPr>
          <w:lang w:eastAsia="ja-JP"/>
        </w:rPr>
        <w:t xml:space="preserve">mutation in the </w:t>
      </w:r>
      <w:r w:rsidRPr="008B7ADC">
        <w:rPr>
          <w:i/>
          <w:iCs/>
          <w:lang w:eastAsia="ja-JP"/>
        </w:rPr>
        <w:t xml:space="preserve">CFTR </w:t>
      </w:r>
      <w:r w:rsidRPr="008B7ADC">
        <w:rPr>
          <w:lang w:eastAsia="ja-JP"/>
        </w:rPr>
        <w:t xml:space="preserve">gene. </w:t>
      </w:r>
    </w:p>
    <w:p w:rsidR="008B7ADC" w:rsidRPr="00EF4F73" w:rsidRDefault="008B7ADC" w:rsidP="000D44AF">
      <w:pPr>
        <w:ind w:left="1418" w:hanging="1418"/>
      </w:pPr>
      <w:r w:rsidRPr="00EF4F73">
        <w:rPr>
          <w:b/>
          <w:bCs/>
          <w:lang w:eastAsia="ja-JP"/>
        </w:rPr>
        <w:t>Comments:</w:t>
      </w:r>
      <w:r w:rsidRPr="00D4394F">
        <w:rPr>
          <w:b/>
          <w:bCs/>
          <w:lang w:eastAsia="ja-JP"/>
        </w:rPr>
        <w:t xml:space="preserve"> </w:t>
      </w:r>
      <w:r w:rsidRPr="00D4394F">
        <w:rPr>
          <w:b/>
          <w:bCs/>
          <w:lang w:eastAsia="ja-JP"/>
        </w:rPr>
        <w:tab/>
      </w:r>
      <w:r w:rsidRPr="00EF4F73">
        <w:t xml:space="preserve">Pooling of data from study 104 with the 2 pivotal Phase 3 studies was considered appropriate because it  allowed comparison of safety data for a regimen of ivacaftor 150 mg q12h to placebo for at least 16 weeks (i.e., through 16 weeks for Study 104 Part A, and through 48 weeks for Studies 102 and 103 Part B). </w:t>
      </w:r>
    </w:p>
    <w:p w:rsidR="008B7ADC" w:rsidRPr="008B7ADC" w:rsidRDefault="008B7ADC" w:rsidP="000D44AF">
      <w:pPr>
        <w:rPr>
          <w:b/>
          <w:lang w:eastAsia="ja-JP"/>
        </w:rPr>
      </w:pPr>
      <w:r w:rsidRPr="008B7ADC">
        <w:rPr>
          <w:lang w:eastAsia="ja-JP"/>
        </w:rPr>
        <w:t xml:space="preserve">Safety data from 10 Phase 1 studies were pooled for analysis. These studies all enrolled healthy subjects, with the exception of 6 subjects with CF in Study 001 (data from these subjects were not included in the Phase 1 pooling. The studies were pooled irrespective of the study design (placebo-controlled or uncontrolled), treatment regimen (single or multiple doses of ivacaftor or placebo administered alone or </w:t>
      </w:r>
      <w:proofErr w:type="spellStart"/>
      <w:r w:rsidRPr="008B7ADC">
        <w:rPr>
          <w:lang w:eastAsia="ja-JP"/>
        </w:rPr>
        <w:t>coadministered</w:t>
      </w:r>
      <w:proofErr w:type="spellEnd"/>
      <w:r w:rsidRPr="008B7ADC">
        <w:rPr>
          <w:lang w:eastAsia="ja-JP"/>
        </w:rPr>
        <w:t xml:space="preserve"> with a DDI drug), or formulation (solution versus tablet). Because of the crossover design in some studies and the overlap of the treatment groups (placebo, ivacaftor alone, ivacaftor with a DDI drug, and any ivacaftor), subjects could be included in more than 1 pooled treatment arm</w:t>
      </w:r>
      <w:r w:rsidRPr="008B7ADC">
        <w:rPr>
          <w:b/>
          <w:lang w:eastAsia="ja-JP"/>
        </w:rPr>
        <w:t xml:space="preserve">. </w:t>
      </w:r>
      <w:r w:rsidR="00D4394F" w:rsidRPr="00D4394F">
        <w:rPr>
          <w:bCs/>
          <w:lang w:eastAsia="ja-JP"/>
        </w:rPr>
        <w:t>A list was provided show</w:t>
      </w:r>
      <w:r w:rsidR="00D4394F">
        <w:rPr>
          <w:bCs/>
          <w:lang w:eastAsia="ja-JP"/>
        </w:rPr>
        <w:t>ing</w:t>
      </w:r>
      <w:r w:rsidR="00D4394F">
        <w:rPr>
          <w:b/>
          <w:lang w:eastAsia="ja-JP"/>
        </w:rPr>
        <w:t xml:space="preserve"> </w:t>
      </w:r>
      <w:r w:rsidRPr="008B7ADC">
        <w:rPr>
          <w:lang w:eastAsia="ja-JP"/>
        </w:rPr>
        <w:t>studies that were not included in any pooling and the rationale for not pooling.</w:t>
      </w:r>
    </w:p>
    <w:p w:rsidR="00D4394F" w:rsidRPr="002C02D4" w:rsidRDefault="008B7ADC" w:rsidP="002C02D4">
      <w:r w:rsidRPr="002C02D4">
        <w:t xml:space="preserve">Overall, 324 patients with CF and 364 healthy subjects were exposed to ivacaftor (Table </w:t>
      </w:r>
      <w:r w:rsidR="002C02D4" w:rsidRPr="002C02D4">
        <w:t>13</w:t>
      </w:r>
      <w:r w:rsidRPr="002C02D4">
        <w:t xml:space="preserve">).  </w:t>
      </w:r>
    </w:p>
    <w:p w:rsidR="00D4394F" w:rsidRPr="002C02D4" w:rsidRDefault="00D4394F" w:rsidP="000D44AF">
      <w:pPr>
        <w:pStyle w:val="TableTitle"/>
      </w:pPr>
      <w:r w:rsidRPr="002C02D4">
        <w:t xml:space="preserve">Table </w:t>
      </w:r>
      <w:r w:rsidR="002C02D4" w:rsidRPr="002C02D4">
        <w:t xml:space="preserve">13. </w:t>
      </w:r>
      <w:r w:rsidRPr="002C02D4">
        <w:t>Number of subjects exposed to ivacaftor, any dose and duration.</w:t>
      </w:r>
    </w:p>
    <w:p w:rsidR="00D4394F" w:rsidRDefault="00D4394F" w:rsidP="000D44AF">
      <w:pPr>
        <w:rPr>
          <w:lang w:eastAsia="ja-JP"/>
        </w:rPr>
      </w:pPr>
      <w:r>
        <w:rPr>
          <w:noProof/>
          <w:lang w:eastAsia="en-AU"/>
        </w:rPr>
        <w:drawing>
          <wp:inline distT="0" distB="0" distL="0" distR="0">
            <wp:extent cx="5343937" cy="2579915"/>
            <wp:effectExtent l="19050" t="0" r="9113" b="0"/>
            <wp:docPr id="36" name="Picture 36" descr="Table 13. Number of subjects exposed to ivacaftor, any dose and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t="2722" r="1639"/>
                    <a:stretch>
                      <a:fillRect/>
                    </a:stretch>
                  </pic:blipFill>
                  <pic:spPr bwMode="auto">
                    <a:xfrm>
                      <a:off x="0" y="0"/>
                      <a:ext cx="5346786" cy="2581291"/>
                    </a:xfrm>
                    <a:prstGeom prst="rect">
                      <a:avLst/>
                    </a:prstGeom>
                    <a:noFill/>
                    <a:ln w="9525">
                      <a:noFill/>
                      <a:miter lim="800000"/>
                      <a:headEnd/>
                      <a:tailEnd/>
                    </a:ln>
                  </pic:spPr>
                </pic:pic>
              </a:graphicData>
            </a:graphic>
          </wp:inline>
        </w:drawing>
      </w:r>
    </w:p>
    <w:p w:rsidR="00063ADB" w:rsidRPr="00063ADB" w:rsidRDefault="00063ADB" w:rsidP="006427AA">
      <w:pPr>
        <w:pStyle w:val="TableDescription"/>
      </w:pPr>
      <w:r w:rsidRPr="00063ADB">
        <w:t xml:space="preserve">CF: cystic fibrosis </w:t>
      </w:r>
    </w:p>
    <w:p w:rsidR="00063ADB" w:rsidRPr="00063ADB" w:rsidRDefault="00063ADB" w:rsidP="006427AA">
      <w:pPr>
        <w:pStyle w:val="TableDescription"/>
      </w:pPr>
      <w:r w:rsidRPr="00063ADB">
        <w:t xml:space="preserve">Note: This table includes unique subjects who have received at least 1 dose of ivacaftor (any dose or duration). This table does not include 2 taste profiling studies (Studies 004 and 014 [ongoing]; no systemic exposure to ivacaftor), 2 ongoing Phase 2 studies in subjects with CF (Studies 106 and 107; studies are ongoing), and 1 expanded access for an individual subject. </w:t>
      </w:r>
    </w:p>
    <w:p w:rsidR="00063ADB" w:rsidRPr="00063ADB" w:rsidRDefault="00063ADB" w:rsidP="006427AA">
      <w:pPr>
        <w:pStyle w:val="TableDescription"/>
      </w:pPr>
      <w:proofErr w:type="spellStart"/>
      <w:r w:rsidRPr="00063ADB">
        <w:rPr>
          <w:b/>
          <w:bCs/>
        </w:rPr>
        <w:t>a</w:t>
      </w:r>
      <w:proofErr w:type="spellEnd"/>
      <w:r w:rsidRPr="00063ADB">
        <w:rPr>
          <w:b/>
          <w:bCs/>
        </w:rPr>
        <w:t xml:space="preserve"> </w:t>
      </w:r>
      <w:r w:rsidRPr="00063ADB">
        <w:t xml:space="preserve">Of the 24 subjects in Study 013, 12 were hepatic impaired subjects. These subjects were not included in the “Total of Healthy Subjects” row. </w:t>
      </w:r>
    </w:p>
    <w:p w:rsidR="00063ADB" w:rsidRPr="00063ADB" w:rsidRDefault="00063ADB" w:rsidP="006427AA">
      <w:pPr>
        <w:pStyle w:val="TableDescription"/>
      </w:pPr>
      <w:r w:rsidRPr="00063ADB">
        <w:rPr>
          <w:b/>
          <w:bCs/>
        </w:rPr>
        <w:t>b</w:t>
      </w:r>
      <w:r w:rsidRPr="00063ADB">
        <w:t xml:space="preserve"> Of the 31 subjects in Study 101, 11 subjects enrolled in Study 102. Ten of the 11 subjects received ivacaftor in both Studies 101 and 102, and 1 subject received placebo in both Studies 101 and 102. Safety data for these 11 subjects are included in the Phase 2b/3 </w:t>
      </w:r>
      <w:proofErr w:type="spellStart"/>
      <w:r w:rsidRPr="00063ADB">
        <w:t>poolings</w:t>
      </w:r>
      <w:proofErr w:type="spellEnd"/>
      <w:r w:rsidRPr="00063ADB">
        <w:t xml:space="preserve">. The 10 subjects who received ivacaftor in Study 102 were only counted once in this table; counted in Study 102 because that is where they had the longest exposure to ivacaftor. </w:t>
      </w:r>
    </w:p>
    <w:p w:rsidR="00063ADB" w:rsidRPr="00063ADB" w:rsidRDefault="00063ADB" w:rsidP="006427AA">
      <w:pPr>
        <w:pStyle w:val="TableDescription"/>
      </w:pPr>
      <w:r w:rsidRPr="00063ADB">
        <w:rPr>
          <w:b/>
          <w:bCs/>
        </w:rPr>
        <w:t>c</w:t>
      </w:r>
      <w:r w:rsidRPr="00063ADB">
        <w:t xml:space="preserve"> Of the 9 subjects in Study 103 Part A, 2 subjects did not </w:t>
      </w:r>
      <w:proofErr w:type="spellStart"/>
      <w:r w:rsidRPr="00063ADB">
        <w:t>enroll</w:t>
      </w:r>
      <w:proofErr w:type="spellEnd"/>
      <w:r w:rsidRPr="00063ADB">
        <w:t xml:space="preserve"> in Study 103 Part B, and 7 subjects enrolled in Study 103 Part B (3 subjects received ivacaftor in Study 103 Part B and 4 subjects received placebo in Study 103 Part B). Study 103 Part B was included in the Phase 2b/3 pooling; therefore, the 3 subjects that enrolled in Study 103 Part B after completing Study 103 Part A are included in the total of 293 subjects exposed to ivacaftor in Phase 2b/3 studies. </w:t>
      </w:r>
    </w:p>
    <w:p w:rsidR="00F17771" w:rsidRDefault="00063ADB" w:rsidP="006427AA">
      <w:pPr>
        <w:pStyle w:val="TableDescription"/>
      </w:pPr>
      <w:r w:rsidRPr="00063ADB">
        <w:rPr>
          <w:b/>
          <w:bCs/>
        </w:rPr>
        <w:lastRenderedPageBreak/>
        <w:t>d</w:t>
      </w:r>
      <w:r w:rsidRPr="00063ADB">
        <w:t xml:space="preserve"> The total of 324 subjects is comprised of 293 subjects in the Phase 2b/3 </w:t>
      </w:r>
      <w:proofErr w:type="spellStart"/>
      <w:r w:rsidRPr="00063ADB">
        <w:t>poolings</w:t>
      </w:r>
      <w:proofErr w:type="spellEnd"/>
      <w:r w:rsidRPr="00063ADB">
        <w:t xml:space="preserve">, 4 subjects with CF in Study 001, 21 subjects in Study 101 who did not receive ivacaftor in another study, and 6 subjects who received ivacaftor in Study 103 Part A (2 subjects who did not enrol in Study 103 Part B, and 4 subjects who enrolled in Study 103 Part B but received placebo). </w:t>
      </w:r>
    </w:p>
    <w:p w:rsidR="00F17771" w:rsidRPr="00F17771" w:rsidRDefault="00F17771" w:rsidP="006427AA">
      <w:pPr>
        <w:pStyle w:val="TableDescription"/>
      </w:pPr>
      <w:r w:rsidRPr="00F17771">
        <w:rPr>
          <w:b/>
          <w:bCs/>
        </w:rPr>
        <w:t>e</w:t>
      </w:r>
      <w:r w:rsidR="00063ADB" w:rsidRPr="00063ADB">
        <w:t xml:space="preserve"> The enumeration of all subjects exposed to ivacaftor includes the total of subjects with CF, the total of healthy subjects, and 12 subjects with hepatic impairment.</w:t>
      </w:r>
    </w:p>
    <w:p w:rsidR="008B7ADC" w:rsidRPr="002C02D4" w:rsidRDefault="008B7ADC" w:rsidP="006427AA">
      <w:r w:rsidRPr="002C02D4">
        <w:t xml:space="preserve">In the placebo-controlled studies, 188 and 118 subjects in the ivacaftor and placebo groups, respectively completed at least 16 weeks of treatment; 106 and 94 subjects, completed at least 24 weeks of treatment, and 74 and 60 subjects, respectively completed at least 48 weeks of treatment. With inclusion of the uncontrolled extension studies, at the time of cut-off date, a total of 201 subjects received ivacaftor for at least 16 weeks; a total of 142 subjects received ivacaftor for at least 24 weeks; a total of 101 subjects received ivacaftor for at least 48 weeks; a total of 63 subjects received ivacaftor for 60 weeks of treatment. </w:t>
      </w:r>
    </w:p>
    <w:p w:rsidR="008B7ADC" w:rsidRPr="002C02D4" w:rsidRDefault="008B7ADC" w:rsidP="006427AA">
      <w:r w:rsidRPr="002C02D4">
        <w:t xml:space="preserve">In the 10 pooled Phase 1 studies, 258 healthy subjects were exposed to at least 1 dose of ivacaftor of which 228 subjects received ivacaftor alone at any dose and 122 subjects received </w:t>
      </w:r>
      <w:proofErr w:type="spellStart"/>
      <w:r w:rsidRPr="002C02D4">
        <w:t>ivacaftor</w:t>
      </w:r>
      <w:proofErr w:type="spellEnd"/>
      <w:r w:rsidRPr="002C02D4">
        <w:t xml:space="preserve"> </w:t>
      </w:r>
      <w:proofErr w:type="spellStart"/>
      <w:r w:rsidRPr="002C02D4">
        <w:t>coadministered</w:t>
      </w:r>
      <w:proofErr w:type="spellEnd"/>
      <w:r w:rsidRPr="002C02D4">
        <w:t xml:space="preserve"> with other drugs. For the pooled Phase 1 studies in healthy subjects, the median treatment duration was 3 days (range: 1; 14) for subjects in the ivacaftor group (subject who received only ivacaftor) and 1 day (range: 1; 14) for subjects in the placebo group. The maximum duration of exposure to ivacaftor was 18 consecutive days. </w:t>
      </w:r>
    </w:p>
    <w:p w:rsidR="008B7ADC" w:rsidRPr="002C02D4" w:rsidRDefault="008B7ADC" w:rsidP="006427AA">
      <w:r w:rsidRPr="002C02D4">
        <w:t>In the placebo-controlled Phase 2b/3 pooling, the 221 subjects in the ivacaftor treatment group are compared to the 132 subjects in the placebo treatment group. Overall, 91.5% of subjects in the pooled placebo-controlled Phase 2b/3 studies completed treatment (</w:t>
      </w:r>
      <w:proofErr w:type="spellStart"/>
      <w:r w:rsidRPr="002C02D4">
        <w:t>ivacaftor</w:t>
      </w:r>
      <w:proofErr w:type="spellEnd"/>
      <w:r w:rsidRPr="002C02D4">
        <w:t xml:space="preserve"> </w:t>
      </w:r>
      <w:proofErr w:type="spellStart"/>
      <w:r w:rsidRPr="002C02D4">
        <w:t>vs</w:t>
      </w:r>
      <w:proofErr w:type="spellEnd"/>
      <w:r w:rsidRPr="002C02D4">
        <w:t xml:space="preserve"> placebo: 93.7% </w:t>
      </w:r>
      <w:proofErr w:type="spellStart"/>
      <w:r w:rsidRPr="002C02D4">
        <w:t>vs</w:t>
      </w:r>
      <w:proofErr w:type="spellEnd"/>
      <w:r w:rsidRPr="002C02D4">
        <w:t xml:space="preserve"> 87.9%).  The most common reason for treatment discontinuation was adverse events; however, this occurred at a lower incidence in the ivacaftor group compared with the placebo group (1.8% </w:t>
      </w:r>
      <w:proofErr w:type="spellStart"/>
      <w:r w:rsidRPr="002C02D4">
        <w:t>vs</w:t>
      </w:r>
      <w:proofErr w:type="spellEnd"/>
      <w:r w:rsidRPr="002C02D4">
        <w:t xml:space="preserve"> 5.3%). In the pooled placebo-controlled studies, the median age was 20-21 years (range: 6-53) and the majority of subjects were &gt;18 years in age (</w:t>
      </w:r>
      <w:r w:rsidR="005B0F76" w:rsidRPr="002C02D4">
        <w:t>60</w:t>
      </w:r>
      <w:r w:rsidRPr="002C02D4">
        <w:t xml:space="preserve">-63%). Among subjects in the overall ivacaftor group, 4.4% had percent predicted FEV1 values of&lt;40%, 41.3%, had FEV1 ≥40% to &lt;70%, 34.1%, had FEV1 ≥70% to ≤90%, and 20.1% had FEV1 &gt;90%. Overall, the baseline demographic, disease characteristics and concomitant medications were similar in the ivacaftor and placebo groups. </w:t>
      </w:r>
    </w:p>
    <w:p w:rsidR="008B7ADC" w:rsidRPr="008B7ADC" w:rsidRDefault="008B7ADC" w:rsidP="006427AA">
      <w:pPr>
        <w:pStyle w:val="Heading3"/>
      </w:pPr>
      <w:bookmarkStart w:id="156" w:name="_Toc241374319"/>
      <w:bookmarkStart w:id="157" w:name="_Ref271044764"/>
      <w:bookmarkStart w:id="158" w:name="_Toc272414663"/>
      <w:bookmarkStart w:id="159" w:name="_Toc290846301"/>
      <w:bookmarkStart w:id="160" w:name="_Toc341441448"/>
      <w:bookmarkStart w:id="161" w:name="_Toc375055439"/>
      <w:r w:rsidRPr="008B7ADC">
        <w:t>Adverse events</w:t>
      </w:r>
      <w:bookmarkEnd w:id="156"/>
      <w:bookmarkEnd w:id="157"/>
      <w:bookmarkEnd w:id="158"/>
      <w:bookmarkEnd w:id="159"/>
      <w:bookmarkEnd w:id="160"/>
      <w:bookmarkEnd w:id="161"/>
    </w:p>
    <w:p w:rsidR="008B7ADC" w:rsidRPr="008B7ADC" w:rsidRDefault="008B7ADC" w:rsidP="006427AA">
      <w:pPr>
        <w:pStyle w:val="Heading4"/>
      </w:pPr>
      <w:bookmarkStart w:id="162" w:name="_Ref272317284"/>
      <w:bookmarkStart w:id="163" w:name="_Ref272333565"/>
      <w:bookmarkStart w:id="164" w:name="_Toc272414664"/>
      <w:bookmarkStart w:id="165" w:name="_Toc290846302"/>
      <w:bookmarkStart w:id="166" w:name="_Toc341441449"/>
      <w:r w:rsidRPr="008B7ADC">
        <w:t>All adverse events (irrespective of relationship to study treatment)</w:t>
      </w:r>
      <w:bookmarkEnd w:id="162"/>
      <w:bookmarkEnd w:id="163"/>
      <w:bookmarkEnd w:id="164"/>
      <w:bookmarkEnd w:id="165"/>
      <w:bookmarkEnd w:id="166"/>
    </w:p>
    <w:p w:rsidR="008B7ADC" w:rsidRPr="002C02D4" w:rsidRDefault="008B7ADC" w:rsidP="008C7E5D">
      <w:r w:rsidRPr="002C02D4">
        <w:t xml:space="preserve">In the pivotal placebo-controlled studies, nearly all subjects in the ivacaftor (92.3%) and placebo (97.0%) groups had AEs. The most common AEs (at least 10% incidence) in the ivacaftor group were cough, CF lung (preferred term for pulmonary exacerbation), headache, upper respiratory tract infection (URTI), nasal congestion, </w:t>
      </w:r>
      <w:proofErr w:type="spellStart"/>
      <w:r w:rsidRPr="002C02D4">
        <w:t>oropharyngeal</w:t>
      </w:r>
      <w:proofErr w:type="spellEnd"/>
      <w:r w:rsidRPr="002C02D4">
        <w:t xml:space="preserve"> pain, pyrexia, productive cough, nausea, and rash. Of the AEs with an incidence of at least 3% in either treatment group, rash was the only event with a higher incidence (at least 5% difference) in the</w:t>
      </w:r>
      <w:r w:rsidRPr="008B7ADC">
        <w:rPr>
          <w:lang w:eastAsia="ja-JP"/>
        </w:rPr>
        <w:t xml:space="preserve"> </w:t>
      </w:r>
      <w:r w:rsidRPr="002C02D4">
        <w:t xml:space="preserve">ivacaftor group. There was a slightly higher incidence (at least 2% difference) of headache, URTI, nasal congestion, rhinitis, pharyngeal erythema, and dizziness in the ivacaftor group than in the placebo group. Cough, CF lung, vomiting, </w:t>
      </w:r>
      <w:proofErr w:type="spellStart"/>
      <w:r w:rsidRPr="002C02D4">
        <w:t>hemoptysis</w:t>
      </w:r>
      <w:proofErr w:type="spellEnd"/>
      <w:r w:rsidRPr="002C02D4">
        <w:t>, and decreased pulmonary function test had a lower incidence (at least 5% difference) in the ivacaftor group than the placebo group. There were no new AEs that were considered to be common or that occurred at a higher incidence (at least 2% difference) in subjects who received up to 60 weeks of ivacaftor in the overall Phase 2b/3 studies.</w:t>
      </w:r>
    </w:p>
    <w:p w:rsidR="008B7ADC" w:rsidRPr="002C02D4" w:rsidRDefault="008B7ADC" w:rsidP="008C7E5D">
      <w:r w:rsidRPr="002C02D4">
        <w:t xml:space="preserve">In the pooled Phase 2b/3 studies, majority of AEs were mild or moderate in severity and only 4 subjects who received at least 1 dose of ivacaftor and 1 subject who received placebo had events that were life threatening. In the placebo-controlled studies, the incidence of severe or life threatening events was similar between the ivacaftor and placebo groups; 3 subjects who received ivacaftor had life threatening events (hypoglycaemia; hepatic enzyme increase and </w:t>
      </w:r>
      <w:r w:rsidRPr="002C02D4">
        <w:lastRenderedPageBreak/>
        <w:t xml:space="preserve">fatigue; depression, and suicidal ideation) and one placebo-treated subject had a life-threatening event that was also an SAE of respiratory failure. In the uncontrolled extension studies, there was no apparent increase in the occurrence of severe events in subjects new to ivacaftor treatment or in those continuing on ivacaftor after 48 weeks of treatment in the placebo-controlled studies; only 1 subject who received placebo in Study 102 had an event of suicidal depression during ivacaftor treatment in Study 105. For subjects who received ivacaftor, CF lung was the only event that had an incidence of at least 3%. In the placebo-controlled studies, the AEs with a difference in incidence of at least 1% between the ivacaftor and placebo groups included CF lung and </w:t>
      </w:r>
      <w:proofErr w:type="spellStart"/>
      <w:r w:rsidRPr="002C02D4">
        <w:t>hemoptysis</w:t>
      </w:r>
      <w:proofErr w:type="spellEnd"/>
      <w:r w:rsidRPr="002C02D4">
        <w:t>, both of which had a higher incidence in the placebo group.</w:t>
      </w:r>
    </w:p>
    <w:p w:rsidR="008B7ADC" w:rsidRPr="002C02D4" w:rsidRDefault="008B7ADC" w:rsidP="008C7E5D">
      <w:r w:rsidRPr="002C02D4">
        <w:t xml:space="preserve">The onset of the majority of new AEs was generally higher in the first 8 weeks of treatment in both the ivacaftor and placebo groups, with the exception of URTI events which were lower in the first 8 weeks of treatment. The incidence of CF lung events was generally similar across the treatment intervals. The incidence of AEs in both treatment groups throughout the remaining time intervals was similar. </w:t>
      </w:r>
    </w:p>
    <w:p w:rsidR="008B7ADC" w:rsidRPr="008B7ADC" w:rsidRDefault="008B7ADC" w:rsidP="008C7E5D">
      <w:pPr>
        <w:pStyle w:val="Heading4"/>
      </w:pPr>
      <w:bookmarkStart w:id="167" w:name="_Ref272333567"/>
      <w:bookmarkStart w:id="168" w:name="_Toc272414665"/>
      <w:bookmarkStart w:id="169" w:name="_Toc290846303"/>
      <w:bookmarkStart w:id="170" w:name="_Toc341441450"/>
      <w:r w:rsidRPr="008B7ADC">
        <w:t>Treatment-related adverse events (adverse drug reactions)</w:t>
      </w:r>
      <w:bookmarkEnd w:id="167"/>
      <w:bookmarkEnd w:id="168"/>
      <w:bookmarkEnd w:id="169"/>
      <w:bookmarkEnd w:id="170"/>
    </w:p>
    <w:p w:rsidR="008B7ADC" w:rsidRPr="00E74BC1" w:rsidRDefault="008B7ADC" w:rsidP="008C7E5D">
      <w:r w:rsidRPr="00E74BC1">
        <w:t xml:space="preserve">The incidence of AEs considered by the investigator to be related to the study drug was similar between the ivacaftor (33.5%) and placebo (34.1%) groups. In the placebo-controlled studies, CF lung and cough occurred at a lower incidence (at least 3% difference) in the ivacaftor group than the placebo group (Table </w:t>
      </w:r>
      <w:r w:rsidR="00E74BC1" w:rsidRPr="00E74BC1">
        <w:t>1</w:t>
      </w:r>
      <w:r w:rsidR="00B7229C">
        <w:t>4</w:t>
      </w:r>
      <w:r w:rsidRPr="00E74BC1">
        <w:t>).</w:t>
      </w:r>
    </w:p>
    <w:p w:rsidR="00712175" w:rsidRPr="00E74BC1" w:rsidRDefault="00712175" w:rsidP="008C7E5D">
      <w:pPr>
        <w:pStyle w:val="TableTitle"/>
      </w:pPr>
      <w:r w:rsidRPr="00E74BC1">
        <w:t xml:space="preserve">Table </w:t>
      </w:r>
      <w:r w:rsidR="00E74BC1" w:rsidRPr="00E74BC1">
        <w:t>1</w:t>
      </w:r>
      <w:r w:rsidR="00B7229C">
        <w:t>4</w:t>
      </w:r>
      <w:r w:rsidRPr="00E74BC1">
        <w:t>. Adverse events related to study drug with an incidence of at least 3</w:t>
      </w:r>
      <w:r w:rsidR="00F17771">
        <w:t>%</w:t>
      </w:r>
      <w:r w:rsidRPr="00E74BC1">
        <w:t xml:space="preserve"> in any treatment group and </w:t>
      </w:r>
      <w:r w:rsidR="00F17771">
        <w:t>P</w:t>
      </w:r>
      <w:r w:rsidRPr="00E74BC1">
        <w:t xml:space="preserve">referred </w:t>
      </w:r>
      <w:r w:rsidR="00F17771">
        <w:t>T</w:t>
      </w:r>
      <w:r w:rsidRPr="00E74BC1">
        <w:t>erm: Pooled Phase 2b/3 studies, Safety set</w:t>
      </w:r>
    </w:p>
    <w:p w:rsidR="00712175" w:rsidRPr="008B7ADC" w:rsidRDefault="00712175" w:rsidP="008C7E5D">
      <w:pPr>
        <w:rPr>
          <w:lang w:eastAsia="ja-JP"/>
        </w:rPr>
      </w:pPr>
      <w:r>
        <w:rPr>
          <w:noProof/>
          <w:lang w:eastAsia="en-AU"/>
        </w:rPr>
        <w:drawing>
          <wp:inline distT="0" distB="0" distL="0" distR="0">
            <wp:extent cx="5731510" cy="3312179"/>
            <wp:effectExtent l="19050" t="0" r="2540" b="0"/>
            <wp:docPr id="2" name="Picture 2" descr="Table 14. Adverse events related to study drug with an incidence of at least 3# in any treatment group and Preferred Term: Pooled Phase 2b/3 stud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31510" cy="3312179"/>
                    </a:xfrm>
                    <a:prstGeom prst="rect">
                      <a:avLst/>
                    </a:prstGeom>
                    <a:noFill/>
                    <a:ln w="9525">
                      <a:noFill/>
                      <a:miter lim="800000"/>
                      <a:headEnd/>
                      <a:tailEnd/>
                    </a:ln>
                  </pic:spPr>
                </pic:pic>
              </a:graphicData>
            </a:graphic>
          </wp:inline>
        </w:drawing>
      </w:r>
    </w:p>
    <w:p w:rsidR="008B7ADC" w:rsidRPr="008B7ADC" w:rsidRDefault="008B7ADC" w:rsidP="008C7E5D">
      <w:pPr>
        <w:pStyle w:val="Heading4"/>
      </w:pPr>
      <w:bookmarkStart w:id="171" w:name="_Toc241374320"/>
      <w:bookmarkStart w:id="172" w:name="_Ref272333507"/>
      <w:bookmarkStart w:id="173" w:name="_Toc272414666"/>
      <w:bookmarkStart w:id="174" w:name="_Toc290846304"/>
      <w:bookmarkStart w:id="175" w:name="_Toc341441451"/>
      <w:r w:rsidRPr="008B7ADC">
        <w:t>Deaths and other serious adverse events</w:t>
      </w:r>
      <w:bookmarkEnd w:id="171"/>
      <w:bookmarkEnd w:id="172"/>
      <w:bookmarkEnd w:id="173"/>
      <w:bookmarkEnd w:id="174"/>
      <w:bookmarkEnd w:id="175"/>
    </w:p>
    <w:p w:rsidR="008B7ADC" w:rsidRPr="00E74BC1" w:rsidRDefault="008B7ADC" w:rsidP="008C7E5D">
      <w:r w:rsidRPr="00E74BC1">
        <w:t xml:space="preserve">There were no deaths in the Phase 2b/3 studies. </w:t>
      </w:r>
    </w:p>
    <w:p w:rsidR="008B7ADC" w:rsidRPr="00E74BC1" w:rsidRDefault="008B7ADC" w:rsidP="008C7E5D">
      <w:r w:rsidRPr="00E74BC1">
        <w:t xml:space="preserve">The most common SAEs (incidence of at least 3% in any treatment group) in the pooled Phase 2b/3 studies were CF lung and </w:t>
      </w:r>
      <w:proofErr w:type="spellStart"/>
      <w:r w:rsidRPr="00E74BC1">
        <w:t>hemoptysis</w:t>
      </w:r>
      <w:proofErr w:type="spellEnd"/>
      <w:r w:rsidRPr="00E74BC1">
        <w:t xml:space="preserve">.  In the placebo-controlled studies, the incidence of both of these events was lower in the ivacaftor group than the placebo group. SAEs that occurred in 2 or more subjects in either of the 2 treatment groups were CF lung, </w:t>
      </w:r>
      <w:proofErr w:type="spellStart"/>
      <w:r w:rsidRPr="00E74BC1">
        <w:t>hemoptysis</w:t>
      </w:r>
      <w:proofErr w:type="spellEnd"/>
      <w:r w:rsidRPr="00E74BC1">
        <w:t xml:space="preserve">, abdominal pain, </w:t>
      </w:r>
      <w:proofErr w:type="spellStart"/>
      <w:r w:rsidRPr="00E74BC1">
        <w:t>hypoglycemia</w:t>
      </w:r>
      <w:proofErr w:type="spellEnd"/>
      <w:r w:rsidRPr="00E74BC1">
        <w:t xml:space="preserve">, and hepatic enzyme increased. The SAEs that occurred in more </w:t>
      </w:r>
      <w:r w:rsidRPr="00E74BC1">
        <w:lastRenderedPageBreak/>
        <w:t xml:space="preserve">than 1 subject in the ivacaftor group were CF lung, </w:t>
      </w:r>
      <w:proofErr w:type="spellStart"/>
      <w:r w:rsidRPr="00E74BC1">
        <w:t>hemoptysis</w:t>
      </w:r>
      <w:proofErr w:type="spellEnd"/>
      <w:r w:rsidRPr="00E74BC1">
        <w:t xml:space="preserve">, </w:t>
      </w:r>
      <w:proofErr w:type="spellStart"/>
      <w:r w:rsidRPr="00E74BC1">
        <w:t>hypoglycemia</w:t>
      </w:r>
      <w:proofErr w:type="spellEnd"/>
      <w:r w:rsidRPr="00E74BC1">
        <w:t xml:space="preserve">, abdominal pain, and hepatic enzyme increased. CF lung and </w:t>
      </w:r>
      <w:proofErr w:type="spellStart"/>
      <w:r w:rsidRPr="00E74BC1">
        <w:t>hemoptysis</w:t>
      </w:r>
      <w:proofErr w:type="spellEnd"/>
      <w:r w:rsidRPr="00E74BC1">
        <w:t xml:space="preserve"> were the only SAEs that occurred in more than 1 subject in the placebo group. </w:t>
      </w:r>
    </w:p>
    <w:p w:rsidR="008B7ADC" w:rsidRPr="008B7ADC" w:rsidRDefault="008B7ADC" w:rsidP="008C7E5D">
      <w:pPr>
        <w:pStyle w:val="Heading4"/>
      </w:pPr>
      <w:bookmarkStart w:id="176" w:name="_Toc241374325"/>
      <w:bookmarkStart w:id="177" w:name="_Ref272333477"/>
      <w:bookmarkStart w:id="178" w:name="_Toc272414667"/>
      <w:bookmarkStart w:id="179" w:name="_Toc290846305"/>
      <w:bookmarkStart w:id="180" w:name="_Toc341441452"/>
      <w:r w:rsidRPr="008B7ADC">
        <w:t>Discontinuation due to adverse events</w:t>
      </w:r>
      <w:bookmarkEnd w:id="176"/>
      <w:bookmarkEnd w:id="177"/>
      <w:bookmarkEnd w:id="178"/>
      <w:bookmarkEnd w:id="179"/>
      <w:bookmarkEnd w:id="180"/>
    </w:p>
    <w:p w:rsidR="008B7ADC" w:rsidRPr="00E74BC1" w:rsidRDefault="008B7ADC" w:rsidP="008C7E5D">
      <w:r w:rsidRPr="00E74BC1">
        <w:t xml:space="preserve">In the pooled Phase 2b/3 studies, the only event that resulted in 2 or more subjects discontinuing study drug was ALT increased (2 in placebo group and none in ivacaftor group).  In the pooled placebo-controlled studies, 4 (1.8%) subjects in the ivacaftor group discontinued for AEs (arthritis; </w:t>
      </w:r>
      <w:proofErr w:type="spellStart"/>
      <w:r w:rsidRPr="00E74BC1">
        <w:t>myopathy</w:t>
      </w:r>
      <w:proofErr w:type="spellEnd"/>
      <w:r w:rsidRPr="00E74BC1">
        <w:t xml:space="preserve">; asthenia, fatigue, and headache; hepatic enzyme increased). In the placebo group, 7 (5.3%) subjects discontinued for AEs (feeling abnormal and cognitive disorder; ALT increased; ALT/ AST/ blood lactate </w:t>
      </w:r>
      <w:proofErr w:type="spellStart"/>
      <w:r w:rsidRPr="00E74BC1">
        <w:t>dehydrogenase</w:t>
      </w:r>
      <w:proofErr w:type="spellEnd"/>
      <w:r w:rsidRPr="00E74BC1">
        <w:t xml:space="preserve"> increased; </w:t>
      </w:r>
      <w:proofErr w:type="spellStart"/>
      <w:r w:rsidRPr="00E74BC1">
        <w:t>atrioventricular</w:t>
      </w:r>
      <w:proofErr w:type="spellEnd"/>
      <w:r w:rsidRPr="00E74BC1">
        <w:t xml:space="preserve"> block complete;</w:t>
      </w:r>
      <w:r w:rsidR="00712175" w:rsidRPr="00E74BC1">
        <w:t xml:space="preserve"> adjustment/ anxiety disorder; </w:t>
      </w:r>
      <w:r w:rsidRPr="00E74BC1">
        <w:t xml:space="preserve">panic attack; and respiratory failure). </w:t>
      </w:r>
    </w:p>
    <w:p w:rsidR="008B7ADC" w:rsidRPr="00E74BC1" w:rsidRDefault="008B7ADC" w:rsidP="008C7E5D">
      <w:r w:rsidRPr="00E74BC1">
        <w:t>In the placebo-controlled studies, AEs that led to interruption of study drug dosing occurred in 16 (7.2%) subjects in the ivacaftor group and 10 (7.6%) subjects in the placebo group. The events that led to interruption of study drug in more than 1 subject were CF lung and hepatic enzyme increased in the ivacaftor group and ALT increased and vomiting in the placebo group.</w:t>
      </w:r>
    </w:p>
    <w:p w:rsidR="008B7ADC" w:rsidRPr="008B7ADC" w:rsidRDefault="008B7ADC" w:rsidP="008C7E5D">
      <w:pPr>
        <w:pStyle w:val="Heading3"/>
      </w:pPr>
      <w:bookmarkStart w:id="181" w:name="_Toc241374321"/>
      <w:bookmarkStart w:id="182" w:name="_Ref271044780"/>
      <w:bookmarkStart w:id="183" w:name="_Ref271196640"/>
      <w:bookmarkStart w:id="184" w:name="_Ref272333085"/>
      <w:bookmarkStart w:id="185" w:name="_Toc272414668"/>
      <w:bookmarkStart w:id="186" w:name="_Toc290846306"/>
      <w:bookmarkStart w:id="187" w:name="_Toc341441453"/>
      <w:bookmarkStart w:id="188" w:name="_Toc375055440"/>
      <w:r w:rsidRPr="008B7ADC">
        <w:t>Laboratory tests</w:t>
      </w:r>
      <w:bookmarkEnd w:id="181"/>
      <w:bookmarkEnd w:id="182"/>
      <w:bookmarkEnd w:id="183"/>
      <w:bookmarkEnd w:id="184"/>
      <w:bookmarkEnd w:id="185"/>
      <w:bookmarkEnd w:id="186"/>
      <w:bookmarkEnd w:id="187"/>
      <w:bookmarkEnd w:id="188"/>
    </w:p>
    <w:p w:rsidR="008B7ADC" w:rsidRPr="008B7ADC" w:rsidRDefault="008B7ADC" w:rsidP="008C7E5D">
      <w:pPr>
        <w:pStyle w:val="Heading4"/>
      </w:pPr>
      <w:bookmarkStart w:id="189" w:name="_Toc272414669"/>
      <w:bookmarkStart w:id="190" w:name="_Toc290846307"/>
      <w:bookmarkStart w:id="191" w:name="_Toc341441454"/>
      <w:r w:rsidRPr="008B7ADC">
        <w:t>Liver function</w:t>
      </w:r>
      <w:bookmarkEnd w:id="189"/>
      <w:bookmarkEnd w:id="190"/>
      <w:bookmarkEnd w:id="191"/>
    </w:p>
    <w:p w:rsidR="008B7ADC" w:rsidRPr="00E74BC1" w:rsidRDefault="008B7ADC" w:rsidP="008C7E5D">
      <w:r w:rsidRPr="00E74BC1">
        <w:t xml:space="preserve">In the pooled Phase 2b/3 studies, subjects with abnormal liver function at screening were excluded from the studies. Abnormal liver function was defined as ≥3 × upper limit of normal (ULN) of the following: serum AST, serum ALT, GGT, serum ALP, and total bilirubin. Both ivacaftor and placebo groups had minimal changes from baseline in mean values of the LFT at Weeks 16 and 48 that were similar in magnitude. </w:t>
      </w:r>
    </w:p>
    <w:p w:rsidR="008B7ADC" w:rsidRPr="00E74BC1" w:rsidRDefault="008B7ADC" w:rsidP="008C7E5D">
      <w:r w:rsidRPr="00E74BC1">
        <w:t>Overall, a similar proportion of subjects in the ivacaftor and placebo groups had maximum transaminase levels exceeding a range of thresholds including ≥2 ×, ≥3 ×, ≥5 ×, and ≥8 × ULN.  The majority of subjects in these studies had maximum post-baseline ALT and AST levels that were &lt;2 × ULN (</w:t>
      </w:r>
      <w:proofErr w:type="spellStart"/>
      <w:r w:rsidRPr="00E74BC1">
        <w:t>ivacaftor</w:t>
      </w:r>
      <w:proofErr w:type="spellEnd"/>
      <w:r w:rsidRPr="00E74BC1">
        <w:t xml:space="preserve"> </w:t>
      </w:r>
      <w:proofErr w:type="spellStart"/>
      <w:r w:rsidRPr="00E74BC1">
        <w:t>vs</w:t>
      </w:r>
      <w:proofErr w:type="spellEnd"/>
      <w:r w:rsidRPr="00E74BC1">
        <w:t xml:space="preserve"> placebo: 84.6%vs 83.3%). During treatment (up to 48-weeks) in these studies, the cumulative incidence of maximum transaminase (ALT or AST) increases was similar between the ivacaftor and placebo group across the different ranges of ≥3 × ULN (</w:t>
      </w:r>
      <w:proofErr w:type="spellStart"/>
      <w:r w:rsidRPr="00E74BC1">
        <w:t>ivacaftor</w:t>
      </w:r>
      <w:proofErr w:type="spellEnd"/>
      <w:r w:rsidRPr="00E74BC1">
        <w:t xml:space="preserve"> </w:t>
      </w:r>
      <w:proofErr w:type="spellStart"/>
      <w:r w:rsidRPr="00E74BC1">
        <w:t>vs</w:t>
      </w:r>
      <w:proofErr w:type="spellEnd"/>
      <w:r w:rsidRPr="00E74BC1">
        <w:t xml:space="preserve"> placebo: 6.3% </w:t>
      </w:r>
      <w:proofErr w:type="spellStart"/>
      <w:r w:rsidRPr="00E74BC1">
        <w:t>vs</w:t>
      </w:r>
      <w:proofErr w:type="spellEnd"/>
      <w:r w:rsidRPr="00E74BC1">
        <w:t xml:space="preserve"> 8.4%), ≥5 × ULN (2.7% </w:t>
      </w:r>
      <w:proofErr w:type="spellStart"/>
      <w:r w:rsidRPr="00E74BC1">
        <w:t>vs</w:t>
      </w:r>
      <w:proofErr w:type="spellEnd"/>
      <w:r w:rsidRPr="00E74BC1">
        <w:t xml:space="preserve"> 2.3%), ≥8 × ULN (1.8% </w:t>
      </w:r>
      <w:proofErr w:type="spellStart"/>
      <w:r w:rsidRPr="00E74BC1">
        <w:t>vs</w:t>
      </w:r>
      <w:proofErr w:type="spellEnd"/>
      <w:r w:rsidRPr="00E74BC1">
        <w:t xml:space="preserve"> 1.5%).  The highest difference in incidence (including cumulative incidence) between the ivacaftor and placebo groups was for AST elevations ≥8 × ULN (1.8% </w:t>
      </w:r>
      <w:proofErr w:type="spellStart"/>
      <w:r w:rsidRPr="00E74BC1">
        <w:t>vs</w:t>
      </w:r>
      <w:proofErr w:type="spellEnd"/>
      <w:r w:rsidRPr="00E74BC1">
        <w:t xml:space="preserve"> 0.8%). Analyses of maximum bilirubin levels in subjects with and without transaminase elevations demonstrated that no subjects in the ivacaftor group had ALT or AST elevations of ≥3 × ULN and a maximum total bilirubin ≥2 × ULN concurrently or at any other time point. </w:t>
      </w:r>
    </w:p>
    <w:p w:rsidR="008B7ADC" w:rsidRPr="00E74BC1" w:rsidRDefault="008B7ADC" w:rsidP="008C7E5D">
      <w:r w:rsidRPr="00E74BC1">
        <w:t xml:space="preserve">In the ivacaftor group, the time to onset for these events </w:t>
      </w:r>
      <w:r w:rsidR="005B0F76" w:rsidRPr="00E74BC1">
        <w:t xml:space="preserve">[ALT or AST elevations of &gt;5 × ULN] </w:t>
      </w:r>
      <w:r w:rsidRPr="00E74BC1">
        <w:t>ranged from 8 to 52 weeks (from the first dose of study drug), with no apparent pattern identified</w:t>
      </w:r>
      <w:r w:rsidRPr="00E74BC1">
        <w:rPr>
          <w:vertAlign w:val="superscript"/>
        </w:rPr>
        <w:footnoteReference w:id="16"/>
      </w:r>
      <w:r w:rsidRPr="00E74BC1">
        <w:t xml:space="preserve">. The majority of subjects (6 of 8) in the ivacaftor group interrupted study drug when transaminase elevations exceeded ≥5 × ULN; Six of 8 (75%) subjects who received ivacaftor and 2 of 3 (66.7%) subjects who received placebo and showed increased transaminase values, also had a medical history of elevated </w:t>
      </w:r>
      <w:proofErr w:type="spellStart"/>
      <w:r w:rsidRPr="00E74BC1">
        <w:t>transaminases</w:t>
      </w:r>
      <w:proofErr w:type="spellEnd"/>
      <w:r w:rsidRPr="00E74BC1">
        <w:t xml:space="preserve"> and/or evidence of ALT/AST elevation at baseline. </w:t>
      </w:r>
    </w:p>
    <w:p w:rsidR="008B7ADC" w:rsidRPr="00E74BC1" w:rsidRDefault="008B7ADC" w:rsidP="008C7E5D">
      <w:r w:rsidRPr="00E74BC1">
        <w:lastRenderedPageBreak/>
        <w:t xml:space="preserve">Among the 8 subjects with maximum transaminase elevations between ≥3 × ULN and &lt;5 × ULN in the ivacaftor group, 7 subjects had improvement and resolution of transaminase elevations without interruption of ivacaftor dosing. </w:t>
      </w:r>
    </w:p>
    <w:p w:rsidR="008B7ADC" w:rsidRPr="00E74BC1" w:rsidRDefault="008B7ADC" w:rsidP="008C7E5D">
      <w:r w:rsidRPr="00E74BC1">
        <w:t xml:space="preserve">The majority of subjects in the ivacaftor group (6 of 8; 75%) with a transaminase elevation of ≥5 × ULN had transaminase elevations that were concurrent with or preceded by other significant clinical events (e.g., pulmonary exacerbation, flu-like illness, </w:t>
      </w:r>
      <w:proofErr w:type="spellStart"/>
      <w:r w:rsidRPr="00E74BC1">
        <w:t>hemoptysis</w:t>
      </w:r>
      <w:proofErr w:type="spellEnd"/>
      <w:r w:rsidRPr="00E74BC1">
        <w:t>, kidney infection), use of other medications (e.g., acetaminophen, antibiotics), or other substances (e.g., alcohol). One subject had prior exposure to hepatitis C identified, which was not known previously</w:t>
      </w:r>
    </w:p>
    <w:p w:rsidR="008B7ADC" w:rsidRPr="00E74BC1" w:rsidRDefault="008B7ADC" w:rsidP="008C7E5D">
      <w:r w:rsidRPr="00E74BC1">
        <w:t xml:space="preserve">A higher proportion of subjects in the ivacaftor group who had a history of elevated liver enzymes had maximum on-treatment AST ≥8 × ULN, and ALT or AST levels ≥1 ×, ≥2 ×, ≥3 ×, and ≥5 × ULN, compared to those in the placebo group. Of the 34 subjects who received ivacaftor and had a history of elevated liver enzymes, 7 (20.6%) subjects had an on-treatment maximum of ALT ≥3 × ULN compared to 2 (9.1%) subjects who received placebo. The significance of this observation is uncertain due to the limited number of subjects involved, and the presence of a higher proportion of subjects randomized to the ivacaftor group who had a history of elevated liver enzymes and had elevations at baseline compared to the placebo group. </w:t>
      </w:r>
    </w:p>
    <w:p w:rsidR="008B7ADC" w:rsidRPr="008B7ADC" w:rsidRDefault="008B7ADC" w:rsidP="008C7E5D">
      <w:pPr>
        <w:rPr>
          <w:lang w:eastAsia="ja-JP"/>
        </w:rPr>
      </w:pPr>
      <w:r w:rsidRPr="00E74BC1">
        <w:t>Exploratory analyses to evaluate whether there was any association between exposure to ivacaftor or its major metabolites (M1 and M6) and transaminase elevations were conducted in subjects with marked (&gt;5 × ULN) transaminase elevations (AST or ALT). Exposure to ivacaftor</w:t>
      </w:r>
      <w:r w:rsidRPr="008B7ADC">
        <w:rPr>
          <w:lang w:eastAsia="ja-JP"/>
        </w:rPr>
        <w:t>, M1 and M6, as measured by minimum observed concentration (</w:t>
      </w:r>
      <w:proofErr w:type="spellStart"/>
      <w:r w:rsidRPr="008B7ADC">
        <w:rPr>
          <w:lang w:eastAsia="ja-JP"/>
        </w:rPr>
        <w:t>Cmin</w:t>
      </w:r>
      <w:proofErr w:type="spellEnd"/>
      <w:r w:rsidRPr="008B7ADC">
        <w:rPr>
          <w:lang w:eastAsia="ja-JP"/>
        </w:rPr>
        <w:t xml:space="preserve">) and area under the concentration versus time curve (AUC) values in subjects with transaminase elevations &gt;5 × ULN, were all within 1 SD of the concentrations in the subject’s study age group and generally were lower than the mean, as calculated from the population PK analysis. Thus, there is no apparent relationship between increased exposure to ivacaftor or its major metabolites and the occurrence of ALT or AST elevations &gt;5 × ULN in subjects exposed to ivacaftor compared to exposure in subjects without ALT or AST elevations &gt;5 × ULN. The incidence of ALT and AST levels longitudinally over time appeared similar in ivacaftor-treated subjects compared to placebo with no apparent pattern identified and no specific risk period elucidated. </w:t>
      </w:r>
    </w:p>
    <w:p w:rsidR="008B7ADC" w:rsidRPr="008B7ADC" w:rsidRDefault="008B7ADC" w:rsidP="008C7E5D">
      <w:pPr>
        <w:rPr>
          <w:b/>
          <w:lang w:eastAsia="ja-JP"/>
        </w:rPr>
      </w:pPr>
      <w:r w:rsidRPr="008B7ADC">
        <w:rPr>
          <w:lang w:eastAsia="ja-JP"/>
        </w:rPr>
        <w:t>In the placebo-controlled studies, the incidence of liver-related AEs was similar between the ivacaftor and placebo groups. Three subjects (1 subject in the ivacaftor group and 2 subjects in the placebo group) had liver-related events that led to study drug discontinuation. In addition, 2 subjects had liver-related SAEs</w:t>
      </w:r>
      <w:r w:rsidRPr="00712175">
        <w:rPr>
          <w:bCs/>
          <w:lang w:eastAsia="ja-JP"/>
        </w:rPr>
        <w:t>.</w:t>
      </w:r>
    </w:p>
    <w:p w:rsidR="008B7ADC" w:rsidRPr="008B7ADC" w:rsidRDefault="008B7ADC" w:rsidP="008C7E5D">
      <w:pPr>
        <w:pStyle w:val="Heading4"/>
      </w:pPr>
      <w:bookmarkStart w:id="192" w:name="_Toc272414670"/>
      <w:bookmarkStart w:id="193" w:name="_Toc290846308"/>
      <w:bookmarkStart w:id="194" w:name="_Toc341441455"/>
      <w:r w:rsidRPr="008B7ADC">
        <w:t>Kidney function</w:t>
      </w:r>
      <w:bookmarkEnd w:id="192"/>
      <w:bookmarkEnd w:id="193"/>
      <w:r w:rsidRPr="008B7ADC">
        <w:t>, haematology</w:t>
      </w:r>
      <w:bookmarkEnd w:id="194"/>
    </w:p>
    <w:p w:rsidR="008B7ADC" w:rsidRPr="008B7ADC" w:rsidRDefault="008B7ADC" w:rsidP="008C7E5D">
      <w:pPr>
        <w:rPr>
          <w:lang w:eastAsia="ja-JP"/>
        </w:rPr>
      </w:pPr>
      <w:r w:rsidRPr="008B7ADC">
        <w:rPr>
          <w:lang w:eastAsia="ja-JP"/>
        </w:rPr>
        <w:t xml:space="preserve">Majority of the clinical laboratory parameters (serum chemistry, </w:t>
      </w:r>
      <w:proofErr w:type="spellStart"/>
      <w:r w:rsidRPr="008B7ADC">
        <w:rPr>
          <w:lang w:eastAsia="ja-JP"/>
        </w:rPr>
        <w:t>hematology</w:t>
      </w:r>
      <w:proofErr w:type="spellEnd"/>
      <w:r w:rsidRPr="008B7ADC">
        <w:rPr>
          <w:lang w:eastAsia="ja-JP"/>
        </w:rPr>
        <w:t>, and coagulation studies) assessed in the pooled placebo-controlled Phase 2b/3 studies showed minor differences between the ivacaftor and placebo groups that were not considered to be clinically meaningful.</w:t>
      </w:r>
    </w:p>
    <w:p w:rsidR="008B7ADC" w:rsidRPr="008B7ADC" w:rsidRDefault="008B7ADC" w:rsidP="008C7E5D">
      <w:pPr>
        <w:pStyle w:val="Heading4"/>
      </w:pPr>
      <w:bookmarkStart w:id="195" w:name="_Toc272414671"/>
      <w:bookmarkStart w:id="196" w:name="_Toc290846309"/>
      <w:bookmarkStart w:id="197" w:name="_Toc341441456"/>
      <w:r w:rsidRPr="008B7ADC">
        <w:t>Other clinical chemistry</w:t>
      </w:r>
      <w:bookmarkEnd w:id="195"/>
      <w:bookmarkEnd w:id="196"/>
      <w:bookmarkEnd w:id="197"/>
    </w:p>
    <w:p w:rsidR="008B7ADC" w:rsidRPr="00E74BC1" w:rsidRDefault="008B7ADC" w:rsidP="008C7E5D">
      <w:r w:rsidRPr="00E74BC1">
        <w:t>In the pooled placebo-controlled Phase 2b/3 studies, the mean values for glucose at baseline were similar in the ivacaftor and placebo groups and the changes from baseline to Week 16 or Week 48 were minimal for both treatment groups</w:t>
      </w:r>
      <w:r w:rsidR="00D27279" w:rsidRPr="00E74BC1">
        <w:t>.</w:t>
      </w:r>
      <w:r w:rsidRPr="00E74BC1">
        <w:t xml:space="preserve"> Compared with the placebo group, the ivacaftor group showed a lower incidence of glucose shifts from normal to a high (15.4% </w:t>
      </w:r>
      <w:proofErr w:type="spellStart"/>
      <w:r w:rsidRPr="00E74BC1">
        <w:t>vs</w:t>
      </w:r>
      <w:proofErr w:type="spellEnd"/>
      <w:r w:rsidRPr="00E74BC1">
        <w:t xml:space="preserve"> 22.1%) or low (18.1% </w:t>
      </w:r>
      <w:proofErr w:type="spellStart"/>
      <w:r w:rsidRPr="00E74BC1">
        <w:t>vs</w:t>
      </w:r>
      <w:proofErr w:type="spellEnd"/>
      <w:r w:rsidRPr="00E74BC1">
        <w:t xml:space="preserve"> 26%). However, the incidence of shift of glucose from high to low or low to high was similar in both groups</w:t>
      </w:r>
      <w:r w:rsidR="005666CD" w:rsidRPr="00E74BC1">
        <w:t xml:space="preserve">. </w:t>
      </w:r>
      <w:r w:rsidRPr="00E74BC1">
        <w:t xml:space="preserve">In the placebo-controlled studies, the incidence of “blood glucose decreased” and </w:t>
      </w:r>
      <w:proofErr w:type="spellStart"/>
      <w:r w:rsidRPr="00E74BC1">
        <w:t>hypoglycemia</w:t>
      </w:r>
      <w:proofErr w:type="spellEnd"/>
      <w:r w:rsidRPr="00E74BC1">
        <w:t xml:space="preserve"> combined was comparable between the ivacaftor and placebo groups (4.1% </w:t>
      </w:r>
      <w:proofErr w:type="spellStart"/>
      <w:r w:rsidRPr="00E74BC1">
        <w:t>vs</w:t>
      </w:r>
      <w:proofErr w:type="spellEnd"/>
      <w:r w:rsidRPr="00E74BC1">
        <w:t xml:space="preserve"> 4.5%) with similar results for incidence of “blood glucose increased” and </w:t>
      </w:r>
      <w:proofErr w:type="spellStart"/>
      <w:r w:rsidRPr="00E74BC1">
        <w:t>hyperglycemia</w:t>
      </w:r>
      <w:proofErr w:type="spellEnd"/>
      <w:r w:rsidRPr="00E74BC1">
        <w:t xml:space="preserve"> (5.9% </w:t>
      </w:r>
      <w:proofErr w:type="spellStart"/>
      <w:r w:rsidRPr="00E74BC1">
        <w:t>vs</w:t>
      </w:r>
      <w:proofErr w:type="spellEnd"/>
      <w:r w:rsidRPr="00E74BC1">
        <w:t xml:space="preserve"> 4.5%)</w:t>
      </w:r>
      <w:r w:rsidR="005666CD" w:rsidRPr="00E74BC1">
        <w:t>.</w:t>
      </w:r>
      <w:r w:rsidRPr="00E74BC1">
        <w:t xml:space="preserve"> </w:t>
      </w:r>
    </w:p>
    <w:p w:rsidR="008B7ADC" w:rsidRPr="008B7ADC" w:rsidRDefault="008B7ADC" w:rsidP="008C7E5D">
      <w:pPr>
        <w:pStyle w:val="Heading4"/>
      </w:pPr>
      <w:bookmarkStart w:id="198" w:name="_Toc272414673"/>
      <w:bookmarkStart w:id="199" w:name="_Toc290846311"/>
      <w:bookmarkStart w:id="200" w:name="_Toc341441457"/>
      <w:r w:rsidRPr="008B7ADC">
        <w:t>Other laboratory test</w:t>
      </w:r>
      <w:bookmarkEnd w:id="198"/>
      <w:bookmarkEnd w:id="199"/>
      <w:bookmarkEnd w:id="200"/>
    </w:p>
    <w:p w:rsidR="008B7ADC" w:rsidRPr="008B7ADC" w:rsidRDefault="008B7ADC" w:rsidP="008C7E5D">
      <w:pPr>
        <w:rPr>
          <w:lang w:eastAsia="ja-JP"/>
        </w:rPr>
      </w:pPr>
      <w:r w:rsidRPr="008B7ADC">
        <w:rPr>
          <w:lang w:eastAsia="ja-JP"/>
        </w:rPr>
        <w:t>Not applicable.</w:t>
      </w:r>
    </w:p>
    <w:p w:rsidR="008B7ADC" w:rsidRPr="008B7ADC" w:rsidRDefault="008B7ADC" w:rsidP="008C7E5D">
      <w:pPr>
        <w:pStyle w:val="Heading4"/>
      </w:pPr>
      <w:bookmarkStart w:id="201" w:name="_Toc272414675"/>
      <w:bookmarkStart w:id="202" w:name="_Toc290846313"/>
      <w:bookmarkStart w:id="203" w:name="_Toc341441458"/>
      <w:r w:rsidRPr="008B7ADC">
        <w:lastRenderedPageBreak/>
        <w:t>Electrocardiograph</w:t>
      </w:r>
      <w:bookmarkEnd w:id="201"/>
      <w:bookmarkEnd w:id="202"/>
      <w:bookmarkEnd w:id="203"/>
    </w:p>
    <w:p w:rsidR="008B7ADC" w:rsidRPr="004547B1" w:rsidRDefault="008B7ADC" w:rsidP="008C7E5D">
      <w:r w:rsidRPr="004547B1">
        <w:t>Standard 12-lead ECG monitoring was done at baseline and at the last scheduled visit in the Phase 2b/3 placebo-controlled studies. Majority (&gt;60%) of subjects in both treatment groups had abnormal, non-clinically significant findings and approximately 2% of subjects had potentially clinically significant abnormalities on 12-lead ECG at baseline. There were 3 (1.4%) subjects in the ivacaftor treatment group and 0 subjects in the placebo treatment group with potentially clinically significant abnormalities on 12-lead ECG at the last scheduled visit. All 3 of these subjects had non-clinically significant or potentially clinically significant abnormalities on 12-lead ECG at baseline and at end of study</w:t>
      </w:r>
      <w:r w:rsidR="005666CD" w:rsidRPr="004547B1">
        <w:t>.</w:t>
      </w:r>
      <w:r w:rsidRPr="004547B1">
        <w:t xml:space="preserve"> </w:t>
      </w:r>
    </w:p>
    <w:p w:rsidR="008B7ADC" w:rsidRPr="004547B1" w:rsidRDefault="008B7ADC" w:rsidP="008C7E5D">
      <w:r w:rsidRPr="004547B1">
        <w:t xml:space="preserve">Subjects with any history of prolonged </w:t>
      </w:r>
      <w:proofErr w:type="spellStart"/>
      <w:r w:rsidRPr="004547B1">
        <w:t>QTcF</w:t>
      </w:r>
      <w:proofErr w:type="spellEnd"/>
      <w:r w:rsidRPr="004547B1">
        <w:t xml:space="preserve"> (&gt;450 </w:t>
      </w:r>
      <w:proofErr w:type="spellStart"/>
      <w:r w:rsidRPr="004547B1">
        <w:t>msec</w:t>
      </w:r>
      <w:proofErr w:type="spellEnd"/>
      <w:r w:rsidRPr="004547B1">
        <w:t xml:space="preserve">) were excluded from the studies as a precaution since the Thorough QT study (Study 008) was conducted in parallel with the Phase 2b/3 studies. There were no subjects with an on-treatment </w:t>
      </w:r>
      <w:proofErr w:type="spellStart"/>
      <w:r w:rsidRPr="004547B1">
        <w:t>QTcF</w:t>
      </w:r>
      <w:proofErr w:type="spellEnd"/>
      <w:r w:rsidRPr="004547B1">
        <w:t xml:space="preserve"> prolongation of &gt;60 msec. The proportion of subjects with maximum on-treatment </w:t>
      </w:r>
      <w:proofErr w:type="spellStart"/>
      <w:r w:rsidRPr="004547B1">
        <w:t>QTcF</w:t>
      </w:r>
      <w:proofErr w:type="spellEnd"/>
      <w:r w:rsidRPr="004547B1">
        <w:t xml:space="preserve"> increases from baseline of &gt;30 to ≤60 </w:t>
      </w:r>
      <w:proofErr w:type="spellStart"/>
      <w:r w:rsidRPr="004547B1">
        <w:t>msec</w:t>
      </w:r>
      <w:proofErr w:type="spellEnd"/>
      <w:r w:rsidRPr="004547B1">
        <w:t xml:space="preserve"> was similar between the ivacaftor and placebo treatment groups (13.6% each). There were no subjects with maximum </w:t>
      </w:r>
      <w:proofErr w:type="spellStart"/>
      <w:r w:rsidRPr="004547B1">
        <w:t>QTcF</w:t>
      </w:r>
      <w:proofErr w:type="spellEnd"/>
      <w:r w:rsidRPr="004547B1">
        <w:t xml:space="preserve"> intervals &gt;480 msec. Four (1.8%) subjects in the ivacaftor treatment group and 2 (1.5%) subjects in the placebo treatment group had maximum on-treatment </w:t>
      </w:r>
      <w:proofErr w:type="spellStart"/>
      <w:r w:rsidRPr="004547B1">
        <w:t>QTcF</w:t>
      </w:r>
      <w:proofErr w:type="spellEnd"/>
      <w:r w:rsidRPr="004547B1">
        <w:t xml:space="preserve"> intervals of &gt;450 to ≤480 </w:t>
      </w:r>
      <w:proofErr w:type="spellStart"/>
      <w:r w:rsidRPr="004547B1">
        <w:t>msec</w:t>
      </w:r>
      <w:proofErr w:type="spellEnd"/>
      <w:r w:rsidRPr="004547B1">
        <w:t xml:space="preserve"> during the dosing period</w:t>
      </w:r>
      <w:r w:rsidR="005666CD" w:rsidRPr="004547B1">
        <w:t>.</w:t>
      </w:r>
      <w:r w:rsidRPr="004547B1">
        <w:t xml:space="preserve"> </w:t>
      </w:r>
    </w:p>
    <w:p w:rsidR="008B7ADC" w:rsidRPr="004547B1" w:rsidRDefault="008B7ADC" w:rsidP="008C7E5D">
      <w:r w:rsidRPr="004547B1">
        <w:t xml:space="preserve">In the 12-month chronic toxicity study in dogs, there was a slight increase in the incidence (3 of 40 dogs) of </w:t>
      </w:r>
      <w:proofErr w:type="spellStart"/>
      <w:r w:rsidRPr="004547B1">
        <w:t>supraventricular</w:t>
      </w:r>
      <w:proofErr w:type="spellEnd"/>
      <w:r w:rsidRPr="004547B1">
        <w:t xml:space="preserve"> premature complex (SVPC) runs, consisting of multiple events within a single ECG recording, at dosages ≥30 mg/kg/day. Hence, 24-hour ambulatory ECG monitoring was implemented in the placebo-controlled Phase 2b/3 studies to evaluate for any corresponding effects in patients. Majority (&gt;60%) of subjects in both treatment groups had abnormal, non-clinically significant findings on 24-hour ambulatory ECG at baseline. The incidence of potentially clinically significant 24-hour ambulatory ECG findings was similar between the ivacaftor and placebo treatment groups at all study visits where 24-hour ambulatory ECG monitoring was conducted, including the last scheduled visit. There were 10 (4.7%) subjects in the ivacaftor treatment groups and 9 (7.2%) subjects in the placebo treatment groups with potentially clinically significant abnormalities on 24-hour ambulatory ECG at the last scheduled visit. The types of abnormalities observed at the last scheduled visit were similar between the treatment groups and included </w:t>
      </w:r>
      <w:proofErr w:type="spellStart"/>
      <w:r w:rsidRPr="004547B1">
        <w:t>supraventricular</w:t>
      </w:r>
      <w:proofErr w:type="spellEnd"/>
      <w:r w:rsidRPr="004547B1">
        <w:t xml:space="preserve"> </w:t>
      </w:r>
      <w:proofErr w:type="spellStart"/>
      <w:r w:rsidRPr="004547B1">
        <w:t>ectopy</w:t>
      </w:r>
      <w:proofErr w:type="spellEnd"/>
      <w:r w:rsidRPr="004547B1">
        <w:t xml:space="preserve">, ventricular </w:t>
      </w:r>
      <w:proofErr w:type="spellStart"/>
      <w:r w:rsidRPr="004547B1">
        <w:t>ectopy</w:t>
      </w:r>
      <w:proofErr w:type="spellEnd"/>
      <w:r w:rsidRPr="004547B1">
        <w:t xml:space="preserve">, or less commonly, 2nd degree </w:t>
      </w:r>
      <w:proofErr w:type="spellStart"/>
      <w:r w:rsidRPr="004547B1">
        <w:t>atrioventricular</w:t>
      </w:r>
      <w:proofErr w:type="spellEnd"/>
      <w:r w:rsidRPr="004547B1">
        <w:t xml:space="preserve"> block. In cases where potentially clinically significant abnormalities were observed at the last scheduled visit, similar abnormalities were generally noted at baseline</w:t>
      </w:r>
      <w:r w:rsidR="005666CD" w:rsidRPr="004547B1">
        <w:t>.</w:t>
      </w:r>
      <w:r w:rsidRPr="004547B1">
        <w:t xml:space="preserve"> In the pooled placebo-controlled Phase 2b/3 studies, the incidence of AEs that may be associated with ECG abnormalities in the ivacaftor treatment groups (5 [2.3%] subjects) was similar to the placebo treatment groups (2 [1.5%] subjects)</w:t>
      </w:r>
      <w:r w:rsidR="005666CD" w:rsidRPr="004547B1">
        <w:t>.</w:t>
      </w:r>
      <w:r w:rsidRPr="004547B1">
        <w:t xml:space="preserve"> </w:t>
      </w:r>
    </w:p>
    <w:p w:rsidR="008B7ADC" w:rsidRPr="008B7ADC" w:rsidRDefault="008B7ADC" w:rsidP="008C7E5D">
      <w:pPr>
        <w:pStyle w:val="Heading4"/>
      </w:pPr>
      <w:bookmarkStart w:id="204" w:name="_Toc272414676"/>
      <w:bookmarkStart w:id="205" w:name="_Toc290846314"/>
      <w:bookmarkStart w:id="206" w:name="_Toc341441459"/>
      <w:r w:rsidRPr="008B7ADC">
        <w:t>Vital signs</w:t>
      </w:r>
      <w:bookmarkEnd w:id="204"/>
      <w:bookmarkEnd w:id="205"/>
      <w:bookmarkEnd w:id="206"/>
    </w:p>
    <w:p w:rsidR="008B7ADC" w:rsidRPr="004547B1" w:rsidRDefault="008B7ADC" w:rsidP="008C7E5D">
      <w:r w:rsidRPr="004547B1">
        <w:t xml:space="preserve">There were no clinically relevant changes in vital signs (blood pressure and pulse rate) and physical examination results between baseline and end of study in the ivacaftor or placebo groups in the pooled Phase 2b/3 placebo-controlled studies. </w:t>
      </w:r>
    </w:p>
    <w:p w:rsidR="008B7ADC" w:rsidRPr="008B7ADC" w:rsidRDefault="008B7ADC" w:rsidP="008C7E5D">
      <w:pPr>
        <w:pStyle w:val="Heading4"/>
      </w:pPr>
      <w:bookmarkStart w:id="207" w:name="_Toc272414677"/>
      <w:bookmarkStart w:id="208" w:name="_Toc290846315"/>
      <w:bookmarkStart w:id="209" w:name="_Toc341441460"/>
      <w:r w:rsidRPr="008B7ADC">
        <w:t>Other safety parameter</w:t>
      </w:r>
      <w:bookmarkEnd w:id="207"/>
      <w:bookmarkEnd w:id="208"/>
      <w:r w:rsidRPr="008B7ADC">
        <w:t>s</w:t>
      </w:r>
      <w:bookmarkEnd w:id="209"/>
    </w:p>
    <w:p w:rsidR="008B7ADC" w:rsidRPr="008B7ADC" w:rsidRDefault="008B7ADC" w:rsidP="008C7E5D">
      <w:pPr>
        <w:rPr>
          <w:lang w:eastAsia="ja-JP"/>
        </w:rPr>
      </w:pPr>
      <w:r w:rsidRPr="008B7ADC">
        <w:rPr>
          <w:lang w:eastAsia="ja-JP"/>
        </w:rPr>
        <w:t xml:space="preserve">Not applicable. </w:t>
      </w:r>
    </w:p>
    <w:p w:rsidR="008B7ADC" w:rsidRPr="008B7ADC" w:rsidRDefault="008B7ADC" w:rsidP="008C7E5D">
      <w:pPr>
        <w:pStyle w:val="Heading3"/>
      </w:pPr>
      <w:bookmarkStart w:id="210" w:name="_Toc241374326"/>
      <w:bookmarkStart w:id="211" w:name="_Ref272333048"/>
      <w:bookmarkStart w:id="212" w:name="_Toc272414679"/>
      <w:bookmarkStart w:id="213" w:name="_Toc290846317"/>
      <w:bookmarkStart w:id="214" w:name="_Toc341441461"/>
      <w:bookmarkStart w:id="215" w:name="_Toc375055441"/>
      <w:r w:rsidRPr="008B7ADC">
        <w:t>Post-marketing experience</w:t>
      </w:r>
      <w:bookmarkEnd w:id="210"/>
      <w:bookmarkEnd w:id="211"/>
      <w:bookmarkEnd w:id="212"/>
      <w:bookmarkEnd w:id="213"/>
      <w:bookmarkEnd w:id="214"/>
      <w:bookmarkEnd w:id="215"/>
    </w:p>
    <w:p w:rsidR="008B7ADC" w:rsidRPr="008B7ADC" w:rsidRDefault="008B7ADC" w:rsidP="008C7E5D">
      <w:pPr>
        <w:rPr>
          <w:lang w:eastAsia="ja-JP"/>
        </w:rPr>
      </w:pPr>
      <w:r w:rsidRPr="008B7ADC">
        <w:rPr>
          <w:lang w:eastAsia="ja-JP"/>
        </w:rPr>
        <w:t xml:space="preserve">Not applicable as ivacaftor has not yet been approved for marketing in any country. </w:t>
      </w:r>
    </w:p>
    <w:p w:rsidR="008B7ADC" w:rsidRPr="008B7ADC" w:rsidRDefault="008B7ADC" w:rsidP="008C7E5D">
      <w:pPr>
        <w:pStyle w:val="Heading3"/>
      </w:pPr>
      <w:bookmarkStart w:id="216" w:name="_Ref272333005"/>
      <w:bookmarkStart w:id="217" w:name="_Toc272414680"/>
      <w:bookmarkStart w:id="218" w:name="_Toc290846318"/>
      <w:bookmarkStart w:id="219" w:name="_Toc341441462"/>
      <w:bookmarkStart w:id="220" w:name="_Toc375055442"/>
      <w:r w:rsidRPr="008B7ADC">
        <w:lastRenderedPageBreak/>
        <w:t>Safety issues with the potential for major regulatory imp</w:t>
      </w:r>
      <w:bookmarkEnd w:id="216"/>
      <w:bookmarkEnd w:id="217"/>
      <w:r w:rsidRPr="008B7ADC">
        <w:t>act</w:t>
      </w:r>
      <w:bookmarkEnd w:id="218"/>
      <w:bookmarkEnd w:id="219"/>
      <w:bookmarkEnd w:id="220"/>
    </w:p>
    <w:p w:rsidR="008B7ADC" w:rsidRPr="008B7ADC" w:rsidRDefault="008B7ADC" w:rsidP="008C7E5D">
      <w:pPr>
        <w:pStyle w:val="Heading4"/>
      </w:pPr>
      <w:bookmarkStart w:id="221" w:name="_Toc272414681"/>
      <w:bookmarkStart w:id="222" w:name="_Toc290846319"/>
      <w:bookmarkStart w:id="223" w:name="_Toc341441463"/>
      <w:r w:rsidRPr="008B7ADC">
        <w:t>Liver toxicity</w:t>
      </w:r>
      <w:bookmarkEnd w:id="221"/>
      <w:bookmarkEnd w:id="222"/>
      <w:bookmarkEnd w:id="223"/>
    </w:p>
    <w:p w:rsidR="008B7ADC" w:rsidRPr="004547B1" w:rsidRDefault="008B7ADC" w:rsidP="008C7E5D">
      <w:r w:rsidRPr="004547B1">
        <w:t xml:space="preserve">Overall, the data does not provide unequivocal evidence supporting an association between ivacaftor and transaminase elevations. In all instances, the elevations in </w:t>
      </w:r>
      <w:proofErr w:type="spellStart"/>
      <w:r w:rsidRPr="004547B1">
        <w:t>transaminases</w:t>
      </w:r>
      <w:proofErr w:type="spellEnd"/>
      <w:r w:rsidRPr="004547B1">
        <w:t xml:space="preserve"> were reversible. While elevations in </w:t>
      </w:r>
      <w:proofErr w:type="spellStart"/>
      <w:r w:rsidRPr="004547B1">
        <w:t>transaminases</w:t>
      </w:r>
      <w:proofErr w:type="spellEnd"/>
      <w:r w:rsidRPr="004547B1">
        <w:t xml:space="preserve"> resulted in study drug discontinuation in some cases, this occurred in both the ivacaftor and placebo groups. In all remaining cases, study drug dosing was continued or resumed following brief interruptions and alternative </w:t>
      </w:r>
      <w:proofErr w:type="spellStart"/>
      <w:r w:rsidRPr="004547B1">
        <w:t>etiologies</w:t>
      </w:r>
      <w:proofErr w:type="spellEnd"/>
      <w:r w:rsidRPr="004547B1">
        <w:t xml:space="preserve"> were likely. </w:t>
      </w:r>
    </w:p>
    <w:p w:rsidR="008B7ADC" w:rsidRPr="004547B1" w:rsidRDefault="008B7ADC" w:rsidP="008C7E5D">
      <w:r w:rsidRPr="004547B1">
        <w:t xml:space="preserve">Subjects who have a medical history of transaminase elevations may be more likely to have transaminase elevations following ivacaftor treatment but the limited number of subjects involved does not allow for a definitive conclusion. The data suggests that moderate transaminase elevations (≥3 × ULN to 5 × ULN) often resolve without interruption or discontinuation of therapy. Since the majority of ivacaftor-treated subjects with elevations of ALT or AST ≥5 × ULN had dosing interrupted, it seems advisable to interrupt dosing at this threshold which has been incorporated into the proposed PI. </w:t>
      </w:r>
    </w:p>
    <w:p w:rsidR="008B7ADC" w:rsidRPr="008B7ADC" w:rsidRDefault="008B7ADC" w:rsidP="008C7E5D">
      <w:pPr>
        <w:pStyle w:val="Heading4"/>
      </w:pPr>
      <w:bookmarkStart w:id="224" w:name="_Toc272414682"/>
      <w:bookmarkStart w:id="225" w:name="_Toc290846320"/>
      <w:bookmarkStart w:id="226" w:name="_Toc341441464"/>
      <w:r w:rsidRPr="008B7ADC">
        <w:t>Haematological toxicity</w:t>
      </w:r>
      <w:bookmarkEnd w:id="224"/>
      <w:bookmarkEnd w:id="225"/>
      <w:bookmarkEnd w:id="226"/>
    </w:p>
    <w:p w:rsidR="008B7ADC" w:rsidRPr="008B7ADC" w:rsidRDefault="008B7ADC" w:rsidP="008C7E5D">
      <w:pPr>
        <w:rPr>
          <w:lang w:eastAsia="ja-JP"/>
        </w:rPr>
      </w:pPr>
      <w:r w:rsidRPr="008B7ADC">
        <w:rPr>
          <w:lang w:eastAsia="ja-JP"/>
        </w:rPr>
        <w:t xml:space="preserve">Not applicable. </w:t>
      </w:r>
    </w:p>
    <w:p w:rsidR="008B7ADC" w:rsidRPr="008B7ADC" w:rsidRDefault="008B7ADC" w:rsidP="008C7E5D">
      <w:pPr>
        <w:pStyle w:val="Heading4"/>
      </w:pPr>
      <w:bookmarkStart w:id="227" w:name="_Toc272414683"/>
      <w:bookmarkStart w:id="228" w:name="_Toc290846321"/>
      <w:bookmarkStart w:id="229" w:name="_Toc341441465"/>
      <w:r w:rsidRPr="008B7ADC">
        <w:t>Serious skin reactions</w:t>
      </w:r>
      <w:bookmarkEnd w:id="227"/>
      <w:bookmarkEnd w:id="228"/>
      <w:bookmarkEnd w:id="229"/>
    </w:p>
    <w:p w:rsidR="008B7ADC" w:rsidRPr="008B7ADC" w:rsidRDefault="008B7ADC" w:rsidP="008C7E5D">
      <w:pPr>
        <w:rPr>
          <w:lang w:eastAsia="ja-JP"/>
        </w:rPr>
      </w:pPr>
      <w:r w:rsidRPr="008B7ADC">
        <w:rPr>
          <w:lang w:eastAsia="ja-JP"/>
        </w:rPr>
        <w:t xml:space="preserve">Not applicable. </w:t>
      </w:r>
    </w:p>
    <w:p w:rsidR="008B7ADC" w:rsidRPr="008B7ADC" w:rsidRDefault="008B7ADC" w:rsidP="008C7E5D">
      <w:pPr>
        <w:pStyle w:val="Heading4"/>
      </w:pPr>
      <w:bookmarkStart w:id="230" w:name="_Toc272414684"/>
      <w:bookmarkStart w:id="231" w:name="_Toc290846322"/>
      <w:bookmarkStart w:id="232" w:name="_Toc341441466"/>
      <w:r w:rsidRPr="008B7ADC">
        <w:t>Cardiovascular safety</w:t>
      </w:r>
      <w:bookmarkEnd w:id="230"/>
      <w:bookmarkEnd w:id="231"/>
      <w:bookmarkEnd w:id="232"/>
    </w:p>
    <w:p w:rsidR="008B7ADC" w:rsidRPr="004547B1" w:rsidRDefault="008B7ADC" w:rsidP="008C7E5D">
      <w:r w:rsidRPr="004547B1">
        <w:t xml:space="preserve">Treatment with ivacaftor was not associated with an increased incidence of clinically significant cardiac arrhythmias, including </w:t>
      </w:r>
      <w:proofErr w:type="spellStart"/>
      <w:r w:rsidRPr="004547B1">
        <w:t>supraventricular</w:t>
      </w:r>
      <w:proofErr w:type="spellEnd"/>
      <w:r w:rsidRPr="004547B1">
        <w:t xml:space="preserve"> and ventricular </w:t>
      </w:r>
      <w:proofErr w:type="spellStart"/>
      <w:r w:rsidRPr="004547B1">
        <w:t>ectopy</w:t>
      </w:r>
      <w:proofErr w:type="spellEnd"/>
      <w:r w:rsidRPr="004547B1">
        <w:t xml:space="preserve">, or with a prolonged QT as measured by 12-lead standard ECGs and 24-hour ambulatory ECGs. </w:t>
      </w:r>
    </w:p>
    <w:p w:rsidR="008B7ADC" w:rsidRPr="008B7ADC" w:rsidRDefault="008B7ADC" w:rsidP="008C7E5D">
      <w:pPr>
        <w:pStyle w:val="Heading4"/>
      </w:pPr>
      <w:bookmarkStart w:id="233" w:name="_Toc241374323"/>
      <w:bookmarkStart w:id="234" w:name="_Toc272414685"/>
      <w:bookmarkStart w:id="235" w:name="_Toc290846323"/>
      <w:bookmarkStart w:id="236" w:name="_Toc341441467"/>
      <w:r w:rsidRPr="008B7ADC">
        <w:t>Unwanted immunological events</w:t>
      </w:r>
      <w:bookmarkEnd w:id="233"/>
      <w:bookmarkEnd w:id="234"/>
      <w:bookmarkEnd w:id="235"/>
      <w:bookmarkEnd w:id="236"/>
    </w:p>
    <w:p w:rsidR="008B7ADC" w:rsidRPr="008B7ADC" w:rsidRDefault="008B7ADC" w:rsidP="008C7E5D">
      <w:pPr>
        <w:rPr>
          <w:lang w:eastAsia="ja-JP"/>
        </w:rPr>
      </w:pPr>
      <w:r w:rsidRPr="008B7ADC">
        <w:rPr>
          <w:lang w:eastAsia="ja-JP"/>
        </w:rPr>
        <w:t xml:space="preserve">Not applicable. </w:t>
      </w:r>
    </w:p>
    <w:p w:rsidR="008B7ADC" w:rsidRPr="008B7ADC" w:rsidRDefault="008B7ADC" w:rsidP="008C7E5D">
      <w:pPr>
        <w:pStyle w:val="Heading3"/>
      </w:pPr>
      <w:bookmarkStart w:id="237" w:name="_Toc272414686"/>
      <w:bookmarkStart w:id="238" w:name="_Ref273005527"/>
      <w:bookmarkStart w:id="239" w:name="_Toc290846324"/>
      <w:bookmarkStart w:id="240" w:name="_Toc341441468"/>
      <w:bookmarkStart w:id="241" w:name="_Toc375055443"/>
      <w:r w:rsidRPr="008B7ADC">
        <w:t>Other safety issues</w:t>
      </w:r>
      <w:bookmarkEnd w:id="237"/>
      <w:bookmarkEnd w:id="238"/>
      <w:bookmarkEnd w:id="239"/>
      <w:bookmarkEnd w:id="240"/>
      <w:bookmarkEnd w:id="241"/>
    </w:p>
    <w:p w:rsidR="008B7ADC" w:rsidRPr="008B7ADC" w:rsidRDefault="008B7ADC" w:rsidP="008C7E5D">
      <w:pPr>
        <w:pStyle w:val="Heading4"/>
      </w:pPr>
      <w:bookmarkStart w:id="242" w:name="_Toc241374322"/>
      <w:bookmarkStart w:id="243" w:name="_Ref272331212"/>
      <w:bookmarkStart w:id="244" w:name="_Toc272414687"/>
      <w:bookmarkStart w:id="245" w:name="_Toc290846325"/>
      <w:bookmarkStart w:id="246" w:name="_Toc341441469"/>
      <w:r w:rsidRPr="008B7ADC">
        <w:t>Safety in special populations</w:t>
      </w:r>
      <w:bookmarkEnd w:id="242"/>
      <w:bookmarkEnd w:id="243"/>
      <w:bookmarkEnd w:id="244"/>
      <w:bookmarkEnd w:id="245"/>
      <w:bookmarkEnd w:id="246"/>
    </w:p>
    <w:p w:rsidR="008B7ADC" w:rsidRPr="00257814" w:rsidRDefault="008B7ADC" w:rsidP="008C7E5D">
      <w:r w:rsidRPr="00257814">
        <w:t xml:space="preserve">Subgroup analyses of AEs and laboratory evaluations were performed for the pooled Phase 2b/3 studies to assess the impact of the following intrinsic and extrinsic factors: age, sex, geographic region, history of liver disease/elevated liver function tests, history of CF related diabetes and similar terms (increased blood glucose, impaired glucose tolerance, abnormal glucose tolerance test, </w:t>
      </w:r>
      <w:proofErr w:type="spellStart"/>
      <w:r w:rsidRPr="00257814">
        <w:t>glycosuria</w:t>
      </w:r>
      <w:proofErr w:type="spellEnd"/>
      <w:r w:rsidRPr="00257814">
        <w:t xml:space="preserve">, </w:t>
      </w:r>
      <w:proofErr w:type="spellStart"/>
      <w:r w:rsidRPr="00257814">
        <w:t>hyperglycemia</w:t>
      </w:r>
      <w:proofErr w:type="spellEnd"/>
      <w:r w:rsidRPr="00257814">
        <w:t>, and Type 1 diabetes mellitus), FEV1 severity, and genotype (</w:t>
      </w:r>
      <w:r w:rsidRPr="00257814">
        <w:rPr>
          <w:i/>
          <w:iCs/>
        </w:rPr>
        <w:t>G551D</w:t>
      </w:r>
      <w:r w:rsidRPr="00257814">
        <w:t xml:space="preserve"> mutation in the </w:t>
      </w:r>
      <w:r w:rsidRPr="00257814">
        <w:rPr>
          <w:i/>
          <w:iCs/>
        </w:rPr>
        <w:t>CFTR</w:t>
      </w:r>
      <w:r w:rsidRPr="00257814">
        <w:t xml:space="preserve"> gene versus the </w:t>
      </w:r>
      <w:r w:rsidRPr="00257814">
        <w:rPr>
          <w:i/>
          <w:iCs/>
        </w:rPr>
        <w:t>F508del</w:t>
      </w:r>
      <w:r w:rsidRPr="00257814">
        <w:t xml:space="preserve"> mutation in the </w:t>
      </w:r>
      <w:r w:rsidRPr="00257814">
        <w:rPr>
          <w:i/>
          <w:iCs/>
        </w:rPr>
        <w:t>CFTR</w:t>
      </w:r>
      <w:r w:rsidRPr="00257814">
        <w:t xml:space="preserve"> gene). </w:t>
      </w:r>
    </w:p>
    <w:p w:rsidR="008B7ADC" w:rsidRPr="008B7ADC" w:rsidRDefault="008B7ADC" w:rsidP="008C7E5D">
      <w:pPr>
        <w:rPr>
          <w:lang w:eastAsia="ja-JP"/>
        </w:rPr>
      </w:pPr>
      <w:r w:rsidRPr="009D0DED">
        <w:rPr>
          <w:b/>
          <w:lang w:eastAsia="ja-JP"/>
        </w:rPr>
        <w:t>Age:</w:t>
      </w:r>
      <w:r w:rsidRPr="008B7ADC">
        <w:rPr>
          <w:b/>
          <w:lang w:eastAsia="ja-JP"/>
        </w:rPr>
        <w:t xml:space="preserve"> </w:t>
      </w:r>
      <w:r w:rsidRPr="008B7ADC">
        <w:rPr>
          <w:lang w:eastAsia="ja-JP"/>
        </w:rPr>
        <w:t xml:space="preserve">Ivacaftor has not been studied in subjects &lt;6 or &gt;53 years of age. In the pooled placebo-controlled Phase 2b/3 studies, subgroup analyses of AEs by age (less than 18 of age and 18 years of age or greater) revealed that within each age subgroup, the incidence of AEs was similar in the ivacaftor and placebo groups.  The most common AEs (incidence of at least 20%) in subjects less than 18 years of age were cough (52.2%), CF lung (36.2%), </w:t>
      </w:r>
      <w:proofErr w:type="spellStart"/>
      <w:r w:rsidRPr="008B7ADC">
        <w:rPr>
          <w:lang w:eastAsia="ja-JP"/>
        </w:rPr>
        <w:t>oropharyngeal</w:t>
      </w:r>
      <w:proofErr w:type="spellEnd"/>
      <w:r w:rsidRPr="008B7ADC">
        <w:rPr>
          <w:lang w:eastAsia="ja-JP"/>
        </w:rPr>
        <w:t xml:space="preserve"> pain (24.6%), headache (22.5%) and pyrexia (22.5%). Of the commonly observed AEs, the incidence of cough, CF lung, and pyrexia was lower (at least 3% difference) in the ivacaftor group than the place</w:t>
      </w:r>
      <w:r w:rsidR="00257814">
        <w:rPr>
          <w:lang w:eastAsia="ja-JP"/>
        </w:rPr>
        <w:t xml:space="preserve">bo group. The most common AEs </w:t>
      </w:r>
      <w:r w:rsidRPr="008B7ADC">
        <w:rPr>
          <w:lang w:eastAsia="ja-JP"/>
        </w:rPr>
        <w:t>(incidence of at least 20%) in subjects greater than 18 years of age were CF lung (38.6%) and cough (26.5%). The incidence of CF lung was lower (at least 3% difference) in the ivacaftor group than the placebo group. Overall, there were no evident age related safety findings in subjects 6 years of age and older.</w:t>
      </w:r>
    </w:p>
    <w:p w:rsidR="008B7ADC" w:rsidRPr="00257814" w:rsidRDefault="008B7ADC" w:rsidP="008C7E5D">
      <w:r w:rsidRPr="009D0DED">
        <w:rPr>
          <w:b/>
          <w:lang w:eastAsia="ja-JP"/>
        </w:rPr>
        <w:lastRenderedPageBreak/>
        <w:t>Sex:</w:t>
      </w:r>
      <w:r w:rsidRPr="008B7ADC">
        <w:rPr>
          <w:lang w:eastAsia="ja-JP"/>
        </w:rPr>
        <w:t xml:space="preserve"> </w:t>
      </w:r>
      <w:r w:rsidRPr="00257814">
        <w:t xml:space="preserve">Approximately equal numbers of males and females were enrolled in the pooled placebo-controlled Phase 2b/3 studies. Subgroup analyses by sex demonstrated that the incidence of AEs was similar in female and male subjects (94.9% </w:t>
      </w:r>
      <w:proofErr w:type="spellStart"/>
      <w:r w:rsidRPr="00257814">
        <w:t>vs</w:t>
      </w:r>
      <w:proofErr w:type="spellEnd"/>
      <w:r w:rsidRPr="00257814">
        <w:t xml:space="preserve"> 93.2%). For the males, the incidence of AEs was 98.6% </w:t>
      </w:r>
      <w:r w:rsidR="00B3431F" w:rsidRPr="00257814">
        <w:t xml:space="preserve">in the placebo group </w:t>
      </w:r>
      <w:r w:rsidRPr="00257814">
        <w:t>vs. 89.6%</w:t>
      </w:r>
      <w:r w:rsidR="00B3431F" w:rsidRPr="00257814">
        <w:t xml:space="preserve"> in the ivacaftor group</w:t>
      </w:r>
      <w:r w:rsidRPr="00257814">
        <w:t xml:space="preserve">, but the incidence of AEs was similar in females (95.2% and 94.8%). In both male subjects and female subjects, the most common AEs (incidence of at least 20%) were cough and CF lung, which occurred less commonly in the ivacaftor group than the placebo group. There were no relevant differences in the incidence of AEs observed in male subjects or female subjects in either the ivacaftor or placebo groups. </w:t>
      </w:r>
    </w:p>
    <w:p w:rsidR="008B7ADC" w:rsidRPr="00257814" w:rsidRDefault="008B7ADC" w:rsidP="008C7E5D">
      <w:r w:rsidRPr="009D0DED">
        <w:rPr>
          <w:b/>
          <w:lang w:eastAsia="ja-JP"/>
        </w:rPr>
        <w:t>Race:</w:t>
      </w:r>
      <w:r w:rsidRPr="008B7ADC">
        <w:rPr>
          <w:lang w:eastAsia="ja-JP"/>
        </w:rPr>
        <w:t xml:space="preserve"> </w:t>
      </w:r>
      <w:r w:rsidRPr="00257814">
        <w:t xml:space="preserve">Approximately 97% of subjects were White due to the higher prevalence of CF in this demographic group. Hence, a subgroup analysis by race was not conducted as the number of subjects in the other racial subgroups was too small to enable reliable comparative analyses. </w:t>
      </w:r>
    </w:p>
    <w:p w:rsidR="008B7ADC" w:rsidRPr="00257814" w:rsidRDefault="008B7ADC" w:rsidP="008C7E5D">
      <w:r w:rsidRPr="009D0DED">
        <w:rPr>
          <w:b/>
          <w:lang w:eastAsia="ja-JP"/>
        </w:rPr>
        <w:t>Baseline percent predicted FEV1:</w:t>
      </w:r>
      <w:r w:rsidRPr="008B7ADC">
        <w:rPr>
          <w:lang w:eastAsia="ja-JP"/>
        </w:rPr>
        <w:t xml:space="preserve"> </w:t>
      </w:r>
      <w:r w:rsidRPr="00257814">
        <w:t>These studies enrolled 13, 146, 116 and 78 subjects with percent predicted FEV1 &lt;40%, ≥40% to &lt;70%, ≥70% to ≤90%, and &gt;90%, respectively and the incidence of AEs was 100%, 93.2%, 94.8% and 93.6%, respectively. Many of the most common AEs within each FEV1 subgroup were common manifestations of CF. As expected based on the clinical characteristics of patients with severe CF lung disease, subjects with an FEV1 &lt;40% had a greater number of AEs that occurred at a higher incidence (at least 20%) compared to other subgroups, although interpretation was limited by small size of the subgroup. There did not appear to be a major difference in the safety profile in this group compared to the other FEV1</w:t>
      </w:r>
      <w:r w:rsidRPr="008B7ADC">
        <w:rPr>
          <w:lang w:eastAsia="ja-JP"/>
        </w:rPr>
        <w:t xml:space="preserve"> </w:t>
      </w:r>
      <w:r w:rsidRPr="00257814">
        <w:t>subgroups. Of the AEs in the FEV1 &lt;40%, nasal congestion, abdominal pain, rash, URTI, dizziness, and headache were reported at a higher incidence in the ivacaftor group than the placebo group. Overall, there were no notable differences in the pattern of AEs related to severity of lung disease (defined by baseline percent predicted FEV1).</w:t>
      </w:r>
    </w:p>
    <w:p w:rsidR="008B7ADC" w:rsidRPr="00257814" w:rsidRDefault="008B7ADC" w:rsidP="008C7E5D">
      <w:r w:rsidRPr="009D0DED">
        <w:rPr>
          <w:b/>
          <w:lang w:eastAsia="ja-JP"/>
        </w:rPr>
        <w:t>Renal impairment:</w:t>
      </w:r>
      <w:r w:rsidRPr="008B7ADC">
        <w:rPr>
          <w:lang w:eastAsia="ja-JP"/>
        </w:rPr>
        <w:t xml:space="preserve"> </w:t>
      </w:r>
      <w:r w:rsidRPr="00257814">
        <w:t>Ivacaftor was not evaluated in subjects with renal impairment.  No dose adjustments are recommended for mild and moderate renal impairment patients because of minimal elimination of ivacaftor and its metabolites in urine (only 6.6% of total radioactivity was recovered in the urine in a human PK study), and there was negligible elimination of ivacaft</w:t>
      </w:r>
      <w:r w:rsidR="00F17771">
        <w:t xml:space="preserve">or (&lt;0.01%). </w:t>
      </w:r>
      <w:r w:rsidRPr="00257814">
        <w:t xml:space="preserve">However, caution is recommended when administering ivacaftor to patients with severe renal impairment (creatinine clearance less than or equal to 30 mL/min) or end stage renal disease. </w:t>
      </w:r>
    </w:p>
    <w:p w:rsidR="008B7ADC" w:rsidRPr="008B7ADC" w:rsidRDefault="008B7ADC" w:rsidP="008C7E5D">
      <w:pPr>
        <w:rPr>
          <w:lang w:eastAsia="ja-JP"/>
        </w:rPr>
      </w:pPr>
      <w:r w:rsidRPr="009D0DED">
        <w:rPr>
          <w:b/>
          <w:lang w:eastAsia="ja-JP"/>
        </w:rPr>
        <w:t>Hepatic impairment:</w:t>
      </w:r>
      <w:r w:rsidRPr="008B7ADC">
        <w:rPr>
          <w:b/>
          <w:lang w:eastAsia="ja-JP"/>
        </w:rPr>
        <w:t xml:space="preserve"> </w:t>
      </w:r>
      <w:r w:rsidRPr="008B7ADC">
        <w:rPr>
          <w:lang w:eastAsia="ja-JP"/>
        </w:rPr>
        <w:t xml:space="preserve">In study 013, compared with healthy subjects matched for demographics, subjects with moderate hepatic impairment had similar </w:t>
      </w:r>
      <w:proofErr w:type="spellStart"/>
      <w:r w:rsidRPr="008B7ADC">
        <w:rPr>
          <w:lang w:eastAsia="ja-JP"/>
        </w:rPr>
        <w:t>ivacaftor</w:t>
      </w:r>
      <w:proofErr w:type="spellEnd"/>
      <w:r w:rsidRPr="008B7ADC">
        <w:rPr>
          <w:lang w:eastAsia="ja-JP"/>
        </w:rPr>
        <w:t xml:space="preserve"> </w:t>
      </w:r>
      <w:proofErr w:type="spellStart"/>
      <w:r w:rsidRPr="008B7ADC">
        <w:rPr>
          <w:lang w:eastAsia="ja-JP"/>
        </w:rPr>
        <w:t>Cmax</w:t>
      </w:r>
      <w:proofErr w:type="spellEnd"/>
      <w:r w:rsidRPr="008B7ADC">
        <w:rPr>
          <w:lang w:eastAsia="ja-JP"/>
        </w:rPr>
        <w:t xml:space="preserve"> but an approximately 2-fold increase in ivacaftor AUC</w:t>
      </w:r>
      <w:r w:rsidRPr="008B7ADC">
        <w:rPr>
          <w:vertAlign w:val="subscript"/>
          <w:lang w:eastAsia="ja-JP"/>
        </w:rPr>
        <w:t>0-∞</w:t>
      </w:r>
      <w:r w:rsidRPr="008B7ADC">
        <w:rPr>
          <w:lang w:eastAsia="ja-JP"/>
        </w:rPr>
        <w:t xml:space="preserve">.  No subjects discontinued study drug due to AEs. The incidence of AEs was higher in subjects with moderate hepatic impairment (3 [25%] subjects had a total of 4 AEs: convulsion, headache, </w:t>
      </w:r>
      <w:proofErr w:type="spellStart"/>
      <w:r w:rsidRPr="008B7ADC">
        <w:rPr>
          <w:lang w:eastAsia="ja-JP"/>
        </w:rPr>
        <w:t>hydrocholecystis</w:t>
      </w:r>
      <w:proofErr w:type="spellEnd"/>
      <w:r w:rsidRPr="008B7ADC">
        <w:rPr>
          <w:lang w:eastAsia="ja-JP"/>
        </w:rPr>
        <w:t xml:space="preserve">, </w:t>
      </w:r>
      <w:proofErr w:type="spellStart"/>
      <w:r w:rsidRPr="008B7ADC">
        <w:rPr>
          <w:lang w:eastAsia="ja-JP"/>
        </w:rPr>
        <w:t>seborrhoeic</w:t>
      </w:r>
      <w:proofErr w:type="spellEnd"/>
      <w:r w:rsidRPr="008B7ADC">
        <w:rPr>
          <w:lang w:eastAsia="ja-JP"/>
        </w:rPr>
        <w:t xml:space="preserve"> dermatitis) than in healthy subjects (1 [8.3%] subject had 1 adverse event: upper respiratory tract infection). No AEs (by preferred term) were reported in more than 1 subject in either of the 2 study groups, and no AEs were considered by the investigator to be related to study drug. There were no clinically meaningful trends attributed to ivacaftor in clinical laboratory evaluations, vital signs, ECGs, or physical examination findings. Because moderate hepatic impairment (Child-Pugh Class B) doubles the exposure of ivacaftor compared to that in healthy subjects, it is recommended that the dose be reduced from 150 mg q12h to 150 mg once daily. The impact of severe hepatic impairment (Child-Pugh Class C) on pharmacokinetics of ivacaftor has not been evaluated and the magnitude of increase in exposure in these patients is expected to be higher than that observed in mild or moderate hepatic impairment. </w:t>
      </w:r>
    </w:p>
    <w:p w:rsidR="008B7ADC" w:rsidRPr="00EF4F73" w:rsidRDefault="008B7ADC" w:rsidP="008C7E5D">
      <w:pPr>
        <w:ind w:left="1418" w:hanging="1418"/>
      </w:pPr>
      <w:r w:rsidRPr="00EF4F73">
        <w:rPr>
          <w:b/>
          <w:bCs/>
          <w:lang w:eastAsia="ja-JP"/>
        </w:rPr>
        <w:t>Comments:</w:t>
      </w:r>
      <w:r w:rsidRPr="008B7ADC">
        <w:rPr>
          <w:lang w:eastAsia="ja-JP"/>
        </w:rPr>
        <w:t xml:space="preserve"> </w:t>
      </w:r>
      <w:r w:rsidRPr="008B7ADC">
        <w:rPr>
          <w:lang w:eastAsia="ja-JP"/>
        </w:rPr>
        <w:tab/>
      </w:r>
      <w:r w:rsidRPr="00EF4F73">
        <w:t xml:space="preserve">The sponsor’s statement that ‘Patients with mild hepatic impairment (Child-Pugh Class A) do not require dose adjustment because the effects on clearance are expected to be smaller than in Child-Pugh Class B patients.’ Is not justified as ivacaftor was not evaluated in patients with mild hepatic impairment. </w:t>
      </w:r>
    </w:p>
    <w:p w:rsidR="008B7ADC" w:rsidRPr="00257814" w:rsidRDefault="008B7ADC" w:rsidP="008C7E5D">
      <w:r w:rsidRPr="009D0DED">
        <w:rPr>
          <w:b/>
          <w:bCs/>
          <w:lang w:eastAsia="ja-JP"/>
        </w:rPr>
        <w:lastRenderedPageBreak/>
        <w:t>Subjects With a Medical History of Liver Disease (Cirrhotic and Non-Cirrhotic) and a History of Liver Enzyme Elevations</w:t>
      </w:r>
      <w:r w:rsidRPr="00257814">
        <w:rPr>
          <w:b/>
          <w:bCs/>
        </w:rPr>
        <w:t>:</w:t>
      </w:r>
      <w:r w:rsidRPr="00257814">
        <w:t xml:space="preserve">  In the Phase 2b/3 studies, baseline incidence of subjects with history of CF liver d</w:t>
      </w:r>
      <w:r w:rsidR="00F17771">
        <w:t>isease that included the terms “liver enzymes elevated”</w:t>
      </w:r>
      <w:r w:rsidRPr="00257814">
        <w:t xml:space="preserve"> (</w:t>
      </w:r>
      <w:proofErr w:type="spellStart"/>
      <w:r w:rsidRPr="00257814">
        <w:t>ivacafto</w:t>
      </w:r>
      <w:r w:rsidR="00F17771">
        <w:t>r</w:t>
      </w:r>
      <w:proofErr w:type="spellEnd"/>
      <w:r w:rsidR="00F17771">
        <w:t xml:space="preserve"> </w:t>
      </w:r>
      <w:proofErr w:type="spellStart"/>
      <w:r w:rsidR="00F17771">
        <w:t>vs</w:t>
      </w:r>
      <w:proofErr w:type="spellEnd"/>
      <w:r w:rsidR="00F17771">
        <w:t xml:space="preserve"> placebo: 14.9% </w:t>
      </w:r>
      <w:proofErr w:type="spellStart"/>
      <w:r w:rsidR="00F17771">
        <w:t>vs</w:t>
      </w:r>
      <w:proofErr w:type="spellEnd"/>
      <w:r w:rsidR="00F17771">
        <w:t xml:space="preserve"> 15.2%), “</w:t>
      </w:r>
      <w:r w:rsidRPr="00257814">
        <w:t>liver disease withou</w:t>
      </w:r>
      <w:r w:rsidR="00F17771">
        <w:t xml:space="preserve">t cirrhosis,” (9% </w:t>
      </w:r>
      <w:proofErr w:type="spellStart"/>
      <w:r w:rsidR="00F17771">
        <w:t>vs</w:t>
      </w:r>
      <w:proofErr w:type="spellEnd"/>
      <w:r w:rsidR="00F17771">
        <w:t xml:space="preserve"> 9.8%) and “</w:t>
      </w:r>
      <w:r w:rsidRPr="00257814">
        <w:t>cir</w:t>
      </w:r>
      <w:r w:rsidR="00F17771">
        <w:t>rhosis with portal hypertension”</w:t>
      </w:r>
      <w:r w:rsidRPr="00257814">
        <w:t xml:space="preserve"> (0.9% </w:t>
      </w:r>
      <w:proofErr w:type="spellStart"/>
      <w:r w:rsidRPr="00257814">
        <w:t>vs</w:t>
      </w:r>
      <w:proofErr w:type="spellEnd"/>
      <w:r w:rsidRPr="00257814">
        <w:t xml:space="preserve"> 1.5%) were similar in the ivacaftor and placebo groups. In the pooled placebo-controlled Phase 2b/3 studies, a higher proportion of subjects in the ivacaftor group who had a history of elevated liver enzymes had maximum on-treatment AST ≥8 × ULN, and ALT or AST levels ≥1 ×, ≥2 ×, ≥3 ×, and ≥5 × ULN compared to those in the placebo group who had a history of elevated liver enzymes. The most commonly observed AEs (incidence of at least 20%) in subjects in either subgroup (with or without a history of liver disease) were cough and CF lung. Similar to other subgroups and the population as a whole, the events of cough occurred less commonly in the ivacaftor group than the placebo group. </w:t>
      </w:r>
    </w:p>
    <w:p w:rsidR="008B7ADC" w:rsidRPr="008B7ADC" w:rsidRDefault="008B7ADC" w:rsidP="008C7E5D">
      <w:pPr>
        <w:rPr>
          <w:lang w:eastAsia="ja-JP"/>
        </w:rPr>
      </w:pPr>
      <w:r w:rsidRPr="009D0DED">
        <w:rPr>
          <w:b/>
          <w:lang w:eastAsia="ja-JP"/>
        </w:rPr>
        <w:t>CFTR genotype</w:t>
      </w:r>
      <w:r w:rsidRPr="008B7ADC">
        <w:rPr>
          <w:b/>
          <w:lang w:eastAsia="ja-JP"/>
        </w:rPr>
        <w:t>:</w:t>
      </w:r>
      <w:r w:rsidRPr="008B7ADC">
        <w:rPr>
          <w:lang w:eastAsia="ja-JP"/>
        </w:rPr>
        <w:t xml:space="preserve"> </w:t>
      </w:r>
      <w:r w:rsidRPr="00257814">
        <w:t xml:space="preserve">The placebo-controlled Phase 2b study (Study 104 Part A) enrolled subjects who were homozygous for the </w:t>
      </w:r>
      <w:r w:rsidRPr="005A76BE">
        <w:rPr>
          <w:i/>
          <w:iCs/>
        </w:rPr>
        <w:t xml:space="preserve">F508del </w:t>
      </w:r>
      <w:r w:rsidRPr="00257814">
        <w:t xml:space="preserve">mutation in the </w:t>
      </w:r>
      <w:r w:rsidRPr="005A76BE">
        <w:rPr>
          <w:i/>
          <w:iCs/>
        </w:rPr>
        <w:t>CFTR</w:t>
      </w:r>
      <w:r w:rsidRPr="00257814">
        <w:t xml:space="preserve"> gene, and the placebo-controlled Phase 3 studies (Studies 102 and 103) enrolled subjects who had the </w:t>
      </w:r>
      <w:r w:rsidRPr="00DC2370">
        <w:rPr>
          <w:i/>
          <w:iCs/>
        </w:rPr>
        <w:t>G551D</w:t>
      </w:r>
      <w:r w:rsidRPr="00257814">
        <w:t xml:space="preserve"> mutation in at least 1 allele of the </w:t>
      </w:r>
      <w:r w:rsidRPr="005A76BE">
        <w:rPr>
          <w:i/>
          <w:iCs/>
        </w:rPr>
        <w:t>CFTR</w:t>
      </w:r>
      <w:r w:rsidRPr="00257814">
        <w:t xml:space="preserve"> gene. The most common AEs (incidence of at least 10% in any treatment group) in either population were CF lung, cough, headache, </w:t>
      </w:r>
      <w:proofErr w:type="spellStart"/>
      <w:r w:rsidRPr="00257814">
        <w:t>oropharyngeal</w:t>
      </w:r>
      <w:proofErr w:type="spellEnd"/>
      <w:r w:rsidRPr="00257814">
        <w:t xml:space="preserve"> pain, nasal congestion, and fatigue. Overall, there were no obvious differences in the incidence of AEs in the 2 populations</w:t>
      </w:r>
      <w:r w:rsidR="009D0DED" w:rsidRPr="00257814">
        <w:t>.</w:t>
      </w:r>
      <w:r w:rsidRPr="00257814">
        <w:t xml:space="preserve"> However, interpretation was limited by:-1) the small number of subjects in the placebo group in Study 104 Part A (n = 28) compared those in Studies 102 and 103 Part B (n = 104); 2) the short duration of treatment in Study 104 Part </w:t>
      </w:r>
      <w:r w:rsidR="00B3431F" w:rsidRPr="00257814">
        <w:t>A</w:t>
      </w:r>
      <w:r w:rsidRPr="00257814">
        <w:t xml:space="preserve"> (16 weeks total); and 3) the</w:t>
      </w:r>
      <w:r w:rsidRPr="008B7ADC">
        <w:rPr>
          <w:lang w:eastAsia="ja-JP"/>
        </w:rPr>
        <w:t xml:space="preserve"> differences in the rates of AEs in the placebo groups for Studies 104 Part B, 102, and 104.  Subgroup analyses of the Phase 3 safety data by the </w:t>
      </w:r>
      <w:r w:rsidRPr="008B7ADC">
        <w:rPr>
          <w:i/>
          <w:iCs/>
          <w:lang w:eastAsia="ja-JP"/>
        </w:rPr>
        <w:t xml:space="preserve">CFTR </w:t>
      </w:r>
      <w:r w:rsidRPr="008B7ADC">
        <w:rPr>
          <w:lang w:eastAsia="ja-JP"/>
        </w:rPr>
        <w:t xml:space="preserve">mutation in the second allele were not conducted because the majority (77%) of subjects enrolled in the Phase 3 studies had the </w:t>
      </w:r>
      <w:r w:rsidRPr="008B7ADC">
        <w:rPr>
          <w:i/>
          <w:iCs/>
          <w:lang w:eastAsia="ja-JP"/>
        </w:rPr>
        <w:t xml:space="preserve">F508del </w:t>
      </w:r>
      <w:r w:rsidRPr="008B7ADC">
        <w:rPr>
          <w:lang w:eastAsia="ja-JP"/>
        </w:rPr>
        <w:t xml:space="preserve">mutation in the </w:t>
      </w:r>
      <w:r w:rsidRPr="008B7ADC">
        <w:rPr>
          <w:i/>
          <w:iCs/>
          <w:lang w:eastAsia="ja-JP"/>
        </w:rPr>
        <w:t xml:space="preserve">CFTR </w:t>
      </w:r>
      <w:r w:rsidRPr="008B7ADC">
        <w:rPr>
          <w:lang w:eastAsia="ja-JP"/>
        </w:rPr>
        <w:t xml:space="preserve">gene in the second allele, and the frequency of other mutations in the </w:t>
      </w:r>
      <w:r w:rsidRPr="008B7ADC">
        <w:rPr>
          <w:i/>
          <w:iCs/>
          <w:lang w:eastAsia="ja-JP"/>
        </w:rPr>
        <w:t xml:space="preserve">CFTR </w:t>
      </w:r>
      <w:r w:rsidRPr="008B7ADC">
        <w:rPr>
          <w:lang w:eastAsia="ja-JP"/>
        </w:rPr>
        <w:t xml:space="preserve">gene in the second allele was less than 4% (1 to 5 subjects in the pooled Study 102 and 103 population). </w:t>
      </w:r>
    </w:p>
    <w:p w:rsidR="008B7ADC" w:rsidRPr="008B7ADC" w:rsidRDefault="008B7ADC" w:rsidP="008C7E5D">
      <w:pPr>
        <w:rPr>
          <w:lang w:eastAsia="ja-JP"/>
        </w:rPr>
      </w:pPr>
      <w:r w:rsidRPr="009D0DED">
        <w:rPr>
          <w:b/>
          <w:lang w:eastAsia="ja-JP"/>
        </w:rPr>
        <w:t>Geographic factors</w:t>
      </w:r>
      <w:r w:rsidRPr="008B7ADC">
        <w:rPr>
          <w:b/>
          <w:lang w:eastAsia="ja-JP"/>
        </w:rPr>
        <w:t xml:space="preserve">: </w:t>
      </w:r>
      <w:r w:rsidRPr="008B7ADC">
        <w:rPr>
          <w:lang w:eastAsia="ja-JP"/>
        </w:rPr>
        <w:t xml:space="preserve">The incidence of AEs in the ivacaftor and placebo groups in subjects from North America, Europe, and Australia was similar. The AEs with the highest incidence (≥20%) in North America were cough and CF lung, both of which had a lower incidence in the ivacaftor group than the placebo group. The AEs with the highest incidence (≥20%) in Europe were cough, CF lung, URTI, and headache. CF lung and URTI had a lower incidence in the ivacaftor group than in the placebo group.  The AEs with the highest incidence (at least 20%) in Australia were cough, productive cough, URTI, </w:t>
      </w:r>
      <w:proofErr w:type="spellStart"/>
      <w:r w:rsidRPr="008B7ADC">
        <w:rPr>
          <w:lang w:eastAsia="ja-JP"/>
        </w:rPr>
        <w:t>nasopharyngitis</w:t>
      </w:r>
      <w:proofErr w:type="spellEnd"/>
      <w:r w:rsidRPr="008B7ADC">
        <w:rPr>
          <w:lang w:eastAsia="ja-JP"/>
        </w:rPr>
        <w:t xml:space="preserve">, CF lung, headache, bacteria in sputum, and abdominal pain. Cough, productive cough, bacteria in sputum, and abdominal pain had a lower incidence in the ivacaftor group than in the placebo group, whereas, URTI, and </w:t>
      </w:r>
      <w:proofErr w:type="spellStart"/>
      <w:r w:rsidRPr="008B7ADC">
        <w:rPr>
          <w:lang w:eastAsia="ja-JP"/>
        </w:rPr>
        <w:t>nasopharyngitis</w:t>
      </w:r>
      <w:proofErr w:type="spellEnd"/>
      <w:r w:rsidRPr="008B7ADC">
        <w:rPr>
          <w:lang w:eastAsia="ja-JP"/>
        </w:rPr>
        <w:t xml:space="preserve"> had a higher incidence in the ivacaftor group than in the placebo group.</w:t>
      </w:r>
    </w:p>
    <w:p w:rsidR="008B7ADC" w:rsidRPr="00257814" w:rsidRDefault="008B7ADC" w:rsidP="008C7E5D">
      <w:r w:rsidRPr="009D0DED">
        <w:rPr>
          <w:b/>
          <w:lang w:eastAsia="ja-JP"/>
        </w:rPr>
        <w:t>Safety in pregnancy and lactation</w:t>
      </w:r>
      <w:r w:rsidRPr="008B7ADC">
        <w:rPr>
          <w:b/>
          <w:lang w:eastAsia="ja-JP"/>
        </w:rPr>
        <w:t>:</w:t>
      </w:r>
      <w:r w:rsidRPr="008B7ADC">
        <w:rPr>
          <w:lang w:eastAsia="ja-JP"/>
        </w:rPr>
        <w:t xml:space="preserve"> </w:t>
      </w:r>
      <w:r w:rsidRPr="00257814">
        <w:t xml:space="preserve">The effects of ivacaftor on conception, pregnancy, and lactation in humans are not known as no adequate and well-controlled studies of ivacaftor in pregnant or lactating women have been conducted. Ivacaftor has shown no </w:t>
      </w:r>
      <w:proofErr w:type="spellStart"/>
      <w:r w:rsidRPr="00257814">
        <w:t>teratogenic</w:t>
      </w:r>
      <w:proofErr w:type="spellEnd"/>
      <w:r w:rsidRPr="00257814">
        <w:t xml:space="preserve"> potential in </w:t>
      </w:r>
      <w:proofErr w:type="spellStart"/>
      <w:r w:rsidRPr="00257814">
        <w:t>fetal</w:t>
      </w:r>
      <w:proofErr w:type="spellEnd"/>
      <w:r w:rsidRPr="00257814">
        <w:t xml:space="preserve"> developmental studies in rats and rabbits. Ivacaftor was also shown to have no effects on fertility in male or female rats. Ivacaftor was excreted into the milk of lactating female rats.  Pregnancy or the potential to become pregnant and breastfeeding have been exclusion criteria in all clinical studies with ivacaftor conducted to date. Hence, there are no prospective data on the effect of ivacaftor on pregnancy or lactation. There were 3 pregnancies reported during the ivacaftor clinical development program: 2 female subjects (one of whom had a spontaneous abortion and no follow-up data on the other female patient) and 1 male subject whose female partner became pregnant during his participation in a clinical study (follow-up data not available). </w:t>
      </w:r>
    </w:p>
    <w:p w:rsidR="008B7ADC" w:rsidRPr="008B7ADC" w:rsidRDefault="008B7ADC" w:rsidP="00BD407B">
      <w:pPr>
        <w:pStyle w:val="Heading4"/>
      </w:pPr>
      <w:bookmarkStart w:id="247" w:name="_Toc241374324"/>
      <w:bookmarkStart w:id="248" w:name="_Ref272331214"/>
      <w:bookmarkStart w:id="249" w:name="_Toc272414688"/>
      <w:bookmarkStart w:id="250" w:name="_Toc290846326"/>
      <w:bookmarkStart w:id="251" w:name="_Toc341441470"/>
      <w:r w:rsidRPr="008B7ADC">
        <w:lastRenderedPageBreak/>
        <w:t>Safety related to drug-drug interactions and other interactions</w:t>
      </w:r>
      <w:bookmarkEnd w:id="247"/>
      <w:bookmarkEnd w:id="248"/>
      <w:bookmarkEnd w:id="249"/>
      <w:bookmarkEnd w:id="250"/>
      <w:bookmarkEnd w:id="251"/>
    </w:p>
    <w:p w:rsidR="008B7ADC" w:rsidRPr="00257814" w:rsidRDefault="008B7ADC" w:rsidP="00BD407B">
      <w:r w:rsidRPr="00257814">
        <w:t>Study 809-005 was a Phase 1, randomized, double-blind, placebo-controlled, multiple-dose, 3-treatment period, drug-drug interaction study investigating VX-809</w:t>
      </w:r>
      <w:r w:rsidRPr="00257814">
        <w:rPr>
          <w:vertAlign w:val="superscript"/>
        </w:rPr>
        <w:footnoteReference w:id="17"/>
      </w:r>
      <w:r w:rsidRPr="00257814">
        <w:t xml:space="preserve"> alone, ivacaftor alone, and VX-809 </w:t>
      </w:r>
      <w:proofErr w:type="spellStart"/>
      <w:r w:rsidRPr="00257814">
        <w:t>coadministered</w:t>
      </w:r>
      <w:proofErr w:type="spellEnd"/>
      <w:r w:rsidRPr="00257814">
        <w:t xml:space="preserve"> with </w:t>
      </w:r>
      <w:proofErr w:type="spellStart"/>
      <w:r w:rsidRPr="00257814">
        <w:t>ivacaftor</w:t>
      </w:r>
      <w:proofErr w:type="spellEnd"/>
      <w:r w:rsidRPr="00257814">
        <w:t xml:space="preserve"> in 24 healthy adult subjects. Dosing with VX-809 alone, ivacaftor alone, or VX-809 </w:t>
      </w:r>
      <w:proofErr w:type="spellStart"/>
      <w:r w:rsidRPr="00257814">
        <w:t>coadministered</w:t>
      </w:r>
      <w:proofErr w:type="spellEnd"/>
      <w:r w:rsidRPr="00257814">
        <w:t xml:space="preserve"> with </w:t>
      </w:r>
      <w:proofErr w:type="spellStart"/>
      <w:r w:rsidRPr="00257814">
        <w:t>ivacaftor</w:t>
      </w:r>
      <w:proofErr w:type="spellEnd"/>
      <w:r w:rsidRPr="00257814">
        <w:t xml:space="preserve"> was generally well tolerated with no SAEs or related adverse events resulting in study drug discontinuation. The co-administration of ivacaftor and VX-809 for 14 days did not result in an increase in AEs compared with ivacaftor or VX-809 when each was dosed alone. The most common events (i.e., reported by 3 or more subjects) in the ivacaftor alone treatment group were headache (8 subjects, 44.4%), influenza-like illness (5 subjects, 27.8%), cough (4 subjects, 22.2%), and vomiting, </w:t>
      </w:r>
      <w:proofErr w:type="spellStart"/>
      <w:r w:rsidRPr="00257814">
        <w:t>pharyngitis</w:t>
      </w:r>
      <w:proofErr w:type="spellEnd"/>
      <w:r w:rsidRPr="00257814">
        <w:t xml:space="preserve">, and decreased appetite (each in 3 subjects, 16.7%). The most common AE in the placebo group were headache and abdominal pain (each in 50% of subjects). There were no clinically significant laboratory abnormalities or changes in vital signs, physical findings, or ECGs for all 3 treatment periods. </w:t>
      </w:r>
    </w:p>
    <w:p w:rsidR="008B7ADC" w:rsidRPr="008B7ADC" w:rsidRDefault="008B7ADC" w:rsidP="00BD407B">
      <w:pPr>
        <w:pStyle w:val="Heading4"/>
      </w:pPr>
      <w:bookmarkStart w:id="252" w:name="_Toc272414689"/>
      <w:bookmarkStart w:id="253" w:name="_Toc290846327"/>
      <w:bookmarkStart w:id="254" w:name="_Toc341441471"/>
      <w:r w:rsidRPr="008B7ADC">
        <w:t xml:space="preserve">Safety in </w:t>
      </w:r>
      <w:r w:rsidR="00BD407B">
        <w:t>p</w:t>
      </w:r>
      <w:r w:rsidRPr="008B7ADC">
        <w:t>hase 1 studies</w:t>
      </w:r>
      <w:bookmarkEnd w:id="252"/>
      <w:bookmarkEnd w:id="253"/>
      <w:bookmarkEnd w:id="254"/>
    </w:p>
    <w:p w:rsidR="008B7ADC" w:rsidRPr="00257814" w:rsidRDefault="008B7ADC" w:rsidP="00BD407B">
      <w:r w:rsidRPr="00257814">
        <w:t xml:space="preserve">In the Phase 1 studies, 376 healthy subjects (who do not have CF) from 13 studies received at least 1 dose of </w:t>
      </w:r>
      <w:proofErr w:type="spellStart"/>
      <w:r w:rsidRPr="00257814">
        <w:t>ivacaftor</w:t>
      </w:r>
      <w:proofErr w:type="spellEnd"/>
      <w:r w:rsidRPr="00257814">
        <w:t xml:space="preserve"> alone or </w:t>
      </w:r>
      <w:proofErr w:type="spellStart"/>
      <w:r w:rsidRPr="00257814">
        <w:t>coadministered</w:t>
      </w:r>
      <w:proofErr w:type="spellEnd"/>
      <w:r w:rsidRPr="00257814">
        <w:t xml:space="preserve"> with another drug: 258 subjects were included in the 10 pooled Phase 1 studies and 118 subjects were from 3 non-pooled studies (Studies 008, 013, and 809-005). Nine subjects were included in 2 taste profiling studies (Studies 004 and</w:t>
      </w:r>
      <w:r w:rsidRPr="008B7ADC">
        <w:rPr>
          <w:lang w:eastAsia="ja-JP"/>
        </w:rPr>
        <w:t xml:space="preserve"> </w:t>
      </w:r>
      <w:r w:rsidRPr="00257814">
        <w:t>014)</w:t>
      </w:r>
      <w:r w:rsidR="009D0DED" w:rsidRPr="00257814">
        <w:t>.</w:t>
      </w:r>
      <w:r w:rsidRPr="00257814">
        <w:t xml:space="preserve"> Majority of the AEs were mild or moderate and there were no SAEs or deaths in the Phase 1 studies</w:t>
      </w:r>
      <w:r w:rsidR="009D0DED" w:rsidRPr="00257814">
        <w:t>.</w:t>
      </w:r>
      <w:r w:rsidRPr="00257814">
        <w:t xml:space="preserve"> The most common AEs (at least 5% of the subjects exposed to ivacaftor) were product quality issue (21.7%) (bad taste due to initial formulation [polyethylene glycol solution]), headache (17.8%), dizziness (5.0%), </w:t>
      </w:r>
      <w:r w:rsidR="009D0DED" w:rsidRPr="00257814">
        <w:t>diarrhoea</w:t>
      </w:r>
      <w:r w:rsidRPr="00257814">
        <w:t xml:space="preserve"> (7.0%), nausea (6.2%), and cough (6.2%). The incidence of headache and dizziness was higher (at least 3%) in the ivacaftor group (12.3% and 3.9%, respectively) than the placebo group (9.1% and no subjects, respectively), which is consistent with the slightly higher incidence of headache and dizziness observed in the ivacaftor group in the Phase 2b/3 studies in subjects with CF. Ten (3.9%) subjects had adverse events that led to study drug discontinuation in the pooled Phase 1 studies 9 of these AEs were considered to be related or possibly related to the administered study drug</w:t>
      </w:r>
      <w:r w:rsidR="009D0DED" w:rsidRPr="00257814">
        <w:t>.</w:t>
      </w:r>
      <w:r w:rsidRPr="00257814">
        <w:t xml:space="preserve"> All laboratory abnormalities reported as AEs occurred in less than 1 percent of subjects who received ivacaftor alone and were mild in severity</w:t>
      </w:r>
      <w:r w:rsidR="009D0DED" w:rsidRPr="00257814">
        <w:t>.</w:t>
      </w:r>
      <w:r w:rsidRPr="00257814">
        <w:t xml:space="preserve"> </w:t>
      </w:r>
    </w:p>
    <w:p w:rsidR="008B7ADC" w:rsidRPr="00257814" w:rsidRDefault="008B7ADC" w:rsidP="00BD407B">
      <w:r w:rsidRPr="00257814">
        <w:t xml:space="preserve">Treatment with ivacaftor at the therapeutic dose (150 mg q12h) or </w:t>
      </w:r>
      <w:proofErr w:type="spellStart"/>
      <w:r w:rsidRPr="00257814">
        <w:t>supratherapeutic</w:t>
      </w:r>
      <w:proofErr w:type="spellEnd"/>
      <w:r w:rsidRPr="00257814">
        <w:t xml:space="preserve"> dose (450 mg q12h) had no effect on the </w:t>
      </w:r>
      <w:proofErr w:type="spellStart"/>
      <w:r w:rsidRPr="00257814">
        <w:t>QTcF</w:t>
      </w:r>
      <w:proofErr w:type="spellEnd"/>
      <w:r w:rsidRPr="00257814">
        <w:t xml:space="preserve"> and </w:t>
      </w:r>
      <w:proofErr w:type="spellStart"/>
      <w:r w:rsidRPr="00257814">
        <w:t>QTcB</w:t>
      </w:r>
      <w:proofErr w:type="spellEnd"/>
      <w:r w:rsidRPr="00257814">
        <w:t xml:space="preserve"> intervals (Study 008).</w:t>
      </w:r>
    </w:p>
    <w:p w:rsidR="008B7ADC" w:rsidRPr="00257814" w:rsidRDefault="008B7ADC" w:rsidP="00BD407B">
      <w:r w:rsidRPr="00257814">
        <w:t xml:space="preserve">In study 013, after a single dose of 150 mg of ivacaftor, subjects with moderately impaired hepatic function (Child-Pugh Class B, score 7 to 9)had similar </w:t>
      </w:r>
      <w:proofErr w:type="spellStart"/>
      <w:r w:rsidRPr="00257814">
        <w:t>ivacaftor</w:t>
      </w:r>
      <w:proofErr w:type="spellEnd"/>
      <w:r w:rsidRPr="00257814">
        <w:t xml:space="preserve"> </w:t>
      </w:r>
      <w:proofErr w:type="spellStart"/>
      <w:r w:rsidRPr="00257814">
        <w:t>Cmax</w:t>
      </w:r>
      <w:proofErr w:type="spellEnd"/>
      <w:r w:rsidRPr="00257814">
        <w:t>, but an approximately 2-fold increase in AUC from the time of dosing extrapolated to infinity compared with healthy subjects matched for demographics. No new or otherwise clinically meaningful AEs were observed.</w:t>
      </w:r>
    </w:p>
    <w:p w:rsidR="008B7ADC" w:rsidRPr="008B7ADC" w:rsidRDefault="008B7ADC" w:rsidP="00BD407B">
      <w:pPr>
        <w:pStyle w:val="Heading4"/>
      </w:pPr>
      <w:bookmarkStart w:id="255" w:name="_Toc272414690"/>
      <w:bookmarkStart w:id="256" w:name="_Toc290846328"/>
      <w:bookmarkStart w:id="257" w:name="_Toc341441472"/>
      <w:r w:rsidRPr="008B7ADC">
        <w:t>Safety data in ongoing and other studies</w:t>
      </w:r>
      <w:bookmarkEnd w:id="255"/>
      <w:bookmarkEnd w:id="256"/>
      <w:bookmarkEnd w:id="257"/>
    </w:p>
    <w:p w:rsidR="008B7ADC" w:rsidRPr="00257814" w:rsidRDefault="008B7ADC" w:rsidP="00BD407B">
      <w:r w:rsidRPr="00257814">
        <w:t xml:space="preserve">In the ongoing Phase 2 study 106, 17 subjects had started treatment in the study and 2 SAEs were reported at the time of the cut-off date (distal </w:t>
      </w:r>
      <w:proofErr w:type="spellStart"/>
      <w:r w:rsidRPr="00257814">
        <w:t>ileal</w:t>
      </w:r>
      <w:proofErr w:type="spellEnd"/>
      <w:r w:rsidRPr="00257814">
        <w:t xml:space="preserve"> obstruction syndrome in 1 subject and Pseudomonas infection in 1 subject). Both of these events were considered not related to study drug by the investigator and resolved without interruption or discontinuation of study drug dosing. </w:t>
      </w:r>
    </w:p>
    <w:p w:rsidR="008B7ADC" w:rsidRPr="00257814" w:rsidRDefault="008B7ADC" w:rsidP="00BD407B">
      <w:r w:rsidRPr="00257814">
        <w:t xml:space="preserve">In the Phase2 study 107, 8 subjects were treated in the study and no SAEs were reported at the time of the cut-off date. </w:t>
      </w:r>
    </w:p>
    <w:p w:rsidR="008B7ADC" w:rsidRPr="008B7ADC" w:rsidRDefault="008B7ADC" w:rsidP="00BD407B">
      <w:pPr>
        <w:pStyle w:val="Heading4"/>
      </w:pPr>
      <w:bookmarkStart w:id="258" w:name="_Toc341441473"/>
      <w:r w:rsidRPr="008B7ADC">
        <w:lastRenderedPageBreak/>
        <w:t>Other safety data</w:t>
      </w:r>
      <w:bookmarkEnd w:id="258"/>
    </w:p>
    <w:p w:rsidR="008B7ADC" w:rsidRPr="008B7ADC" w:rsidRDefault="008B7ADC" w:rsidP="00BD407B">
      <w:pPr>
        <w:rPr>
          <w:lang w:eastAsia="ja-JP"/>
        </w:rPr>
      </w:pPr>
      <w:r w:rsidRPr="009D0DED">
        <w:rPr>
          <w:b/>
          <w:lang w:eastAsia="ja-JP"/>
        </w:rPr>
        <w:t>Overdose</w:t>
      </w:r>
      <w:r w:rsidRPr="008B7ADC">
        <w:rPr>
          <w:b/>
          <w:lang w:eastAsia="ja-JP"/>
        </w:rPr>
        <w:t>:</w:t>
      </w:r>
      <w:r w:rsidRPr="008B7ADC">
        <w:rPr>
          <w:lang w:eastAsia="ja-JP"/>
        </w:rPr>
        <w:t xml:space="preserve"> There have been no reports of overdose in su</w:t>
      </w:r>
      <w:r w:rsidR="00F17771">
        <w:rPr>
          <w:lang w:eastAsia="ja-JP"/>
        </w:rPr>
        <w:t xml:space="preserve">bjects who received ivacaftor. </w:t>
      </w:r>
      <w:r w:rsidRPr="008B7ADC">
        <w:rPr>
          <w:lang w:eastAsia="ja-JP"/>
        </w:rPr>
        <w:t>Ivacaftor doses as high as 500 mg/kg in rats and 2000 mg/kg in mice were well tolerated. These doses are 13- and 27-fold higher, respectively, than the intended daily therapeutic</w:t>
      </w:r>
      <w:r w:rsidR="00F17771">
        <w:rPr>
          <w:lang w:eastAsia="ja-JP"/>
        </w:rPr>
        <w:t xml:space="preserve"> dose of 300 mg for ivacaftor. </w:t>
      </w:r>
      <w:r w:rsidRPr="008B7ADC">
        <w:rPr>
          <w:lang w:eastAsia="ja-JP"/>
        </w:rPr>
        <w:t>The highest single dose used in a clinical study was 800 mg in a solution formulation (Study 001). The highest repeated dose used in a clinical study was 450 mg (in a tablet formulation) every 12 hours for 4.5 days (9 doses) in the thorough QT study 008</w:t>
      </w:r>
      <w:r w:rsidRPr="008B7ADC">
        <w:rPr>
          <w:vertAlign w:val="superscript"/>
          <w:lang w:eastAsia="ja-JP"/>
        </w:rPr>
        <w:footnoteReference w:id="18"/>
      </w:r>
      <w:r w:rsidRPr="008B7ADC">
        <w:rPr>
          <w:lang w:eastAsia="ja-JP"/>
        </w:rPr>
        <w:t xml:space="preserve">. No statistically significant relationships between </w:t>
      </w:r>
      <w:proofErr w:type="spellStart"/>
      <w:r w:rsidRPr="008B7ADC">
        <w:rPr>
          <w:lang w:eastAsia="ja-JP"/>
        </w:rPr>
        <w:t>QTcF</w:t>
      </w:r>
      <w:proofErr w:type="spellEnd"/>
      <w:r w:rsidRPr="008B7ADC">
        <w:rPr>
          <w:lang w:eastAsia="ja-JP"/>
        </w:rPr>
        <w:t xml:space="preserve"> changes with </w:t>
      </w:r>
      <w:proofErr w:type="spellStart"/>
      <w:r w:rsidRPr="008B7ADC">
        <w:rPr>
          <w:lang w:eastAsia="ja-JP"/>
        </w:rPr>
        <w:t>ivacaftor</w:t>
      </w:r>
      <w:proofErr w:type="spellEnd"/>
      <w:r w:rsidRPr="008B7ADC">
        <w:rPr>
          <w:lang w:eastAsia="ja-JP"/>
        </w:rPr>
        <w:t xml:space="preserve">/M1/M6 concentrations were determined from linear mixed-effects models. Adverse events reported at a higher incidence in either of the 2 ivacaftor treatments as compared to placebo included: contact dermatitis, dizziness, and </w:t>
      </w:r>
      <w:r w:rsidR="009D0DED" w:rsidRPr="008B7ADC">
        <w:rPr>
          <w:lang w:eastAsia="ja-JP"/>
        </w:rPr>
        <w:t>diarrhoea</w:t>
      </w:r>
      <w:r w:rsidRPr="008B7ADC">
        <w:rPr>
          <w:lang w:eastAsia="ja-JP"/>
        </w:rPr>
        <w:t>. Contact dermatitis (likely from application of ECG leads) was reported at a higher incidence in the ivacaftor 450 mg q12h treatment as compared to the iv</w:t>
      </w:r>
      <w:r w:rsidR="00F17771">
        <w:rPr>
          <w:lang w:eastAsia="ja-JP"/>
        </w:rPr>
        <w:t xml:space="preserve">acaftor 150 mg q12h treatment. </w:t>
      </w:r>
      <w:r w:rsidRPr="008B7ADC">
        <w:rPr>
          <w:lang w:eastAsia="ja-JP"/>
        </w:rPr>
        <w:t xml:space="preserve">No specific antidote is available for overdose with ivacaftor. Treatment of overdose with ivacaftor consists of general supportive measures including monitoring of vital signs and observation of the clinical status of the patient. It is not known if ivacaftor can be cleared by </w:t>
      </w:r>
      <w:proofErr w:type="spellStart"/>
      <w:r w:rsidRPr="008B7ADC">
        <w:rPr>
          <w:lang w:eastAsia="ja-JP"/>
        </w:rPr>
        <w:t>hemodialysis</w:t>
      </w:r>
      <w:proofErr w:type="spellEnd"/>
      <w:r w:rsidRPr="008B7ADC">
        <w:rPr>
          <w:lang w:eastAsia="ja-JP"/>
        </w:rPr>
        <w:t>.</w:t>
      </w:r>
    </w:p>
    <w:p w:rsidR="008B7ADC" w:rsidRPr="008B7ADC" w:rsidRDefault="008B7ADC" w:rsidP="00BD407B">
      <w:pPr>
        <w:rPr>
          <w:lang w:eastAsia="ja-JP"/>
        </w:rPr>
      </w:pPr>
      <w:r w:rsidRPr="009D0DED">
        <w:rPr>
          <w:b/>
          <w:lang w:eastAsia="ja-JP"/>
        </w:rPr>
        <w:t>Abuse potential</w:t>
      </w:r>
      <w:r w:rsidRPr="008B7ADC">
        <w:rPr>
          <w:b/>
          <w:lang w:eastAsia="ja-JP"/>
        </w:rPr>
        <w:t>:</w:t>
      </w:r>
      <w:r w:rsidRPr="008B7ADC">
        <w:rPr>
          <w:lang w:eastAsia="ja-JP"/>
        </w:rPr>
        <w:t xml:space="preserve"> The abuse potential of ivacaftor was not evaluated. Evaluation of AEs does not reveal evidence of euphoria, sedation, or mood alteration and there were no clinically meaningful central nervous system findings in the nonclinical or clinical studies of ivacaftor. </w:t>
      </w:r>
    </w:p>
    <w:p w:rsidR="008B7ADC" w:rsidRPr="008B7ADC" w:rsidRDefault="008B7ADC" w:rsidP="00BD407B">
      <w:pPr>
        <w:rPr>
          <w:lang w:eastAsia="ja-JP"/>
        </w:rPr>
      </w:pPr>
      <w:r w:rsidRPr="009D0DED">
        <w:rPr>
          <w:b/>
          <w:lang w:eastAsia="ja-JP"/>
        </w:rPr>
        <w:t>Withdrawal and rebound effects</w:t>
      </w:r>
      <w:r w:rsidRPr="008B7ADC">
        <w:rPr>
          <w:b/>
          <w:lang w:eastAsia="ja-JP"/>
        </w:rPr>
        <w:t>:</w:t>
      </w:r>
      <w:r w:rsidRPr="008B7ADC">
        <w:rPr>
          <w:lang w:eastAsia="ja-JP"/>
        </w:rPr>
        <w:t xml:space="preserve"> Studies or systematic analyses to evaluate the potential withdrawal and rebound effects of ivacaftor have not been conducted.  In the pooled placebo-controlled Phase 2b/3 studies, subjects were </w:t>
      </w:r>
      <w:proofErr w:type="spellStart"/>
      <w:r w:rsidRPr="008B7ADC">
        <w:rPr>
          <w:lang w:eastAsia="ja-JP"/>
        </w:rPr>
        <w:t>dosed</w:t>
      </w:r>
      <w:proofErr w:type="spellEnd"/>
      <w:r w:rsidRPr="008B7ADC">
        <w:rPr>
          <w:lang w:eastAsia="ja-JP"/>
        </w:rPr>
        <w:t xml:space="preserve"> with </w:t>
      </w:r>
      <w:proofErr w:type="spellStart"/>
      <w:r w:rsidRPr="008B7ADC">
        <w:rPr>
          <w:lang w:eastAsia="ja-JP"/>
        </w:rPr>
        <w:t>ivacaftor</w:t>
      </w:r>
      <w:proofErr w:type="spellEnd"/>
      <w:r w:rsidRPr="008B7ADC">
        <w:rPr>
          <w:lang w:eastAsia="ja-JP"/>
        </w:rPr>
        <w:t xml:space="preserve"> for up to 48 weeks. The overall safety and tolerability profile of ivacaftor did not appear to be negatively impacted by interruption, discontinuation, or treatment completion of ivacaftor.</w:t>
      </w:r>
    </w:p>
    <w:p w:rsidR="008B7ADC" w:rsidRPr="008B7ADC" w:rsidRDefault="008B7ADC" w:rsidP="00BD407B">
      <w:pPr>
        <w:rPr>
          <w:lang w:eastAsia="ja-JP"/>
        </w:rPr>
      </w:pPr>
      <w:r w:rsidRPr="009D0DED">
        <w:rPr>
          <w:b/>
          <w:lang w:eastAsia="ja-JP"/>
        </w:rPr>
        <w:t>Ability to drive or operate machinery</w:t>
      </w:r>
      <w:r w:rsidRPr="008B7ADC">
        <w:rPr>
          <w:b/>
          <w:lang w:eastAsia="ja-JP"/>
        </w:rPr>
        <w:t xml:space="preserve">: </w:t>
      </w:r>
      <w:r w:rsidRPr="008B7ADC">
        <w:rPr>
          <w:lang w:eastAsia="ja-JP"/>
        </w:rPr>
        <w:t>No studies on the effects of ivacaftor on the ability to drive or operate machinery have been performed. The observed incidence of AEs that may alter the ability to drive or operate machinery were identified in the pooled Phase 2b/3 studies of which dizziness is the only AE that might impact the ability to drive or operate machinery</w:t>
      </w:r>
      <w:r w:rsidR="009D0DED">
        <w:rPr>
          <w:lang w:eastAsia="ja-JP"/>
        </w:rPr>
        <w:t>.</w:t>
      </w:r>
      <w:r w:rsidRPr="008B7ADC">
        <w:rPr>
          <w:lang w:eastAsia="ja-JP"/>
        </w:rPr>
        <w:t xml:space="preserve"> Patients experiencing dizziness should be advised not to drive or operate machinery until symptoms abate.</w:t>
      </w:r>
    </w:p>
    <w:p w:rsidR="008B7ADC" w:rsidRPr="008B7ADC" w:rsidRDefault="008B7ADC" w:rsidP="00BD407B">
      <w:pPr>
        <w:pStyle w:val="Heading3"/>
      </w:pPr>
      <w:bookmarkStart w:id="259" w:name="_Toc241374328"/>
      <w:bookmarkStart w:id="260" w:name="_Toc272414691"/>
      <w:bookmarkStart w:id="261" w:name="_Toc290846329"/>
      <w:bookmarkStart w:id="262" w:name="_Toc341441474"/>
      <w:bookmarkStart w:id="263" w:name="_Toc375055444"/>
      <w:r w:rsidRPr="008B7ADC">
        <w:t>Evaluator’s overall conclusions on clinical safety</w:t>
      </w:r>
      <w:bookmarkEnd w:id="259"/>
      <w:bookmarkEnd w:id="260"/>
      <w:bookmarkEnd w:id="261"/>
      <w:bookmarkEnd w:id="262"/>
      <w:bookmarkEnd w:id="263"/>
    </w:p>
    <w:p w:rsidR="008B7ADC" w:rsidRPr="008B7ADC" w:rsidRDefault="008B7ADC" w:rsidP="00BD407B">
      <w:pPr>
        <w:rPr>
          <w:lang w:eastAsia="ja-JP"/>
        </w:rPr>
      </w:pPr>
      <w:r w:rsidRPr="008B7ADC">
        <w:rPr>
          <w:lang w:eastAsia="ja-JP"/>
        </w:rPr>
        <w:t xml:space="preserve">A total of 683 subjects were exposed to ivacaftor in the ivacaftor clinical development program: 364 healthy subjects (including 12 subjects with hepatic impairment) and 307 subjects with CF who have a </w:t>
      </w:r>
      <w:r w:rsidRPr="008B7ADC">
        <w:rPr>
          <w:i/>
          <w:iCs/>
          <w:lang w:eastAsia="ja-JP"/>
        </w:rPr>
        <w:t xml:space="preserve">G551D </w:t>
      </w:r>
      <w:r w:rsidRPr="008B7ADC">
        <w:rPr>
          <w:lang w:eastAsia="ja-JP"/>
        </w:rPr>
        <w:t xml:space="preserve">mutation in the </w:t>
      </w:r>
      <w:r w:rsidRPr="008B7ADC">
        <w:rPr>
          <w:i/>
          <w:iCs/>
          <w:lang w:eastAsia="ja-JP"/>
        </w:rPr>
        <w:t xml:space="preserve">CFTR </w:t>
      </w:r>
      <w:r w:rsidRPr="008B7ADC">
        <w:rPr>
          <w:lang w:eastAsia="ja-JP"/>
        </w:rPr>
        <w:t xml:space="preserve">gene or who are homozygous for the </w:t>
      </w:r>
      <w:r w:rsidRPr="008B7ADC">
        <w:rPr>
          <w:i/>
          <w:iCs/>
          <w:lang w:eastAsia="ja-JP"/>
        </w:rPr>
        <w:t xml:space="preserve">F508del </w:t>
      </w:r>
      <w:r w:rsidRPr="008B7ADC">
        <w:rPr>
          <w:lang w:eastAsia="ja-JP"/>
        </w:rPr>
        <w:t xml:space="preserve">mutation in the </w:t>
      </w:r>
      <w:r w:rsidRPr="008B7ADC">
        <w:rPr>
          <w:i/>
          <w:iCs/>
          <w:lang w:eastAsia="ja-JP"/>
        </w:rPr>
        <w:t xml:space="preserve">CFTR </w:t>
      </w:r>
      <w:r w:rsidRPr="008B7ADC">
        <w:rPr>
          <w:lang w:eastAsia="ja-JP"/>
        </w:rPr>
        <w:t>gene. A total of 293 subjects with CF (</w:t>
      </w:r>
      <w:r w:rsidRPr="008B7ADC">
        <w:rPr>
          <w:i/>
          <w:iCs/>
          <w:lang w:eastAsia="ja-JP"/>
        </w:rPr>
        <w:t xml:space="preserve">G551D </w:t>
      </w:r>
      <w:r w:rsidRPr="008B7ADC">
        <w:rPr>
          <w:lang w:eastAsia="ja-JP"/>
        </w:rPr>
        <w:t xml:space="preserve">or </w:t>
      </w:r>
      <w:r w:rsidRPr="008B7ADC">
        <w:rPr>
          <w:i/>
          <w:iCs/>
          <w:lang w:eastAsia="ja-JP"/>
        </w:rPr>
        <w:t xml:space="preserve">F508del </w:t>
      </w:r>
      <w:r w:rsidRPr="008B7ADC">
        <w:rPr>
          <w:lang w:eastAsia="ja-JP"/>
        </w:rPr>
        <w:t xml:space="preserve">mutations in the </w:t>
      </w:r>
      <w:r w:rsidRPr="008B7ADC">
        <w:rPr>
          <w:i/>
          <w:iCs/>
          <w:lang w:eastAsia="ja-JP"/>
        </w:rPr>
        <w:t xml:space="preserve">CFTR </w:t>
      </w:r>
      <w:r w:rsidRPr="008B7ADC">
        <w:rPr>
          <w:lang w:eastAsia="ja-JP"/>
        </w:rPr>
        <w:t xml:space="preserve">gene) received the proposed dose of ivacaftor 150 mg q12h in the Phase 2b/3 studies. Ivacaftor was well tolerated and most subjects completed treatment (93.7% and 87.9% of subjects in the ivacaftor and placebo groups, respectively). The mean treatment duration in the pooled placebo-controlled Phase 2b/3 studies was 218.1 days for subjects in the ivacaftor group. A total of 101 subjects were treated with ivacaftor for 48 weeks and 63 subjects were treated for 60 weeks. </w:t>
      </w:r>
    </w:p>
    <w:p w:rsidR="008B7ADC" w:rsidRPr="008B7ADC" w:rsidRDefault="008B7ADC" w:rsidP="00BD407B">
      <w:pPr>
        <w:rPr>
          <w:lang w:eastAsia="ja-JP"/>
        </w:rPr>
      </w:pPr>
      <w:r w:rsidRPr="008B7ADC">
        <w:rPr>
          <w:lang w:eastAsia="ja-JP"/>
        </w:rPr>
        <w:t xml:space="preserve">In the pooled Phase 2b/3 studies, the majority (89.8%) of subjects who received at least 1 dose of ivacaftor had an AE.  In the placebo-controlled studies, nearly all subjects in the ivacaftor (92.3%) and placebo (97.0%) groups had AEs. The incidence of AEs considered by the investigator to be related to the study drug was similar between the ivacaftor (33.5%) and placebo (34.1%) groups. There were no deaths in any of the pooled Phase 2b/3 studies. In the </w:t>
      </w:r>
      <w:r w:rsidRPr="008B7ADC">
        <w:rPr>
          <w:lang w:eastAsia="ja-JP"/>
        </w:rPr>
        <w:lastRenderedPageBreak/>
        <w:t xml:space="preserve">placebo-controlled studies, the incidence of SAEs was lower in the ivacaftor group than the placebo group (17.6% </w:t>
      </w:r>
      <w:proofErr w:type="spellStart"/>
      <w:r w:rsidRPr="008B7ADC">
        <w:rPr>
          <w:lang w:eastAsia="ja-JP"/>
        </w:rPr>
        <w:t>vs</w:t>
      </w:r>
      <w:proofErr w:type="spellEnd"/>
      <w:r w:rsidRPr="008B7ADC">
        <w:rPr>
          <w:lang w:eastAsia="ja-JP"/>
        </w:rPr>
        <w:t xml:space="preserve"> 34.8%), as was the incidence of AEs leading to study drug discontinuation (1.8% </w:t>
      </w:r>
      <w:proofErr w:type="spellStart"/>
      <w:r w:rsidRPr="008B7ADC">
        <w:rPr>
          <w:lang w:eastAsia="ja-JP"/>
        </w:rPr>
        <w:t>vs</w:t>
      </w:r>
      <w:proofErr w:type="spellEnd"/>
      <w:r w:rsidRPr="008B7ADC">
        <w:rPr>
          <w:lang w:eastAsia="ja-JP"/>
        </w:rPr>
        <w:t xml:space="preserve"> 5.3%). The incidence of AEs leading to study drug interruption in these studies was similar between the ivacaftor and placebo groups (7.2% </w:t>
      </w:r>
      <w:proofErr w:type="spellStart"/>
      <w:r w:rsidRPr="008B7ADC">
        <w:rPr>
          <w:lang w:eastAsia="ja-JP"/>
        </w:rPr>
        <w:t>vs</w:t>
      </w:r>
      <w:proofErr w:type="spellEnd"/>
      <w:r w:rsidRPr="008B7ADC">
        <w:rPr>
          <w:lang w:eastAsia="ja-JP"/>
        </w:rPr>
        <w:t xml:space="preserve"> 7.6%).</w:t>
      </w:r>
    </w:p>
    <w:p w:rsidR="008B7ADC" w:rsidRPr="008B7ADC" w:rsidRDefault="008B7ADC" w:rsidP="00BD407B">
      <w:pPr>
        <w:rPr>
          <w:lang w:eastAsia="ja-JP"/>
        </w:rPr>
      </w:pPr>
      <w:r w:rsidRPr="008B7ADC">
        <w:rPr>
          <w:lang w:eastAsia="ja-JP"/>
        </w:rPr>
        <w:t xml:space="preserve">The majority of AEs were mild or moderate in severity, and not serious. Interruption or discontinuation of study drug due to AEs was uncommon; discontinuation of study drug was less common in subjects receiving ivacaftor than subjects receiving placebo. There was no one dominant event that led to discontinuation. The most common AEs in the ivacaftor group were cough, CF lung (preferred term for pulmonary exacerbation), headache, URTI, nasal congestion, </w:t>
      </w:r>
      <w:proofErr w:type="spellStart"/>
      <w:r w:rsidRPr="008B7ADC">
        <w:rPr>
          <w:lang w:eastAsia="ja-JP"/>
        </w:rPr>
        <w:t>oropharyngeal</w:t>
      </w:r>
      <w:proofErr w:type="spellEnd"/>
      <w:r w:rsidRPr="008B7ADC">
        <w:rPr>
          <w:lang w:eastAsia="ja-JP"/>
        </w:rPr>
        <w:t xml:space="preserve"> pain, pyrexia, productive cough, nausea, and rash. Based on the higher incidence in the ivacaftor group than the placebo group, URTI events, dizziness, rash, headache, bacteria in sputum, </w:t>
      </w:r>
      <w:r w:rsidR="009D0DED" w:rsidRPr="008B7ADC">
        <w:rPr>
          <w:lang w:eastAsia="ja-JP"/>
        </w:rPr>
        <w:t>diarrhoea</w:t>
      </w:r>
      <w:r w:rsidRPr="008B7ADC">
        <w:rPr>
          <w:lang w:eastAsia="ja-JP"/>
        </w:rPr>
        <w:t xml:space="preserve">, and abdominal pain were identified as likely to represent ADRs. </w:t>
      </w:r>
    </w:p>
    <w:p w:rsidR="008B7ADC" w:rsidRPr="008B7ADC" w:rsidRDefault="008B7ADC" w:rsidP="00BD407B">
      <w:pPr>
        <w:rPr>
          <w:lang w:eastAsia="ja-JP"/>
        </w:rPr>
      </w:pPr>
      <w:r w:rsidRPr="008B7ADC">
        <w:rPr>
          <w:lang w:eastAsia="ja-JP"/>
        </w:rPr>
        <w:t xml:space="preserve">The safety profile in the subjects receiving ivacaftor for 60 weeks was similar to that of the first 48 weeks which supports the safety of chronic administration of ivacaftor. This population will be followed for up to 144 weeks of total treatment in the uncontrolled extension study. </w:t>
      </w:r>
    </w:p>
    <w:p w:rsidR="008B7ADC" w:rsidRPr="008B7ADC" w:rsidRDefault="008B7ADC" w:rsidP="00BD407B">
      <w:pPr>
        <w:rPr>
          <w:lang w:eastAsia="ja-JP"/>
        </w:rPr>
      </w:pPr>
      <w:r w:rsidRPr="008B7ADC">
        <w:rPr>
          <w:lang w:eastAsia="ja-JP"/>
        </w:rPr>
        <w:t xml:space="preserve">The most common severe AEs and SAEs were CF lung and </w:t>
      </w:r>
      <w:proofErr w:type="spellStart"/>
      <w:r w:rsidRPr="008B7ADC">
        <w:rPr>
          <w:lang w:eastAsia="ja-JP"/>
        </w:rPr>
        <w:t>hemoptysis</w:t>
      </w:r>
      <w:proofErr w:type="spellEnd"/>
      <w:r w:rsidRPr="008B7ADC">
        <w:rPr>
          <w:lang w:eastAsia="ja-JP"/>
        </w:rPr>
        <w:t xml:space="preserve">, both of which are common manifestations of CF and occurred with a lower frequency in subjects receiving ivacaftor. There were no deaths in any of the ivacaftor studies </w:t>
      </w:r>
    </w:p>
    <w:p w:rsidR="008B7ADC" w:rsidRPr="008B7ADC" w:rsidRDefault="008B7ADC" w:rsidP="00BD407B">
      <w:pPr>
        <w:rPr>
          <w:lang w:eastAsia="ja-JP"/>
        </w:rPr>
      </w:pPr>
      <w:r w:rsidRPr="008B7ADC">
        <w:rPr>
          <w:lang w:eastAsia="ja-JP"/>
        </w:rPr>
        <w:t xml:space="preserve">Treatment with ivacaftor was not associated with an increased incidence of clinically significant cardiac arrhythmias, including </w:t>
      </w:r>
      <w:proofErr w:type="spellStart"/>
      <w:r w:rsidRPr="008B7ADC">
        <w:rPr>
          <w:lang w:eastAsia="ja-JP"/>
        </w:rPr>
        <w:t>supraventricular</w:t>
      </w:r>
      <w:proofErr w:type="spellEnd"/>
      <w:r w:rsidRPr="008B7ADC">
        <w:rPr>
          <w:lang w:eastAsia="ja-JP"/>
        </w:rPr>
        <w:t xml:space="preserve"> and ventricular </w:t>
      </w:r>
      <w:proofErr w:type="spellStart"/>
      <w:r w:rsidRPr="008B7ADC">
        <w:rPr>
          <w:lang w:eastAsia="ja-JP"/>
        </w:rPr>
        <w:t>ectopy</w:t>
      </w:r>
      <w:proofErr w:type="spellEnd"/>
      <w:r w:rsidRPr="008B7ADC">
        <w:rPr>
          <w:lang w:eastAsia="ja-JP"/>
        </w:rPr>
        <w:t xml:space="preserve">, or with a prolonged QT as measured by 12-lead standard ECGs and 24-hour ambulatory ECGs. Thus, the non-clinical signal for </w:t>
      </w:r>
      <w:proofErr w:type="spellStart"/>
      <w:r w:rsidRPr="008B7ADC">
        <w:rPr>
          <w:lang w:eastAsia="ja-JP"/>
        </w:rPr>
        <w:t>supraventricular</w:t>
      </w:r>
      <w:proofErr w:type="spellEnd"/>
      <w:r w:rsidRPr="008B7ADC">
        <w:rPr>
          <w:lang w:eastAsia="ja-JP"/>
        </w:rPr>
        <w:t xml:space="preserve"> tachycardia in animal studies was not confirmed in the human clinical studies. Administration of ivacaftor at the therapeutic dose (150 mg q12h) or a </w:t>
      </w:r>
      <w:proofErr w:type="spellStart"/>
      <w:r w:rsidRPr="008B7ADC">
        <w:rPr>
          <w:lang w:eastAsia="ja-JP"/>
        </w:rPr>
        <w:t>supratherapeutic</w:t>
      </w:r>
      <w:proofErr w:type="spellEnd"/>
      <w:r w:rsidRPr="008B7ADC">
        <w:rPr>
          <w:lang w:eastAsia="ja-JP"/>
        </w:rPr>
        <w:t xml:space="preserve"> dose (450 mg q12h) had no effect on </w:t>
      </w:r>
      <w:proofErr w:type="spellStart"/>
      <w:r w:rsidRPr="008B7ADC">
        <w:rPr>
          <w:lang w:eastAsia="ja-JP"/>
        </w:rPr>
        <w:t>QTc</w:t>
      </w:r>
      <w:proofErr w:type="spellEnd"/>
      <w:r w:rsidRPr="008B7ADC">
        <w:rPr>
          <w:lang w:eastAsia="ja-JP"/>
        </w:rPr>
        <w:t xml:space="preserve"> interval. </w:t>
      </w:r>
    </w:p>
    <w:p w:rsidR="008B7ADC" w:rsidRPr="008B7ADC" w:rsidRDefault="008B7ADC" w:rsidP="00BD407B">
      <w:pPr>
        <w:rPr>
          <w:lang w:eastAsia="ja-JP"/>
        </w:rPr>
      </w:pPr>
      <w:r w:rsidRPr="008B7ADC">
        <w:rPr>
          <w:lang w:eastAsia="ja-JP"/>
        </w:rPr>
        <w:t xml:space="preserve">SAEs of </w:t>
      </w:r>
      <w:proofErr w:type="spellStart"/>
      <w:r w:rsidRPr="008B7ADC">
        <w:rPr>
          <w:lang w:eastAsia="ja-JP"/>
        </w:rPr>
        <w:t>hypoglycemia</w:t>
      </w:r>
      <w:proofErr w:type="spellEnd"/>
      <w:r w:rsidRPr="008B7ADC">
        <w:rPr>
          <w:lang w:eastAsia="ja-JP"/>
        </w:rPr>
        <w:t xml:space="preserve"> were reported as possibly related to ivacaftor; these were most likely related to complications of treatment for diabetes, which is a well-known manifestation of CF. Overall, there was no effect of ivacaftor on blood glucose concentrations. </w:t>
      </w:r>
    </w:p>
    <w:p w:rsidR="008B7ADC" w:rsidRPr="008B7ADC" w:rsidRDefault="008B7ADC" w:rsidP="00BD407B">
      <w:pPr>
        <w:rPr>
          <w:lang w:eastAsia="ja-JP"/>
        </w:rPr>
      </w:pPr>
      <w:r w:rsidRPr="008B7ADC">
        <w:rPr>
          <w:lang w:eastAsia="ja-JP"/>
        </w:rPr>
        <w:t xml:space="preserve">Elevations of </w:t>
      </w:r>
      <w:proofErr w:type="spellStart"/>
      <w:r w:rsidRPr="008B7ADC">
        <w:rPr>
          <w:lang w:eastAsia="ja-JP"/>
        </w:rPr>
        <w:t>transaminases</w:t>
      </w:r>
      <w:proofErr w:type="spellEnd"/>
      <w:r w:rsidRPr="008B7ADC">
        <w:rPr>
          <w:lang w:eastAsia="ja-JP"/>
        </w:rPr>
        <w:t xml:space="preserve"> occurred in a small number of subjects in both the placebo and ivacaftor groups. The incidence of these elevations was similar between subjects in the ivacaftor and placebo groups. The clinical features, including time to onset, concomitant factors (co-illnesses, medications), progression, and resolution of these events were similar between the ivacaftor and placebo groups. The role of ivacaftor in contributing to transaminase elevations is uncertain. In all instances, the elevations in </w:t>
      </w:r>
      <w:proofErr w:type="spellStart"/>
      <w:r w:rsidRPr="008B7ADC">
        <w:rPr>
          <w:lang w:eastAsia="ja-JP"/>
        </w:rPr>
        <w:t>transaminases</w:t>
      </w:r>
      <w:proofErr w:type="spellEnd"/>
      <w:r w:rsidRPr="008B7ADC">
        <w:rPr>
          <w:lang w:eastAsia="ja-JP"/>
        </w:rPr>
        <w:t xml:space="preserve"> were reversible. However, due caution is still advised in patients with hepatic impairment.  Overall, treatment with ivacaftor was not associated with clinically meaningful changes in laboratory parameters. </w:t>
      </w:r>
    </w:p>
    <w:p w:rsidR="008B7ADC" w:rsidRPr="008B7ADC" w:rsidRDefault="008B7ADC" w:rsidP="00BD407B">
      <w:pPr>
        <w:rPr>
          <w:lang w:eastAsia="ja-JP"/>
        </w:rPr>
      </w:pPr>
      <w:r w:rsidRPr="008B7ADC">
        <w:rPr>
          <w:lang w:eastAsia="ja-JP"/>
        </w:rPr>
        <w:t xml:space="preserve">The safety profile of ivacaftor was similar across the different age and gender subgroups. The pattern of AEs was similar across the subgroups by severity of lung disease and the most common AEs within each FEV1 subgroup are common manifestations of CF. As expected, subjects with more severe disease had a higher incidence of AEs compared to other subgroups, but ivacaftor was well tolerated even in this most severely compromised group.  The pattern of AEs was similar in subjects homozygous for </w:t>
      </w:r>
      <w:r w:rsidRPr="00B5597F">
        <w:rPr>
          <w:i/>
          <w:iCs/>
          <w:lang w:eastAsia="ja-JP"/>
        </w:rPr>
        <w:t>F508del-CFTR</w:t>
      </w:r>
      <w:r w:rsidRPr="008B7ADC">
        <w:rPr>
          <w:lang w:eastAsia="ja-JP"/>
        </w:rPr>
        <w:t xml:space="preserve"> and subjects who have the </w:t>
      </w:r>
      <w:r w:rsidRPr="00DC2370">
        <w:rPr>
          <w:i/>
          <w:iCs/>
          <w:lang w:eastAsia="ja-JP"/>
        </w:rPr>
        <w:t>G551D-CFTR</w:t>
      </w:r>
      <w:r w:rsidRPr="008B7ADC">
        <w:rPr>
          <w:lang w:eastAsia="ja-JP"/>
        </w:rPr>
        <w:t xml:space="preserve"> mutation. The most common AEs in both populations were pulmonary exacerbations, cough, headache, </w:t>
      </w:r>
      <w:proofErr w:type="spellStart"/>
      <w:r w:rsidRPr="008B7ADC">
        <w:rPr>
          <w:lang w:eastAsia="ja-JP"/>
        </w:rPr>
        <w:t>oropharyngeal</w:t>
      </w:r>
      <w:proofErr w:type="spellEnd"/>
      <w:r w:rsidRPr="008B7ADC">
        <w:rPr>
          <w:lang w:eastAsia="ja-JP"/>
        </w:rPr>
        <w:t xml:space="preserve"> pain, nasal congestion, and fatigue.  After a single dose of 150 mg of ivacaftor, subjects with moderately impaired hepatic function (Child-Pugh Class B, score 7 to 9) had similar </w:t>
      </w:r>
      <w:proofErr w:type="spellStart"/>
      <w:r w:rsidRPr="008B7ADC">
        <w:rPr>
          <w:lang w:eastAsia="ja-JP"/>
        </w:rPr>
        <w:t>ivacaftor</w:t>
      </w:r>
      <w:proofErr w:type="spellEnd"/>
      <w:r w:rsidRPr="008B7ADC">
        <w:rPr>
          <w:lang w:eastAsia="ja-JP"/>
        </w:rPr>
        <w:t xml:space="preserve"> </w:t>
      </w:r>
      <w:proofErr w:type="spellStart"/>
      <w:r w:rsidRPr="008B7ADC">
        <w:rPr>
          <w:lang w:eastAsia="ja-JP"/>
        </w:rPr>
        <w:t>Cmax</w:t>
      </w:r>
      <w:proofErr w:type="spellEnd"/>
      <w:r w:rsidRPr="008B7ADC">
        <w:rPr>
          <w:lang w:eastAsia="ja-JP"/>
        </w:rPr>
        <w:t>, but an approximately 2-fold increase in AUC</w:t>
      </w:r>
      <w:r w:rsidRPr="008B7ADC">
        <w:rPr>
          <w:vertAlign w:val="subscript"/>
          <w:lang w:eastAsia="ja-JP"/>
        </w:rPr>
        <w:t>0-∞</w:t>
      </w:r>
      <w:r w:rsidRPr="008B7ADC">
        <w:rPr>
          <w:lang w:eastAsia="ja-JP"/>
        </w:rPr>
        <w:t xml:space="preserve"> compared with healthy subjects matched for demographics. A reduced dose of 150 mg once a day is recommended for these patients.  The sponsor’s statement that ‘Patients with mild hepatic impairment (Child-Pugh Class A) do not require dose adjustment because the effects on clearance are expected to be smaller than</w:t>
      </w:r>
      <w:r w:rsidR="009D0DED">
        <w:rPr>
          <w:lang w:eastAsia="ja-JP"/>
        </w:rPr>
        <w:t xml:space="preserve"> in Child-Pugh Class B patients</w:t>
      </w:r>
      <w:r w:rsidRPr="008B7ADC">
        <w:rPr>
          <w:lang w:eastAsia="ja-JP"/>
        </w:rPr>
        <w:t xml:space="preserve">’ </w:t>
      </w:r>
      <w:r w:rsidR="009D0DED">
        <w:rPr>
          <w:lang w:eastAsia="ja-JP"/>
        </w:rPr>
        <w:t>i</w:t>
      </w:r>
      <w:r w:rsidRPr="008B7ADC">
        <w:rPr>
          <w:lang w:eastAsia="ja-JP"/>
        </w:rPr>
        <w:t>s not justified as ivacaftor was not evaluated in patients with mild hepatic impairment.</w:t>
      </w:r>
    </w:p>
    <w:p w:rsidR="00C22678" w:rsidRPr="00586F98" w:rsidRDefault="008B7ADC" w:rsidP="00BD407B">
      <w:pPr>
        <w:rPr>
          <w:lang w:eastAsia="ja-JP"/>
        </w:rPr>
      </w:pPr>
      <w:r w:rsidRPr="008B7ADC">
        <w:rPr>
          <w:lang w:eastAsia="ja-JP"/>
        </w:rPr>
        <w:lastRenderedPageBreak/>
        <w:t>The safety profile of ivacaftor was adequately evaluated in an appropriate number of patients in line with the size of the targeted patient population. Administration of ivacaftor 150 mg orally every 12 hours (q12h) for up to 48 weeks was well tolerated, as evidenced by an evaluation of AEs, SAEs and AEs leading to premature discontinuation of treatment, clinical laboratory evaluations, electrocardiogram (ECG) results, vital signs, and physical examinations. Available data through 60 weeks of ivacaftor treatment did not identify new clinically important safety concerns.</w:t>
      </w:r>
    </w:p>
    <w:p w:rsidR="00C22678" w:rsidRDefault="00C22678" w:rsidP="00BD407B">
      <w:pPr>
        <w:pStyle w:val="Heading2"/>
      </w:pPr>
      <w:bookmarkStart w:id="264" w:name="_Toc375055445"/>
      <w:r>
        <w:t>First round benefit-risk assessment</w:t>
      </w:r>
      <w:bookmarkEnd w:id="264"/>
    </w:p>
    <w:p w:rsidR="009E5588" w:rsidRPr="002214DD" w:rsidRDefault="009E5588" w:rsidP="00BD407B">
      <w:pPr>
        <w:pStyle w:val="Heading3"/>
      </w:pPr>
      <w:bookmarkStart w:id="265" w:name="_Toc236802592"/>
      <w:bookmarkStart w:id="266" w:name="_Toc241374331"/>
      <w:bookmarkStart w:id="267" w:name="_Ref272160836"/>
      <w:bookmarkStart w:id="268" w:name="_Toc272414693"/>
      <w:bookmarkStart w:id="269" w:name="_Toc290846331"/>
      <w:bookmarkStart w:id="270" w:name="_Toc341441476"/>
      <w:bookmarkStart w:id="271" w:name="_Toc375055446"/>
      <w:r w:rsidRPr="002214DD">
        <w:t>First round assessment of benefits</w:t>
      </w:r>
      <w:bookmarkEnd w:id="265"/>
      <w:bookmarkEnd w:id="266"/>
      <w:bookmarkEnd w:id="267"/>
      <w:bookmarkEnd w:id="268"/>
      <w:bookmarkEnd w:id="269"/>
      <w:bookmarkEnd w:id="270"/>
      <w:bookmarkEnd w:id="271"/>
    </w:p>
    <w:p w:rsidR="009E5588" w:rsidRPr="002214DD" w:rsidRDefault="009E5588" w:rsidP="00BD407B">
      <w:r w:rsidRPr="002214DD">
        <w:t>The benefits of ivacaftor in the proposed usage are:</w:t>
      </w:r>
    </w:p>
    <w:p w:rsidR="009E5588" w:rsidRPr="002214DD" w:rsidRDefault="009E5588" w:rsidP="00BD407B">
      <w:r w:rsidRPr="002214DD">
        <w:t xml:space="preserve">Ivacaftor acts by targeting the underlying cause of cystic fibrosis by increasing the CFTR channel opening to enhance chloride transport. Currently in Australia, there are no marketed drugs which target the dysfunctional CFTR channel. </w:t>
      </w:r>
    </w:p>
    <w:p w:rsidR="009E5588" w:rsidRPr="002214DD" w:rsidRDefault="009E5588" w:rsidP="00BD407B">
      <w:r w:rsidRPr="002214DD">
        <w:t>Ivacaftor 150mg bid (12 hourly) showed a substantial and durable effect on absolute change in percent predicted FEV1 through Week 24 (10.6 to 12.5 percentage points) that was highly significant (</w:t>
      </w:r>
      <w:r w:rsidRPr="002214DD">
        <w:rPr>
          <w:i/>
          <w:iCs/>
        </w:rPr>
        <w:t>P</w:t>
      </w:r>
      <w:r w:rsidRPr="002214DD">
        <w:t xml:space="preserve">&lt;0.0001) compared with placebo. Improvements in FEV1 were rapid in onset and durable through the 48-week treatment period in the placebo-controlled Phase 3 studies. </w:t>
      </w:r>
    </w:p>
    <w:p w:rsidR="009E5588" w:rsidRPr="002214DD" w:rsidRDefault="009E5588" w:rsidP="00BD407B">
      <w:r w:rsidRPr="002214DD">
        <w:t>Durable improvement</w:t>
      </w:r>
      <w:r w:rsidR="00BE6399">
        <w:t>s</w:t>
      </w:r>
      <w:r w:rsidRPr="002214DD">
        <w:t xml:space="preserve"> in other pulmonary outcomes were observed, including the risk of experiencing a pulmonary exacerbation, as well as the frequency and duration of pulmonary exacerbations, and respiratory symptoms as measured by CFQ-R. Durable improvements in measures of nutritional status were observed, including weight and BMI. </w:t>
      </w:r>
    </w:p>
    <w:p w:rsidR="009E5588" w:rsidRPr="002214DD" w:rsidRDefault="009E5588" w:rsidP="00BD407B">
      <w:r w:rsidRPr="002214DD">
        <w:t xml:space="preserve">Ivacaftor led to sustained improvements in CFTR function, evidenced by the substantial and durable reduction in sweat chloride concentration. The overall pattern of improvement in CFTR function was consistent with that of FEV1, demonstrating that modulation of CFTR by ivacaftor is associated with clinical benefit. </w:t>
      </w:r>
    </w:p>
    <w:p w:rsidR="009E5588" w:rsidRPr="002214DD" w:rsidRDefault="009E5588" w:rsidP="009E5588">
      <w:r w:rsidRPr="002214DD">
        <w:t xml:space="preserve">The pattern and magnitude of the treatment effects of ivacaftor observed in subjects 6 to 11 years of age was consistent with the clinical benefit observed in subjects 12 years of age and older. Treatment effects were observed in subjects with all degrees of disease severity (baseline percent predicted FEV1 ranging from 32% to 134%) and were observed in subjects while continuing on their prescribed CF therapies. </w:t>
      </w:r>
    </w:p>
    <w:p w:rsidR="009E5588" w:rsidRPr="002214DD" w:rsidRDefault="009E5588" w:rsidP="00BD407B">
      <w:r w:rsidRPr="002214DD">
        <w:t>The clinical benefits observed in the placebo-controlled Phase 3 studies were confirmed in the open-label rollover study</w:t>
      </w:r>
      <w:r>
        <w:t xml:space="preserve"> </w:t>
      </w:r>
      <w:r w:rsidRPr="002214DD">
        <w:t>105 (currently for up to 60 total weeks of ivacaftor treatment)</w:t>
      </w:r>
      <w:r>
        <w:t xml:space="preserve"> </w:t>
      </w:r>
      <w:r w:rsidRPr="002214DD">
        <w:t xml:space="preserve">by the </w:t>
      </w:r>
      <w:r>
        <w:t>maintenance</w:t>
      </w:r>
      <w:r w:rsidRPr="002214DD">
        <w:t xml:space="preserve"> of the treatment effect in subjects initially treated with ivacaftor and replication of the rapid and substantial improvements in clinical endpoints in subjects initially treated with placebo. </w:t>
      </w:r>
    </w:p>
    <w:p w:rsidR="009E5588" w:rsidRPr="002214DD" w:rsidRDefault="009E5588" w:rsidP="00BD407B">
      <w:r w:rsidRPr="002214DD">
        <w:t xml:space="preserve">Ivacaftor treatment was well tolerated for at least 60 weeks. </w:t>
      </w:r>
      <w:r>
        <w:t xml:space="preserve"> </w:t>
      </w:r>
      <w:r w:rsidRPr="002214DD">
        <w:t xml:space="preserve">The most common </w:t>
      </w:r>
      <w:r>
        <w:t>AEs were</w:t>
      </w:r>
      <w:r w:rsidRPr="002214DD">
        <w:t xml:space="preserve"> typical manifestations of CF disease; these occurred at a lower incidence in the ivacaftor than the placebo group. The incidence of SAEs was lower in the ivacaftor than the placebo group. </w:t>
      </w:r>
      <w:r>
        <w:t xml:space="preserve"> </w:t>
      </w:r>
      <w:r w:rsidRPr="002214DD">
        <w:t xml:space="preserve">The frequency of discontinuations due to adverse events was lower in the ivacaftor than the placebo group. The most common risks associated with ivacaftor treatment have been characterized, can be readily monitored and recognized, and may be managed without treatment discontinuation. </w:t>
      </w:r>
    </w:p>
    <w:p w:rsidR="009E5588" w:rsidRPr="002214DD" w:rsidRDefault="009E5588" w:rsidP="00BD407B">
      <w:pPr>
        <w:pStyle w:val="Heading3"/>
      </w:pPr>
      <w:bookmarkStart w:id="272" w:name="_Toc236802596"/>
      <w:bookmarkStart w:id="273" w:name="_Toc241374334"/>
      <w:bookmarkStart w:id="274" w:name="_Ref272160964"/>
      <w:bookmarkStart w:id="275" w:name="_Toc272414694"/>
      <w:bookmarkStart w:id="276" w:name="_Toc290846332"/>
      <w:bookmarkStart w:id="277" w:name="_Toc341441477"/>
      <w:bookmarkStart w:id="278" w:name="_Toc375055447"/>
      <w:r w:rsidRPr="002214DD">
        <w:t>First round assessment of risks</w:t>
      </w:r>
      <w:bookmarkEnd w:id="272"/>
      <w:bookmarkEnd w:id="273"/>
      <w:bookmarkEnd w:id="274"/>
      <w:bookmarkEnd w:id="275"/>
      <w:bookmarkEnd w:id="276"/>
      <w:bookmarkEnd w:id="277"/>
      <w:bookmarkEnd w:id="278"/>
    </w:p>
    <w:p w:rsidR="009E5588" w:rsidRPr="002214DD" w:rsidRDefault="009E5588" w:rsidP="00BD407B">
      <w:r w:rsidRPr="002214DD">
        <w:t>The risks of ivacaftor in the proposed usage are:</w:t>
      </w:r>
    </w:p>
    <w:p w:rsidR="009E5588" w:rsidRPr="002214DD" w:rsidRDefault="009E5588" w:rsidP="00BD407B">
      <w:pPr>
        <w:pStyle w:val="ListBullet"/>
      </w:pPr>
      <w:r w:rsidRPr="002214DD">
        <w:lastRenderedPageBreak/>
        <w:t xml:space="preserve">Compared to placebo, treatment with ivacaftor was associated with a higher incidence of URTI events (including URTI, nasal congestion, pharyngeal </w:t>
      </w:r>
      <w:proofErr w:type="spellStart"/>
      <w:r w:rsidRPr="002214DD">
        <w:t>erythema</w:t>
      </w:r>
      <w:proofErr w:type="spellEnd"/>
      <w:r w:rsidRPr="002214DD">
        <w:t xml:space="preserve">, </w:t>
      </w:r>
      <w:proofErr w:type="spellStart"/>
      <w:r w:rsidRPr="002214DD">
        <w:t>oropharyngeal</w:t>
      </w:r>
      <w:proofErr w:type="spellEnd"/>
      <w:r w:rsidRPr="002214DD">
        <w:t xml:space="preserve"> pain, rhinitis, sinus congestion, and </w:t>
      </w:r>
      <w:proofErr w:type="spellStart"/>
      <w:r w:rsidRPr="002214DD">
        <w:t>nasopharyngitis</w:t>
      </w:r>
      <w:proofErr w:type="spellEnd"/>
      <w:r w:rsidRPr="002214DD">
        <w:t xml:space="preserve">), headache, abdominal pain, rash, </w:t>
      </w:r>
      <w:r w:rsidR="00DE2D62" w:rsidRPr="002214DD">
        <w:t>diarrhoea</w:t>
      </w:r>
      <w:r w:rsidRPr="002214DD">
        <w:t xml:space="preserve">, dizziness, and bacteria in sputum. </w:t>
      </w:r>
    </w:p>
    <w:p w:rsidR="009E5588" w:rsidRPr="002214DD" w:rsidRDefault="009E5588" w:rsidP="00BD407B">
      <w:pPr>
        <w:pStyle w:val="ListBullet"/>
      </w:pPr>
      <w:r w:rsidRPr="002214DD">
        <w:t xml:space="preserve">Elevations in </w:t>
      </w:r>
      <w:proofErr w:type="spellStart"/>
      <w:r w:rsidRPr="002214DD">
        <w:t>transaminases</w:t>
      </w:r>
      <w:proofErr w:type="spellEnd"/>
      <w:r w:rsidRPr="002214DD">
        <w:t xml:space="preserve"> were observed in subjects with CF that were common in both the ivacaftor and placebo groups, which is consistent with the natural history of CF liver disease. Patients with elevated </w:t>
      </w:r>
      <w:proofErr w:type="spellStart"/>
      <w:r w:rsidRPr="002214DD">
        <w:t>transaminases</w:t>
      </w:r>
      <w:proofErr w:type="spellEnd"/>
      <w:r w:rsidRPr="002214DD">
        <w:t xml:space="preserve"> at baseline were more likely to show clinically relevant elevations in </w:t>
      </w:r>
      <w:proofErr w:type="spellStart"/>
      <w:r w:rsidRPr="002214DD">
        <w:t>transaminases</w:t>
      </w:r>
      <w:proofErr w:type="spellEnd"/>
      <w:r w:rsidRPr="002214DD">
        <w:t xml:space="preserve"> during </w:t>
      </w:r>
      <w:proofErr w:type="spellStart"/>
      <w:r w:rsidRPr="002214DD">
        <w:t>ivacaftor</w:t>
      </w:r>
      <w:proofErr w:type="spellEnd"/>
      <w:r w:rsidRPr="002214DD">
        <w:t xml:space="preserve"> treatment compared with placebo; however, interpretation was confounded by higher proportion of patients with elevated </w:t>
      </w:r>
      <w:proofErr w:type="spellStart"/>
      <w:r w:rsidRPr="002214DD">
        <w:t>transaminases</w:t>
      </w:r>
      <w:proofErr w:type="spellEnd"/>
      <w:r w:rsidRPr="002214DD">
        <w:t xml:space="preserve"> at baseline in the ivacaftor group. Since the role of ivacaftor in these events is uncertain, monitoring, and management recommendations was included in the product labelling. </w:t>
      </w:r>
    </w:p>
    <w:p w:rsidR="009E5588" w:rsidRPr="002214DD" w:rsidRDefault="009E5588" w:rsidP="00BD407B">
      <w:pPr>
        <w:pStyle w:val="ListBullet"/>
      </w:pPr>
      <w:r w:rsidRPr="002214DD">
        <w:t xml:space="preserve">Safety of ivacaftor was not evaluated in patients with mild and severe hepatic impairment. It was only evaluated in patients with moderate hepatic impairment which showed doubling of exposure to ivacaftor. </w:t>
      </w:r>
    </w:p>
    <w:p w:rsidR="009E5588" w:rsidRPr="002214DD" w:rsidRDefault="009E5588" w:rsidP="00BD407B">
      <w:pPr>
        <w:pStyle w:val="Heading3"/>
      </w:pPr>
      <w:bookmarkStart w:id="279" w:name="_Toc236802597"/>
      <w:bookmarkStart w:id="280" w:name="_Toc241374335"/>
      <w:bookmarkStart w:id="281" w:name="_Toc272414695"/>
      <w:bookmarkStart w:id="282" w:name="_Toc290846333"/>
      <w:bookmarkStart w:id="283" w:name="_Toc341441478"/>
      <w:bookmarkStart w:id="284" w:name="_Toc375055448"/>
      <w:r w:rsidRPr="002214DD">
        <w:t>First round assessment of benefit-risk balance</w:t>
      </w:r>
      <w:bookmarkEnd w:id="279"/>
      <w:bookmarkEnd w:id="280"/>
      <w:bookmarkEnd w:id="281"/>
      <w:bookmarkEnd w:id="282"/>
      <w:bookmarkEnd w:id="283"/>
      <w:bookmarkEnd w:id="284"/>
    </w:p>
    <w:p w:rsidR="009E5588" w:rsidRPr="002214DD" w:rsidRDefault="009E5588" w:rsidP="00BD407B">
      <w:r w:rsidRPr="002214DD">
        <w:t xml:space="preserve">Overall, ivacaftor was highly effective in the treatment of CF, shown by improvement in CFTR function and substantial, durable improvements in important clinical outcomes, including FEV1, pulmonary exacerbations, respiratory symptoms, and nutritional status. Thus, ivacaftor is expected to have broad and meaningful clinical benefit in patients 6 years of age and older who have a </w:t>
      </w:r>
      <w:r w:rsidRPr="002214DD">
        <w:rPr>
          <w:i/>
          <w:iCs/>
        </w:rPr>
        <w:t xml:space="preserve">G551D </w:t>
      </w:r>
      <w:r w:rsidRPr="002214DD">
        <w:t xml:space="preserve">mutation in the </w:t>
      </w:r>
      <w:r w:rsidRPr="002214DD">
        <w:rPr>
          <w:i/>
          <w:iCs/>
        </w:rPr>
        <w:t xml:space="preserve">CFTR </w:t>
      </w:r>
      <w:r w:rsidRPr="002214DD">
        <w:t xml:space="preserve">gene. </w:t>
      </w:r>
    </w:p>
    <w:p w:rsidR="009E5588" w:rsidRPr="002214DD" w:rsidRDefault="009E5588" w:rsidP="00BD407B">
      <w:r w:rsidRPr="002214DD">
        <w:t xml:space="preserve">The safety of ivacaftor was also well-established in over 290 patients (appropriate sample size for the target patient population) and the risks associated with ivacaftor were reversible, not serious and easily managed. </w:t>
      </w:r>
    </w:p>
    <w:p w:rsidR="00C22678" w:rsidRPr="00586F98" w:rsidRDefault="009E5588" w:rsidP="00BD407B">
      <w:pPr>
        <w:rPr>
          <w:lang w:eastAsia="ja-JP"/>
        </w:rPr>
      </w:pPr>
      <w:r w:rsidRPr="002214DD">
        <w:t>Hence, the ben</w:t>
      </w:r>
      <w:r w:rsidR="00D9319B">
        <w:t xml:space="preserve">efit-risk balance of ivacaftor </w:t>
      </w:r>
      <w:r w:rsidR="004D2577">
        <w:t>given the proposed usage</w:t>
      </w:r>
      <w:r w:rsidRPr="002214DD">
        <w:t xml:space="preserve"> is favourable.</w:t>
      </w:r>
    </w:p>
    <w:p w:rsidR="00C22678" w:rsidRDefault="00C22678" w:rsidP="00BD407B">
      <w:pPr>
        <w:pStyle w:val="Heading2"/>
      </w:pPr>
      <w:bookmarkStart w:id="285" w:name="_Toc375055449"/>
      <w:r>
        <w:t>First round recommendation regarding authorisation</w:t>
      </w:r>
      <w:bookmarkEnd w:id="285"/>
    </w:p>
    <w:p w:rsidR="00C22678" w:rsidRPr="00586F98" w:rsidRDefault="009E5588" w:rsidP="00BD407B">
      <w:pPr>
        <w:rPr>
          <w:lang w:eastAsia="ja-JP"/>
        </w:rPr>
      </w:pPr>
      <w:r w:rsidRPr="009E5588">
        <w:rPr>
          <w:lang w:eastAsia="ja-JP"/>
        </w:rPr>
        <w:t>It is recommended that Ivacaftor 150</w:t>
      </w:r>
      <w:r w:rsidR="004D2577">
        <w:rPr>
          <w:lang w:eastAsia="ja-JP"/>
        </w:rPr>
        <w:t xml:space="preserve"> </w:t>
      </w:r>
      <w:r w:rsidRPr="009E5588">
        <w:rPr>
          <w:lang w:eastAsia="ja-JP"/>
        </w:rPr>
        <w:t xml:space="preserve">mg bid (given 12 hourly) be approved </w:t>
      </w:r>
      <w:r w:rsidRPr="004D2577">
        <w:rPr>
          <w:i/>
          <w:iCs/>
          <w:lang w:eastAsia="ja-JP"/>
        </w:rPr>
        <w:t>for ‘Treatment of cystic fibrosis in patients age 6 years and older who have the G551D mutation in the CFTR gene.’</w:t>
      </w:r>
      <w:r w:rsidRPr="009E5588">
        <w:rPr>
          <w:lang w:eastAsia="ja-JP"/>
        </w:rPr>
        <w:t xml:space="preserve"> However, the approval is subject to incorporation of suggested changes to the proposed PI</w:t>
      </w:r>
      <w:r w:rsidR="00D9319B">
        <w:rPr>
          <w:lang w:eastAsia="ja-JP"/>
        </w:rPr>
        <w:t>.</w:t>
      </w:r>
      <w:r w:rsidR="00D9319B">
        <w:rPr>
          <w:rStyle w:val="FootnoteReference"/>
          <w:lang w:eastAsia="ja-JP"/>
        </w:rPr>
        <w:footnoteReference w:id="19"/>
      </w:r>
      <w:r w:rsidRPr="009E5588">
        <w:rPr>
          <w:lang w:eastAsia="ja-JP"/>
        </w:rPr>
        <w:t xml:space="preserve"> </w:t>
      </w:r>
    </w:p>
    <w:p w:rsidR="00C22678" w:rsidRDefault="00C22678" w:rsidP="00BD407B">
      <w:pPr>
        <w:pStyle w:val="Heading2"/>
      </w:pPr>
      <w:bookmarkStart w:id="286" w:name="_Toc375055450"/>
      <w:r>
        <w:t>Clinical questions</w:t>
      </w:r>
      <w:bookmarkEnd w:id="286"/>
    </w:p>
    <w:p w:rsidR="00C22678" w:rsidRPr="00586F98" w:rsidRDefault="009E5588" w:rsidP="00BD407B">
      <w:pPr>
        <w:rPr>
          <w:lang w:eastAsia="ja-JP"/>
        </w:rPr>
      </w:pPr>
      <w:r>
        <w:rPr>
          <w:lang w:eastAsia="ja-JP"/>
        </w:rPr>
        <w:t>None</w:t>
      </w:r>
    </w:p>
    <w:p w:rsidR="00C618F7" w:rsidRDefault="00C618F7" w:rsidP="00BD407B">
      <w:pPr>
        <w:pStyle w:val="Heading2"/>
      </w:pPr>
      <w:bookmarkStart w:id="287" w:name="_Toc375055451"/>
      <w:r>
        <w:t>Second round evaluation of clinical data submitted in response to questions</w:t>
      </w:r>
      <w:bookmarkEnd w:id="287"/>
    </w:p>
    <w:p w:rsidR="009E5588" w:rsidRPr="00586F98" w:rsidRDefault="009E5588" w:rsidP="00BD407B">
      <w:pPr>
        <w:rPr>
          <w:lang w:eastAsia="ja-JP"/>
        </w:rPr>
      </w:pPr>
      <w:r>
        <w:rPr>
          <w:lang w:eastAsia="ja-JP"/>
        </w:rPr>
        <w:t xml:space="preserve">Not applicable </w:t>
      </w:r>
    </w:p>
    <w:p w:rsidR="00C618F7" w:rsidRDefault="00C618F7" w:rsidP="00BD407B">
      <w:pPr>
        <w:pStyle w:val="Heading2"/>
      </w:pPr>
      <w:bookmarkStart w:id="288" w:name="_Toc375055452"/>
      <w:r>
        <w:lastRenderedPageBreak/>
        <w:t>References</w:t>
      </w:r>
      <w:bookmarkEnd w:id="288"/>
    </w:p>
    <w:p w:rsidR="00084587" w:rsidRPr="00D9319B" w:rsidRDefault="00084587" w:rsidP="00BD407B">
      <w:pPr>
        <w:pStyle w:val="Numberbullet0"/>
      </w:pPr>
      <w:r w:rsidRPr="00D9319B">
        <w:t xml:space="preserve">Guideline on the clinical development of medicinal products for the treatment of cystic fibrosis (EMEA/CHMP/EWP/9147/2008-corr*). European Medicines Agency Committee for Medicinal Products for Human Use, 2009. </w:t>
      </w:r>
    </w:p>
    <w:p w:rsidR="00C618F7" w:rsidRPr="00586F98" w:rsidRDefault="00084587" w:rsidP="00C618F7">
      <w:pPr>
        <w:pStyle w:val="Numberbullet0"/>
        <w:rPr>
          <w:lang w:eastAsia="ja-JP"/>
        </w:rPr>
      </w:pPr>
      <w:r w:rsidRPr="00D9319B">
        <w:t>Guideline on clinical investigation of medicinal products in the treatment of chronic obstructive pulmonary disease (COPD) (Draft 3) (CPMP/EWP/562/98 Rev. 1). E</w:t>
      </w:r>
      <w:r w:rsidR="00BD407B">
        <w:t>uropean Medicines Agency, 2010.</w:t>
      </w:r>
    </w:p>
    <w:bookmarkEnd w:id="2"/>
    <w:bookmarkEnd w:id="1"/>
    <w:bookmarkEnd w:id="0"/>
    <w:p w:rsidR="003D1E62" w:rsidRPr="001D043B" w:rsidRDefault="003D1E62" w:rsidP="002666AC">
      <w:pPr>
        <w:sectPr w:rsidR="003D1E62" w:rsidRPr="001D043B" w:rsidSect="008D770F">
          <w:headerReference w:type="even" r:id="rId34"/>
          <w:headerReference w:type="default" r:id="rId35"/>
          <w:footerReference w:type="default" r:id="rId36"/>
          <w:headerReference w:type="first" r:id="rId37"/>
          <w:footerReference w:type="first" r:id="rId38"/>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9"/>
      <w:headerReference w:type="default" r:id="rId40"/>
      <w:footerReference w:type="default" r:id="rId41"/>
      <w:headerReference w:type="first" r:id="rId42"/>
      <w:footerReference w:type="first" r:id="rId4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CB4" w:rsidRDefault="00E43CB4" w:rsidP="00C40A36">
      <w:pPr>
        <w:spacing w:after="0"/>
      </w:pPr>
      <w:r>
        <w:separator/>
      </w:r>
    </w:p>
  </w:endnote>
  <w:endnote w:type="continuationSeparator" w:id="0">
    <w:p w:rsidR="00E43CB4" w:rsidRDefault="00E43CB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Italic">
    <w:panose1 w:val="00000000000000000000"/>
    <w:charset w:val="00"/>
    <w:family w:val="auto"/>
    <w:notTrueType/>
    <w:pitch w:val="default"/>
    <w:sig w:usb0="00000003" w:usb1="00000000" w:usb2="00000000" w:usb3="00000000" w:csb0="00000001" w:csb1="00000000"/>
  </w:font>
  <w:font w:name="Cambria-BoldItalic">
    <w:panose1 w:val="00000000000000000000"/>
    <w:charset w:val="00"/>
    <w:family w:val="auto"/>
    <w:notTrueType/>
    <w:pitch w:val="default"/>
    <w:sig w:usb0="00000003" w:usb1="00000000" w:usb2="00000000" w:usb3="00000000" w:csb0="00000001" w:csb1="00000000"/>
  </w:font>
  <w:font w:name="Utopia-Regular">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43CB4" w:rsidRPr="00487162" w:rsidTr="0053625B">
      <w:trPr>
        <w:trHeight w:val="269"/>
      </w:trPr>
      <w:tc>
        <w:tcPr>
          <w:tcW w:w="7938" w:type="dxa"/>
          <w:tcMar>
            <w:top w:w="142" w:type="dxa"/>
            <w:bottom w:w="0" w:type="dxa"/>
          </w:tcMar>
        </w:tcPr>
        <w:p w:rsidR="00E43CB4" w:rsidRPr="00487162" w:rsidRDefault="00E43CB4" w:rsidP="00A440E9">
          <w:pPr>
            <w:pStyle w:val="Footer"/>
          </w:pPr>
          <w:r>
            <w:t>Submission</w:t>
          </w:r>
          <w:r w:rsidRPr="00487162">
            <w:t xml:space="preserve"> PM-20</w:t>
          </w:r>
          <w:r>
            <w:t>12</w:t>
          </w:r>
          <w:r w:rsidRPr="00487162">
            <w:t>-</w:t>
          </w:r>
          <w:r>
            <w:t>01491</w:t>
          </w:r>
          <w:r w:rsidRPr="00487162">
            <w:t>-</w:t>
          </w:r>
          <w:r>
            <w:t>3</w:t>
          </w:r>
          <w:r w:rsidRPr="00487162">
            <w:t>-</w:t>
          </w:r>
          <w:r>
            <w:t>5 Extract from the Clinical Evaluation Report for Kalydeco ivacaftor</w:t>
          </w:r>
        </w:p>
      </w:tc>
      <w:tc>
        <w:tcPr>
          <w:tcW w:w="923" w:type="dxa"/>
          <w:tcMar>
            <w:top w:w="142" w:type="dxa"/>
            <w:bottom w:w="0" w:type="dxa"/>
          </w:tcMar>
        </w:tcPr>
        <w:p w:rsidR="00E43CB4" w:rsidRPr="00487162" w:rsidRDefault="00E43CB4" w:rsidP="00D855D4">
          <w:pPr>
            <w:pStyle w:val="Footer"/>
            <w:jc w:val="right"/>
          </w:pPr>
          <w:r w:rsidRPr="00487162">
            <w:t xml:space="preserve">Page </w:t>
          </w:r>
          <w:r>
            <w:t>2</w:t>
          </w:r>
          <w:r w:rsidRPr="00487162">
            <w:t xml:space="preserve"> of </w:t>
          </w:r>
          <w:fldSimple w:instr=" NUMPAGES  \* Arabic ">
            <w:r w:rsidR="005276B7">
              <w:rPr>
                <w:noProof/>
              </w:rPr>
              <w:t>68</w:t>
            </w:r>
          </w:fldSimple>
        </w:p>
      </w:tc>
    </w:tr>
  </w:tbl>
  <w:p w:rsidR="00E43CB4" w:rsidRDefault="00E43CB4"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E43CB4" w:rsidRPr="00487162" w:rsidTr="00586F98">
      <w:trPr>
        <w:trHeight w:val="269"/>
      </w:trPr>
      <w:tc>
        <w:tcPr>
          <w:tcW w:w="7655" w:type="dxa"/>
          <w:tcMar>
            <w:top w:w="142" w:type="dxa"/>
            <w:bottom w:w="0" w:type="dxa"/>
          </w:tcMar>
        </w:tcPr>
        <w:p w:rsidR="00E43CB4" w:rsidRPr="00487162" w:rsidRDefault="00E43CB4" w:rsidP="00D855D4">
          <w:pPr>
            <w:pStyle w:val="Footer"/>
          </w:pPr>
          <w:r w:rsidRPr="00A440E9">
            <w:t>Submission PM-2012-01491-3-5 Extract from the Clinical Evaluation Report for Kalydeco ivacaftor</w:t>
          </w:r>
        </w:p>
      </w:tc>
      <w:tc>
        <w:tcPr>
          <w:tcW w:w="1206" w:type="dxa"/>
          <w:tcMar>
            <w:top w:w="142" w:type="dxa"/>
            <w:bottom w:w="0" w:type="dxa"/>
          </w:tcMar>
        </w:tcPr>
        <w:p w:rsidR="00E43CB4" w:rsidRPr="00487162" w:rsidRDefault="00E43CB4" w:rsidP="00E45619">
          <w:pPr>
            <w:pStyle w:val="Footer"/>
            <w:jc w:val="right"/>
          </w:pPr>
          <w:r w:rsidRPr="00487162">
            <w:t xml:space="preserve">Page </w:t>
          </w:r>
          <w:fldSimple w:instr="PAGE">
            <w:r w:rsidR="005276B7">
              <w:rPr>
                <w:noProof/>
              </w:rPr>
              <w:t>4</w:t>
            </w:r>
          </w:fldSimple>
          <w:r w:rsidRPr="00487162">
            <w:t xml:space="preserve"> of </w:t>
          </w:r>
          <w:fldSimple w:instr=" NUMPAGES  \* Arabic ">
            <w:r w:rsidR="005276B7">
              <w:rPr>
                <w:noProof/>
              </w:rPr>
              <w:t>68</w:t>
            </w:r>
          </w:fldSimple>
        </w:p>
      </w:tc>
    </w:tr>
  </w:tbl>
  <w:p w:rsidR="00E43CB4" w:rsidRDefault="00E43CB4"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43CB4" w:rsidRPr="00487162" w:rsidTr="00E45619">
      <w:trPr>
        <w:trHeight w:val="269"/>
      </w:trPr>
      <w:tc>
        <w:tcPr>
          <w:tcW w:w="4519" w:type="dxa"/>
          <w:tcBorders>
            <w:top w:val="single" w:sz="4" w:space="0" w:color="auto"/>
          </w:tcBorders>
          <w:tcMar>
            <w:top w:w="142" w:type="dxa"/>
            <w:bottom w:w="0" w:type="dxa"/>
          </w:tcMar>
        </w:tcPr>
        <w:p w:rsidR="00E43CB4" w:rsidRPr="00487162" w:rsidRDefault="00E43CB4" w:rsidP="00FE1DEE">
          <w:pPr>
            <w:pStyle w:val="Footer"/>
          </w:pPr>
          <w:r w:rsidRPr="00487162">
            <w:t>Document title, Part #, Section # - Section title</w:t>
          </w:r>
        </w:p>
        <w:p w:rsidR="00E43CB4" w:rsidRPr="00487162" w:rsidRDefault="00E43CB4" w:rsidP="00FE1DEE">
          <w:pPr>
            <w:pStyle w:val="Footer"/>
          </w:pPr>
          <w:r w:rsidRPr="00487162">
            <w:t>V1.0 October 2010</w:t>
          </w:r>
        </w:p>
      </w:tc>
      <w:tc>
        <w:tcPr>
          <w:tcW w:w="4342" w:type="dxa"/>
          <w:tcBorders>
            <w:top w:val="single" w:sz="4" w:space="0" w:color="auto"/>
          </w:tcBorders>
          <w:tcMar>
            <w:top w:w="142" w:type="dxa"/>
            <w:bottom w:w="0" w:type="dxa"/>
          </w:tcMar>
        </w:tcPr>
        <w:p w:rsidR="00E43CB4" w:rsidRPr="00487162" w:rsidRDefault="00E43CB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E43CB4" w:rsidRDefault="00E43CB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E43CB4" w:rsidRPr="00487162" w:rsidTr="008D770F">
              <w:trPr>
                <w:trHeight w:hRule="exact" w:val="564"/>
              </w:trPr>
              <w:tc>
                <w:tcPr>
                  <w:tcW w:w="9175" w:type="dxa"/>
                </w:tcPr>
                <w:p w:rsidR="00E43CB4" w:rsidRPr="00487162" w:rsidRDefault="00E43CB4" w:rsidP="008E7846">
                  <w:pPr>
                    <w:pStyle w:val="TGASignoff"/>
                  </w:pPr>
                  <w:r w:rsidRPr="00487162">
                    <w:t>Therapeutic Goods Administration</w:t>
                  </w:r>
                </w:p>
              </w:tc>
            </w:tr>
            <w:tr w:rsidR="00E43CB4" w:rsidRPr="00487162" w:rsidTr="00E45619">
              <w:trPr>
                <w:trHeight w:val="1221"/>
              </w:trPr>
              <w:tc>
                <w:tcPr>
                  <w:tcW w:w="9175" w:type="dxa"/>
                  <w:tcMar>
                    <w:top w:w="28" w:type="dxa"/>
                  </w:tcMar>
                </w:tcPr>
                <w:p w:rsidR="00E43CB4" w:rsidRPr="00487162" w:rsidRDefault="00E43CB4" w:rsidP="00E45619">
                  <w:pPr>
                    <w:pStyle w:val="Address"/>
                  </w:pPr>
                  <w:r w:rsidRPr="00487162">
                    <w:t>PO Box 100 Woden ACT 2606 Australia</w:t>
                  </w:r>
                </w:p>
                <w:p w:rsidR="00E43CB4" w:rsidRPr="00487162" w:rsidRDefault="00E43CB4"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E43CB4" w:rsidRPr="008D770F" w:rsidRDefault="00E07512" w:rsidP="008D770F">
                  <w:pPr>
                    <w:pStyle w:val="Address"/>
                    <w:spacing w:line="260" w:lineRule="atLeast"/>
                    <w:rPr>
                      <w:b/>
                      <w:color w:val="0000FF"/>
                      <w:u w:val="single"/>
                    </w:rPr>
                  </w:pPr>
                  <w:hyperlink r:id="rId2" w:history="1">
                    <w:r w:rsidR="00E43CB4" w:rsidRPr="007C06C7">
                      <w:rPr>
                        <w:rStyle w:val="Hyperlink"/>
                        <w:b/>
                      </w:rPr>
                      <w:t>http://www.tga.gov.au</w:t>
                    </w:r>
                  </w:hyperlink>
                </w:p>
              </w:tc>
            </w:tr>
          </w:tbl>
          <w:p w:rsidR="00E43CB4" w:rsidRDefault="00E07512"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43CB4" w:rsidTr="0010601F">
      <w:trPr>
        <w:trHeight w:val="108"/>
      </w:trPr>
      <w:tc>
        <w:tcPr>
          <w:tcW w:w="8875" w:type="dxa"/>
          <w:gridSpan w:val="2"/>
          <w:tcBorders>
            <w:bottom w:val="single" w:sz="4" w:space="0" w:color="auto"/>
          </w:tcBorders>
          <w:tcMar>
            <w:right w:w="284" w:type="dxa"/>
          </w:tcMar>
        </w:tcPr>
        <w:p w:rsidR="00E43CB4" w:rsidRDefault="00E43CB4" w:rsidP="006E08B3">
          <w:pPr>
            <w:pStyle w:val="Heading3"/>
          </w:pPr>
          <w:r>
            <w:t>Copyright</w:t>
          </w:r>
        </w:p>
        <w:p w:rsidR="00E43CB4" w:rsidRDefault="00E43CB4" w:rsidP="006E08B3">
          <w:r>
            <w:rPr>
              <w:rFonts w:cs="Arial"/>
            </w:rPr>
            <w:t>©</w:t>
          </w:r>
          <w:r>
            <w:t xml:space="preserve"> Commonwealth of Australia [add year]</w:t>
          </w:r>
        </w:p>
        <w:p w:rsidR="00E43CB4" w:rsidRDefault="00E43CB4" w:rsidP="006E08B3"/>
        <w:p w:rsidR="00E43CB4" w:rsidRDefault="00E43CB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43CB4" w:rsidRDefault="00E43CB4" w:rsidP="006E08B3"/>
        <w:p w:rsidR="00E43CB4" w:rsidRDefault="00E43CB4" w:rsidP="006E08B3">
          <w:pPr>
            <w:pStyle w:val="Heading3"/>
          </w:pPr>
          <w:r>
            <w:t>Confidentiality</w:t>
          </w:r>
        </w:p>
        <w:p w:rsidR="00E43CB4" w:rsidRDefault="00E43CB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43CB4" w:rsidRDefault="00E43CB4" w:rsidP="006E08B3"/>
        <w:p w:rsidR="00E43CB4" w:rsidRDefault="00E43CB4" w:rsidP="006E08B3">
          <w:r>
            <w:t>For submission made by individuals, all personal details, other than your name, will be removed from your submission before it is published on the TGA’s Internet site.</w:t>
          </w:r>
        </w:p>
        <w:p w:rsidR="00E43CB4" w:rsidRDefault="00E43CB4" w:rsidP="006E08B3"/>
        <w:p w:rsidR="00E43CB4" w:rsidRDefault="00E43CB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43CB4" w:rsidTr="0010601F">
      <w:trPr>
        <w:trHeight w:val="417"/>
      </w:trPr>
      <w:tc>
        <w:tcPr>
          <w:tcW w:w="4519" w:type="dxa"/>
          <w:tcBorders>
            <w:top w:val="single" w:sz="4" w:space="0" w:color="auto"/>
          </w:tcBorders>
          <w:tcMar>
            <w:top w:w="142" w:type="dxa"/>
            <w:bottom w:w="0" w:type="dxa"/>
          </w:tcMar>
        </w:tcPr>
        <w:p w:rsidR="00E43CB4" w:rsidRDefault="00E43CB4" w:rsidP="006E08B3">
          <w:r>
            <w:t>Document title, Part #, Section # - Section title</w:t>
          </w:r>
        </w:p>
        <w:p w:rsidR="00E43CB4" w:rsidRDefault="00E43CB4" w:rsidP="006E08B3">
          <w:r>
            <w:t>V1.0 October 2010</w:t>
          </w:r>
        </w:p>
      </w:tc>
      <w:tc>
        <w:tcPr>
          <w:tcW w:w="4356" w:type="dxa"/>
          <w:tcBorders>
            <w:top w:val="single" w:sz="4" w:space="0" w:color="auto"/>
          </w:tcBorders>
          <w:tcMar>
            <w:top w:w="142" w:type="dxa"/>
            <w:bottom w:w="0" w:type="dxa"/>
          </w:tcMar>
        </w:tcPr>
        <w:p w:rsidR="00E43CB4" w:rsidRDefault="00E43CB4"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E43CB4" w:rsidRDefault="00E43CB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CB4" w:rsidRDefault="00E43CB4" w:rsidP="00C40A36">
      <w:pPr>
        <w:spacing w:after="0"/>
      </w:pPr>
      <w:r>
        <w:separator/>
      </w:r>
    </w:p>
  </w:footnote>
  <w:footnote w:type="continuationSeparator" w:id="0">
    <w:p w:rsidR="00E43CB4" w:rsidRDefault="00E43CB4" w:rsidP="00C40A36">
      <w:pPr>
        <w:spacing w:after="0"/>
      </w:pPr>
      <w:r>
        <w:continuationSeparator/>
      </w:r>
    </w:p>
  </w:footnote>
  <w:footnote w:id="1">
    <w:p w:rsidR="00E43CB4" w:rsidRPr="00225614" w:rsidRDefault="00E43CB4" w:rsidP="00A06807">
      <w:pPr>
        <w:pStyle w:val="FootnoteText"/>
      </w:pPr>
      <w:r w:rsidRPr="00225614">
        <w:rPr>
          <w:vertAlign w:val="superscript"/>
        </w:rPr>
        <w:footnoteRef/>
      </w:r>
      <w:r w:rsidRPr="00225614">
        <w:t xml:space="preserve"> The study was conducted in 2 parts: Part 1 consisted of Group A and Group B. Subjects in Group A were randomized to receive either 25-mg VX-770 q12h, 75-mg VX-770 q12h, or placebo for 14 days. Subjects in Group B were randomized to receive either 75-mg VX-770 q12h, 150-mg VX-770 q12h, or placebo for 14 days. Following a 7- to 28-day washout period, subjects receiving VX-770 crossed over to the alternate dose strength of VX-770 for an additional 14 days. Placebo subjects continued to receive placebo for an additional 14 days. Part 2 consisted of Group C, whose subjects did not participate in Part 1. Subjects were randomized to receive 150-mg VX-770 q12h, 250-mg VX-770 q12h, or placebo for 28 days.</w:t>
      </w:r>
    </w:p>
  </w:footnote>
  <w:footnote w:id="2">
    <w:p w:rsidR="00E43CB4" w:rsidRPr="00D32B67" w:rsidRDefault="00E43CB4" w:rsidP="00A06807">
      <w:pPr>
        <w:pStyle w:val="FootnoteText"/>
        <w:keepLines/>
      </w:pPr>
      <w:r w:rsidRPr="00D32B67">
        <w:rPr>
          <w:vertAlign w:val="superscript"/>
        </w:rPr>
        <w:footnoteRef/>
      </w:r>
      <w:r w:rsidRPr="00D32B67">
        <w:t xml:space="preserve"> NPD is a direct measure of </w:t>
      </w:r>
      <w:proofErr w:type="spellStart"/>
      <w:r w:rsidRPr="00D32B67">
        <w:t>transepithelial</w:t>
      </w:r>
      <w:proofErr w:type="spellEnd"/>
      <w:r w:rsidRPr="00D32B67">
        <w:t xml:space="preserve"> ion transport. Electrodes are place on the nasal mucosa and the forearm to measure the </w:t>
      </w:r>
      <w:proofErr w:type="spellStart"/>
      <w:r w:rsidRPr="00D32B67">
        <w:t>transepithelial</w:t>
      </w:r>
      <w:proofErr w:type="spellEnd"/>
      <w:r w:rsidRPr="00D32B67">
        <w:t xml:space="preserve"> potential difference. The nasal mucosa is then bathes in a series of solutions: Ringer’s solution, </w:t>
      </w:r>
      <w:proofErr w:type="spellStart"/>
      <w:r w:rsidRPr="00D32B67">
        <w:t>amiloride</w:t>
      </w:r>
      <w:proofErr w:type="spellEnd"/>
      <w:r w:rsidRPr="00D32B67">
        <w:t xml:space="preserve">, zero chloride solution, </w:t>
      </w:r>
      <w:proofErr w:type="spellStart"/>
      <w:r w:rsidRPr="00D32B67">
        <w:t>isoproterenol</w:t>
      </w:r>
      <w:proofErr w:type="spellEnd"/>
      <w:r w:rsidRPr="00D32B67">
        <w:t xml:space="preserve">, and ATP. The </w:t>
      </w:r>
      <w:proofErr w:type="spellStart"/>
      <w:r w:rsidRPr="00D32B67">
        <w:t>transepithelial</w:t>
      </w:r>
      <w:proofErr w:type="spellEnd"/>
      <w:r w:rsidRPr="00D32B67">
        <w:t xml:space="preserve"> NPD under conditions of zero chloride perfusion solution in the presence of </w:t>
      </w:r>
      <w:proofErr w:type="spellStart"/>
      <w:r w:rsidRPr="00D32B67">
        <w:t>isoproterenol</w:t>
      </w:r>
      <w:proofErr w:type="spellEnd"/>
      <w:r w:rsidRPr="00D32B67">
        <w:t xml:space="preserve"> is the NPD measurement most indicative of CFTR activity.  The </w:t>
      </w:r>
      <w:proofErr w:type="spellStart"/>
      <w:r w:rsidRPr="00D32B67">
        <w:t>transepithelial</w:t>
      </w:r>
      <w:proofErr w:type="spellEnd"/>
      <w:r w:rsidRPr="00D32B67">
        <w:t xml:space="preserve"> NPD under conditions of zero chloride concentration perfusion solution in the presence of </w:t>
      </w:r>
      <w:proofErr w:type="spellStart"/>
      <w:r w:rsidRPr="00D32B67">
        <w:t>isoproterenol</w:t>
      </w:r>
      <w:proofErr w:type="spellEnd"/>
      <w:r w:rsidRPr="00D32B67">
        <w:t xml:space="preserve"> was of primary interest, and was the primary PD</w:t>
      </w:r>
      <w:r>
        <w:t xml:space="preserve"> </w:t>
      </w:r>
      <w:r w:rsidRPr="00D32B67">
        <w:t>assessment for this procedure.</w:t>
      </w:r>
    </w:p>
  </w:footnote>
  <w:footnote w:id="3">
    <w:p w:rsidR="00E43CB4" w:rsidRPr="002D30FB" w:rsidRDefault="00E43CB4" w:rsidP="008A78BD">
      <w:pPr>
        <w:pStyle w:val="FootnoteText"/>
      </w:pPr>
      <w:r w:rsidRPr="002D30FB">
        <w:rPr>
          <w:rStyle w:val="FootnoteReference"/>
          <w:iCs/>
          <w:szCs w:val="18"/>
        </w:rPr>
        <w:footnoteRef/>
      </w:r>
      <w:r w:rsidRPr="002D30FB">
        <w:t xml:space="preserve"> Diagnosis of CF </w:t>
      </w:r>
      <w:r w:rsidRPr="002D30FB">
        <w:rPr>
          <w:rFonts w:eastAsia="Calibri"/>
        </w:rPr>
        <w:t xml:space="preserve">defined as:- a sweat chloride value </w:t>
      </w:r>
      <w:r w:rsidRPr="002D30FB">
        <w:rPr>
          <w:rFonts w:eastAsia="SymbolMT" w:cs="SymbolMT"/>
        </w:rPr>
        <w:t xml:space="preserve">≥ </w:t>
      </w:r>
      <w:r w:rsidRPr="002D30FB">
        <w:rPr>
          <w:rFonts w:eastAsia="Calibri"/>
        </w:rPr>
        <w:t xml:space="preserve">60 </w:t>
      </w:r>
      <w:proofErr w:type="spellStart"/>
      <w:r w:rsidRPr="002D30FB">
        <w:rPr>
          <w:rFonts w:eastAsia="Calibri"/>
        </w:rPr>
        <w:t>mmol</w:t>
      </w:r>
      <w:proofErr w:type="spellEnd"/>
      <w:r w:rsidRPr="002D30FB">
        <w:rPr>
          <w:rFonts w:eastAsia="Calibri"/>
        </w:rPr>
        <w:t xml:space="preserve">/L by quantitative </w:t>
      </w:r>
      <w:proofErr w:type="spellStart"/>
      <w:r w:rsidRPr="002D30FB">
        <w:rPr>
          <w:rFonts w:eastAsia="Calibri"/>
        </w:rPr>
        <w:t>pilocarpine</w:t>
      </w:r>
      <w:proofErr w:type="spellEnd"/>
      <w:r w:rsidRPr="002D30FB">
        <w:rPr>
          <w:rFonts w:eastAsia="Calibri"/>
        </w:rPr>
        <w:t xml:space="preserve"> </w:t>
      </w:r>
      <w:proofErr w:type="spellStart"/>
      <w:r w:rsidRPr="002D30FB">
        <w:rPr>
          <w:rFonts w:eastAsia="Calibri"/>
        </w:rPr>
        <w:t>iontophoresis</w:t>
      </w:r>
      <w:proofErr w:type="spellEnd"/>
      <w:r w:rsidRPr="002D30FB">
        <w:rPr>
          <w:rFonts w:eastAsia="Calibri"/>
        </w:rPr>
        <w:t xml:space="preserve"> OR two CF-causing mutations (all as documented in the subject’s medical record) AND chronic </w:t>
      </w:r>
      <w:proofErr w:type="spellStart"/>
      <w:r w:rsidRPr="002D30FB">
        <w:rPr>
          <w:rFonts w:eastAsia="Calibri"/>
        </w:rPr>
        <w:t>sinopulmonary</w:t>
      </w:r>
      <w:proofErr w:type="spellEnd"/>
      <w:r w:rsidRPr="002D30FB">
        <w:rPr>
          <w:rFonts w:eastAsia="Calibri"/>
        </w:rPr>
        <w:t xml:space="preserve"> disease OR gastrointestinal/nutritional abnormalities.</w:t>
      </w:r>
      <w:r w:rsidRPr="002D30FB">
        <w:t xml:space="preserve"> </w:t>
      </w:r>
    </w:p>
  </w:footnote>
  <w:footnote w:id="4">
    <w:p w:rsidR="00E43CB4" w:rsidRPr="002D30FB" w:rsidRDefault="00E43CB4" w:rsidP="008A78BD">
      <w:pPr>
        <w:pStyle w:val="FootnoteText"/>
      </w:pPr>
      <w:r w:rsidRPr="002D30FB">
        <w:rPr>
          <w:rStyle w:val="FootnoteReference"/>
          <w:iCs/>
          <w:szCs w:val="18"/>
        </w:rPr>
        <w:footnoteRef/>
      </w:r>
      <w:r w:rsidRPr="002D30FB">
        <w:t xml:space="preserve"> Subjects whose CF was not stable e.g., subjects colonized with organisms associated with more rapid decline in pulmonary status, such as </w:t>
      </w:r>
      <w:proofErr w:type="spellStart"/>
      <w:r w:rsidRPr="002D30FB">
        <w:t>Burkholderia</w:t>
      </w:r>
      <w:proofErr w:type="spellEnd"/>
      <w:r w:rsidRPr="002D30FB">
        <w:t xml:space="preserve"> </w:t>
      </w:r>
      <w:proofErr w:type="spellStart"/>
      <w:r w:rsidRPr="002D30FB">
        <w:t>cenocepacia</w:t>
      </w:r>
      <w:proofErr w:type="spellEnd"/>
      <w:r w:rsidRPr="002D30FB">
        <w:t xml:space="preserve">, </w:t>
      </w:r>
      <w:proofErr w:type="spellStart"/>
      <w:r w:rsidRPr="002D30FB">
        <w:t>Burkholderia</w:t>
      </w:r>
      <w:proofErr w:type="spellEnd"/>
      <w:r w:rsidRPr="002D30FB">
        <w:t xml:space="preserve"> </w:t>
      </w:r>
      <w:proofErr w:type="spellStart"/>
      <w:r w:rsidRPr="002D30FB">
        <w:t>dolosa</w:t>
      </w:r>
      <w:proofErr w:type="spellEnd"/>
      <w:r w:rsidRPr="002D30FB">
        <w:t>, and Mycobacterium abscesses; subjects with recent acute upper or lower respiratory infection, pulmonary exacerbation, or changes in therapy for pulmonary disease.</w:t>
      </w:r>
    </w:p>
  </w:footnote>
  <w:footnote w:id="5">
    <w:p w:rsidR="00E43CB4" w:rsidRPr="002D30FB" w:rsidRDefault="00E43CB4" w:rsidP="008A78BD">
      <w:pPr>
        <w:pStyle w:val="FootnoteText"/>
      </w:pPr>
      <w:r w:rsidRPr="002D30FB">
        <w:rPr>
          <w:rStyle w:val="FootnoteReference"/>
          <w:iCs/>
          <w:szCs w:val="18"/>
        </w:rPr>
        <w:footnoteRef/>
      </w:r>
      <w:r w:rsidRPr="002D30FB">
        <w:t xml:space="preserve"> </w:t>
      </w:r>
      <w:r w:rsidRPr="002D30FB">
        <w:rPr>
          <w:rFonts w:eastAsia="Calibri"/>
        </w:rPr>
        <w:t xml:space="preserve">Guidelines for stable medication regimens for CF were as follows: </w:t>
      </w:r>
      <w:r w:rsidRPr="002D30FB">
        <w:rPr>
          <w:rFonts w:eastAsia="SymbolMT" w:cs="SymbolMT"/>
        </w:rPr>
        <w:t xml:space="preserve"> </w:t>
      </w:r>
      <w:r w:rsidRPr="002D30FB">
        <w:rPr>
          <w:rFonts w:eastAsia="Calibri"/>
        </w:rPr>
        <w:t xml:space="preserve">Subjects who were on inhaled cycling antibiotics should have taken their antibiotic in 28-day-on/28-day-off cycles; </w:t>
      </w:r>
      <w:r w:rsidRPr="002D30FB">
        <w:rPr>
          <w:rFonts w:eastAsia="SymbolMT" w:cs="SymbolMT"/>
        </w:rPr>
        <w:t xml:space="preserve"> </w:t>
      </w:r>
      <w:r w:rsidRPr="002D30FB">
        <w:rPr>
          <w:rFonts w:eastAsia="Calibri"/>
        </w:rPr>
        <w:t>Subjects who used inhaled antibiotics without cycling should have continued their</w:t>
      </w:r>
      <w:r>
        <w:rPr>
          <w:rFonts w:eastAsia="Calibri"/>
        </w:rPr>
        <w:t xml:space="preserve"> </w:t>
      </w:r>
      <w:r w:rsidRPr="002D30FB">
        <w:rPr>
          <w:rFonts w:eastAsia="Calibri"/>
        </w:rPr>
        <w:t xml:space="preserve">regimen as usual; </w:t>
      </w:r>
      <w:r w:rsidRPr="002D30FB">
        <w:rPr>
          <w:rFonts w:eastAsia="SymbolMT" w:cs="SymbolMT"/>
        </w:rPr>
        <w:t xml:space="preserve"> </w:t>
      </w:r>
      <w:r w:rsidRPr="002D30FB">
        <w:rPr>
          <w:rFonts w:eastAsia="Calibri"/>
        </w:rPr>
        <w:t>Subjects who alternated 2 different antibiotics monthly should have continued alternating their antibiotics as usual.</w:t>
      </w:r>
    </w:p>
  </w:footnote>
  <w:footnote w:id="6">
    <w:p w:rsidR="00E43CB4" w:rsidRPr="002D30FB" w:rsidRDefault="00E43CB4" w:rsidP="008A78BD">
      <w:pPr>
        <w:pStyle w:val="FootnoteText"/>
      </w:pPr>
      <w:r w:rsidRPr="002D30FB">
        <w:rPr>
          <w:rStyle w:val="FootnoteReference"/>
          <w:iCs/>
          <w:szCs w:val="18"/>
        </w:rPr>
        <w:footnoteRef/>
      </w:r>
      <w:r w:rsidRPr="002D30FB">
        <w:t xml:space="preserve"> </w:t>
      </w:r>
      <w:r w:rsidRPr="002D30FB">
        <w:rPr>
          <w:rFonts w:eastAsia="Calibri"/>
        </w:rPr>
        <w:t>The questionnaires provided information about demographics, general quality of life, school, work, or daily activities, and symptom difficulties (pertaining to CF).</w:t>
      </w:r>
    </w:p>
  </w:footnote>
  <w:footnote w:id="7">
    <w:p w:rsidR="00E43CB4" w:rsidRPr="002D30FB" w:rsidRDefault="00E43CB4" w:rsidP="008A78BD">
      <w:pPr>
        <w:pStyle w:val="FootnoteText"/>
      </w:pPr>
      <w:r w:rsidRPr="002D30FB">
        <w:rPr>
          <w:rStyle w:val="FootnoteReference"/>
          <w:iCs/>
          <w:szCs w:val="18"/>
        </w:rPr>
        <w:footnoteRef/>
      </w:r>
      <w:r w:rsidRPr="002D30FB">
        <w:t xml:space="preserve"> </w:t>
      </w:r>
      <w:r w:rsidRPr="002D30FB">
        <w:rPr>
          <w:rFonts w:eastAsia="Calibri"/>
        </w:rPr>
        <w:t xml:space="preserve">Subjects (or the subject’s parent/caregiver) completed the </w:t>
      </w:r>
      <w:proofErr w:type="spellStart"/>
      <w:r w:rsidRPr="002D30FB">
        <w:rPr>
          <w:rFonts w:eastAsia="Calibri"/>
        </w:rPr>
        <w:t>EuroQol</w:t>
      </w:r>
      <w:proofErr w:type="spellEnd"/>
      <w:r w:rsidRPr="002D30FB">
        <w:rPr>
          <w:rFonts w:eastAsia="Calibri"/>
        </w:rPr>
        <w:t xml:space="preserve"> Questionnaire (EQ-5D)(for 12 years of age and older) which is a standardized self-reported questionnaire developed by the </w:t>
      </w:r>
      <w:proofErr w:type="spellStart"/>
      <w:r w:rsidRPr="002D30FB">
        <w:rPr>
          <w:rFonts w:eastAsia="Calibri"/>
        </w:rPr>
        <w:t>EuroQol</w:t>
      </w:r>
      <w:proofErr w:type="spellEnd"/>
      <w:r w:rsidRPr="002D30FB">
        <w:rPr>
          <w:rFonts w:eastAsia="Calibri"/>
        </w:rPr>
        <w:t xml:space="preserve"> Group for use as a measure of health outcome that consists of 5 dimensions (mobility, self-care, usual activities, pain/discomfort, anxiety/depression</w:t>
      </w:r>
    </w:p>
  </w:footnote>
  <w:footnote w:id="8">
    <w:p w:rsidR="00E43CB4" w:rsidRPr="009F6F3B" w:rsidRDefault="00E43CB4" w:rsidP="00034FC1">
      <w:pPr>
        <w:pStyle w:val="FootnoteText"/>
        <w:keepLines/>
      </w:pPr>
      <w:r w:rsidRPr="009F6F3B">
        <w:rPr>
          <w:vertAlign w:val="superscript"/>
        </w:rPr>
        <w:footnoteRef/>
      </w:r>
      <w:r w:rsidRPr="009F6F3B">
        <w:rPr>
          <w:vertAlign w:val="superscript"/>
        </w:rPr>
        <w:t xml:space="preserve"> </w:t>
      </w:r>
      <w:r w:rsidRPr="009F6F3B">
        <w:t xml:space="preserve">Pulmonary exacerbation was defined as a change in antibiotic therapy (IV, inhaled, or oral) for any 4 or more of the following signs/symptoms. -change in sputum, new or increased </w:t>
      </w:r>
      <w:proofErr w:type="spellStart"/>
      <w:r w:rsidRPr="009F6F3B">
        <w:t>hemoptysis</w:t>
      </w:r>
      <w:proofErr w:type="spellEnd"/>
      <w:r w:rsidRPr="009F6F3B">
        <w:t xml:space="preserve">, increased cough, increased </w:t>
      </w:r>
      <w:proofErr w:type="spellStart"/>
      <w:r w:rsidRPr="009F6F3B">
        <w:t>dyspnea</w:t>
      </w:r>
      <w:proofErr w:type="spellEnd"/>
      <w:r w:rsidRPr="009F6F3B">
        <w:t>, malaise, fatigue, or lethargy, temperature above 38°C (equivalent to approximately 100.4°F), anorexia or weight loss, sinus pain or tenderness, change in sinus discharge, change in physical examination of the chest, decrease in pulmonary function by 10%, radiographic changes indicative of pulmonary infection.</w:t>
      </w:r>
    </w:p>
  </w:footnote>
  <w:footnote w:id="9">
    <w:p w:rsidR="00E43CB4" w:rsidRPr="004756CA" w:rsidRDefault="00E43CB4" w:rsidP="00872177">
      <w:pPr>
        <w:pStyle w:val="FootnoteText"/>
      </w:pPr>
      <w:r w:rsidRPr="004756CA">
        <w:rPr>
          <w:rStyle w:val="FootnoteReference"/>
          <w:iCs/>
          <w:szCs w:val="18"/>
        </w:rPr>
        <w:footnoteRef/>
      </w:r>
      <w:r w:rsidRPr="004756CA">
        <w:t xml:space="preserve"> </w:t>
      </w:r>
      <w:r w:rsidRPr="004756CA">
        <w:rPr>
          <w:rFonts w:eastAsia="Calibri"/>
        </w:rPr>
        <w:t>Overall study drug compliance (%) was defined as the ratio of the number of tablets consumed to the number of tablets expected to be administered, expressed as a percentage</w:t>
      </w:r>
    </w:p>
  </w:footnote>
  <w:footnote w:id="10">
    <w:p w:rsidR="00E43CB4" w:rsidRPr="00FA7352" w:rsidRDefault="00E43CB4" w:rsidP="00872177">
      <w:pPr>
        <w:pStyle w:val="FootnoteText"/>
      </w:pPr>
      <w:r w:rsidRPr="00FA7352">
        <w:rPr>
          <w:rStyle w:val="FootnoteReference"/>
          <w:iCs/>
          <w:szCs w:val="18"/>
        </w:rPr>
        <w:footnoteRef/>
      </w:r>
      <w:r w:rsidRPr="00FA7352">
        <w:t xml:space="preserve"> </w:t>
      </w:r>
      <w:r w:rsidRPr="00FA7352">
        <w:rPr>
          <w:rFonts w:eastAsia="Calibri"/>
        </w:rPr>
        <w:t xml:space="preserve">Duration of events was analysed using a stratified (for age group and percent predicted FEV1 severity at baseline) </w:t>
      </w:r>
      <w:proofErr w:type="spellStart"/>
      <w:r w:rsidRPr="00FA7352">
        <w:rPr>
          <w:rFonts w:eastAsia="Calibri"/>
        </w:rPr>
        <w:t>Wilcoxon</w:t>
      </w:r>
      <w:proofErr w:type="spellEnd"/>
      <w:r w:rsidRPr="00FA7352">
        <w:rPr>
          <w:rFonts w:eastAsia="Calibri"/>
        </w:rPr>
        <w:t xml:space="preserve"> rank-sum test to assess difference between treatment groups. In the analysis, total duration of all events was adjusted for time spent in the study by multiplying the observed percent days with the event by the total study days expected on study (i.e., 168 and 336 days for the Week 24 and Week 48 analysis, respectively.</w:t>
      </w:r>
    </w:p>
  </w:footnote>
  <w:footnote w:id="11">
    <w:p w:rsidR="00E43CB4" w:rsidRPr="00B62994" w:rsidRDefault="00E43CB4" w:rsidP="00977B6C">
      <w:pPr>
        <w:pStyle w:val="FootnoteText"/>
      </w:pPr>
      <w:r w:rsidRPr="00B62994">
        <w:rPr>
          <w:rStyle w:val="FootnoteReference"/>
          <w:iCs/>
          <w:szCs w:val="18"/>
        </w:rPr>
        <w:footnoteRef/>
      </w:r>
      <w:r w:rsidRPr="00B62994">
        <w:t xml:space="preserve"> </w:t>
      </w:r>
      <w:r w:rsidRPr="00B62994">
        <w:rPr>
          <w:rFonts w:eastAsia="Calibri"/>
        </w:rPr>
        <w:t xml:space="preserve">The MBW test involves inhalation of an inert tracer gas during quiet breathing. Gas flow and volume </w:t>
      </w:r>
      <w:proofErr w:type="spellStart"/>
      <w:r w:rsidRPr="00B62994">
        <w:rPr>
          <w:rFonts w:eastAsia="Calibri"/>
        </w:rPr>
        <w:t>analyzers</w:t>
      </w:r>
      <w:proofErr w:type="spellEnd"/>
      <w:r w:rsidRPr="00B62994">
        <w:rPr>
          <w:rFonts w:eastAsia="Calibri"/>
        </w:rPr>
        <w:t xml:space="preserve"> are used to monitor how long it takes the subject to wash out this gas mixture from the lung. If there is airway narrowing, from either mucosal inflammation or mucus, it takes longer to wash out the gas mixture and this can be used as an indicator of airway disease.</w:t>
      </w:r>
    </w:p>
  </w:footnote>
  <w:footnote w:id="12">
    <w:p w:rsidR="00E43CB4" w:rsidRPr="00E05AA1" w:rsidRDefault="00E43CB4" w:rsidP="00977B6C">
      <w:pPr>
        <w:pStyle w:val="FootnoteText"/>
      </w:pPr>
      <w:r w:rsidRPr="00E05AA1">
        <w:rPr>
          <w:rStyle w:val="FootnoteReference"/>
          <w:iCs/>
          <w:szCs w:val="18"/>
        </w:rPr>
        <w:footnoteRef/>
      </w:r>
      <w:r w:rsidRPr="00E05AA1">
        <w:t xml:space="preserve"> </w:t>
      </w:r>
      <w:r w:rsidRPr="00E05AA1">
        <w:rPr>
          <w:rFonts w:eastAsia="Calibri"/>
        </w:rPr>
        <w:t xml:space="preserve">While subjects were randomized based on the percent predicted FEV1 obtained on Day -14, they were assigned to FEV1 severity subgroups based on the percent predicted FEV1 severity at baseline (&lt;70%, 70% to 90% [inclusive], &gt;90% of the predicted value, and </w:t>
      </w:r>
      <w:r w:rsidRPr="00E05AA1">
        <w:rPr>
          <w:rFonts w:eastAsia="SymbolMT" w:cs="SymbolMT"/>
        </w:rPr>
        <w:t>≤</w:t>
      </w:r>
      <w:r w:rsidRPr="00E05AA1">
        <w:rPr>
          <w:rFonts w:eastAsia="Calibri"/>
        </w:rPr>
        <w:t>90% of the predicted value).</w:t>
      </w:r>
    </w:p>
  </w:footnote>
  <w:footnote w:id="13">
    <w:p w:rsidR="00E43CB4" w:rsidRPr="00BB6C0C" w:rsidRDefault="00E43CB4" w:rsidP="00DB5F23">
      <w:pPr>
        <w:pStyle w:val="FootnoteText"/>
      </w:pPr>
      <w:r w:rsidRPr="00BB6C0C">
        <w:rPr>
          <w:rStyle w:val="FootnoteReference"/>
          <w:szCs w:val="18"/>
        </w:rPr>
        <w:footnoteRef/>
      </w:r>
      <w:r w:rsidRPr="00BB6C0C">
        <w:t xml:space="preserve"> </w:t>
      </w:r>
      <w:r w:rsidRPr="00BB6C0C">
        <w:rPr>
          <w:rFonts w:eastAsia="Calibri"/>
        </w:rPr>
        <w:t xml:space="preserve">Weight-for-age z-scores were calculated using National </w:t>
      </w:r>
      <w:proofErr w:type="spellStart"/>
      <w:r w:rsidRPr="00BB6C0C">
        <w:rPr>
          <w:rFonts w:eastAsia="Calibri"/>
        </w:rPr>
        <w:t>Center</w:t>
      </w:r>
      <w:proofErr w:type="spellEnd"/>
      <w:r w:rsidRPr="00BB6C0C">
        <w:rPr>
          <w:rFonts w:eastAsia="Calibri"/>
        </w:rPr>
        <w:t xml:space="preserve"> for Health Statistics growth charts.</w:t>
      </w:r>
    </w:p>
  </w:footnote>
  <w:footnote w:id="14">
    <w:p w:rsidR="00E43CB4" w:rsidRPr="00136C92" w:rsidRDefault="00E43CB4" w:rsidP="000D44AF">
      <w:pPr>
        <w:pStyle w:val="FootnoteText"/>
      </w:pPr>
      <w:r w:rsidRPr="00136C92">
        <w:rPr>
          <w:rStyle w:val="FootnoteReference"/>
          <w:iCs/>
          <w:szCs w:val="18"/>
        </w:rPr>
        <w:footnoteRef/>
      </w:r>
      <w:r w:rsidRPr="00136C92">
        <w:t xml:space="preserve"> Study 001 Part D included subjects with CF Study 013 also included subjects with hepatic impairment</w:t>
      </w:r>
    </w:p>
  </w:footnote>
  <w:footnote w:id="15">
    <w:p w:rsidR="00E43CB4" w:rsidRPr="009A0EA6" w:rsidRDefault="00E43CB4" w:rsidP="000D44AF">
      <w:pPr>
        <w:pStyle w:val="FootnoteText"/>
      </w:pPr>
      <w:r w:rsidRPr="009A0EA6">
        <w:rPr>
          <w:rStyle w:val="FootnoteReference"/>
          <w:iCs/>
          <w:szCs w:val="18"/>
        </w:rPr>
        <w:footnoteRef/>
      </w:r>
      <w:r w:rsidRPr="009A0EA6">
        <w:t xml:space="preserve"> Study 104 was a Phase 2b, 2-part study conducted in subjects with CF who are homozygous for the F508del mutation in the CFTR gene: a placebo-controlled (Part A) and an uncontrolled open-label, extension part (Part B) for subjects who completed treatment in Part A and met pre-specified criteria to participate in Part B. </w:t>
      </w:r>
    </w:p>
  </w:footnote>
  <w:footnote w:id="16">
    <w:p w:rsidR="00E43CB4" w:rsidRPr="00712175" w:rsidRDefault="00E43CB4" w:rsidP="008C7E5D">
      <w:pPr>
        <w:pStyle w:val="FootnoteText"/>
      </w:pPr>
      <w:r w:rsidRPr="00712175">
        <w:rPr>
          <w:rStyle w:val="FootnoteReference"/>
          <w:iCs/>
          <w:szCs w:val="18"/>
        </w:rPr>
        <w:footnoteRef/>
      </w:r>
      <w:r w:rsidRPr="00712175">
        <w:t xml:space="preserve"> Eight subjects in the placebo-controlled or uncontrolled studies who received at least 1 dose of ivacaftor had transaminase elevations </w:t>
      </w:r>
      <w:r w:rsidRPr="00712175">
        <w:rPr>
          <w:b/>
          <w:bCs/>
        </w:rPr>
        <w:t>≥</w:t>
      </w:r>
      <w:r w:rsidRPr="00712175">
        <w:t xml:space="preserve">5 × ULN, 3 subjects had elevations occurring in the first 16 weeks of treatment, including 2 subjects in Study 104 Part A (16-week duration). The time to onset (ALT and/or AST </w:t>
      </w:r>
      <w:r w:rsidRPr="00712175">
        <w:rPr>
          <w:b/>
          <w:bCs/>
        </w:rPr>
        <w:t>≥</w:t>
      </w:r>
      <w:r w:rsidRPr="00712175">
        <w:t>5 × ULN) from first dose of ivacaftor in the other 5 subjects occurred at Weeks 19, 31, 32, 42, and 52.</w:t>
      </w:r>
    </w:p>
  </w:footnote>
  <w:footnote w:id="17">
    <w:p w:rsidR="00E43CB4" w:rsidRPr="009D0DED" w:rsidRDefault="00E43CB4" w:rsidP="00BD407B">
      <w:pPr>
        <w:pStyle w:val="FootnoteText"/>
      </w:pPr>
      <w:r w:rsidRPr="009D0DED">
        <w:rPr>
          <w:rStyle w:val="FootnoteReference"/>
          <w:iCs/>
          <w:szCs w:val="18"/>
        </w:rPr>
        <w:footnoteRef/>
      </w:r>
      <w:r w:rsidRPr="009D0DED">
        <w:t xml:space="preserve"> </w:t>
      </w:r>
      <w:r w:rsidRPr="009D0DED">
        <w:rPr>
          <w:kern w:val="0"/>
        </w:rPr>
        <w:t>an investigational CFTR corrector, which enhances chloride transport by increasing the delivery and amount of functional CFTR protein to the cell surface</w:t>
      </w:r>
    </w:p>
  </w:footnote>
  <w:footnote w:id="18">
    <w:p w:rsidR="00E43CB4" w:rsidRPr="00BD407B" w:rsidRDefault="00E43CB4" w:rsidP="00BD407B">
      <w:pPr>
        <w:pStyle w:val="FootnoteText"/>
      </w:pPr>
      <w:r w:rsidRPr="009D0DED">
        <w:rPr>
          <w:rStyle w:val="FootnoteReference"/>
          <w:iCs/>
          <w:szCs w:val="18"/>
        </w:rPr>
        <w:footnoteRef/>
      </w:r>
      <w:r w:rsidRPr="009D0DED">
        <w:t xml:space="preserve"> In this study, subjects received the therapeutic (150 mg q12h) and </w:t>
      </w:r>
      <w:proofErr w:type="spellStart"/>
      <w:r w:rsidRPr="009D0DED">
        <w:t>supratherapeutic</w:t>
      </w:r>
      <w:proofErr w:type="spellEnd"/>
      <w:r w:rsidRPr="009D0DED">
        <w:t xml:space="preserve"> (450 mg q12h) dose of </w:t>
      </w:r>
      <w:proofErr w:type="spellStart"/>
      <w:r w:rsidRPr="009D0DED">
        <w:t>ivacaftor</w:t>
      </w:r>
      <w:proofErr w:type="spellEnd"/>
      <w:r w:rsidRPr="009D0DED">
        <w:t>.</w:t>
      </w:r>
    </w:p>
  </w:footnote>
  <w:footnote w:id="19">
    <w:p w:rsidR="00E43CB4" w:rsidRPr="00D9319B" w:rsidRDefault="00E43CB4" w:rsidP="00BD407B">
      <w:pPr>
        <w:pStyle w:val="FootnoteText"/>
      </w:pPr>
      <w:r w:rsidRPr="00D9319B">
        <w:rPr>
          <w:rStyle w:val="FootnoteReference"/>
          <w:szCs w:val="18"/>
        </w:rPr>
        <w:footnoteRef/>
      </w:r>
      <w:r w:rsidRPr="00D9319B">
        <w:t xml:space="preserve"> The section discussing </w:t>
      </w:r>
      <w:r>
        <w:t xml:space="preserve">product literature including the </w:t>
      </w:r>
      <w:r w:rsidRPr="00D9319B">
        <w:t>PI is not included in this extract from the CER.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B4" w:rsidRDefault="00E43CB4"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B4" w:rsidRDefault="00E43CB4">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E43CB4" w:rsidRDefault="00E53C8F"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B4" w:rsidRDefault="00E43CB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B4" w:rsidRDefault="00E43CB4">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B4" w:rsidRDefault="00E43CB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B4" w:rsidRDefault="00E43CB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B4" w:rsidRDefault="00E43CB4"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B4" w:rsidRDefault="00E43CB4" w:rsidP="006E08B3">
    <w:r>
      <w:t>Therapeutic Goods Administration</w:t>
    </w:r>
  </w:p>
  <w:p w:rsidR="00E43CB4" w:rsidRDefault="00E43CB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8B63A02"/>
    <w:lvl w:ilvl="0">
      <w:start w:val="1"/>
      <w:numFmt w:val="decimal"/>
      <w:lvlText w:val="%1."/>
      <w:lvlJc w:val="left"/>
      <w:pPr>
        <w:tabs>
          <w:tab w:val="num" w:pos="1492"/>
        </w:tabs>
        <w:ind w:left="1492" w:hanging="360"/>
      </w:pPr>
    </w:lvl>
  </w:abstractNum>
  <w:abstractNum w:abstractNumId="1">
    <w:nsid w:val="FFFFFF7D"/>
    <w:multiLevelType w:val="singleLevel"/>
    <w:tmpl w:val="E490F612"/>
    <w:lvl w:ilvl="0">
      <w:start w:val="1"/>
      <w:numFmt w:val="decimal"/>
      <w:lvlText w:val="%1."/>
      <w:lvlJc w:val="left"/>
      <w:pPr>
        <w:tabs>
          <w:tab w:val="num" w:pos="1209"/>
        </w:tabs>
        <w:ind w:left="1209" w:hanging="360"/>
      </w:pPr>
    </w:lvl>
  </w:abstractNum>
  <w:abstractNum w:abstractNumId="2">
    <w:nsid w:val="FFFFFF7E"/>
    <w:multiLevelType w:val="singleLevel"/>
    <w:tmpl w:val="4E8A5310"/>
    <w:lvl w:ilvl="0">
      <w:start w:val="1"/>
      <w:numFmt w:val="decimal"/>
      <w:lvlText w:val="%1."/>
      <w:lvlJc w:val="left"/>
      <w:pPr>
        <w:tabs>
          <w:tab w:val="num" w:pos="926"/>
        </w:tabs>
        <w:ind w:left="926" w:hanging="360"/>
      </w:pPr>
    </w:lvl>
  </w:abstractNum>
  <w:abstractNum w:abstractNumId="3">
    <w:nsid w:val="FFFFFF7F"/>
    <w:multiLevelType w:val="singleLevel"/>
    <w:tmpl w:val="8CB8ECD6"/>
    <w:lvl w:ilvl="0">
      <w:start w:val="1"/>
      <w:numFmt w:val="decimal"/>
      <w:lvlText w:val="%1."/>
      <w:lvlJc w:val="left"/>
      <w:pPr>
        <w:tabs>
          <w:tab w:val="num" w:pos="643"/>
        </w:tabs>
        <w:ind w:left="643" w:hanging="360"/>
      </w:pPr>
    </w:lvl>
  </w:abstractNum>
  <w:abstractNum w:abstractNumId="4">
    <w:nsid w:val="FFFFFF80"/>
    <w:multiLevelType w:val="singleLevel"/>
    <w:tmpl w:val="DF2AEF3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D946E9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AFB8D60E"/>
    <w:lvl w:ilvl="0">
      <w:start w:val="1"/>
      <w:numFmt w:val="decimal"/>
      <w:lvlText w:val="%1."/>
      <w:lvlJc w:val="left"/>
      <w:pPr>
        <w:tabs>
          <w:tab w:val="num" w:pos="360"/>
        </w:tabs>
        <w:ind w:left="360" w:hanging="360"/>
      </w:pPr>
    </w:lvl>
  </w:abstractNum>
  <w:abstractNum w:abstractNumId="7">
    <w:nsid w:val="FFFFFF89"/>
    <w:multiLevelType w:val="singleLevel"/>
    <w:tmpl w:val="064CCF6C"/>
    <w:lvl w:ilvl="0">
      <w:start w:val="1"/>
      <w:numFmt w:val="bullet"/>
      <w:lvlText w:val=""/>
      <w:lvlJc w:val="left"/>
      <w:pPr>
        <w:tabs>
          <w:tab w:val="num" w:pos="360"/>
        </w:tabs>
        <w:ind w:left="360" w:hanging="360"/>
      </w:pPr>
      <w:rPr>
        <w:rFonts w:ascii="Symbol" w:hAnsi="Symbol"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3763EF0"/>
    <w:multiLevelType w:val="hybridMultilevel"/>
    <w:tmpl w:val="594083E6"/>
    <w:lvl w:ilvl="0" w:tplc="A24847AE">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1AF44B73"/>
    <w:multiLevelType w:val="multilevel"/>
    <w:tmpl w:val="398E51D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663F595D"/>
    <w:multiLevelType w:val="hybridMultilevel"/>
    <w:tmpl w:val="86B69502"/>
    <w:lvl w:ilvl="0" w:tplc="3D983F16">
      <w:start w:val="1"/>
      <w:numFmt w:val="bullet"/>
      <w:pStyle w:val="Instructions2"/>
      <w:lvlText w:val="­"/>
      <w:lvlJc w:val="left"/>
      <w:pPr>
        <w:ind w:left="644" w:hanging="360"/>
      </w:pPr>
      <w:rPr>
        <w:rFonts w:ascii="Calibri" w:hAnsi="Calibri" w:hint="default"/>
      </w:rPr>
    </w:lvl>
    <w:lvl w:ilvl="1" w:tplc="0C090019" w:tentative="1">
      <w:start w:val="1"/>
      <w:numFmt w:val="bullet"/>
      <w:lvlText w:val="o"/>
      <w:lvlJc w:val="left"/>
      <w:pPr>
        <w:ind w:left="1610" w:hanging="360"/>
      </w:pPr>
      <w:rPr>
        <w:rFonts w:ascii="Courier New" w:hAnsi="Courier New" w:cs="Courier New" w:hint="default"/>
      </w:rPr>
    </w:lvl>
    <w:lvl w:ilvl="2" w:tplc="0C09001B" w:tentative="1">
      <w:start w:val="1"/>
      <w:numFmt w:val="bullet"/>
      <w:lvlText w:val=""/>
      <w:lvlJc w:val="left"/>
      <w:pPr>
        <w:ind w:left="2330" w:hanging="360"/>
      </w:pPr>
      <w:rPr>
        <w:rFonts w:ascii="Wingdings" w:hAnsi="Wingdings" w:hint="default"/>
      </w:rPr>
    </w:lvl>
    <w:lvl w:ilvl="3" w:tplc="0C09000F" w:tentative="1">
      <w:start w:val="1"/>
      <w:numFmt w:val="bullet"/>
      <w:lvlText w:val=""/>
      <w:lvlJc w:val="left"/>
      <w:pPr>
        <w:ind w:left="3050" w:hanging="360"/>
      </w:pPr>
      <w:rPr>
        <w:rFonts w:ascii="Symbol" w:hAnsi="Symbol" w:hint="default"/>
      </w:rPr>
    </w:lvl>
    <w:lvl w:ilvl="4" w:tplc="0C090019" w:tentative="1">
      <w:start w:val="1"/>
      <w:numFmt w:val="bullet"/>
      <w:lvlText w:val="o"/>
      <w:lvlJc w:val="left"/>
      <w:pPr>
        <w:ind w:left="3770" w:hanging="360"/>
      </w:pPr>
      <w:rPr>
        <w:rFonts w:ascii="Courier New" w:hAnsi="Courier New" w:cs="Courier New" w:hint="default"/>
      </w:rPr>
    </w:lvl>
    <w:lvl w:ilvl="5" w:tplc="0C09001B" w:tentative="1">
      <w:start w:val="1"/>
      <w:numFmt w:val="bullet"/>
      <w:lvlText w:val=""/>
      <w:lvlJc w:val="left"/>
      <w:pPr>
        <w:ind w:left="4490" w:hanging="360"/>
      </w:pPr>
      <w:rPr>
        <w:rFonts w:ascii="Wingdings" w:hAnsi="Wingdings" w:hint="default"/>
      </w:rPr>
    </w:lvl>
    <w:lvl w:ilvl="6" w:tplc="0C09000F" w:tentative="1">
      <w:start w:val="1"/>
      <w:numFmt w:val="bullet"/>
      <w:lvlText w:val=""/>
      <w:lvlJc w:val="left"/>
      <w:pPr>
        <w:ind w:left="5210" w:hanging="360"/>
      </w:pPr>
      <w:rPr>
        <w:rFonts w:ascii="Symbol" w:hAnsi="Symbol" w:hint="default"/>
      </w:rPr>
    </w:lvl>
    <w:lvl w:ilvl="7" w:tplc="0C090019" w:tentative="1">
      <w:start w:val="1"/>
      <w:numFmt w:val="bullet"/>
      <w:lvlText w:val="o"/>
      <w:lvlJc w:val="left"/>
      <w:pPr>
        <w:ind w:left="5930" w:hanging="360"/>
      </w:pPr>
      <w:rPr>
        <w:rFonts w:ascii="Courier New" w:hAnsi="Courier New" w:cs="Courier New" w:hint="default"/>
      </w:rPr>
    </w:lvl>
    <w:lvl w:ilvl="8" w:tplc="0C09001B" w:tentative="1">
      <w:start w:val="1"/>
      <w:numFmt w:val="bullet"/>
      <w:lvlText w:val=""/>
      <w:lvlJc w:val="left"/>
      <w:pPr>
        <w:ind w:left="665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3142EF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1"/>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7"/>
  </w:num>
  <w:num w:numId="8">
    <w:abstractNumId w:val="13"/>
  </w:num>
  <w:num w:numId="9">
    <w:abstractNumId w:val="14"/>
  </w:num>
  <w:num w:numId="10">
    <w:abstractNumId w:val="8"/>
  </w:num>
  <w:num w:numId="11">
    <w:abstractNumId w:val="15"/>
  </w:num>
  <w:num w:numId="12">
    <w:abstractNumId w:val="1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 w:numId="16">
    <w:abstractNumId w:val="4"/>
  </w:num>
  <w:num w:numId="17">
    <w:abstractNumId w:val="6"/>
  </w:num>
  <w:num w:numId="18">
    <w:abstractNumId w:val="3"/>
  </w:num>
  <w:num w:numId="19">
    <w:abstractNumId w:val="2"/>
  </w:num>
  <w:num w:numId="20">
    <w:abstractNumId w:val="1"/>
  </w:num>
  <w:num w:numId="21">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63490">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246AE"/>
    <w:rsid w:val="00025C67"/>
    <w:rsid w:val="00034FC1"/>
    <w:rsid w:val="00040ACB"/>
    <w:rsid w:val="0004626A"/>
    <w:rsid w:val="00051CB9"/>
    <w:rsid w:val="00053490"/>
    <w:rsid w:val="0005559E"/>
    <w:rsid w:val="00063ADB"/>
    <w:rsid w:val="0007578F"/>
    <w:rsid w:val="00077775"/>
    <w:rsid w:val="00080EA3"/>
    <w:rsid w:val="00084587"/>
    <w:rsid w:val="00090471"/>
    <w:rsid w:val="000A3AED"/>
    <w:rsid w:val="000A63AF"/>
    <w:rsid w:val="000B3532"/>
    <w:rsid w:val="000B3A75"/>
    <w:rsid w:val="000B4F79"/>
    <w:rsid w:val="000B50E3"/>
    <w:rsid w:val="000C0522"/>
    <w:rsid w:val="000C4386"/>
    <w:rsid w:val="000C690F"/>
    <w:rsid w:val="000D1295"/>
    <w:rsid w:val="000D391B"/>
    <w:rsid w:val="000D3D6D"/>
    <w:rsid w:val="000D44AF"/>
    <w:rsid w:val="000D4FC7"/>
    <w:rsid w:val="000E6F4C"/>
    <w:rsid w:val="000E7B43"/>
    <w:rsid w:val="000F02F9"/>
    <w:rsid w:val="000F43A1"/>
    <w:rsid w:val="000F4869"/>
    <w:rsid w:val="000F5B42"/>
    <w:rsid w:val="000F6E6F"/>
    <w:rsid w:val="00102977"/>
    <w:rsid w:val="00104613"/>
    <w:rsid w:val="0010601F"/>
    <w:rsid w:val="0010788A"/>
    <w:rsid w:val="00107A31"/>
    <w:rsid w:val="00110EA5"/>
    <w:rsid w:val="00111E07"/>
    <w:rsid w:val="00112F56"/>
    <w:rsid w:val="00125318"/>
    <w:rsid w:val="001305A2"/>
    <w:rsid w:val="00133238"/>
    <w:rsid w:val="00136C92"/>
    <w:rsid w:val="0014197B"/>
    <w:rsid w:val="001447CD"/>
    <w:rsid w:val="001516B1"/>
    <w:rsid w:val="00154EBB"/>
    <w:rsid w:val="00156316"/>
    <w:rsid w:val="00165389"/>
    <w:rsid w:val="0017078F"/>
    <w:rsid w:val="0017693F"/>
    <w:rsid w:val="0018110E"/>
    <w:rsid w:val="00181684"/>
    <w:rsid w:val="001843C6"/>
    <w:rsid w:val="001850E0"/>
    <w:rsid w:val="00196C60"/>
    <w:rsid w:val="001A2158"/>
    <w:rsid w:val="001A525F"/>
    <w:rsid w:val="001B09F9"/>
    <w:rsid w:val="001B3179"/>
    <w:rsid w:val="001B598B"/>
    <w:rsid w:val="001B6448"/>
    <w:rsid w:val="001C0113"/>
    <w:rsid w:val="001C4129"/>
    <w:rsid w:val="001E07CF"/>
    <w:rsid w:val="001E59F1"/>
    <w:rsid w:val="001F49EB"/>
    <w:rsid w:val="001F6CBA"/>
    <w:rsid w:val="00201D4E"/>
    <w:rsid w:val="002076C9"/>
    <w:rsid w:val="00220B8A"/>
    <w:rsid w:val="00225614"/>
    <w:rsid w:val="002257F3"/>
    <w:rsid w:val="00227A78"/>
    <w:rsid w:val="00233456"/>
    <w:rsid w:val="002339A5"/>
    <w:rsid w:val="00257814"/>
    <w:rsid w:val="00257848"/>
    <w:rsid w:val="002666AC"/>
    <w:rsid w:val="0027084A"/>
    <w:rsid w:val="00286434"/>
    <w:rsid w:val="00286C59"/>
    <w:rsid w:val="00292113"/>
    <w:rsid w:val="002942D1"/>
    <w:rsid w:val="0029501A"/>
    <w:rsid w:val="00297C67"/>
    <w:rsid w:val="002B1638"/>
    <w:rsid w:val="002C02D4"/>
    <w:rsid w:val="002C52F7"/>
    <w:rsid w:val="002C63ED"/>
    <w:rsid w:val="002D30BE"/>
    <w:rsid w:val="002D30FB"/>
    <w:rsid w:val="002D545C"/>
    <w:rsid w:val="002D6161"/>
    <w:rsid w:val="002E4C9A"/>
    <w:rsid w:val="002F0112"/>
    <w:rsid w:val="002F11F8"/>
    <w:rsid w:val="002F3F56"/>
    <w:rsid w:val="002F44B5"/>
    <w:rsid w:val="00302BF2"/>
    <w:rsid w:val="00311AC0"/>
    <w:rsid w:val="00314A04"/>
    <w:rsid w:val="0032583B"/>
    <w:rsid w:val="00327883"/>
    <w:rsid w:val="00335504"/>
    <w:rsid w:val="0034500F"/>
    <w:rsid w:val="003521E8"/>
    <w:rsid w:val="00362814"/>
    <w:rsid w:val="00371E09"/>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075D7"/>
    <w:rsid w:val="00413BB0"/>
    <w:rsid w:val="00415D59"/>
    <w:rsid w:val="004242F5"/>
    <w:rsid w:val="00425457"/>
    <w:rsid w:val="0043797D"/>
    <w:rsid w:val="00440A2D"/>
    <w:rsid w:val="00447C03"/>
    <w:rsid w:val="004547B1"/>
    <w:rsid w:val="004564A7"/>
    <w:rsid w:val="004617BF"/>
    <w:rsid w:val="00463658"/>
    <w:rsid w:val="004722CC"/>
    <w:rsid w:val="004756CA"/>
    <w:rsid w:val="004936E4"/>
    <w:rsid w:val="00494E60"/>
    <w:rsid w:val="00497487"/>
    <w:rsid w:val="004A7E13"/>
    <w:rsid w:val="004B7B76"/>
    <w:rsid w:val="004C2DCA"/>
    <w:rsid w:val="004C3C9F"/>
    <w:rsid w:val="004D2577"/>
    <w:rsid w:val="004D53F3"/>
    <w:rsid w:val="004F0F38"/>
    <w:rsid w:val="004F4AF5"/>
    <w:rsid w:val="004F4D54"/>
    <w:rsid w:val="004F5877"/>
    <w:rsid w:val="00500F68"/>
    <w:rsid w:val="00501921"/>
    <w:rsid w:val="00514045"/>
    <w:rsid w:val="0051488D"/>
    <w:rsid w:val="005276B7"/>
    <w:rsid w:val="00530354"/>
    <w:rsid w:val="0053625B"/>
    <w:rsid w:val="005434C6"/>
    <w:rsid w:val="00543B39"/>
    <w:rsid w:val="00550096"/>
    <w:rsid w:val="0055487E"/>
    <w:rsid w:val="00557FF9"/>
    <w:rsid w:val="00563321"/>
    <w:rsid w:val="005666CD"/>
    <w:rsid w:val="00576378"/>
    <w:rsid w:val="00577945"/>
    <w:rsid w:val="00577E38"/>
    <w:rsid w:val="00580439"/>
    <w:rsid w:val="00585322"/>
    <w:rsid w:val="005857C6"/>
    <w:rsid w:val="00586F98"/>
    <w:rsid w:val="00592F6E"/>
    <w:rsid w:val="00593AD1"/>
    <w:rsid w:val="005A68B6"/>
    <w:rsid w:val="005A76BE"/>
    <w:rsid w:val="005B0F76"/>
    <w:rsid w:val="005C44B7"/>
    <w:rsid w:val="005C5570"/>
    <w:rsid w:val="005C79A4"/>
    <w:rsid w:val="005D5442"/>
    <w:rsid w:val="005D62D7"/>
    <w:rsid w:val="00603F32"/>
    <w:rsid w:val="006105DB"/>
    <w:rsid w:val="00620406"/>
    <w:rsid w:val="00623E1D"/>
    <w:rsid w:val="00632398"/>
    <w:rsid w:val="00640FC3"/>
    <w:rsid w:val="00642020"/>
    <w:rsid w:val="006427AA"/>
    <w:rsid w:val="00646206"/>
    <w:rsid w:val="0065337B"/>
    <w:rsid w:val="0065419D"/>
    <w:rsid w:val="006604D8"/>
    <w:rsid w:val="00664A5B"/>
    <w:rsid w:val="00672C8B"/>
    <w:rsid w:val="006763D2"/>
    <w:rsid w:val="00680C08"/>
    <w:rsid w:val="00683F40"/>
    <w:rsid w:val="006931B1"/>
    <w:rsid w:val="00695CDA"/>
    <w:rsid w:val="006A15C0"/>
    <w:rsid w:val="006A573F"/>
    <w:rsid w:val="006C130C"/>
    <w:rsid w:val="006C3E2A"/>
    <w:rsid w:val="006C642F"/>
    <w:rsid w:val="006D03E5"/>
    <w:rsid w:val="006D2C20"/>
    <w:rsid w:val="006D5D3E"/>
    <w:rsid w:val="006D71FA"/>
    <w:rsid w:val="006E08B3"/>
    <w:rsid w:val="006E18FE"/>
    <w:rsid w:val="006F17AC"/>
    <w:rsid w:val="006F1D37"/>
    <w:rsid w:val="006F2796"/>
    <w:rsid w:val="006F572E"/>
    <w:rsid w:val="007046D6"/>
    <w:rsid w:val="00705DB0"/>
    <w:rsid w:val="00712175"/>
    <w:rsid w:val="00714188"/>
    <w:rsid w:val="00722B57"/>
    <w:rsid w:val="00723157"/>
    <w:rsid w:val="00740CFC"/>
    <w:rsid w:val="0074253D"/>
    <w:rsid w:val="0074429B"/>
    <w:rsid w:val="007513B4"/>
    <w:rsid w:val="007615BC"/>
    <w:rsid w:val="00762F05"/>
    <w:rsid w:val="007652FF"/>
    <w:rsid w:val="00770EF1"/>
    <w:rsid w:val="00773EF7"/>
    <w:rsid w:val="00774E1D"/>
    <w:rsid w:val="0077675A"/>
    <w:rsid w:val="00780355"/>
    <w:rsid w:val="007834DB"/>
    <w:rsid w:val="00785721"/>
    <w:rsid w:val="00792C8A"/>
    <w:rsid w:val="00793A59"/>
    <w:rsid w:val="007B6E9F"/>
    <w:rsid w:val="007C1216"/>
    <w:rsid w:val="007C1AF7"/>
    <w:rsid w:val="007D4B20"/>
    <w:rsid w:val="007E6E27"/>
    <w:rsid w:val="00805D27"/>
    <w:rsid w:val="00821776"/>
    <w:rsid w:val="008321F5"/>
    <w:rsid w:val="00832369"/>
    <w:rsid w:val="00834660"/>
    <w:rsid w:val="00836BC2"/>
    <w:rsid w:val="008414A0"/>
    <w:rsid w:val="00845610"/>
    <w:rsid w:val="0085641B"/>
    <w:rsid w:val="00857136"/>
    <w:rsid w:val="00872177"/>
    <w:rsid w:val="00886D15"/>
    <w:rsid w:val="00887DD8"/>
    <w:rsid w:val="00896018"/>
    <w:rsid w:val="008960DD"/>
    <w:rsid w:val="0089635C"/>
    <w:rsid w:val="00897897"/>
    <w:rsid w:val="008A2B9D"/>
    <w:rsid w:val="008A5E0B"/>
    <w:rsid w:val="008A6D59"/>
    <w:rsid w:val="008A78BD"/>
    <w:rsid w:val="008B4B03"/>
    <w:rsid w:val="008B596F"/>
    <w:rsid w:val="008B5A3E"/>
    <w:rsid w:val="008B7ADC"/>
    <w:rsid w:val="008C159F"/>
    <w:rsid w:val="008C1623"/>
    <w:rsid w:val="008C1850"/>
    <w:rsid w:val="008C51A9"/>
    <w:rsid w:val="008C7E5D"/>
    <w:rsid w:val="008D770F"/>
    <w:rsid w:val="008E7846"/>
    <w:rsid w:val="008F1CCC"/>
    <w:rsid w:val="008F2967"/>
    <w:rsid w:val="008F5246"/>
    <w:rsid w:val="008F6943"/>
    <w:rsid w:val="00902A21"/>
    <w:rsid w:val="009144E6"/>
    <w:rsid w:val="00920330"/>
    <w:rsid w:val="009219D7"/>
    <w:rsid w:val="00922D53"/>
    <w:rsid w:val="00923B70"/>
    <w:rsid w:val="00924482"/>
    <w:rsid w:val="00930237"/>
    <w:rsid w:val="00933C63"/>
    <w:rsid w:val="00946EA5"/>
    <w:rsid w:val="0095160F"/>
    <w:rsid w:val="00955523"/>
    <w:rsid w:val="00963C08"/>
    <w:rsid w:val="00976995"/>
    <w:rsid w:val="00977B6C"/>
    <w:rsid w:val="0098585A"/>
    <w:rsid w:val="0098669D"/>
    <w:rsid w:val="009A0EA6"/>
    <w:rsid w:val="009A2AB0"/>
    <w:rsid w:val="009A4CED"/>
    <w:rsid w:val="009A690D"/>
    <w:rsid w:val="009B1D12"/>
    <w:rsid w:val="009B416B"/>
    <w:rsid w:val="009B41F4"/>
    <w:rsid w:val="009C4BD5"/>
    <w:rsid w:val="009D0DED"/>
    <w:rsid w:val="009D2F4B"/>
    <w:rsid w:val="009D3DBE"/>
    <w:rsid w:val="009D7B77"/>
    <w:rsid w:val="009E0BB0"/>
    <w:rsid w:val="009E3FBB"/>
    <w:rsid w:val="009E5588"/>
    <w:rsid w:val="009F6F3B"/>
    <w:rsid w:val="00A06807"/>
    <w:rsid w:val="00A069F9"/>
    <w:rsid w:val="00A102E4"/>
    <w:rsid w:val="00A10507"/>
    <w:rsid w:val="00A12C0A"/>
    <w:rsid w:val="00A12C42"/>
    <w:rsid w:val="00A14DF7"/>
    <w:rsid w:val="00A235D9"/>
    <w:rsid w:val="00A3246D"/>
    <w:rsid w:val="00A36FA7"/>
    <w:rsid w:val="00A405A2"/>
    <w:rsid w:val="00A440E9"/>
    <w:rsid w:val="00A475B7"/>
    <w:rsid w:val="00A47AF7"/>
    <w:rsid w:val="00A47C3E"/>
    <w:rsid w:val="00A50226"/>
    <w:rsid w:val="00A60BAD"/>
    <w:rsid w:val="00A70D80"/>
    <w:rsid w:val="00A715E4"/>
    <w:rsid w:val="00A76AC2"/>
    <w:rsid w:val="00A964D1"/>
    <w:rsid w:val="00AA0ED0"/>
    <w:rsid w:val="00AA3499"/>
    <w:rsid w:val="00AC0E16"/>
    <w:rsid w:val="00AC2B40"/>
    <w:rsid w:val="00AC2BB2"/>
    <w:rsid w:val="00AC2C3C"/>
    <w:rsid w:val="00AC512D"/>
    <w:rsid w:val="00AD10F9"/>
    <w:rsid w:val="00AE01C2"/>
    <w:rsid w:val="00AE1351"/>
    <w:rsid w:val="00AE65EB"/>
    <w:rsid w:val="00AE67A7"/>
    <w:rsid w:val="00AF1D94"/>
    <w:rsid w:val="00AF60C5"/>
    <w:rsid w:val="00B006B6"/>
    <w:rsid w:val="00B009C6"/>
    <w:rsid w:val="00B01548"/>
    <w:rsid w:val="00B01CAA"/>
    <w:rsid w:val="00B02208"/>
    <w:rsid w:val="00B1425E"/>
    <w:rsid w:val="00B21D29"/>
    <w:rsid w:val="00B25034"/>
    <w:rsid w:val="00B33588"/>
    <w:rsid w:val="00B33863"/>
    <w:rsid w:val="00B3431F"/>
    <w:rsid w:val="00B37D17"/>
    <w:rsid w:val="00B4175E"/>
    <w:rsid w:val="00B452CE"/>
    <w:rsid w:val="00B54C25"/>
    <w:rsid w:val="00B5597F"/>
    <w:rsid w:val="00B62994"/>
    <w:rsid w:val="00B7229C"/>
    <w:rsid w:val="00B76B91"/>
    <w:rsid w:val="00B76C1C"/>
    <w:rsid w:val="00B77EB1"/>
    <w:rsid w:val="00B811C6"/>
    <w:rsid w:val="00B85A87"/>
    <w:rsid w:val="00B8733B"/>
    <w:rsid w:val="00B92DB2"/>
    <w:rsid w:val="00B92E08"/>
    <w:rsid w:val="00B96EBE"/>
    <w:rsid w:val="00BA47D5"/>
    <w:rsid w:val="00BA71F4"/>
    <w:rsid w:val="00BB6C0C"/>
    <w:rsid w:val="00BC622A"/>
    <w:rsid w:val="00BD407B"/>
    <w:rsid w:val="00BD45E3"/>
    <w:rsid w:val="00BE0A78"/>
    <w:rsid w:val="00BE6252"/>
    <w:rsid w:val="00BE6399"/>
    <w:rsid w:val="00BE79F0"/>
    <w:rsid w:val="00BF046D"/>
    <w:rsid w:val="00BF05BE"/>
    <w:rsid w:val="00BF1190"/>
    <w:rsid w:val="00BF210D"/>
    <w:rsid w:val="00BF5D04"/>
    <w:rsid w:val="00C1164D"/>
    <w:rsid w:val="00C16861"/>
    <w:rsid w:val="00C22678"/>
    <w:rsid w:val="00C404A6"/>
    <w:rsid w:val="00C40A36"/>
    <w:rsid w:val="00C44419"/>
    <w:rsid w:val="00C45E7B"/>
    <w:rsid w:val="00C471B1"/>
    <w:rsid w:val="00C51B50"/>
    <w:rsid w:val="00C618F7"/>
    <w:rsid w:val="00C6316B"/>
    <w:rsid w:val="00C634A9"/>
    <w:rsid w:val="00C64586"/>
    <w:rsid w:val="00C70D53"/>
    <w:rsid w:val="00C71026"/>
    <w:rsid w:val="00C73D0B"/>
    <w:rsid w:val="00C772FF"/>
    <w:rsid w:val="00C801AF"/>
    <w:rsid w:val="00C80256"/>
    <w:rsid w:val="00C811C0"/>
    <w:rsid w:val="00CB3A20"/>
    <w:rsid w:val="00CB6BC0"/>
    <w:rsid w:val="00CC1B7C"/>
    <w:rsid w:val="00CC727F"/>
    <w:rsid w:val="00CD6F08"/>
    <w:rsid w:val="00CE17D3"/>
    <w:rsid w:val="00CF15C3"/>
    <w:rsid w:val="00CF2B6F"/>
    <w:rsid w:val="00CF3B52"/>
    <w:rsid w:val="00CF58B6"/>
    <w:rsid w:val="00D0160C"/>
    <w:rsid w:val="00D017ED"/>
    <w:rsid w:val="00D040D3"/>
    <w:rsid w:val="00D04C65"/>
    <w:rsid w:val="00D05696"/>
    <w:rsid w:val="00D109C2"/>
    <w:rsid w:val="00D224FE"/>
    <w:rsid w:val="00D27279"/>
    <w:rsid w:val="00D32B67"/>
    <w:rsid w:val="00D35DB2"/>
    <w:rsid w:val="00D4394F"/>
    <w:rsid w:val="00D53A31"/>
    <w:rsid w:val="00D6493E"/>
    <w:rsid w:val="00D7301E"/>
    <w:rsid w:val="00D73FED"/>
    <w:rsid w:val="00D74247"/>
    <w:rsid w:val="00D83AE1"/>
    <w:rsid w:val="00D855D4"/>
    <w:rsid w:val="00D9319B"/>
    <w:rsid w:val="00D93466"/>
    <w:rsid w:val="00DA1124"/>
    <w:rsid w:val="00DB5F23"/>
    <w:rsid w:val="00DB75B7"/>
    <w:rsid w:val="00DC2370"/>
    <w:rsid w:val="00DC6E02"/>
    <w:rsid w:val="00DE02AE"/>
    <w:rsid w:val="00DE2D62"/>
    <w:rsid w:val="00DF1D7F"/>
    <w:rsid w:val="00DF4BE4"/>
    <w:rsid w:val="00E00DC4"/>
    <w:rsid w:val="00E02FB4"/>
    <w:rsid w:val="00E05AA1"/>
    <w:rsid w:val="00E07512"/>
    <w:rsid w:val="00E07F15"/>
    <w:rsid w:val="00E15205"/>
    <w:rsid w:val="00E1611A"/>
    <w:rsid w:val="00E20571"/>
    <w:rsid w:val="00E22A63"/>
    <w:rsid w:val="00E235F7"/>
    <w:rsid w:val="00E23659"/>
    <w:rsid w:val="00E239D4"/>
    <w:rsid w:val="00E26130"/>
    <w:rsid w:val="00E2741C"/>
    <w:rsid w:val="00E3493B"/>
    <w:rsid w:val="00E34B29"/>
    <w:rsid w:val="00E36D00"/>
    <w:rsid w:val="00E40B22"/>
    <w:rsid w:val="00E421B1"/>
    <w:rsid w:val="00E43CB4"/>
    <w:rsid w:val="00E45619"/>
    <w:rsid w:val="00E4588F"/>
    <w:rsid w:val="00E46DA3"/>
    <w:rsid w:val="00E51BB1"/>
    <w:rsid w:val="00E53C8F"/>
    <w:rsid w:val="00E624A5"/>
    <w:rsid w:val="00E7344E"/>
    <w:rsid w:val="00E74BC1"/>
    <w:rsid w:val="00E936E3"/>
    <w:rsid w:val="00EA66B8"/>
    <w:rsid w:val="00EB0798"/>
    <w:rsid w:val="00EB40AD"/>
    <w:rsid w:val="00EB586E"/>
    <w:rsid w:val="00EB5FC8"/>
    <w:rsid w:val="00ED3CAD"/>
    <w:rsid w:val="00ED5A41"/>
    <w:rsid w:val="00EE1DE8"/>
    <w:rsid w:val="00EF4F73"/>
    <w:rsid w:val="00EF7E1E"/>
    <w:rsid w:val="00F0113C"/>
    <w:rsid w:val="00F033EC"/>
    <w:rsid w:val="00F04F68"/>
    <w:rsid w:val="00F12670"/>
    <w:rsid w:val="00F143B2"/>
    <w:rsid w:val="00F14B27"/>
    <w:rsid w:val="00F17771"/>
    <w:rsid w:val="00F20ECB"/>
    <w:rsid w:val="00F3148D"/>
    <w:rsid w:val="00F325C5"/>
    <w:rsid w:val="00F32FE0"/>
    <w:rsid w:val="00F35298"/>
    <w:rsid w:val="00F47333"/>
    <w:rsid w:val="00F47E37"/>
    <w:rsid w:val="00F53256"/>
    <w:rsid w:val="00F53C07"/>
    <w:rsid w:val="00F54B65"/>
    <w:rsid w:val="00F640B6"/>
    <w:rsid w:val="00F80E40"/>
    <w:rsid w:val="00F848D9"/>
    <w:rsid w:val="00F901B6"/>
    <w:rsid w:val="00FA5B82"/>
    <w:rsid w:val="00FA639E"/>
    <w:rsid w:val="00FA7352"/>
    <w:rsid w:val="00FC25E4"/>
    <w:rsid w:val="00FC4EF7"/>
    <w:rsid w:val="00FD0CC8"/>
    <w:rsid w:val="00FE1DEE"/>
    <w:rsid w:val="00FE27AB"/>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6349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A0680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C51B5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4F5877"/>
    <w:pPr>
      <w:keepNext/>
      <w:spacing w:before="0" w:line="240" w:lineRule="auto"/>
      <w:outlineLvl w:val="8"/>
    </w:pPr>
    <w:rPr>
      <w:rFonts w:ascii="Arial" w:eastAsia="Times New Roman" w:hAnsi="Arial"/>
      <w:kern w:val="16"/>
      <w:sz w:val="20"/>
      <w:szCs w:val="20"/>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06807"/>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63321"/>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C51B50"/>
    <w:rPr>
      <w:rFonts w:asciiTheme="majorHAnsi" w:eastAsiaTheme="majorEastAsia" w:hAnsiTheme="majorHAnsi" w:cstheme="majorBidi"/>
      <w:color w:val="404040" w:themeColor="text1" w:themeTint="BF"/>
      <w:sz w:val="20"/>
      <w:szCs w:val="20"/>
    </w:rPr>
  </w:style>
  <w:style w:type="paragraph" w:customStyle="1" w:styleId="Default">
    <w:name w:val="Default"/>
    <w:rsid w:val="00C51B50"/>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FootnoteReference">
    <w:name w:val="footnote reference"/>
    <w:semiHidden/>
    <w:rsid w:val="00580439"/>
    <w:rPr>
      <w:vertAlign w:val="superscript"/>
    </w:rPr>
  </w:style>
  <w:style w:type="character" w:customStyle="1" w:styleId="Heading9Char">
    <w:name w:val="Heading 9 Char"/>
    <w:basedOn w:val="DefaultParagraphFont"/>
    <w:link w:val="Heading9"/>
    <w:rsid w:val="004F5877"/>
    <w:rPr>
      <w:rFonts w:ascii="Arial" w:eastAsia="Times New Roman" w:hAnsi="Arial" w:cs="Times New Roman"/>
      <w:kern w:val="16"/>
      <w:sz w:val="20"/>
      <w:szCs w:val="20"/>
      <w:u w:val="single"/>
      <w:lang w:eastAsia="en-AU"/>
    </w:rPr>
  </w:style>
  <w:style w:type="paragraph" w:customStyle="1" w:styleId="Bullet1">
    <w:name w:val="Bullet 1"/>
    <w:basedOn w:val="Normal"/>
    <w:rsid w:val="004F5877"/>
    <w:pPr>
      <w:numPr>
        <w:numId w:val="8"/>
      </w:numPr>
      <w:spacing w:after="0" w:line="240" w:lineRule="auto"/>
    </w:pPr>
    <w:rPr>
      <w:rFonts w:eastAsia="Times New Roman"/>
      <w:kern w:val="24"/>
      <w:szCs w:val="24"/>
      <w:lang w:eastAsia="en-AU"/>
    </w:rPr>
  </w:style>
  <w:style w:type="paragraph" w:customStyle="1" w:styleId="Bullet2">
    <w:name w:val="Bullet 2"/>
    <w:basedOn w:val="Bullet1"/>
    <w:rsid w:val="004F5877"/>
    <w:pPr>
      <w:numPr>
        <w:numId w:val="9"/>
      </w:numPr>
      <w:tabs>
        <w:tab w:val="clear" w:pos="567"/>
        <w:tab w:val="num" w:pos="284"/>
      </w:tabs>
      <w:ind w:left="284" w:hanging="284"/>
    </w:pPr>
  </w:style>
  <w:style w:type="paragraph" w:customStyle="1" w:styleId="Heading0inTOC">
    <w:name w:val="Heading 0 (in TOC)"/>
    <w:basedOn w:val="Heading1"/>
    <w:next w:val="Normal"/>
    <w:rsid w:val="004F5877"/>
    <w:pPr>
      <w:keepLines w:val="0"/>
      <w:numPr>
        <w:numId w:val="0"/>
      </w:numPr>
      <w:adjustRightInd/>
      <w:snapToGrid/>
      <w:spacing w:before="0" w:after="120" w:line="240" w:lineRule="auto"/>
    </w:pPr>
    <w:rPr>
      <w:rFonts w:ascii="Cambria" w:hAnsi="Cambria" w:cs="Times New Roman"/>
      <w:bCs w:val="0"/>
      <w:kern w:val="16"/>
      <w:sz w:val="22"/>
      <w:szCs w:val="24"/>
      <w:lang w:eastAsia="en-AU"/>
    </w:rPr>
  </w:style>
  <w:style w:type="character" w:styleId="PageNumber">
    <w:name w:val="page number"/>
    <w:rsid w:val="004F5877"/>
    <w:rPr>
      <w:sz w:val="20"/>
    </w:rPr>
  </w:style>
  <w:style w:type="paragraph" w:customStyle="1" w:styleId="TableBullet">
    <w:name w:val="Table Bullet"/>
    <w:basedOn w:val="Normal"/>
    <w:rsid w:val="004F5877"/>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4F587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4F5877"/>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4F5877"/>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4F5877"/>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4F5877"/>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4F587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4F58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F5877"/>
    <w:rPr>
      <w:rFonts w:ascii="Cambria" w:eastAsia="Times New Roman" w:hAnsi="Cambria" w:cs="Times New Roman"/>
      <w:kern w:val="16"/>
      <w:sz w:val="20"/>
      <w:szCs w:val="20"/>
      <w:lang w:eastAsia="en-AU"/>
    </w:rPr>
  </w:style>
  <w:style w:type="character" w:styleId="EndnoteReference">
    <w:name w:val="endnote reference"/>
    <w:semiHidden/>
    <w:rsid w:val="004F5877"/>
    <w:rPr>
      <w:dstrike w:val="0"/>
      <w:vertAlign w:val="baseline"/>
    </w:rPr>
  </w:style>
  <w:style w:type="paragraph" w:styleId="FootnoteText">
    <w:name w:val="footnote text"/>
    <w:basedOn w:val="Normal"/>
    <w:link w:val="FootnoteTextChar"/>
    <w:semiHidden/>
    <w:rsid w:val="00A068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A06807"/>
    <w:rPr>
      <w:rFonts w:ascii="Cambria" w:eastAsia="Times New Roman" w:hAnsi="Cambria" w:cs="Times New Roman"/>
      <w:kern w:val="16"/>
      <w:sz w:val="18"/>
      <w:szCs w:val="20"/>
      <w:lang w:eastAsia="en-AU"/>
    </w:rPr>
  </w:style>
  <w:style w:type="paragraph" w:customStyle="1" w:styleId="Abbreviations">
    <w:name w:val="Abbreviations"/>
    <w:basedOn w:val="Normal"/>
    <w:rsid w:val="004F587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4F587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4F587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4F587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4F5877"/>
    <w:pPr>
      <w:numPr>
        <w:numId w:val="10"/>
      </w:numPr>
      <w:tabs>
        <w:tab w:val="clear" w:pos="1134"/>
      </w:tabs>
      <w:spacing w:before="120"/>
      <w:ind w:left="1418" w:hanging="284"/>
    </w:pPr>
  </w:style>
  <w:style w:type="paragraph" w:customStyle="1" w:styleId="Instructions1">
    <w:name w:val="Instructions 1"/>
    <w:basedOn w:val="Normal"/>
    <w:qFormat/>
    <w:rsid w:val="004F587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4F5877"/>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4F5877"/>
    <w:rPr>
      <w:sz w:val="16"/>
      <w:szCs w:val="16"/>
    </w:rPr>
  </w:style>
  <w:style w:type="paragraph" w:styleId="CommentText">
    <w:name w:val="annotation text"/>
    <w:basedOn w:val="Normal"/>
    <w:link w:val="CommentTextChar"/>
    <w:rsid w:val="004F58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4F5877"/>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4F5877"/>
    <w:rPr>
      <w:b/>
      <w:bCs/>
    </w:rPr>
  </w:style>
  <w:style w:type="character" w:customStyle="1" w:styleId="CommentSubjectChar">
    <w:name w:val="Comment Subject Char"/>
    <w:basedOn w:val="CommentTextChar"/>
    <w:link w:val="CommentSubject"/>
    <w:rsid w:val="004F5877"/>
    <w:rPr>
      <w:b/>
      <w:bCs/>
    </w:rPr>
  </w:style>
  <w:style w:type="paragraph" w:customStyle="1" w:styleId="Contentslist1">
    <w:name w:val="Contents list 1"/>
    <w:basedOn w:val="Normal"/>
    <w:qFormat/>
    <w:rsid w:val="004F587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4F5877"/>
    <w:pPr>
      <w:spacing w:before="0" w:after="0"/>
    </w:pPr>
    <w:rPr>
      <w:b w:val="0"/>
    </w:rPr>
  </w:style>
  <w:style w:type="paragraph" w:customStyle="1" w:styleId="TableLeft">
    <w:name w:val="Table Left"/>
    <w:basedOn w:val="Default"/>
    <w:next w:val="Default"/>
    <w:uiPriority w:val="99"/>
    <w:rsid w:val="004F5877"/>
    <w:rPr>
      <w:color w:val="auto"/>
    </w:rPr>
  </w:style>
  <w:style w:type="paragraph" w:customStyle="1" w:styleId="p7">
    <w:name w:val="p7"/>
    <w:basedOn w:val="Normal"/>
    <w:rsid w:val="004F5877"/>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ListParagraph">
    <w:name w:val="List Paragraph"/>
    <w:basedOn w:val="Normal"/>
    <w:uiPriority w:val="34"/>
    <w:qFormat/>
    <w:rsid w:val="004F58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eastAsia="Times New Roman"/>
      <w:kern w:val="16"/>
      <w:szCs w:val="24"/>
      <w:lang w:eastAsia="en-AU"/>
    </w:rPr>
  </w:style>
  <w:style w:type="paragraph" w:styleId="NormalWeb">
    <w:name w:val="Normal (Web)"/>
    <w:basedOn w:val="Normal"/>
    <w:uiPriority w:val="99"/>
    <w:unhideWhenUsed/>
    <w:rsid w:val="004F5877"/>
    <w:pPr>
      <w:spacing w:before="0" w:after="0" w:line="240" w:lineRule="auto"/>
    </w:pPr>
    <w:rPr>
      <w:rFonts w:ascii="Times New Roman" w:eastAsia="Calibri" w:hAnsi="Times New Roman"/>
      <w:sz w:val="24"/>
      <w:szCs w:val="24"/>
      <w:lang w:eastAsia="en-AU"/>
    </w:rPr>
  </w:style>
  <w:style w:type="character" w:styleId="Strong">
    <w:name w:val="Strong"/>
    <w:basedOn w:val="DefaultParagraphFont"/>
    <w:uiPriority w:val="22"/>
    <w:qFormat/>
    <w:rsid w:val="004F5877"/>
    <w:rPr>
      <w:b/>
      <w:bCs/>
    </w:rPr>
  </w:style>
  <w:style w:type="paragraph" w:styleId="DocumentMap">
    <w:name w:val="Document Map"/>
    <w:basedOn w:val="Normal"/>
    <w:link w:val="DocumentMapChar"/>
    <w:uiPriority w:val="99"/>
    <w:semiHidden/>
    <w:unhideWhenUsed/>
    <w:rsid w:val="007D4B2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D4B20"/>
    <w:rPr>
      <w:rFonts w:ascii="Tahoma" w:eastAsia="Cambria" w:hAnsi="Tahoma" w:cs="Tahoma"/>
      <w:sz w:val="16"/>
      <w:szCs w:val="16"/>
    </w:rPr>
  </w:style>
  <w:style w:type="paragraph" w:customStyle="1" w:styleId="tablefootnote">
    <w:name w:val="table footnote"/>
    <w:basedOn w:val="Default"/>
    <w:next w:val="Default"/>
    <w:uiPriority w:val="99"/>
    <w:rsid w:val="00063ADB"/>
    <w:rPr>
      <w:rFonts w:eastAsiaTheme="minorHAnsi" w:cs="DokChampa"/>
      <w:color w:val="auto"/>
      <w:lang w:eastAsia="en-US" w:bidi="lo-LA"/>
    </w:rPr>
  </w:style>
  <w:style w:type="paragraph" w:customStyle="1" w:styleId="tablefootnotelast">
    <w:name w:val="table footnote last"/>
    <w:basedOn w:val="Default"/>
    <w:next w:val="Default"/>
    <w:uiPriority w:val="99"/>
    <w:rsid w:val="00063ADB"/>
    <w:rPr>
      <w:rFonts w:eastAsiaTheme="minorHAnsi" w:cs="DokChampa"/>
      <w:color w:val="auto"/>
      <w:lang w:eastAsia="en-US" w:bidi="lo-LA"/>
    </w:rPr>
  </w:style>
</w:styles>
</file>

<file path=word/webSettings.xml><?xml version="1.0" encoding="utf-8"?>
<w:webSettings xmlns:r="http://schemas.openxmlformats.org/officeDocument/2006/relationships" xmlns:w="http://schemas.openxmlformats.org/wordprocessingml/2006/main">
  <w:divs>
    <w:div w:id="162858094">
      <w:bodyDiv w:val="1"/>
      <w:marLeft w:val="0"/>
      <w:marRight w:val="0"/>
      <w:marTop w:val="0"/>
      <w:marBottom w:val="0"/>
      <w:divBdr>
        <w:top w:val="none" w:sz="0" w:space="0" w:color="auto"/>
        <w:left w:val="none" w:sz="0" w:space="0" w:color="auto"/>
        <w:bottom w:val="none" w:sz="0" w:space="0" w:color="auto"/>
        <w:right w:val="none" w:sz="0" w:space="0" w:color="auto"/>
      </w:divBdr>
    </w:div>
    <w:div w:id="564606936">
      <w:bodyDiv w:val="1"/>
      <w:marLeft w:val="0"/>
      <w:marRight w:val="0"/>
      <w:marTop w:val="0"/>
      <w:marBottom w:val="0"/>
      <w:divBdr>
        <w:top w:val="none" w:sz="0" w:space="0" w:color="auto"/>
        <w:left w:val="none" w:sz="0" w:space="0" w:color="auto"/>
        <w:bottom w:val="none" w:sz="0" w:space="0" w:color="auto"/>
        <w:right w:val="none" w:sz="0" w:space="0" w:color="auto"/>
      </w:divBdr>
    </w:div>
    <w:div w:id="635718944">
      <w:bodyDiv w:val="1"/>
      <w:marLeft w:val="0"/>
      <w:marRight w:val="0"/>
      <w:marTop w:val="0"/>
      <w:marBottom w:val="0"/>
      <w:divBdr>
        <w:top w:val="none" w:sz="0" w:space="0" w:color="auto"/>
        <w:left w:val="none" w:sz="0" w:space="0" w:color="auto"/>
        <w:bottom w:val="none" w:sz="0" w:space="0" w:color="auto"/>
        <w:right w:val="none" w:sz="0" w:space="0" w:color="auto"/>
      </w:divBdr>
    </w:div>
    <w:div w:id="811139254">
      <w:bodyDiv w:val="1"/>
      <w:marLeft w:val="0"/>
      <w:marRight w:val="0"/>
      <w:marTop w:val="0"/>
      <w:marBottom w:val="0"/>
      <w:divBdr>
        <w:top w:val="none" w:sz="0" w:space="0" w:color="auto"/>
        <w:left w:val="none" w:sz="0" w:space="0" w:color="auto"/>
        <w:bottom w:val="none" w:sz="0" w:space="0" w:color="auto"/>
        <w:right w:val="none" w:sz="0" w:space="0" w:color="auto"/>
      </w:divBdr>
    </w:div>
    <w:div w:id="1945069987">
      <w:bodyDiv w:val="1"/>
      <w:marLeft w:val="0"/>
      <w:marRight w:val="0"/>
      <w:marTop w:val="0"/>
      <w:marBottom w:val="0"/>
      <w:divBdr>
        <w:top w:val="none" w:sz="0" w:space="0" w:color="auto"/>
        <w:left w:val="none" w:sz="0" w:space="0" w:color="auto"/>
        <w:bottom w:val="none" w:sz="0" w:space="0" w:color="auto"/>
        <w:right w:val="none" w:sz="0" w:space="0" w:color="auto"/>
      </w:divBdr>
    </w:div>
    <w:div w:id="201013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4.xml"/><Relationship Id="rId43"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9EB0A-81B2-4A63-A785-BCAE7FCD1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68</Pages>
  <Words>28474</Words>
  <Characters>162304</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190398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Ivacaftor</dc:title>
  <dc:subject>prescription medicine regulation</dc:subject>
  <dc:creator>Therapeutic Goods Administration</dc:creator>
  <cp:keywords>clinical, evaluation, report, medicine, assessment, regulation, australia, ivacaftor, kalydeco, vertex, pharmaceuticals</cp:keywords>
  <cp:lastModifiedBy>dixonj</cp:lastModifiedBy>
  <cp:revision>133</cp:revision>
  <cp:lastPrinted>2010-12-20T22:59:00Z</cp:lastPrinted>
  <dcterms:created xsi:type="dcterms:W3CDTF">2013-10-30T23:51:00Z</dcterms:created>
  <dcterms:modified xsi:type="dcterms:W3CDTF">2013-12-17T03:54:00Z</dcterms:modified>
</cp:coreProperties>
</file>