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D04" w:rsidRDefault="00345D04" w:rsidP="00937266">
      <w:pPr>
        <w:pStyle w:val="Title"/>
        <w:ind w:left="142"/>
      </w:pPr>
      <w:bookmarkStart w:id="0" w:name="_GoBack"/>
      <w:bookmarkEnd w:id="0"/>
      <w:r>
        <w:t>Australian product information</w:t>
      </w:r>
    </w:p>
    <w:p w:rsidR="00AE7847" w:rsidRDefault="00AE7847" w:rsidP="00937266">
      <w:pPr>
        <w:ind w:left="142"/>
      </w:pPr>
      <w:r w:rsidRPr="00B01D08">
        <w:pict>
          <v:shape id="_x0000_i1025" type="#_x0000_t75" style="width:18.45pt;height:19.6pt">
            <v:imagedata r:id="rId13" o:title="" cropbottom="25739f" cropright="62952f"/>
          </v:shape>
        </w:pict>
      </w:r>
      <w:r w:rsidRPr="00CB2FD8">
        <w:t xml:space="preserve">This medicinal product is subject to additional monitoring in Australia. This will allow quick identification of new safety information. Healthcare professionals are asked to report any suspected adverse events at </w:t>
      </w:r>
      <w:hyperlink r:id="rId14" w:history="1">
        <w:r w:rsidRPr="00D545B0">
          <w:rPr>
            <w:rStyle w:val="Hyperlink"/>
          </w:rPr>
          <w:t>www.tga.gov.au/reporting-problems</w:t>
        </w:r>
      </w:hyperlink>
      <w:r>
        <w:t>.</w:t>
      </w:r>
    </w:p>
    <w:p w:rsidR="006E1A99" w:rsidRDefault="00EB0275" w:rsidP="00937266">
      <w:pPr>
        <w:pStyle w:val="Heading10"/>
        <w:ind w:left="142"/>
      </w:pPr>
      <w:r>
        <w:t>TALTZ</w:t>
      </w:r>
      <w:r w:rsidR="006E1A99">
        <w:t xml:space="preserve"> (</w:t>
      </w:r>
      <w:r>
        <w:t>ixekizumab (rch)</w:t>
      </w:r>
      <w:r w:rsidR="00AE7847">
        <w:t>)</w:t>
      </w:r>
      <w:r>
        <w:t xml:space="preserve"> solution for injection</w:t>
      </w:r>
    </w:p>
    <w:p w:rsidR="006E1A99" w:rsidRPr="00B5098E" w:rsidRDefault="00B5098E" w:rsidP="00937266">
      <w:pPr>
        <w:pStyle w:val="Heading1"/>
        <w:ind w:left="142"/>
      </w:pPr>
      <w:r w:rsidRPr="00B5098E">
        <w:t xml:space="preserve">Name Of The Medicine </w:t>
      </w:r>
    </w:p>
    <w:p w:rsidR="006E1A99" w:rsidRDefault="00AE7847" w:rsidP="00937266">
      <w:pPr>
        <w:ind w:left="142"/>
      </w:pPr>
      <w:r>
        <w:t>Ixekizumab (rch)</w:t>
      </w:r>
    </w:p>
    <w:p w:rsidR="00E02431" w:rsidRPr="00D31DE2" w:rsidRDefault="00247016" w:rsidP="00937266">
      <w:pPr>
        <w:pStyle w:val="Heading1"/>
        <w:ind w:left="142"/>
      </w:pPr>
      <w:r>
        <w:t>Qualitative and Quantitative Composition</w:t>
      </w:r>
    </w:p>
    <w:p w:rsidR="00693748" w:rsidRDefault="00693748" w:rsidP="00937266">
      <w:pPr>
        <w:ind w:left="142"/>
      </w:pPr>
      <w:r>
        <w:t>Each prefilled pen (autoinjector) or prefilled syringe contains ixekizumab 80 mg/mL.</w:t>
      </w:r>
    </w:p>
    <w:p w:rsidR="00693748" w:rsidRDefault="00693748" w:rsidP="00937266">
      <w:pPr>
        <w:ind w:left="142"/>
      </w:pPr>
      <w:r w:rsidRPr="00693748">
        <w:t>TALTZ (ixekizumab (rch)) is a humanised immunoglobulin G subclass 4 (IgG4) monoclonal antibody (mAb) with neutralising activity against interleukin-17A (IL-17A).  TALTZ is produced by recombinant DNA technology in a recombinant mammalian cell line and purified using standard technology for bioprocessing. Ixekizumab is comprised of two identical light chain polypeptides of 219 amino acids each and two identical heavy chain polypeptides of 445 amino acids each.</w:t>
      </w:r>
    </w:p>
    <w:p w:rsidR="00693748" w:rsidRDefault="00693748" w:rsidP="00937266">
      <w:pPr>
        <w:ind w:left="142"/>
      </w:pPr>
      <w:r>
        <w:t>For the full list of excipients, see</w:t>
      </w:r>
      <w:r w:rsidR="00DA6896">
        <w:t xml:space="preserve"> section</w:t>
      </w:r>
      <w:r>
        <w:t xml:space="preserve"> </w:t>
      </w:r>
      <w:r w:rsidRPr="009B4C28">
        <w:rPr>
          <w:b/>
        </w:rPr>
        <w:fldChar w:fldCharType="begin"/>
      </w:r>
      <w:r w:rsidRPr="009B4C28">
        <w:rPr>
          <w:b/>
        </w:rPr>
        <w:instrText xml:space="preserve"> REF _Ref487643005 \w \h </w:instrText>
      </w:r>
      <w:r w:rsidRPr="009B4C28">
        <w:rPr>
          <w:b/>
        </w:rPr>
      </w:r>
      <w:r>
        <w:rPr>
          <w:b/>
        </w:rPr>
        <w:instrText xml:space="preserve"> \* MERGEFORMAT </w:instrText>
      </w:r>
      <w:r w:rsidRPr="009B4C28">
        <w:rPr>
          <w:b/>
        </w:rPr>
        <w:fldChar w:fldCharType="separate"/>
      </w:r>
      <w:r w:rsidR="005621E7">
        <w:rPr>
          <w:b/>
        </w:rPr>
        <w:t>6.1</w:t>
      </w:r>
      <w:r w:rsidRPr="009B4C28">
        <w:rPr>
          <w:b/>
        </w:rPr>
        <w:fldChar w:fldCharType="end"/>
      </w:r>
      <w:r w:rsidRPr="009B4C28">
        <w:rPr>
          <w:b/>
        </w:rPr>
        <w:t xml:space="preserve"> </w:t>
      </w:r>
      <w:r w:rsidRPr="009B4C28">
        <w:rPr>
          <w:b/>
        </w:rPr>
        <w:fldChar w:fldCharType="begin"/>
      </w:r>
      <w:r w:rsidRPr="009B4C28">
        <w:rPr>
          <w:b/>
        </w:rPr>
        <w:instrText xml:space="preserve"> REF _Ref487643005 \h </w:instrText>
      </w:r>
      <w:r w:rsidRPr="009B4C28">
        <w:rPr>
          <w:b/>
        </w:rPr>
      </w:r>
      <w:r>
        <w:rPr>
          <w:b/>
        </w:rPr>
        <w:instrText xml:space="preserve"> \* MERGEFORMAT </w:instrText>
      </w:r>
      <w:r w:rsidRPr="009B4C28">
        <w:rPr>
          <w:b/>
        </w:rPr>
        <w:fldChar w:fldCharType="separate"/>
      </w:r>
      <w:r w:rsidR="005621E7" w:rsidRPr="005621E7">
        <w:rPr>
          <w:b/>
        </w:rPr>
        <w:t>List of excipients</w:t>
      </w:r>
      <w:r w:rsidRPr="009B4C28">
        <w:rPr>
          <w:b/>
        </w:rPr>
        <w:fldChar w:fldCharType="end"/>
      </w:r>
    </w:p>
    <w:p w:rsidR="00E02431" w:rsidRDefault="002112BB" w:rsidP="00937266">
      <w:pPr>
        <w:pStyle w:val="Heading1"/>
        <w:ind w:left="142"/>
      </w:pPr>
      <w:r>
        <w:t>P</w:t>
      </w:r>
      <w:r w:rsidR="00576E64">
        <w:t>harmaceutical Form</w:t>
      </w:r>
    </w:p>
    <w:p w:rsidR="00693748" w:rsidRDefault="00774C2F" w:rsidP="00937266">
      <w:pPr>
        <w:ind w:left="142"/>
      </w:pPr>
      <w:r w:rsidRPr="00774C2F">
        <w:t xml:space="preserve">TALTZ is </w:t>
      </w:r>
      <w:r>
        <w:t xml:space="preserve">supplied as </w:t>
      </w:r>
      <w:r w:rsidRPr="00774C2F">
        <w:t>a solution for injection</w:t>
      </w:r>
      <w:r w:rsidR="00693748">
        <w:t>.</w:t>
      </w:r>
    </w:p>
    <w:p w:rsidR="00693748" w:rsidRPr="00693748" w:rsidRDefault="00693748" w:rsidP="00937266">
      <w:pPr>
        <w:ind w:left="142"/>
      </w:pPr>
      <w:r w:rsidRPr="00693748">
        <w:t>The TALTZ solution is sterile, preservative free, clear and colourless to slightly yellow.  The TALTZ solution has a pH of 5.3 to 6.1. TALTZ is administered as a subcutaneous (SC) injection.</w:t>
      </w:r>
      <w:r>
        <w:t xml:space="preserve"> </w:t>
      </w:r>
      <w:r w:rsidRPr="00693748">
        <w:t>TALTZ is for single use, therefore contains no antimicrobial preservative.</w:t>
      </w:r>
    </w:p>
    <w:p w:rsidR="00774C2F" w:rsidRDefault="00693748" w:rsidP="00937266">
      <w:pPr>
        <w:ind w:left="142"/>
      </w:pPr>
      <w:r>
        <w:t>TALTZ is available as</w:t>
      </w:r>
      <w:r w:rsidR="00774C2F" w:rsidRPr="00774C2F">
        <w:t xml:space="preserve"> </w:t>
      </w:r>
      <w:r w:rsidR="00774C2F">
        <w:t xml:space="preserve">a 1 mL single-dose </w:t>
      </w:r>
      <w:r w:rsidR="00774C2F" w:rsidRPr="00774C2F">
        <w:t xml:space="preserve">prefilled pen (autoinjector) or </w:t>
      </w:r>
      <w:r w:rsidR="00774C2F">
        <w:t xml:space="preserve">a 1 mL single dose </w:t>
      </w:r>
      <w:r w:rsidR="00774C2F" w:rsidRPr="00774C2F">
        <w:t>prefilled syringe. Each autoinjector or prefilled syringe is composed of ixekizumab (80 mg/mL)</w:t>
      </w:r>
      <w:r w:rsidR="00774C2F">
        <w:t>.</w:t>
      </w:r>
    </w:p>
    <w:p w:rsidR="00774C2F" w:rsidRDefault="00774C2F" w:rsidP="00937266">
      <w:pPr>
        <w:ind w:left="142"/>
      </w:pPr>
      <w:r w:rsidRPr="00774C2F">
        <w:t>The autoinjector and prefilled syringe each contain a 1 mL glass syringe with a fixed needle. The TALTZ autoinjector and prefilled syringe are manufactured to deliver 80 mg of ixekizumab. TALTZ is latex-free.</w:t>
      </w:r>
    </w:p>
    <w:p w:rsidR="00576E64" w:rsidRDefault="00576E64" w:rsidP="00937266">
      <w:pPr>
        <w:pStyle w:val="Heading1"/>
        <w:pageBreakBefore/>
        <w:ind w:left="142"/>
      </w:pPr>
      <w:r>
        <w:lastRenderedPageBreak/>
        <w:t>Clinical Particulars</w:t>
      </w:r>
    </w:p>
    <w:p w:rsidR="00576E64" w:rsidRPr="002238F5" w:rsidRDefault="00576E64" w:rsidP="00937266">
      <w:pPr>
        <w:pStyle w:val="Heading2"/>
        <w:ind w:left="142"/>
      </w:pPr>
      <w:bookmarkStart w:id="1" w:name="_Ref487459855"/>
      <w:r w:rsidRPr="00B5098E">
        <w:t>Therapeutic</w:t>
      </w:r>
      <w:r w:rsidRPr="002238F5">
        <w:t xml:space="preserve"> indications</w:t>
      </w:r>
      <w:bookmarkEnd w:id="1"/>
    </w:p>
    <w:p w:rsidR="004855EF" w:rsidRPr="00044000" w:rsidRDefault="008C3050" w:rsidP="00937266">
      <w:pPr>
        <w:pStyle w:val="Heading3"/>
        <w:ind w:left="142"/>
        <w:rPr>
          <w:i/>
        </w:rPr>
      </w:pPr>
      <w:r w:rsidRPr="00044000">
        <w:rPr>
          <w:i/>
        </w:rPr>
        <w:t>Plaque psoriasis</w:t>
      </w:r>
    </w:p>
    <w:p w:rsidR="00576E64" w:rsidRDefault="00196A38" w:rsidP="00937266">
      <w:pPr>
        <w:ind w:left="142"/>
        <w:rPr>
          <w:lang w:eastAsia="en-AU"/>
        </w:rPr>
      </w:pPr>
      <w:r>
        <w:rPr>
          <w:lang w:eastAsia="en-AU"/>
        </w:rPr>
        <w:t>TALTZ is indicated for the treatment of adult patients with moderate-to-severe plaque psoriasis who are candidates for systemic therapy or phototherapy.</w:t>
      </w:r>
    </w:p>
    <w:p w:rsidR="004855EF" w:rsidRPr="00044000" w:rsidRDefault="008C3050" w:rsidP="00937266">
      <w:pPr>
        <w:pStyle w:val="Heading3"/>
        <w:ind w:left="142"/>
        <w:rPr>
          <w:i/>
        </w:rPr>
      </w:pPr>
      <w:r w:rsidRPr="00044000">
        <w:rPr>
          <w:i/>
        </w:rPr>
        <w:t>Psoriatic arthritis</w:t>
      </w:r>
    </w:p>
    <w:p w:rsidR="004855EF" w:rsidRDefault="004855EF" w:rsidP="00937266">
      <w:pPr>
        <w:ind w:left="142"/>
        <w:rPr>
          <w:lang w:eastAsia="en-AU"/>
        </w:rPr>
      </w:pPr>
      <w:r>
        <w:rPr>
          <w:lang w:eastAsia="en-AU"/>
        </w:rPr>
        <w:t>TALTZ is indicated for the treatment of active psoriatic arthritis in adult patients who have responded inadequately, or who are intolerant, to previous DMARD therapy.</w:t>
      </w:r>
    </w:p>
    <w:p w:rsidR="004855EF" w:rsidRDefault="004855EF" w:rsidP="00937266">
      <w:pPr>
        <w:ind w:left="142"/>
        <w:rPr>
          <w:lang w:eastAsia="en-AU"/>
        </w:rPr>
      </w:pPr>
      <w:r>
        <w:rPr>
          <w:lang w:eastAsia="en-AU"/>
        </w:rPr>
        <w:t>TALTZ may be used as monotherapy or in combination with a conventional DMARD (e.g. methotrexate).</w:t>
      </w:r>
    </w:p>
    <w:p w:rsidR="00C74374" w:rsidRPr="00044000" w:rsidRDefault="00C919A0" w:rsidP="00937266">
      <w:pPr>
        <w:pStyle w:val="Heading3"/>
        <w:ind w:left="142"/>
        <w:rPr>
          <w:i/>
        </w:rPr>
      </w:pPr>
      <w:r>
        <w:rPr>
          <w:i/>
        </w:rPr>
        <w:t>Ankylosing Spondylitis</w:t>
      </w:r>
      <w:r w:rsidR="00DE31DB">
        <w:rPr>
          <w:i/>
        </w:rPr>
        <w:t xml:space="preserve"> (Radiographic Axial Spondyloarthritis)</w:t>
      </w:r>
    </w:p>
    <w:p w:rsidR="00AA4777" w:rsidRDefault="00C74374" w:rsidP="00937266">
      <w:pPr>
        <w:ind w:left="142"/>
        <w:rPr>
          <w:lang w:eastAsia="en-AU"/>
        </w:rPr>
      </w:pPr>
      <w:r w:rsidRPr="00C74374">
        <w:rPr>
          <w:lang w:eastAsia="en-AU"/>
        </w:rPr>
        <w:t>TALTZ is indicated for the treatment of active ankylosing spondylitis in adult patients.</w:t>
      </w:r>
      <w:r w:rsidR="007D68DC">
        <w:rPr>
          <w:lang w:eastAsia="en-AU"/>
        </w:rPr>
        <w:t xml:space="preserve"> </w:t>
      </w:r>
    </w:p>
    <w:p w:rsidR="005F3BE6" w:rsidRDefault="005F3BE6" w:rsidP="00937266">
      <w:pPr>
        <w:pStyle w:val="Heading2"/>
        <w:ind w:left="142"/>
      </w:pPr>
      <w:r>
        <w:t>Dose and administration</w:t>
      </w:r>
    </w:p>
    <w:p w:rsidR="00177A5D" w:rsidRDefault="008C3050" w:rsidP="00937266">
      <w:pPr>
        <w:pStyle w:val="Heading3"/>
        <w:ind w:left="142"/>
      </w:pPr>
      <w:r>
        <w:t>Dosage</w:t>
      </w:r>
    </w:p>
    <w:p w:rsidR="00177A5D" w:rsidRPr="00177A5D" w:rsidRDefault="008C3050" w:rsidP="00937266">
      <w:pPr>
        <w:pStyle w:val="Heading3"/>
        <w:ind w:left="142"/>
        <w:rPr>
          <w:i/>
        </w:rPr>
      </w:pPr>
      <w:r w:rsidRPr="00177A5D">
        <w:rPr>
          <w:i/>
        </w:rPr>
        <w:t>Plaque psoriasis</w:t>
      </w:r>
    </w:p>
    <w:p w:rsidR="009E731D" w:rsidRDefault="009E731D" w:rsidP="00937266">
      <w:pPr>
        <w:ind w:left="142"/>
      </w:pPr>
      <w:r>
        <w:t>The recommended dose is 160 mg by SC injection (two 80 mg injections) at Week 0, followed by an 80 mg injection (one injection) every 2 weeks at Weeks 2, 4, 6, 8, 10 and 12, then 80 mg (one injection) every 4 weeks.</w:t>
      </w:r>
    </w:p>
    <w:p w:rsidR="00177A5D" w:rsidRPr="00177A5D" w:rsidRDefault="008C3050" w:rsidP="00937266">
      <w:pPr>
        <w:pStyle w:val="Heading3"/>
        <w:ind w:left="142"/>
        <w:rPr>
          <w:i/>
        </w:rPr>
      </w:pPr>
      <w:r w:rsidRPr="00177A5D">
        <w:rPr>
          <w:i/>
        </w:rPr>
        <w:t>Psoriatic arthritis</w:t>
      </w:r>
    </w:p>
    <w:p w:rsidR="00177A5D" w:rsidRDefault="00177A5D" w:rsidP="00937266">
      <w:pPr>
        <w:ind w:left="142"/>
      </w:pPr>
      <w:r>
        <w:t xml:space="preserve">The recommended dose is 160 mg by SC injection (two 80 mg injections) at Week 0, followed by 80 mg (one injection) every 4 weeks. </w:t>
      </w:r>
    </w:p>
    <w:p w:rsidR="00177A5D" w:rsidRDefault="00177A5D" w:rsidP="00937266">
      <w:pPr>
        <w:ind w:left="142"/>
      </w:pPr>
      <w:r>
        <w:t>For psoriatic arthritis patients with coexistent moderate to severe plaque psoriasis, use the dosing regimen for plaque psoriasis.</w:t>
      </w:r>
    </w:p>
    <w:p w:rsidR="002241DE" w:rsidRPr="00177A5D" w:rsidRDefault="002241DE" w:rsidP="00937266">
      <w:pPr>
        <w:pStyle w:val="Heading3"/>
        <w:ind w:left="142"/>
        <w:rPr>
          <w:i/>
        </w:rPr>
      </w:pPr>
      <w:r>
        <w:rPr>
          <w:i/>
        </w:rPr>
        <w:t>Ankylosing Spondylitis</w:t>
      </w:r>
      <w:r w:rsidR="00DE31DB">
        <w:rPr>
          <w:i/>
        </w:rPr>
        <w:t xml:space="preserve"> (Radiographic Axial Spondyloarthritis)</w:t>
      </w:r>
    </w:p>
    <w:p w:rsidR="002241DE" w:rsidRDefault="002241DE" w:rsidP="00937266">
      <w:pPr>
        <w:ind w:left="142"/>
      </w:pPr>
      <w:r>
        <w:t xml:space="preserve">The recommended dose is 80 mg by subcutaneous injection every 4 weeks. </w:t>
      </w:r>
    </w:p>
    <w:p w:rsidR="007D68DC" w:rsidRDefault="007D68DC" w:rsidP="00937266">
      <w:pPr>
        <w:ind w:left="142"/>
        <w:rPr>
          <w:lang w:eastAsia="en-AU"/>
        </w:rPr>
      </w:pPr>
      <w:r>
        <w:t>Conventional disease-modifying antirheumatic drugs (cDMARD) (e.g., sulfasalazine), corticosteroids, non-steroidal anti-inflammatory drugs (NSAIDs), and/or analgesics may be continued</w:t>
      </w:r>
      <w:r>
        <w:rPr>
          <w:lang w:eastAsia="en-AU"/>
        </w:rPr>
        <w:t xml:space="preserve"> during treatment with ixekizumab.</w:t>
      </w:r>
    </w:p>
    <w:p w:rsidR="009E731D" w:rsidRPr="00177A5D" w:rsidRDefault="008C3050" w:rsidP="00937266">
      <w:pPr>
        <w:pStyle w:val="Heading3"/>
        <w:ind w:left="142"/>
        <w:rPr>
          <w:i/>
        </w:rPr>
      </w:pPr>
      <w:r w:rsidRPr="00177A5D">
        <w:rPr>
          <w:i/>
        </w:rPr>
        <w:t>Elderly patients (≥65 years)</w:t>
      </w:r>
    </w:p>
    <w:p w:rsidR="009E731D" w:rsidRDefault="009E731D" w:rsidP="00937266">
      <w:pPr>
        <w:ind w:left="142"/>
      </w:pPr>
      <w:r>
        <w:t>No dose adjustment is required for elderly patients.</w:t>
      </w:r>
    </w:p>
    <w:p w:rsidR="009E731D" w:rsidRPr="00177A5D" w:rsidRDefault="008C3050" w:rsidP="00937266">
      <w:pPr>
        <w:pStyle w:val="Heading3"/>
        <w:ind w:left="142"/>
        <w:rPr>
          <w:i/>
        </w:rPr>
      </w:pPr>
      <w:r w:rsidRPr="00177A5D">
        <w:rPr>
          <w:i/>
        </w:rPr>
        <w:t>Renal impairment or hepatic impairment</w:t>
      </w:r>
    </w:p>
    <w:p w:rsidR="009E731D" w:rsidRDefault="009E731D" w:rsidP="00937266">
      <w:pPr>
        <w:ind w:left="142"/>
      </w:pPr>
      <w:r>
        <w:t>TALTZ has not been studied in these patient populations. No dosage recommendations can be made.</w:t>
      </w:r>
    </w:p>
    <w:p w:rsidR="009E731D" w:rsidRDefault="008C3050" w:rsidP="00937266">
      <w:pPr>
        <w:pStyle w:val="Heading3"/>
        <w:ind w:left="142"/>
      </w:pPr>
      <w:r>
        <w:lastRenderedPageBreak/>
        <w:t>Method of administration</w:t>
      </w:r>
    </w:p>
    <w:p w:rsidR="00177A5D" w:rsidRDefault="009E731D" w:rsidP="00937266">
      <w:pPr>
        <w:ind w:left="142"/>
      </w:pPr>
      <w:r>
        <w:t xml:space="preserve">TALTZ is for SC injection. </w:t>
      </w:r>
      <w:r w:rsidR="00177A5D">
        <w:t>After training in SC injection technique, a patient may self-inject with ixekizumab.</w:t>
      </w:r>
    </w:p>
    <w:p w:rsidR="009E731D" w:rsidRDefault="009E731D" w:rsidP="00937266">
      <w:pPr>
        <w:ind w:left="142"/>
      </w:pPr>
      <w:r>
        <w:t>If possible, areas of the skin that show psoriasis should be avoided as injection sites.</w:t>
      </w:r>
    </w:p>
    <w:p w:rsidR="009E731D" w:rsidRDefault="009E731D" w:rsidP="00937266">
      <w:pPr>
        <w:ind w:left="142"/>
      </w:pPr>
      <w:r>
        <w:t>TALTZ is for single-use in one patient only. Discard any residue product.</w:t>
      </w:r>
    </w:p>
    <w:p w:rsidR="009E731D" w:rsidRDefault="008C3050" w:rsidP="00937266">
      <w:pPr>
        <w:pStyle w:val="Heading3"/>
        <w:ind w:left="142"/>
      </w:pPr>
      <w:r>
        <w:t>Special precautions for handling</w:t>
      </w:r>
    </w:p>
    <w:p w:rsidR="009E731D" w:rsidRDefault="009E731D" w:rsidP="00937266">
      <w:pPr>
        <w:ind w:left="142"/>
      </w:pPr>
      <w:r>
        <w:t xml:space="preserve">The </w:t>
      </w:r>
      <w:r w:rsidRPr="009E731D">
        <w:rPr>
          <w:i/>
        </w:rPr>
        <w:t>Instructions for Use</w:t>
      </w:r>
      <w:r>
        <w:t xml:space="preserve"> included as a pack insert must be followed carefully.</w:t>
      </w:r>
    </w:p>
    <w:p w:rsidR="009E731D" w:rsidRDefault="009E731D" w:rsidP="00937266">
      <w:pPr>
        <w:ind w:left="142"/>
      </w:pPr>
      <w:r>
        <w:t>Do not use TALTZ if it has been frozen.</w:t>
      </w:r>
    </w:p>
    <w:p w:rsidR="008F5FCA" w:rsidRPr="008C3050" w:rsidRDefault="008C3050" w:rsidP="00937266">
      <w:pPr>
        <w:pStyle w:val="Heading2"/>
        <w:ind w:left="142"/>
      </w:pPr>
      <w:r w:rsidRPr="008C3050">
        <w:t>Contraindications</w:t>
      </w:r>
    </w:p>
    <w:p w:rsidR="00C9158B" w:rsidRDefault="008F5FCA" w:rsidP="00937266">
      <w:pPr>
        <w:ind w:left="142"/>
      </w:pPr>
      <w:r>
        <w:t>TALTZ is contraindicated in patients with known serious hypersensitivity to ixekizumab or any of the excipients.</w:t>
      </w:r>
    </w:p>
    <w:p w:rsidR="004E3974" w:rsidRPr="00391B34" w:rsidRDefault="004E3974" w:rsidP="00937266">
      <w:pPr>
        <w:pStyle w:val="Heading2"/>
        <w:ind w:left="142"/>
      </w:pPr>
      <w:r w:rsidRPr="00391B34">
        <w:t>Special warnings and precautions for use</w:t>
      </w:r>
    </w:p>
    <w:p w:rsidR="00990D68" w:rsidRDefault="008C3050" w:rsidP="00937266">
      <w:pPr>
        <w:pStyle w:val="Heading3"/>
        <w:ind w:left="142"/>
      </w:pPr>
      <w:bookmarkStart w:id="2" w:name="_Infections"/>
      <w:bookmarkEnd w:id="2"/>
      <w:r>
        <w:t>Infections</w:t>
      </w:r>
    </w:p>
    <w:p w:rsidR="00990D68" w:rsidRPr="00F75CF5" w:rsidRDefault="00990D68" w:rsidP="00937266">
      <w:pPr>
        <w:ind w:left="142"/>
      </w:pPr>
      <w:r w:rsidRPr="00990D68">
        <w:t xml:space="preserve">TALTZ </w:t>
      </w:r>
      <w:r>
        <w:t xml:space="preserve">may increase the risk of infections. In clinical trials, a higher rate of infection such as upper respiratory tract infection, oral candidiasis, conjunctivitis and tinea infections were observed in TALTZ treated patients compared to placebo </w:t>
      </w:r>
      <w:r w:rsidRPr="00CC59E9">
        <w:rPr>
          <w:b/>
        </w:rPr>
        <w:t>(see</w:t>
      </w:r>
      <w:r w:rsidR="004078FD">
        <w:rPr>
          <w:b/>
        </w:rPr>
        <w:t xml:space="preserve"> section</w:t>
      </w:r>
      <w:r w:rsidRPr="00CC59E9">
        <w:rPr>
          <w:b/>
        </w:rPr>
        <w:t xml:space="preserve"> </w:t>
      </w:r>
      <w:r w:rsidR="00CC59E9" w:rsidRPr="00CC59E9">
        <w:rPr>
          <w:b/>
        </w:rPr>
        <w:t>4.8</w:t>
      </w:r>
      <w:r w:rsidR="00F75CF5">
        <w:rPr>
          <w:b/>
        </w:rPr>
        <w:t xml:space="preserve"> </w:t>
      </w:r>
      <w:hyperlink w:anchor="_Adverse_effects_(Undesirable" w:history="1">
        <w:r w:rsidR="00F75CF5" w:rsidRPr="003E33C6">
          <w:rPr>
            <w:rStyle w:val="Hyperlink"/>
            <w:b/>
            <w:color w:val="auto"/>
            <w:u w:val="none"/>
          </w:rPr>
          <w:t>Ad</w:t>
        </w:r>
        <w:r w:rsidR="00F75CF5" w:rsidRPr="003E33C6">
          <w:rPr>
            <w:rStyle w:val="Hyperlink"/>
            <w:b/>
            <w:color w:val="auto"/>
            <w:u w:val="none"/>
          </w:rPr>
          <w:t>v</w:t>
        </w:r>
        <w:r w:rsidR="00F75CF5" w:rsidRPr="003E33C6">
          <w:rPr>
            <w:rStyle w:val="Hyperlink"/>
            <w:b/>
            <w:color w:val="auto"/>
            <w:u w:val="none"/>
          </w:rPr>
          <w:t>erse effects (Undesirable Effects)</w:t>
        </w:r>
      </w:hyperlink>
      <w:r w:rsidR="00CC59E9" w:rsidRPr="00F75CF5">
        <w:rPr>
          <w:b/>
        </w:rPr>
        <w:t>)</w:t>
      </w:r>
      <w:r w:rsidRPr="00F75CF5">
        <w:rPr>
          <w:b/>
        </w:rPr>
        <w:t>.</w:t>
      </w:r>
    </w:p>
    <w:p w:rsidR="00990D68" w:rsidRPr="00990D68" w:rsidRDefault="00990D68" w:rsidP="00937266">
      <w:pPr>
        <w:ind w:left="142"/>
      </w:pPr>
      <w:r>
        <w:t xml:space="preserve">TALTZ </w:t>
      </w:r>
      <w:r w:rsidRPr="00990D68">
        <w:t>should be used with caution in patients with clinically important chronic or active infection. Instruct patients to seek medical advice if signs or symptoms suggestive of an infection occur. If a patient develops a serious infection or is not responding to standard therapy the patient should be closely monitored. TALTZ should be discontinued until the infection resolves.</w:t>
      </w:r>
    </w:p>
    <w:p w:rsidR="00D12D59" w:rsidRDefault="00990D68" w:rsidP="00937266">
      <w:pPr>
        <w:ind w:left="142"/>
      </w:pPr>
      <w:r w:rsidRPr="00990D68">
        <w:t>Evaluate patients for tuberculosis (TB) infection prior to initiating treatment with TALTZ. Do not administer TALTZ to patients with active TB infection. Initiate treatment of latent TB prior to administering TALTZ. Consider anti-TB therapy prior to initiation of TALTZ in patients with a past history of latent or active TB in whom an adequate course of treatment cannot be confirmed. Patients receiving TALTZ should be monitored closely for signs and symptoms of active TB during and after treatment.</w:t>
      </w:r>
    </w:p>
    <w:p w:rsidR="00990D68" w:rsidRDefault="008C3050" w:rsidP="00937266">
      <w:pPr>
        <w:pStyle w:val="Heading3"/>
        <w:ind w:left="142"/>
      </w:pPr>
      <w:r>
        <w:t>Hypersensitivity</w:t>
      </w:r>
    </w:p>
    <w:p w:rsidR="00990D68" w:rsidRDefault="00990D68" w:rsidP="00937266">
      <w:pPr>
        <w:ind w:left="142"/>
      </w:pPr>
      <w:r>
        <w:t>Serious hypersensitivity reactions, including some cases of anaphylaxis, angioedema and urticaria, have been reported. If a serious hypersensitivity reaction occurs, administration of TALTZ should be discontinued immediately and appropriate therapy initiated.</w:t>
      </w:r>
    </w:p>
    <w:p w:rsidR="00990D68" w:rsidRDefault="008C3050" w:rsidP="00937266">
      <w:pPr>
        <w:pStyle w:val="Heading3"/>
        <w:ind w:left="142"/>
      </w:pPr>
      <w:r>
        <w:t>Inflammatory bowel disease</w:t>
      </w:r>
    </w:p>
    <w:p w:rsidR="00990D68" w:rsidRDefault="00990D68" w:rsidP="00937266">
      <w:pPr>
        <w:ind w:left="142"/>
        <w:rPr>
          <w:lang w:val="en-US"/>
        </w:rPr>
      </w:pPr>
      <w:r w:rsidRPr="00990D68">
        <w:rPr>
          <w:lang w:val="en-US"/>
        </w:rPr>
        <w:t xml:space="preserve">Crohn’s disease and ulcerative colitis, including exacerbations, occurred at a greater frequency in the TALTZ </w:t>
      </w:r>
      <w:r w:rsidR="00656F4F">
        <w:rPr>
          <w:lang w:val="en-US"/>
        </w:rPr>
        <w:t xml:space="preserve">80 mg Q2W </w:t>
      </w:r>
      <w:r w:rsidRPr="00990D68">
        <w:rPr>
          <w:lang w:val="en-US"/>
        </w:rPr>
        <w:t>group (Crohn’s disease 0.1%, ulcerative colitis 0.2%) than the placebo group (0%) during the 12-week, placebo-controlled period of the psoriasis clinical trials.</w:t>
      </w:r>
      <w:r w:rsidR="00C61907">
        <w:rPr>
          <w:lang w:val="en-US"/>
        </w:rPr>
        <w:t xml:space="preserve"> </w:t>
      </w:r>
    </w:p>
    <w:p w:rsidR="00C61907" w:rsidRPr="00990D68" w:rsidRDefault="00C61907" w:rsidP="00937266">
      <w:pPr>
        <w:ind w:left="142"/>
        <w:rPr>
          <w:lang w:val="en-US"/>
        </w:rPr>
      </w:pPr>
      <w:r w:rsidRPr="00C61907">
        <w:rPr>
          <w:lang w:val="en-US"/>
        </w:rPr>
        <w:lastRenderedPageBreak/>
        <w:t xml:space="preserve">Crohn’s disease and ulcerative colitis, including exacerbations, occurred in 2 patients (1.0%) and 1 patient (0.5%), respectively, in the TALTZ 80 mg Q4W group and 1 patient (0.5%) and 0%, respectively, in the placebo group during the 16-week, placebo-controlled period </w:t>
      </w:r>
      <w:r w:rsidR="00F04369">
        <w:rPr>
          <w:lang w:val="en-US"/>
        </w:rPr>
        <w:t>of the ankylosing spondylitis</w:t>
      </w:r>
      <w:r w:rsidRPr="00C61907">
        <w:rPr>
          <w:lang w:val="en-US"/>
        </w:rPr>
        <w:t xml:space="preserve"> clinical trials.</w:t>
      </w:r>
    </w:p>
    <w:p w:rsidR="00990D68" w:rsidRPr="00990D68" w:rsidRDefault="00990D68" w:rsidP="00937266">
      <w:pPr>
        <w:ind w:left="142"/>
        <w:rPr>
          <w:lang w:val="en-US"/>
        </w:rPr>
      </w:pPr>
      <w:r w:rsidRPr="00990D68">
        <w:rPr>
          <w:lang w:val="en-US"/>
        </w:rPr>
        <w:t>Exercise caution when prescribing TALTZ to patients with inflammatory bowel disease, including Crohn’s disease and ulcerative colitis, as new cases or exacerbations have been reported. Patients treated with TALTZ and have inflammatory bowel disease should be monitored closely.</w:t>
      </w:r>
    </w:p>
    <w:p w:rsidR="00990D68" w:rsidRDefault="008C3050" w:rsidP="00937266">
      <w:pPr>
        <w:pStyle w:val="Heading3"/>
        <w:ind w:left="142"/>
      </w:pPr>
      <w:r>
        <w:t>Immunisations</w:t>
      </w:r>
    </w:p>
    <w:p w:rsidR="00075C80" w:rsidRDefault="000A52A8" w:rsidP="00937266">
      <w:pPr>
        <w:ind w:left="142"/>
        <w:rPr>
          <w:lang w:val="en-US"/>
        </w:rPr>
      </w:pPr>
      <w:r>
        <w:rPr>
          <w:lang w:val="en-US"/>
        </w:rPr>
        <w:t xml:space="preserve">Consider completion of all age appropriate immunisations according to </w:t>
      </w:r>
      <w:r w:rsidR="00075C80">
        <w:rPr>
          <w:lang w:val="en-US"/>
        </w:rPr>
        <w:t xml:space="preserve">current immunisation </w:t>
      </w:r>
      <w:r>
        <w:rPr>
          <w:lang w:val="en-US"/>
        </w:rPr>
        <w:t>guidelines</w:t>
      </w:r>
      <w:r w:rsidR="00DE31DB">
        <w:rPr>
          <w:lang w:val="en-US"/>
        </w:rPr>
        <w:t xml:space="preserve"> </w:t>
      </w:r>
      <w:r w:rsidR="00DE31DB">
        <w:rPr>
          <w:b/>
          <w:bCs/>
          <w:lang w:val="en-US"/>
        </w:rPr>
        <w:t>before commencing Taltz</w:t>
      </w:r>
      <w:r w:rsidR="00DE31DB">
        <w:rPr>
          <w:lang w:val="en-US"/>
        </w:rPr>
        <w:t>.</w:t>
      </w:r>
      <w:r w:rsidR="00075C80">
        <w:rPr>
          <w:lang w:val="en-US"/>
        </w:rPr>
        <w:t xml:space="preserve"> </w:t>
      </w:r>
    </w:p>
    <w:p w:rsidR="00990D68" w:rsidRDefault="00990D68" w:rsidP="00937266">
      <w:pPr>
        <w:ind w:left="142"/>
        <w:rPr>
          <w:lang w:val="en-US"/>
        </w:rPr>
      </w:pPr>
      <w:r w:rsidRPr="00990D68">
        <w:rPr>
          <w:lang w:val="en-US"/>
        </w:rPr>
        <w:t>TALTZ should not be used with live vaccines. No data are available on the response to live vaccines.</w:t>
      </w:r>
    </w:p>
    <w:p w:rsidR="00C9158B" w:rsidRDefault="004855EF" w:rsidP="00937266">
      <w:pPr>
        <w:ind w:left="142"/>
        <w:rPr>
          <w:lang w:val="en-US"/>
        </w:rPr>
      </w:pPr>
      <w:r w:rsidRPr="004855EF">
        <w:rPr>
          <w:lang w:val="en-US"/>
        </w:rPr>
        <w:t>In a study in healthy subjects, no safety concerns were identified following administration of inactivated vaccines (tetanus and pneumococcal) after two doses of ixekizumab (160 mg followed by a second dose of 80 mg two weeks later). However, there is insufficient data on whether the immune response to these vaccines is adequate following administration of TALTZ.</w:t>
      </w:r>
    </w:p>
    <w:p w:rsidR="00D12D59" w:rsidRDefault="008C3050" w:rsidP="00937266">
      <w:pPr>
        <w:pStyle w:val="Heading3"/>
        <w:ind w:left="142"/>
      </w:pPr>
      <w:r w:rsidRPr="00391B34">
        <w:t xml:space="preserve">Use in the elderly </w:t>
      </w:r>
    </w:p>
    <w:p w:rsidR="00990D68" w:rsidRPr="00074164" w:rsidRDefault="00990D68" w:rsidP="00937266">
      <w:pPr>
        <w:ind w:left="142"/>
        <w:rPr>
          <w:b/>
          <w:iCs/>
          <w:lang w:eastAsia="en-AU"/>
        </w:rPr>
      </w:pPr>
      <w:r w:rsidRPr="00990D68">
        <w:rPr>
          <w:lang w:eastAsia="en-AU"/>
        </w:rPr>
        <w:t xml:space="preserve">Of the 4204 psoriasis patients exposed to TALTZ in clinical trials, a total of 265 patients were aged ≥65 years and 34 patients were aged ≥75 years. </w:t>
      </w:r>
      <w:r w:rsidR="00B0181A" w:rsidRPr="00B0181A">
        <w:rPr>
          <w:lang w:eastAsia="en-AU"/>
        </w:rPr>
        <w:t>Of the 1118 PsA patients exposed to TALTZ in clinical trials, a total of 122 patients were aged ≥65 years and 6 patients were aged ≥75 years.</w:t>
      </w:r>
      <w:r w:rsidR="00B0181A">
        <w:rPr>
          <w:lang w:eastAsia="en-AU"/>
        </w:rPr>
        <w:t xml:space="preserve"> </w:t>
      </w:r>
      <w:r w:rsidRPr="00990D68">
        <w:rPr>
          <w:lang w:eastAsia="en-AU"/>
        </w:rPr>
        <w:t xml:space="preserve">Although no differences in safety or efficacy were observed between older and younger patients, the number of patients aged ≥65 years is not sufficient to determine whether they respond differently from younger patients. </w:t>
      </w:r>
      <w:r w:rsidRPr="00074164">
        <w:rPr>
          <w:b/>
          <w:lang w:eastAsia="en-AU"/>
        </w:rPr>
        <w:t>(</w:t>
      </w:r>
      <w:r w:rsidRPr="00074164">
        <w:rPr>
          <w:b/>
          <w:iCs/>
          <w:lang w:eastAsia="en-AU"/>
        </w:rPr>
        <w:t>See</w:t>
      </w:r>
      <w:r w:rsidR="00074164" w:rsidRPr="00074164">
        <w:rPr>
          <w:b/>
          <w:iCs/>
          <w:lang w:eastAsia="en-AU"/>
        </w:rPr>
        <w:t xml:space="preserve"> </w:t>
      </w:r>
      <w:r w:rsidR="004078FD">
        <w:rPr>
          <w:b/>
          <w:iCs/>
          <w:lang w:eastAsia="en-AU"/>
        </w:rPr>
        <w:t xml:space="preserve">section </w:t>
      </w:r>
      <w:r w:rsidR="00074164" w:rsidRPr="00074164">
        <w:rPr>
          <w:b/>
          <w:iCs/>
          <w:lang w:eastAsia="en-AU"/>
        </w:rPr>
        <w:t xml:space="preserve">5.2 Pharmacokinetic properties, Special Populations, </w:t>
      </w:r>
      <w:r w:rsidR="00074164" w:rsidRPr="00DC4DD5">
        <w:rPr>
          <w:b/>
          <w:iCs/>
          <w:color w:val="000000"/>
          <w:lang w:eastAsia="en-AU"/>
        </w:rPr>
        <w:fldChar w:fldCharType="begin"/>
      </w:r>
      <w:r w:rsidR="00074164" w:rsidRPr="00DC4DD5">
        <w:rPr>
          <w:b/>
          <w:iCs/>
          <w:color w:val="000000"/>
          <w:lang w:eastAsia="en-AU"/>
        </w:rPr>
        <w:instrText xml:space="preserve"> HYPERLINK  \l "_Elderly_Patients_(≥65" </w:instrText>
      </w:r>
      <w:r w:rsidR="00074164" w:rsidRPr="00DC4DD5">
        <w:rPr>
          <w:b/>
          <w:iCs/>
          <w:color w:val="000000"/>
          <w:lang w:eastAsia="en-AU"/>
        </w:rPr>
      </w:r>
      <w:r w:rsidR="00074164" w:rsidRPr="00DC4DD5">
        <w:rPr>
          <w:b/>
          <w:iCs/>
          <w:color w:val="000000"/>
          <w:lang w:eastAsia="en-AU"/>
        </w:rPr>
        <w:fldChar w:fldCharType="separate"/>
      </w:r>
      <w:r w:rsidR="00074164" w:rsidRPr="00DC4DD5">
        <w:rPr>
          <w:rStyle w:val="Hyperlink"/>
          <w:b/>
          <w:iCs/>
          <w:color w:val="000000"/>
          <w:u w:val="none"/>
          <w:lang w:eastAsia="en-AU"/>
        </w:rPr>
        <w:t>Elderly Pati</w:t>
      </w:r>
      <w:r w:rsidR="00074164" w:rsidRPr="00DC4DD5">
        <w:rPr>
          <w:rStyle w:val="Hyperlink"/>
          <w:b/>
          <w:iCs/>
          <w:color w:val="000000"/>
          <w:u w:val="none"/>
          <w:lang w:eastAsia="en-AU"/>
        </w:rPr>
        <w:t>e</w:t>
      </w:r>
      <w:r w:rsidR="00074164" w:rsidRPr="00DC4DD5">
        <w:rPr>
          <w:rStyle w:val="Hyperlink"/>
          <w:b/>
          <w:iCs/>
          <w:color w:val="000000"/>
          <w:u w:val="none"/>
          <w:lang w:eastAsia="en-AU"/>
        </w:rPr>
        <w:t>nts (≥65 years)</w:t>
      </w:r>
      <w:r w:rsidR="00074164" w:rsidRPr="00DC4DD5">
        <w:rPr>
          <w:b/>
          <w:iCs/>
          <w:color w:val="000000"/>
          <w:lang w:eastAsia="en-AU"/>
        </w:rPr>
        <w:fldChar w:fldCharType="end"/>
      </w:r>
      <w:r w:rsidRPr="00074164">
        <w:rPr>
          <w:b/>
          <w:iCs/>
          <w:lang w:eastAsia="en-AU"/>
        </w:rPr>
        <w:t>).</w:t>
      </w:r>
    </w:p>
    <w:p w:rsidR="00D12D59" w:rsidRDefault="008C3050" w:rsidP="00937266">
      <w:pPr>
        <w:pStyle w:val="Heading3"/>
        <w:ind w:left="142"/>
      </w:pPr>
      <w:r w:rsidRPr="00391B34">
        <w:t xml:space="preserve">Paediatric use </w:t>
      </w:r>
    </w:p>
    <w:p w:rsidR="00990D68" w:rsidRPr="00990D68" w:rsidRDefault="00990D68" w:rsidP="00937266">
      <w:pPr>
        <w:ind w:left="142"/>
        <w:rPr>
          <w:lang w:eastAsia="en-AU"/>
        </w:rPr>
      </w:pPr>
      <w:r w:rsidRPr="00990D68">
        <w:rPr>
          <w:lang w:eastAsia="en-AU"/>
        </w:rPr>
        <w:t>Safety and effectiveness of TALTZ in paediatric patients (&lt;18 years of age) have not been evaluated.</w:t>
      </w:r>
    </w:p>
    <w:p w:rsidR="00D12D59" w:rsidRDefault="008C3050" w:rsidP="00937266">
      <w:pPr>
        <w:pStyle w:val="Heading3"/>
        <w:ind w:left="142"/>
      </w:pPr>
      <w:r w:rsidRPr="00391B34">
        <w:t>Effects on laboratory tests</w:t>
      </w:r>
    </w:p>
    <w:p w:rsidR="00990D68" w:rsidRPr="00990D68" w:rsidRDefault="00990D68" w:rsidP="00937266">
      <w:pPr>
        <w:ind w:left="142"/>
        <w:rPr>
          <w:lang w:eastAsia="en-AU"/>
        </w:rPr>
      </w:pPr>
      <w:r w:rsidRPr="00990D68">
        <w:rPr>
          <w:lang w:eastAsia="en-AU"/>
        </w:rPr>
        <w:t>No information on the effect of ixekizumab on laboratory tests is available.</w:t>
      </w:r>
    </w:p>
    <w:p w:rsidR="004E3974" w:rsidRDefault="004E3974" w:rsidP="00937266">
      <w:pPr>
        <w:pStyle w:val="Heading2"/>
        <w:ind w:left="142"/>
      </w:pPr>
      <w:r w:rsidRPr="00391B34">
        <w:t>Interactions with other medicines and other forms of interactions</w:t>
      </w:r>
    </w:p>
    <w:p w:rsidR="00990D68" w:rsidRDefault="00990D68" w:rsidP="00937266">
      <w:pPr>
        <w:ind w:left="142"/>
      </w:pPr>
      <w:r>
        <w:t>The safety of ixekizumab in combination with other immunomodulatory agents or phototherapy has not been evaluated.</w:t>
      </w:r>
    </w:p>
    <w:p w:rsidR="00B9004E" w:rsidRDefault="00B9004E" w:rsidP="00937266">
      <w:pPr>
        <w:pStyle w:val="Heading3"/>
        <w:ind w:left="142"/>
      </w:pPr>
      <w:r>
        <w:t>Cytochrome P450 Substrates</w:t>
      </w:r>
    </w:p>
    <w:p w:rsidR="00664085" w:rsidRDefault="00B9004E" w:rsidP="00937266">
      <w:pPr>
        <w:ind w:left="142"/>
        <w:rPr>
          <w:lang w:eastAsia="en-AU"/>
        </w:rPr>
      </w:pPr>
      <w:r>
        <w:rPr>
          <w:lang w:eastAsia="en-AU"/>
        </w:rPr>
        <w:t xml:space="preserve">Results from a drug-drug interaction study in patients with moderate-to-severe psoriasis determined that administration of ixekizumab with drugs metabolised by CYP3A4 (ie midazolam), CYP2C9 (ie warfarin), CYP2C19 (ie omeprazole), CYP1A2 (ie caffeine) or CYP2D6 (ie dextromethorphan) does not have a clinically significant impact on the </w:t>
      </w:r>
    </w:p>
    <w:p w:rsidR="00B9004E" w:rsidRDefault="00B9004E" w:rsidP="00937266">
      <w:pPr>
        <w:ind w:left="142"/>
        <w:rPr>
          <w:lang w:eastAsia="en-AU"/>
        </w:rPr>
      </w:pPr>
      <w:r>
        <w:rPr>
          <w:lang w:eastAsia="en-AU"/>
        </w:rPr>
        <w:t>pharmacokinetics of these drugs.</w:t>
      </w:r>
    </w:p>
    <w:p w:rsidR="004855EF" w:rsidRDefault="004855EF" w:rsidP="00937266">
      <w:pPr>
        <w:ind w:left="142"/>
      </w:pPr>
      <w:r w:rsidRPr="004855EF">
        <w:lastRenderedPageBreak/>
        <w:t>No interaction was seen when TALTZ was administered concomitantly with methotrexate and/or corticosteroids in patients with psoriatic arthritis.</w:t>
      </w:r>
    </w:p>
    <w:p w:rsidR="0053536E" w:rsidRDefault="0053536E" w:rsidP="00937266">
      <w:pPr>
        <w:ind w:left="142"/>
      </w:pPr>
      <w:r w:rsidRPr="0053536E">
        <w:t>The clearance of ixekizumab was not affected by concomitant administration of oral corticosteroids, NSAIDs, or cDMARDs (i.e., sulfasalazine and methotrexate).</w:t>
      </w:r>
    </w:p>
    <w:p w:rsidR="00821BB2" w:rsidRPr="00391B34" w:rsidRDefault="00821BB2" w:rsidP="00937266">
      <w:pPr>
        <w:pStyle w:val="Heading2"/>
        <w:ind w:left="142"/>
      </w:pPr>
      <w:r w:rsidRPr="00391B34">
        <w:t>Fertility, pregnancy and lactation</w:t>
      </w:r>
    </w:p>
    <w:p w:rsidR="00821BB2" w:rsidRPr="00391B34" w:rsidRDefault="008C3050" w:rsidP="00937266">
      <w:pPr>
        <w:pStyle w:val="Heading3"/>
        <w:ind w:left="142"/>
      </w:pPr>
      <w:r>
        <w:t>Effects on f</w:t>
      </w:r>
      <w:r w:rsidRPr="00391B34">
        <w:t>ertility</w:t>
      </w:r>
    </w:p>
    <w:p w:rsidR="00F5154A" w:rsidRDefault="00395BDE" w:rsidP="00937266">
      <w:pPr>
        <w:ind w:left="142"/>
        <w:rPr>
          <w:lang w:eastAsia="en-AU"/>
        </w:rPr>
      </w:pPr>
      <w:r w:rsidRPr="00395BDE">
        <w:rPr>
          <w:lang w:eastAsia="en-AU"/>
        </w:rPr>
        <w:t>The effects of ixekizumab on human fertility have not been evaluated. In animal studies, ixekizumab did not indicate harmful effects with respect to fertility as assessed by a lack of effects on reproductive organs, menstrual cycles or sperm in sexually mature cynomolgus monkeys that received ixekizumab for 13 weeks at a weekly SC dose of 50 mg/kg (at least 50 times the human exposure at 80 mg every 2 weeks based on AUC). The monkeys were not mated to evaluate fertility.</w:t>
      </w:r>
    </w:p>
    <w:p w:rsidR="00F5154A" w:rsidRPr="00391B34" w:rsidRDefault="008C3050" w:rsidP="00937266">
      <w:pPr>
        <w:pStyle w:val="Heading3"/>
        <w:ind w:left="142"/>
      </w:pPr>
      <w:r>
        <w:t>Use in p</w:t>
      </w:r>
      <w:r w:rsidRPr="00391B34">
        <w:t>regnancy</w:t>
      </w:r>
    </w:p>
    <w:p w:rsidR="00395BDE" w:rsidRDefault="00395BDE" w:rsidP="00937266">
      <w:pPr>
        <w:ind w:left="142"/>
        <w:rPr>
          <w:lang w:eastAsia="en-AU"/>
        </w:rPr>
      </w:pPr>
      <w:r>
        <w:rPr>
          <w:lang w:eastAsia="en-AU"/>
        </w:rPr>
        <w:t>Category C</w:t>
      </w:r>
    </w:p>
    <w:p w:rsidR="00395BDE" w:rsidRDefault="00395BDE" w:rsidP="00937266">
      <w:pPr>
        <w:ind w:left="142"/>
        <w:rPr>
          <w:lang w:eastAsia="en-AU"/>
        </w:rPr>
      </w:pPr>
      <w:r>
        <w:rPr>
          <w:lang w:eastAsia="en-AU"/>
        </w:rPr>
        <w:t>There are no adequate and well controlled studies of TALTZ in pregnant women to establish the safety of TALTZ during pregnancy. The mechanism of action of ixekizumab suggests a theoretical risk that its use during pregnancy may affect neonatal immunity.</w:t>
      </w:r>
    </w:p>
    <w:p w:rsidR="00395BDE" w:rsidRDefault="00395BDE" w:rsidP="00937266">
      <w:pPr>
        <w:ind w:left="142"/>
        <w:rPr>
          <w:lang w:eastAsia="en-AU"/>
        </w:rPr>
      </w:pPr>
      <w:r>
        <w:rPr>
          <w:lang w:eastAsia="en-AU"/>
        </w:rPr>
        <w:t>In developmental toxicity studies, SC administration of ixekizumab at doses up to 50 mg/kg once weekly to cynomolgus monkeys from the beginning of organogenesis through either near term pregnancy or until delivery of offspring, produced no embryotoxicity or teratogenicity, and no effects on offspring delivery, or on morphological, functional or immunological development of offspring from birth to 6 months of age. Ixekizumab was shown to cross the placenta and was present in the blood of offspring for up to 6 months of age.</w:t>
      </w:r>
    </w:p>
    <w:p w:rsidR="00D12D59" w:rsidRPr="00D12D59" w:rsidRDefault="00395BDE" w:rsidP="00937266">
      <w:pPr>
        <w:ind w:left="142"/>
        <w:rPr>
          <w:i/>
          <w:lang w:eastAsia="en-AU"/>
        </w:rPr>
      </w:pPr>
      <w:r>
        <w:rPr>
          <w:lang w:eastAsia="en-AU"/>
        </w:rPr>
        <w:t>TALTZ should be used during pregnancy only if the potential benefit justifies the potential risk to the foetus.</w:t>
      </w:r>
    </w:p>
    <w:p w:rsidR="00F5154A" w:rsidRPr="00391B34" w:rsidRDefault="008C3050" w:rsidP="00937266">
      <w:pPr>
        <w:pStyle w:val="Heading3"/>
        <w:ind w:left="142"/>
      </w:pPr>
      <w:r w:rsidRPr="00391B34">
        <w:t xml:space="preserve">Use </w:t>
      </w:r>
      <w:r>
        <w:t>in l</w:t>
      </w:r>
      <w:r w:rsidRPr="00391B34">
        <w:t>actation</w:t>
      </w:r>
    </w:p>
    <w:p w:rsidR="00F5154A" w:rsidRPr="00395BDE" w:rsidRDefault="00395BDE" w:rsidP="00937266">
      <w:pPr>
        <w:ind w:left="142"/>
        <w:rPr>
          <w:lang w:eastAsia="en-AU"/>
        </w:rPr>
      </w:pPr>
      <w:r w:rsidRPr="00395BDE">
        <w:rPr>
          <w:lang w:eastAsia="en-AU"/>
        </w:rPr>
        <w:t>It is not known whether ixekizumab is excreted in human milk or absorbed systemically after ingestion. In a pre-/postnatal development study, ixekizumab was excreted at low levels in the milk of cynomolgus monkeys that had been dosed with ixekizumab during pregnancy until delivery of offspring. Ixekizumab was present in the blood of offspring, due primarily to placental transfer. A decision should be made whether to discontinue breast-feeding or to discontinue TALTZ, taking into account the benefit of breast-feeding for the child and the benefit of therapy for the woman.</w:t>
      </w:r>
    </w:p>
    <w:p w:rsidR="00F5154A" w:rsidRDefault="00F5154A" w:rsidP="00937266">
      <w:pPr>
        <w:pStyle w:val="Heading2"/>
        <w:pageBreakBefore/>
        <w:ind w:left="142"/>
      </w:pPr>
      <w:r w:rsidRPr="00391B34">
        <w:lastRenderedPageBreak/>
        <w:t>Effects on ability to drive and use machines</w:t>
      </w:r>
    </w:p>
    <w:p w:rsidR="00395BDE" w:rsidRDefault="00395BDE" w:rsidP="00937266">
      <w:pPr>
        <w:ind w:left="142"/>
      </w:pPr>
      <w:r w:rsidRPr="00395BDE">
        <w:t>There are no known effects on the ability to drive or use machines associated with the use of TALTZ.</w:t>
      </w:r>
    </w:p>
    <w:p w:rsidR="006A232E" w:rsidRPr="00391B34" w:rsidRDefault="00D12D59" w:rsidP="00937266">
      <w:pPr>
        <w:pStyle w:val="Heading2"/>
        <w:ind w:left="142"/>
      </w:pPr>
      <w:bookmarkStart w:id="3" w:name="_Adverse_effects_(Undesirable"/>
      <w:bookmarkEnd w:id="3"/>
      <w:r w:rsidRPr="00391B34">
        <w:t>Adverse</w:t>
      </w:r>
      <w:r w:rsidR="006A232E" w:rsidRPr="00391B34">
        <w:t xml:space="preserve"> effects</w:t>
      </w:r>
      <w:r w:rsidRPr="00391B34">
        <w:t xml:space="preserve"> (Undesirable Effects</w:t>
      </w:r>
      <w:r w:rsidR="00A74841">
        <w:t>)</w:t>
      </w:r>
    </w:p>
    <w:p w:rsidR="004855EF" w:rsidRDefault="008C3050" w:rsidP="00937266">
      <w:pPr>
        <w:pStyle w:val="Heading3"/>
        <w:ind w:left="142"/>
      </w:pPr>
      <w:r>
        <w:t>Clinical trials experience in plaque psoriasis</w:t>
      </w:r>
    </w:p>
    <w:p w:rsidR="001205B1" w:rsidRDefault="001205B1" w:rsidP="00937266">
      <w:pPr>
        <w:ind w:left="142"/>
      </w:pPr>
      <w:r>
        <w:t xml:space="preserve">A total of 4204 plaque psoriasis patients were treated with TALTZ in clinical trials. Of these, 2190 patients were exposed to treatment with TALTZ for at least one year. </w:t>
      </w:r>
    </w:p>
    <w:p w:rsidR="001205B1" w:rsidRDefault="001205B1" w:rsidP="00937266">
      <w:pPr>
        <w:ind w:left="142"/>
      </w:pPr>
      <w:r>
        <w:t xml:space="preserve">Three placebo-controlled phase III trials (UNCOVER-1, UNCOVER-2 and UNCOVER-3) in plaque psoriasis patients were integrated to evaluate the safety of TALTZ in comparison to placebo up to 12 weeks. In two of the clinical trials (UNCOVER-2 and UNCOVER-3), the safety of TALTZ included a comparison to an active comparator, etanercept, up to 12 weeks after treatment initiation </w:t>
      </w:r>
      <w:r w:rsidRPr="00074164">
        <w:rPr>
          <w:b/>
        </w:rPr>
        <w:t>(see</w:t>
      </w:r>
      <w:r w:rsidR="00074164" w:rsidRPr="00074164">
        <w:rPr>
          <w:b/>
        </w:rPr>
        <w:t xml:space="preserve"> </w:t>
      </w:r>
      <w:r w:rsidR="004078FD">
        <w:rPr>
          <w:b/>
        </w:rPr>
        <w:t xml:space="preserve">section </w:t>
      </w:r>
      <w:r w:rsidR="00074164" w:rsidRPr="00074164">
        <w:rPr>
          <w:b/>
        </w:rPr>
        <w:t xml:space="preserve">5.1 Pharmacodynamic properties, Mechanism of Action, Clinical Trials, </w:t>
      </w:r>
      <w:hyperlink w:anchor="_Plaque_Psoriasis" w:history="1">
        <w:r w:rsidR="00074164" w:rsidRPr="00074164">
          <w:rPr>
            <w:b/>
          </w:rPr>
          <w:t>Plaque Psoria</w:t>
        </w:r>
        <w:r w:rsidR="00074164" w:rsidRPr="00074164">
          <w:rPr>
            <w:b/>
          </w:rPr>
          <w:t>s</w:t>
        </w:r>
        <w:r w:rsidR="00074164" w:rsidRPr="00074164">
          <w:rPr>
            <w:b/>
          </w:rPr>
          <w:t>is</w:t>
        </w:r>
      </w:hyperlink>
      <w:r w:rsidRPr="00074164">
        <w:rPr>
          <w:b/>
        </w:rPr>
        <w:t>)</w:t>
      </w:r>
      <w:r>
        <w:t>. In total, 3858 patients were evaluated (1167 to TALTZ 80 mg every 2 weeks [Q2W], 1161 to TALTZ 80 mg every 4 weeks [Q4W], 739 to etanercept 50 mg twice weekly group and 791 to placebo group).</w:t>
      </w:r>
    </w:p>
    <w:p w:rsidR="001205B1" w:rsidRDefault="001205B1" w:rsidP="00937266">
      <w:pPr>
        <w:ind w:left="142"/>
      </w:pPr>
      <w:r>
        <w:t>The most frequently reported adverse reactions were injection site reactions and upper respiratory tract infections (most frequently nasopharyngitis). Most of the reactions were mild or moderate in severity.</w:t>
      </w:r>
    </w:p>
    <w:p w:rsidR="00C9158B" w:rsidRDefault="001205B1" w:rsidP="00937266">
      <w:pPr>
        <w:ind w:left="142"/>
      </w:pPr>
      <w:r>
        <w:t xml:space="preserve">Adverse reactions that occurred at a rate of at least 1% and at a higher rate in the TALTZ groups compared to the placebo group during the placebo-controlled 12 week period of UNCOVER-1, UNCOVER-2 and UNCOVER-3 are summarised in Table </w:t>
      </w:r>
      <w:r w:rsidR="00B81FB0">
        <w:t>1</w:t>
      </w:r>
      <w:r>
        <w:t>.</w:t>
      </w:r>
    </w:p>
    <w:p w:rsidR="001205B1" w:rsidRPr="001205B1" w:rsidRDefault="001205B1" w:rsidP="00937266">
      <w:pPr>
        <w:pStyle w:val="TableTitle"/>
        <w:ind w:left="142"/>
      </w:pPr>
      <w:r w:rsidRPr="001205B1">
        <w:t xml:space="preserve">Adverse Drug Reactions Reported by </w:t>
      </w:r>
      <w:r w:rsidRPr="001205B1">
        <w:rPr>
          <w:rFonts w:cs="Arial"/>
        </w:rPr>
        <w:t>≥</w:t>
      </w:r>
      <w:r w:rsidRPr="001205B1">
        <w:t>1% of Patients with Plaque Psoriasis through Week 12 in Phase III Clinical Trials</w:t>
      </w:r>
    </w:p>
    <w:tbl>
      <w:tblPr>
        <w:tblW w:w="87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698"/>
        <w:gridCol w:w="1698"/>
        <w:gridCol w:w="1698"/>
        <w:gridCol w:w="1698"/>
      </w:tblGrid>
      <w:tr w:rsidR="001205B1" w:rsidRPr="001205B1" w:rsidTr="008B1EF8">
        <w:tc>
          <w:tcPr>
            <w:tcW w:w="2001" w:type="dxa"/>
            <w:vMerge w:val="restart"/>
            <w:shd w:val="clear" w:color="auto" w:fill="auto"/>
          </w:tcPr>
          <w:p w:rsidR="001205B1" w:rsidRPr="008B1EF8" w:rsidRDefault="001205B1" w:rsidP="00937266">
            <w:pPr>
              <w:autoSpaceDE w:val="0"/>
              <w:autoSpaceDN w:val="0"/>
              <w:adjustRightInd w:val="0"/>
              <w:spacing w:after="60" w:line="240" w:lineRule="auto"/>
              <w:ind w:left="142"/>
              <w:rPr>
                <w:rFonts w:cs="Arial"/>
                <w:sz w:val="20"/>
                <w:szCs w:val="20"/>
                <w:lang w:val="en-US"/>
              </w:rPr>
            </w:pPr>
            <w:r w:rsidRPr="008B1EF8">
              <w:rPr>
                <w:rFonts w:cs="Arial"/>
                <w:b/>
                <w:bCs/>
                <w:spacing w:val="-5"/>
                <w:sz w:val="20"/>
                <w:szCs w:val="20"/>
                <w:lang w:val="en-US"/>
              </w:rPr>
              <w:t>A</w:t>
            </w:r>
            <w:r w:rsidRPr="008B1EF8">
              <w:rPr>
                <w:rFonts w:cs="Arial"/>
                <w:b/>
                <w:bCs/>
                <w:spacing w:val="1"/>
                <w:sz w:val="20"/>
                <w:szCs w:val="20"/>
                <w:lang w:val="en-US"/>
              </w:rPr>
              <w:t>d</w:t>
            </w:r>
            <w:r w:rsidRPr="008B1EF8">
              <w:rPr>
                <w:rFonts w:cs="Arial"/>
                <w:b/>
                <w:bCs/>
                <w:spacing w:val="4"/>
                <w:sz w:val="20"/>
                <w:szCs w:val="20"/>
                <w:lang w:val="en-US"/>
              </w:rPr>
              <w:t>v</w:t>
            </w:r>
            <w:r w:rsidRPr="008B1EF8">
              <w:rPr>
                <w:rFonts w:cs="Arial"/>
                <w:b/>
                <w:bCs/>
                <w:sz w:val="20"/>
                <w:szCs w:val="20"/>
                <w:lang w:val="en-US"/>
              </w:rPr>
              <w:t>e</w:t>
            </w:r>
            <w:r w:rsidRPr="008B1EF8">
              <w:rPr>
                <w:rFonts w:cs="Arial"/>
                <w:b/>
                <w:bCs/>
                <w:spacing w:val="2"/>
                <w:sz w:val="20"/>
                <w:szCs w:val="20"/>
                <w:lang w:val="en-US"/>
              </w:rPr>
              <w:t>r</w:t>
            </w:r>
            <w:r w:rsidRPr="008B1EF8">
              <w:rPr>
                <w:rFonts w:cs="Arial"/>
                <w:b/>
                <w:bCs/>
                <w:sz w:val="20"/>
                <w:szCs w:val="20"/>
                <w:lang w:val="en-US"/>
              </w:rPr>
              <w:t>se</w:t>
            </w:r>
            <w:r w:rsidRPr="008B1EF8">
              <w:rPr>
                <w:rFonts w:cs="Arial"/>
                <w:b/>
                <w:bCs/>
                <w:spacing w:val="-9"/>
                <w:sz w:val="20"/>
                <w:szCs w:val="20"/>
                <w:lang w:val="en-US"/>
              </w:rPr>
              <w:t xml:space="preserve"> </w:t>
            </w:r>
            <w:r w:rsidRPr="008B1EF8">
              <w:rPr>
                <w:rFonts w:cs="Arial"/>
                <w:b/>
                <w:bCs/>
                <w:spacing w:val="3"/>
                <w:sz w:val="20"/>
                <w:szCs w:val="20"/>
                <w:lang w:val="en-US"/>
              </w:rPr>
              <w:t>R</w:t>
            </w:r>
            <w:r w:rsidRPr="008B1EF8">
              <w:rPr>
                <w:rFonts w:cs="Arial"/>
                <w:b/>
                <w:bCs/>
                <w:sz w:val="20"/>
                <w:szCs w:val="20"/>
                <w:lang w:val="en-US"/>
              </w:rPr>
              <w:t>eac</w:t>
            </w:r>
            <w:r w:rsidRPr="008B1EF8">
              <w:rPr>
                <w:rFonts w:cs="Arial"/>
                <w:b/>
                <w:bCs/>
                <w:spacing w:val="1"/>
                <w:sz w:val="20"/>
                <w:szCs w:val="20"/>
                <w:lang w:val="en-US"/>
              </w:rPr>
              <w:t>t</w:t>
            </w:r>
            <w:r w:rsidRPr="008B1EF8">
              <w:rPr>
                <w:rFonts w:cs="Arial"/>
                <w:b/>
                <w:bCs/>
                <w:sz w:val="20"/>
                <w:szCs w:val="20"/>
                <w:lang w:val="en-US"/>
              </w:rPr>
              <w:t>i</w:t>
            </w:r>
            <w:r w:rsidRPr="008B1EF8">
              <w:rPr>
                <w:rFonts w:cs="Arial"/>
                <w:b/>
                <w:bCs/>
                <w:spacing w:val="1"/>
                <w:sz w:val="20"/>
                <w:szCs w:val="20"/>
                <w:lang w:val="en-US"/>
              </w:rPr>
              <w:t>on</w:t>
            </w:r>
            <w:r w:rsidRPr="008B1EF8">
              <w:rPr>
                <w:rFonts w:cs="Arial"/>
                <w:b/>
                <w:bCs/>
                <w:sz w:val="20"/>
                <w:szCs w:val="20"/>
                <w:lang w:val="en-US"/>
              </w:rPr>
              <w:t>s</w:t>
            </w:r>
          </w:p>
          <w:p w:rsidR="001205B1" w:rsidRPr="008B1EF8" w:rsidRDefault="001205B1" w:rsidP="00937266">
            <w:pPr>
              <w:spacing w:after="60" w:line="240" w:lineRule="auto"/>
              <w:ind w:left="142"/>
              <w:rPr>
                <w:sz w:val="20"/>
                <w:szCs w:val="20"/>
              </w:rPr>
            </w:pPr>
          </w:p>
        </w:tc>
        <w:tc>
          <w:tcPr>
            <w:tcW w:w="3396" w:type="dxa"/>
            <w:gridSpan w:val="2"/>
            <w:shd w:val="clear" w:color="auto" w:fill="auto"/>
          </w:tcPr>
          <w:p w:rsidR="001205B1" w:rsidRPr="008B1EF8" w:rsidRDefault="001205B1" w:rsidP="00937266">
            <w:pPr>
              <w:spacing w:after="60" w:line="240" w:lineRule="auto"/>
              <w:ind w:left="142"/>
              <w:jc w:val="center"/>
              <w:rPr>
                <w:sz w:val="20"/>
                <w:szCs w:val="20"/>
              </w:rPr>
            </w:pPr>
            <w:r w:rsidRPr="008B1EF8">
              <w:rPr>
                <w:rFonts w:cs="Arial"/>
                <w:b/>
                <w:bCs/>
                <w:spacing w:val="6"/>
                <w:sz w:val="20"/>
                <w:szCs w:val="20"/>
                <w:lang w:val="en-US"/>
              </w:rPr>
              <w:t>T</w:t>
            </w:r>
            <w:r w:rsidRPr="008B1EF8">
              <w:rPr>
                <w:rFonts w:cs="Arial"/>
                <w:b/>
                <w:bCs/>
                <w:spacing w:val="-7"/>
                <w:sz w:val="20"/>
                <w:szCs w:val="20"/>
                <w:lang w:val="en-US"/>
              </w:rPr>
              <w:t>A</w:t>
            </w:r>
            <w:r w:rsidRPr="008B1EF8">
              <w:rPr>
                <w:rFonts w:cs="Arial"/>
                <w:b/>
                <w:bCs/>
                <w:spacing w:val="1"/>
                <w:sz w:val="20"/>
                <w:szCs w:val="20"/>
                <w:lang w:val="en-US"/>
              </w:rPr>
              <w:t>L</w:t>
            </w:r>
            <w:r w:rsidRPr="008B1EF8">
              <w:rPr>
                <w:rFonts w:cs="Arial"/>
                <w:b/>
                <w:bCs/>
                <w:spacing w:val="3"/>
                <w:sz w:val="20"/>
                <w:szCs w:val="20"/>
                <w:lang w:val="en-US"/>
              </w:rPr>
              <w:t>T</w:t>
            </w:r>
            <w:r w:rsidRPr="008B1EF8">
              <w:rPr>
                <w:rFonts w:cs="Arial"/>
                <w:b/>
                <w:bCs/>
                <w:sz w:val="20"/>
                <w:szCs w:val="20"/>
                <w:lang w:val="en-US"/>
              </w:rPr>
              <w:t>Z</w:t>
            </w:r>
          </w:p>
        </w:tc>
        <w:tc>
          <w:tcPr>
            <w:tcW w:w="1698" w:type="dxa"/>
          </w:tcPr>
          <w:p w:rsidR="001205B1" w:rsidRPr="008B1EF8" w:rsidRDefault="001205B1" w:rsidP="00937266">
            <w:pPr>
              <w:autoSpaceDE w:val="0"/>
              <w:autoSpaceDN w:val="0"/>
              <w:adjustRightInd w:val="0"/>
              <w:spacing w:after="60" w:line="240" w:lineRule="auto"/>
              <w:ind w:left="142"/>
              <w:jc w:val="center"/>
              <w:rPr>
                <w:rFonts w:cs="Arial"/>
                <w:b/>
                <w:bCs/>
                <w:spacing w:val="-1"/>
                <w:sz w:val="20"/>
                <w:szCs w:val="20"/>
                <w:lang w:val="en-US"/>
              </w:rPr>
            </w:pPr>
            <w:r w:rsidRPr="008B1EF8">
              <w:rPr>
                <w:rFonts w:cs="Arial"/>
                <w:b/>
                <w:bCs/>
                <w:spacing w:val="-1"/>
                <w:sz w:val="20"/>
                <w:szCs w:val="20"/>
                <w:lang w:val="en-US"/>
              </w:rPr>
              <w:t>Etanercept</w:t>
            </w:r>
            <w:r w:rsidRPr="008B1EF8">
              <w:rPr>
                <w:rFonts w:cs="Arial"/>
                <w:bCs/>
                <w:sz w:val="20"/>
                <w:szCs w:val="20"/>
                <w:vertAlign w:val="superscript"/>
                <w:lang w:val="en-US"/>
              </w:rPr>
              <w:t>b</w:t>
            </w:r>
          </w:p>
        </w:tc>
        <w:tc>
          <w:tcPr>
            <w:tcW w:w="1698" w:type="dxa"/>
          </w:tcPr>
          <w:p w:rsidR="001205B1" w:rsidRPr="008B1EF8" w:rsidRDefault="001205B1" w:rsidP="00937266">
            <w:pPr>
              <w:autoSpaceDE w:val="0"/>
              <w:autoSpaceDN w:val="0"/>
              <w:adjustRightInd w:val="0"/>
              <w:spacing w:after="60" w:line="240" w:lineRule="auto"/>
              <w:ind w:left="142"/>
              <w:jc w:val="center"/>
              <w:rPr>
                <w:sz w:val="20"/>
                <w:szCs w:val="20"/>
              </w:rPr>
            </w:pPr>
            <w:r w:rsidRPr="008B1EF8">
              <w:rPr>
                <w:rFonts w:cs="Arial"/>
                <w:b/>
                <w:bCs/>
                <w:spacing w:val="-1"/>
                <w:sz w:val="20"/>
                <w:szCs w:val="20"/>
                <w:lang w:val="en-US"/>
              </w:rPr>
              <w:t>P</w:t>
            </w:r>
            <w:r w:rsidRPr="008B1EF8">
              <w:rPr>
                <w:rFonts w:cs="Arial"/>
                <w:b/>
                <w:bCs/>
                <w:spacing w:val="6"/>
                <w:sz w:val="20"/>
                <w:szCs w:val="20"/>
                <w:lang w:val="en-US"/>
              </w:rPr>
              <w:t>l</w:t>
            </w:r>
            <w:r w:rsidRPr="008B1EF8">
              <w:rPr>
                <w:rFonts w:cs="Arial"/>
                <w:b/>
                <w:bCs/>
                <w:spacing w:val="-5"/>
                <w:sz w:val="20"/>
                <w:szCs w:val="20"/>
                <w:lang w:val="en-US"/>
              </w:rPr>
              <w:t>a</w:t>
            </w:r>
            <w:r w:rsidRPr="008B1EF8">
              <w:rPr>
                <w:rFonts w:cs="Arial"/>
                <w:b/>
                <w:bCs/>
                <w:sz w:val="20"/>
                <w:szCs w:val="20"/>
                <w:lang w:val="en-US"/>
              </w:rPr>
              <w:t>c</w:t>
            </w:r>
            <w:r w:rsidRPr="008B1EF8">
              <w:rPr>
                <w:rFonts w:cs="Arial"/>
                <w:b/>
                <w:bCs/>
                <w:spacing w:val="2"/>
                <w:sz w:val="20"/>
                <w:szCs w:val="20"/>
                <w:lang w:val="en-US"/>
              </w:rPr>
              <w:t>e</w:t>
            </w:r>
            <w:r w:rsidRPr="008B1EF8">
              <w:rPr>
                <w:rFonts w:cs="Arial"/>
                <w:b/>
                <w:bCs/>
                <w:sz w:val="20"/>
                <w:szCs w:val="20"/>
                <w:lang w:val="en-US"/>
              </w:rPr>
              <w:t>bo</w:t>
            </w:r>
          </w:p>
        </w:tc>
      </w:tr>
      <w:tr w:rsidR="001205B1" w:rsidRPr="001205B1" w:rsidTr="008B1EF8">
        <w:tc>
          <w:tcPr>
            <w:tcW w:w="2001" w:type="dxa"/>
            <w:vMerge/>
            <w:shd w:val="clear" w:color="auto" w:fill="auto"/>
          </w:tcPr>
          <w:p w:rsidR="001205B1" w:rsidRPr="008B1EF8" w:rsidRDefault="001205B1" w:rsidP="00937266">
            <w:pPr>
              <w:spacing w:after="60" w:line="240" w:lineRule="auto"/>
              <w:ind w:left="142"/>
              <w:rPr>
                <w:sz w:val="20"/>
                <w:szCs w:val="20"/>
              </w:rPr>
            </w:pPr>
          </w:p>
        </w:tc>
        <w:tc>
          <w:tcPr>
            <w:tcW w:w="1698" w:type="dxa"/>
            <w:shd w:val="clear" w:color="auto" w:fill="auto"/>
          </w:tcPr>
          <w:p w:rsidR="001205B1" w:rsidRPr="008B1EF8" w:rsidRDefault="001205B1" w:rsidP="00937266">
            <w:pPr>
              <w:autoSpaceDE w:val="0"/>
              <w:autoSpaceDN w:val="0"/>
              <w:adjustRightInd w:val="0"/>
              <w:spacing w:after="60" w:line="240" w:lineRule="auto"/>
              <w:ind w:left="142"/>
              <w:jc w:val="center"/>
              <w:rPr>
                <w:rFonts w:cs="Arial"/>
                <w:b/>
                <w:bCs/>
                <w:spacing w:val="-3"/>
                <w:sz w:val="20"/>
                <w:szCs w:val="20"/>
                <w:lang w:val="en-US"/>
              </w:rPr>
            </w:pPr>
            <w:r w:rsidRPr="008B1EF8">
              <w:rPr>
                <w:rFonts w:cs="Arial"/>
                <w:b/>
                <w:bCs/>
                <w:sz w:val="20"/>
                <w:szCs w:val="20"/>
                <w:lang w:val="en-US"/>
              </w:rPr>
              <w:t>80</w:t>
            </w:r>
            <w:r w:rsidRPr="008B1EF8">
              <w:rPr>
                <w:rFonts w:cs="Arial"/>
                <w:b/>
                <w:bCs/>
                <w:spacing w:val="-3"/>
                <w:sz w:val="20"/>
                <w:szCs w:val="20"/>
                <w:lang w:val="en-US"/>
              </w:rPr>
              <w:t xml:space="preserve"> </w:t>
            </w:r>
            <w:r w:rsidRPr="008B1EF8">
              <w:rPr>
                <w:rFonts w:cs="Arial"/>
                <w:b/>
                <w:bCs/>
                <w:spacing w:val="1"/>
                <w:sz w:val="20"/>
                <w:szCs w:val="20"/>
                <w:lang w:val="en-US"/>
              </w:rPr>
              <w:t>m</w:t>
            </w:r>
            <w:r w:rsidRPr="008B1EF8">
              <w:rPr>
                <w:rFonts w:cs="Arial"/>
                <w:b/>
                <w:bCs/>
                <w:sz w:val="20"/>
                <w:szCs w:val="20"/>
                <w:lang w:val="en-US"/>
              </w:rPr>
              <w:t>g</w:t>
            </w:r>
            <w:r w:rsidRPr="008B1EF8">
              <w:rPr>
                <w:rFonts w:cs="Arial"/>
                <w:b/>
                <w:bCs/>
                <w:spacing w:val="-3"/>
                <w:sz w:val="20"/>
                <w:szCs w:val="20"/>
                <w:lang w:val="en-US"/>
              </w:rPr>
              <w:t xml:space="preserve"> </w:t>
            </w:r>
          </w:p>
          <w:p w:rsidR="001205B1" w:rsidRPr="008B1EF8" w:rsidRDefault="001205B1" w:rsidP="00937266">
            <w:pPr>
              <w:autoSpaceDE w:val="0"/>
              <w:autoSpaceDN w:val="0"/>
              <w:adjustRightInd w:val="0"/>
              <w:spacing w:after="60" w:line="240" w:lineRule="auto"/>
              <w:ind w:left="142"/>
              <w:jc w:val="center"/>
              <w:rPr>
                <w:rFonts w:cs="Arial"/>
                <w:b/>
                <w:bCs/>
                <w:spacing w:val="-5"/>
                <w:sz w:val="20"/>
                <w:szCs w:val="20"/>
                <w:lang w:val="en-US"/>
              </w:rPr>
            </w:pPr>
            <w:r w:rsidRPr="008B1EF8">
              <w:rPr>
                <w:rFonts w:cs="Arial"/>
                <w:b/>
                <w:bCs/>
                <w:spacing w:val="1"/>
                <w:sz w:val="20"/>
                <w:szCs w:val="20"/>
                <w:lang w:val="en-US"/>
              </w:rPr>
              <w:t>Q</w:t>
            </w:r>
            <w:r w:rsidRPr="008B1EF8">
              <w:rPr>
                <w:rFonts w:cs="Arial"/>
                <w:b/>
                <w:bCs/>
                <w:sz w:val="20"/>
                <w:szCs w:val="20"/>
                <w:lang w:val="en-US"/>
              </w:rPr>
              <w:t>2W</w:t>
            </w:r>
            <w:r w:rsidRPr="008B1EF8">
              <w:rPr>
                <w:rFonts w:cs="Arial"/>
                <w:b/>
                <w:bCs/>
                <w:spacing w:val="-5"/>
                <w:sz w:val="20"/>
                <w:szCs w:val="20"/>
                <w:lang w:val="en-US"/>
              </w:rPr>
              <w:t xml:space="preserve"> </w:t>
            </w:r>
          </w:p>
          <w:p w:rsidR="001205B1" w:rsidRPr="008B1EF8" w:rsidRDefault="001205B1" w:rsidP="00937266">
            <w:pPr>
              <w:autoSpaceDE w:val="0"/>
              <w:autoSpaceDN w:val="0"/>
              <w:adjustRightInd w:val="0"/>
              <w:spacing w:after="60" w:line="240" w:lineRule="auto"/>
              <w:ind w:left="142"/>
              <w:jc w:val="center"/>
              <w:rPr>
                <w:b/>
                <w:sz w:val="20"/>
                <w:szCs w:val="20"/>
              </w:rPr>
            </w:pPr>
            <w:r w:rsidRPr="008B1EF8">
              <w:rPr>
                <w:rFonts w:cs="Arial"/>
                <w:b/>
                <w:bCs/>
                <w:spacing w:val="1"/>
                <w:sz w:val="20"/>
                <w:szCs w:val="20"/>
                <w:lang w:val="en-US"/>
              </w:rPr>
              <w:t>(</w:t>
            </w:r>
            <w:r w:rsidRPr="008B1EF8">
              <w:rPr>
                <w:rFonts w:cs="Arial"/>
                <w:b/>
                <w:bCs/>
                <w:sz w:val="20"/>
                <w:szCs w:val="20"/>
                <w:lang w:val="en-US"/>
              </w:rPr>
              <w:t>N</w:t>
            </w:r>
            <w:r w:rsidRPr="008B1EF8">
              <w:rPr>
                <w:rFonts w:cs="Arial"/>
                <w:b/>
                <w:bCs/>
                <w:spacing w:val="-1"/>
                <w:sz w:val="20"/>
                <w:szCs w:val="20"/>
                <w:lang w:val="en-US"/>
              </w:rPr>
              <w:t>=</w:t>
            </w:r>
            <w:r w:rsidRPr="008B1EF8">
              <w:rPr>
                <w:rFonts w:cs="Arial"/>
                <w:b/>
                <w:bCs/>
                <w:sz w:val="20"/>
                <w:szCs w:val="20"/>
                <w:lang w:val="en-US"/>
              </w:rPr>
              <w:t>1</w:t>
            </w:r>
            <w:r w:rsidRPr="008B1EF8">
              <w:rPr>
                <w:rFonts w:cs="Arial"/>
                <w:b/>
                <w:bCs/>
                <w:spacing w:val="2"/>
                <w:sz w:val="20"/>
                <w:szCs w:val="20"/>
                <w:lang w:val="en-US"/>
              </w:rPr>
              <w:t>1</w:t>
            </w:r>
            <w:r w:rsidRPr="008B1EF8">
              <w:rPr>
                <w:rFonts w:cs="Arial"/>
                <w:b/>
                <w:bCs/>
                <w:sz w:val="20"/>
                <w:szCs w:val="20"/>
                <w:lang w:val="en-US"/>
              </w:rPr>
              <w:t>67)</w:t>
            </w:r>
            <w:r w:rsidRPr="008B1EF8">
              <w:rPr>
                <w:rFonts w:cs="Arial"/>
                <w:b/>
                <w:bCs/>
                <w:spacing w:val="-8"/>
                <w:sz w:val="20"/>
                <w:szCs w:val="20"/>
                <w:lang w:val="en-US"/>
              </w:rPr>
              <w:t xml:space="preserve"> </w:t>
            </w:r>
            <w:r w:rsidRPr="008B1EF8">
              <w:rPr>
                <w:rFonts w:cs="Arial"/>
                <w:b/>
                <w:bCs/>
                <w:spacing w:val="1"/>
                <w:sz w:val="20"/>
                <w:szCs w:val="20"/>
                <w:lang w:val="en-US"/>
              </w:rPr>
              <w:t>(</w:t>
            </w:r>
            <w:r w:rsidRPr="008B1EF8">
              <w:rPr>
                <w:rFonts w:cs="Arial"/>
                <w:b/>
                <w:bCs/>
                <w:spacing w:val="3"/>
                <w:sz w:val="20"/>
                <w:szCs w:val="20"/>
                <w:lang w:val="en-US"/>
              </w:rPr>
              <w:t>n</w:t>
            </w:r>
            <w:r w:rsidRPr="008B1EF8">
              <w:rPr>
                <w:rFonts w:cs="Arial"/>
                <w:b/>
                <w:bCs/>
                <w:spacing w:val="-2"/>
                <w:sz w:val="20"/>
                <w:szCs w:val="20"/>
                <w:lang w:val="en-US"/>
              </w:rPr>
              <w:t>%</w:t>
            </w:r>
            <w:r w:rsidRPr="008B1EF8">
              <w:rPr>
                <w:rFonts w:cs="Arial"/>
                <w:b/>
                <w:bCs/>
                <w:sz w:val="20"/>
                <w:szCs w:val="20"/>
                <w:lang w:val="en-US"/>
              </w:rPr>
              <w:t>)</w:t>
            </w:r>
          </w:p>
        </w:tc>
        <w:tc>
          <w:tcPr>
            <w:tcW w:w="1698" w:type="dxa"/>
            <w:shd w:val="clear" w:color="auto" w:fill="auto"/>
          </w:tcPr>
          <w:p w:rsidR="001205B1" w:rsidRPr="008B1EF8" w:rsidRDefault="001205B1" w:rsidP="00937266">
            <w:pPr>
              <w:autoSpaceDE w:val="0"/>
              <w:autoSpaceDN w:val="0"/>
              <w:adjustRightInd w:val="0"/>
              <w:spacing w:after="60" w:line="240" w:lineRule="auto"/>
              <w:ind w:left="142"/>
              <w:jc w:val="center"/>
              <w:rPr>
                <w:rFonts w:cs="Arial"/>
                <w:b/>
                <w:bCs/>
                <w:spacing w:val="-3"/>
                <w:sz w:val="20"/>
                <w:szCs w:val="20"/>
                <w:lang w:val="en-US"/>
              </w:rPr>
            </w:pPr>
            <w:r w:rsidRPr="008B1EF8">
              <w:rPr>
                <w:rFonts w:cs="Arial"/>
                <w:b/>
                <w:bCs/>
                <w:sz w:val="20"/>
                <w:szCs w:val="20"/>
                <w:lang w:val="en-US"/>
              </w:rPr>
              <w:t>80</w:t>
            </w:r>
            <w:r w:rsidRPr="008B1EF8">
              <w:rPr>
                <w:rFonts w:cs="Arial"/>
                <w:b/>
                <w:bCs/>
                <w:spacing w:val="-3"/>
                <w:sz w:val="20"/>
                <w:szCs w:val="20"/>
                <w:lang w:val="en-US"/>
              </w:rPr>
              <w:t xml:space="preserve"> </w:t>
            </w:r>
            <w:r w:rsidRPr="008B1EF8">
              <w:rPr>
                <w:rFonts w:cs="Arial"/>
                <w:b/>
                <w:bCs/>
                <w:spacing w:val="1"/>
                <w:sz w:val="20"/>
                <w:szCs w:val="20"/>
                <w:lang w:val="en-US"/>
              </w:rPr>
              <w:t>m</w:t>
            </w:r>
            <w:r w:rsidRPr="008B1EF8">
              <w:rPr>
                <w:rFonts w:cs="Arial"/>
                <w:b/>
                <w:bCs/>
                <w:sz w:val="20"/>
                <w:szCs w:val="20"/>
                <w:lang w:val="en-US"/>
              </w:rPr>
              <w:t>g</w:t>
            </w:r>
            <w:r w:rsidRPr="008B1EF8">
              <w:rPr>
                <w:rFonts w:cs="Arial"/>
                <w:b/>
                <w:bCs/>
                <w:spacing w:val="-3"/>
                <w:sz w:val="20"/>
                <w:szCs w:val="20"/>
                <w:lang w:val="en-US"/>
              </w:rPr>
              <w:t xml:space="preserve"> </w:t>
            </w:r>
          </w:p>
          <w:p w:rsidR="001205B1" w:rsidRPr="008B1EF8" w:rsidRDefault="001205B1" w:rsidP="00937266">
            <w:pPr>
              <w:autoSpaceDE w:val="0"/>
              <w:autoSpaceDN w:val="0"/>
              <w:adjustRightInd w:val="0"/>
              <w:spacing w:after="60" w:line="240" w:lineRule="auto"/>
              <w:ind w:left="142"/>
              <w:jc w:val="center"/>
              <w:rPr>
                <w:rFonts w:cs="Arial"/>
                <w:b/>
                <w:sz w:val="20"/>
                <w:szCs w:val="20"/>
                <w:lang w:val="en-US"/>
              </w:rPr>
            </w:pPr>
            <w:r w:rsidRPr="008B1EF8">
              <w:rPr>
                <w:rFonts w:cs="Arial"/>
                <w:b/>
                <w:bCs/>
                <w:spacing w:val="1"/>
                <w:sz w:val="20"/>
                <w:szCs w:val="20"/>
                <w:lang w:val="en-US"/>
              </w:rPr>
              <w:t>Q</w:t>
            </w:r>
            <w:r w:rsidRPr="008B1EF8">
              <w:rPr>
                <w:rFonts w:cs="Arial"/>
                <w:b/>
                <w:bCs/>
                <w:sz w:val="20"/>
                <w:szCs w:val="20"/>
                <w:lang w:val="en-US"/>
              </w:rPr>
              <w:t>4W</w:t>
            </w:r>
          </w:p>
          <w:p w:rsidR="001205B1" w:rsidRPr="008B1EF8" w:rsidRDefault="001205B1" w:rsidP="00937266">
            <w:pPr>
              <w:spacing w:after="60" w:line="240" w:lineRule="auto"/>
              <w:ind w:left="142"/>
              <w:jc w:val="center"/>
              <w:rPr>
                <w:b/>
                <w:sz w:val="20"/>
                <w:szCs w:val="20"/>
              </w:rPr>
            </w:pPr>
            <w:r w:rsidRPr="008B1EF8">
              <w:rPr>
                <w:rFonts w:cs="Arial"/>
                <w:b/>
                <w:bCs/>
                <w:spacing w:val="1"/>
                <w:sz w:val="20"/>
                <w:szCs w:val="20"/>
                <w:lang w:val="en-US"/>
              </w:rPr>
              <w:t>(</w:t>
            </w:r>
            <w:r w:rsidRPr="008B1EF8">
              <w:rPr>
                <w:rFonts w:cs="Arial"/>
                <w:b/>
                <w:bCs/>
                <w:sz w:val="20"/>
                <w:szCs w:val="20"/>
                <w:lang w:val="en-US"/>
              </w:rPr>
              <w:t>N</w:t>
            </w:r>
            <w:r w:rsidRPr="008B1EF8">
              <w:rPr>
                <w:rFonts w:cs="Arial"/>
                <w:b/>
                <w:bCs/>
                <w:spacing w:val="-1"/>
                <w:sz w:val="20"/>
                <w:szCs w:val="20"/>
                <w:lang w:val="en-US"/>
              </w:rPr>
              <w:t>=</w:t>
            </w:r>
            <w:r w:rsidRPr="008B1EF8">
              <w:rPr>
                <w:rFonts w:cs="Arial"/>
                <w:b/>
                <w:bCs/>
                <w:sz w:val="20"/>
                <w:szCs w:val="20"/>
                <w:lang w:val="en-US"/>
              </w:rPr>
              <w:t>1</w:t>
            </w:r>
            <w:r w:rsidRPr="008B1EF8">
              <w:rPr>
                <w:rFonts w:cs="Arial"/>
                <w:b/>
                <w:bCs/>
                <w:spacing w:val="2"/>
                <w:sz w:val="20"/>
                <w:szCs w:val="20"/>
                <w:lang w:val="en-US"/>
              </w:rPr>
              <w:t>1</w:t>
            </w:r>
            <w:r w:rsidRPr="008B1EF8">
              <w:rPr>
                <w:rFonts w:cs="Arial"/>
                <w:b/>
                <w:bCs/>
                <w:sz w:val="20"/>
                <w:szCs w:val="20"/>
                <w:lang w:val="en-US"/>
              </w:rPr>
              <w:t>61)</w:t>
            </w:r>
            <w:r w:rsidRPr="008B1EF8">
              <w:rPr>
                <w:rFonts w:cs="Arial"/>
                <w:b/>
                <w:bCs/>
                <w:spacing w:val="-8"/>
                <w:sz w:val="20"/>
                <w:szCs w:val="20"/>
                <w:lang w:val="en-US"/>
              </w:rPr>
              <w:t xml:space="preserve"> </w:t>
            </w:r>
            <w:r w:rsidRPr="008B1EF8">
              <w:rPr>
                <w:rFonts w:cs="Arial"/>
                <w:b/>
                <w:bCs/>
                <w:spacing w:val="1"/>
                <w:sz w:val="20"/>
                <w:szCs w:val="20"/>
                <w:lang w:val="en-US"/>
              </w:rPr>
              <w:t>(</w:t>
            </w:r>
            <w:r w:rsidRPr="008B1EF8">
              <w:rPr>
                <w:rFonts w:cs="Arial"/>
                <w:b/>
                <w:bCs/>
                <w:spacing w:val="3"/>
                <w:sz w:val="20"/>
                <w:szCs w:val="20"/>
                <w:lang w:val="en-US"/>
              </w:rPr>
              <w:t>n</w:t>
            </w:r>
            <w:r w:rsidRPr="008B1EF8">
              <w:rPr>
                <w:rFonts w:cs="Arial"/>
                <w:b/>
                <w:bCs/>
                <w:spacing w:val="-2"/>
                <w:sz w:val="20"/>
                <w:szCs w:val="20"/>
                <w:lang w:val="en-US"/>
              </w:rPr>
              <w:t>%</w:t>
            </w:r>
            <w:r w:rsidRPr="008B1EF8">
              <w:rPr>
                <w:rFonts w:cs="Arial"/>
                <w:b/>
                <w:bCs/>
                <w:sz w:val="20"/>
                <w:szCs w:val="20"/>
                <w:lang w:val="en-US"/>
              </w:rPr>
              <w:t>)</w:t>
            </w:r>
          </w:p>
        </w:tc>
        <w:tc>
          <w:tcPr>
            <w:tcW w:w="1698" w:type="dxa"/>
          </w:tcPr>
          <w:p w:rsidR="001205B1" w:rsidRPr="008B1EF8" w:rsidRDefault="001205B1" w:rsidP="00937266">
            <w:pPr>
              <w:autoSpaceDE w:val="0"/>
              <w:autoSpaceDN w:val="0"/>
              <w:adjustRightInd w:val="0"/>
              <w:spacing w:after="60" w:line="240" w:lineRule="auto"/>
              <w:ind w:left="142"/>
              <w:jc w:val="center"/>
              <w:rPr>
                <w:b/>
                <w:sz w:val="20"/>
                <w:szCs w:val="20"/>
              </w:rPr>
            </w:pPr>
            <w:r w:rsidRPr="008B1EF8">
              <w:rPr>
                <w:b/>
                <w:sz w:val="20"/>
                <w:szCs w:val="20"/>
              </w:rPr>
              <w:t xml:space="preserve">50 mg </w:t>
            </w:r>
          </w:p>
          <w:p w:rsidR="001205B1" w:rsidRPr="008B1EF8" w:rsidRDefault="001205B1" w:rsidP="00937266">
            <w:pPr>
              <w:autoSpaceDE w:val="0"/>
              <w:autoSpaceDN w:val="0"/>
              <w:adjustRightInd w:val="0"/>
              <w:spacing w:after="60" w:line="240" w:lineRule="auto"/>
              <w:ind w:left="142"/>
              <w:jc w:val="center"/>
              <w:rPr>
                <w:b/>
                <w:sz w:val="20"/>
                <w:szCs w:val="20"/>
              </w:rPr>
            </w:pPr>
            <w:r w:rsidRPr="008B1EF8">
              <w:rPr>
                <w:b/>
                <w:sz w:val="20"/>
                <w:szCs w:val="20"/>
              </w:rPr>
              <w:t>twice weekly</w:t>
            </w:r>
          </w:p>
          <w:p w:rsidR="001205B1" w:rsidRPr="008B1EF8" w:rsidRDefault="001205B1" w:rsidP="00937266">
            <w:pPr>
              <w:autoSpaceDE w:val="0"/>
              <w:autoSpaceDN w:val="0"/>
              <w:adjustRightInd w:val="0"/>
              <w:spacing w:after="60" w:line="240" w:lineRule="auto"/>
              <w:ind w:left="142"/>
              <w:jc w:val="center"/>
              <w:rPr>
                <w:b/>
                <w:sz w:val="20"/>
                <w:szCs w:val="20"/>
              </w:rPr>
            </w:pPr>
            <w:r w:rsidRPr="008B1EF8">
              <w:rPr>
                <w:b/>
                <w:sz w:val="20"/>
                <w:szCs w:val="20"/>
              </w:rPr>
              <w:t>(N=739) (n%)</w:t>
            </w:r>
            <w:r w:rsidRPr="008B1EF8">
              <w:rPr>
                <w:rFonts w:cs="Arial"/>
                <w:b/>
                <w:bCs/>
                <w:spacing w:val="1"/>
                <w:sz w:val="20"/>
                <w:szCs w:val="20"/>
                <w:lang w:val="en-US"/>
              </w:rPr>
              <w:t xml:space="preserve"> </w:t>
            </w:r>
          </w:p>
        </w:tc>
        <w:tc>
          <w:tcPr>
            <w:tcW w:w="1698" w:type="dxa"/>
          </w:tcPr>
          <w:p w:rsidR="001205B1" w:rsidRPr="008B1EF8" w:rsidRDefault="001205B1" w:rsidP="00937266">
            <w:pPr>
              <w:autoSpaceDE w:val="0"/>
              <w:autoSpaceDN w:val="0"/>
              <w:adjustRightInd w:val="0"/>
              <w:spacing w:after="60" w:line="240" w:lineRule="auto"/>
              <w:ind w:left="142"/>
              <w:jc w:val="center"/>
              <w:rPr>
                <w:rFonts w:cs="Arial"/>
                <w:b/>
                <w:bCs/>
                <w:spacing w:val="1"/>
                <w:sz w:val="20"/>
                <w:szCs w:val="20"/>
                <w:lang w:val="en-US"/>
              </w:rPr>
            </w:pPr>
          </w:p>
          <w:p w:rsidR="001205B1" w:rsidRPr="008B1EF8" w:rsidRDefault="001205B1" w:rsidP="00937266">
            <w:pPr>
              <w:autoSpaceDE w:val="0"/>
              <w:autoSpaceDN w:val="0"/>
              <w:adjustRightInd w:val="0"/>
              <w:spacing w:after="60" w:line="240" w:lineRule="auto"/>
              <w:ind w:left="142"/>
              <w:jc w:val="center"/>
              <w:rPr>
                <w:rFonts w:cs="Arial"/>
                <w:b/>
                <w:bCs/>
                <w:spacing w:val="1"/>
                <w:sz w:val="20"/>
                <w:szCs w:val="20"/>
                <w:lang w:val="en-US"/>
              </w:rPr>
            </w:pPr>
          </w:p>
          <w:p w:rsidR="001205B1" w:rsidRPr="008B1EF8" w:rsidRDefault="001205B1" w:rsidP="00937266">
            <w:pPr>
              <w:autoSpaceDE w:val="0"/>
              <w:autoSpaceDN w:val="0"/>
              <w:adjustRightInd w:val="0"/>
              <w:spacing w:after="60" w:line="240" w:lineRule="auto"/>
              <w:ind w:left="142"/>
              <w:jc w:val="center"/>
              <w:rPr>
                <w:rFonts w:cs="Arial"/>
                <w:b/>
                <w:bCs/>
                <w:spacing w:val="1"/>
                <w:sz w:val="20"/>
                <w:szCs w:val="20"/>
                <w:lang w:val="en-US"/>
              </w:rPr>
            </w:pPr>
            <w:r w:rsidRPr="008B1EF8">
              <w:rPr>
                <w:rFonts w:cs="Arial"/>
                <w:b/>
                <w:bCs/>
                <w:spacing w:val="1"/>
                <w:sz w:val="20"/>
                <w:szCs w:val="20"/>
                <w:lang w:val="en-US"/>
              </w:rPr>
              <w:t>(</w:t>
            </w:r>
            <w:r w:rsidRPr="008B1EF8">
              <w:rPr>
                <w:rFonts w:cs="Arial"/>
                <w:b/>
                <w:bCs/>
                <w:sz w:val="20"/>
                <w:szCs w:val="20"/>
                <w:lang w:val="en-US"/>
              </w:rPr>
              <w:t>N</w:t>
            </w:r>
            <w:r w:rsidRPr="008B1EF8">
              <w:rPr>
                <w:rFonts w:cs="Arial"/>
                <w:b/>
                <w:bCs/>
                <w:spacing w:val="-1"/>
                <w:sz w:val="20"/>
                <w:szCs w:val="20"/>
                <w:lang w:val="en-US"/>
              </w:rPr>
              <w:t>=</w:t>
            </w:r>
            <w:r w:rsidRPr="008B1EF8">
              <w:rPr>
                <w:rFonts w:cs="Arial"/>
                <w:b/>
                <w:bCs/>
                <w:sz w:val="20"/>
                <w:szCs w:val="20"/>
                <w:lang w:val="en-US"/>
              </w:rPr>
              <w:t>7</w:t>
            </w:r>
            <w:r w:rsidRPr="008B1EF8">
              <w:rPr>
                <w:rFonts w:cs="Arial"/>
                <w:b/>
                <w:bCs/>
                <w:spacing w:val="2"/>
                <w:sz w:val="20"/>
                <w:szCs w:val="20"/>
                <w:lang w:val="en-US"/>
              </w:rPr>
              <w:t>9</w:t>
            </w:r>
            <w:r w:rsidRPr="008B1EF8">
              <w:rPr>
                <w:rFonts w:cs="Arial"/>
                <w:b/>
                <w:bCs/>
                <w:sz w:val="20"/>
                <w:szCs w:val="20"/>
                <w:lang w:val="en-US"/>
              </w:rPr>
              <w:t>1)</w:t>
            </w:r>
            <w:r w:rsidRPr="008B1EF8">
              <w:rPr>
                <w:rFonts w:cs="Arial"/>
                <w:b/>
                <w:bCs/>
                <w:spacing w:val="-7"/>
                <w:sz w:val="20"/>
                <w:szCs w:val="20"/>
                <w:lang w:val="en-US"/>
              </w:rPr>
              <w:t xml:space="preserve"> </w:t>
            </w:r>
            <w:r w:rsidRPr="008B1EF8">
              <w:rPr>
                <w:rFonts w:cs="Arial"/>
                <w:b/>
                <w:bCs/>
                <w:spacing w:val="1"/>
                <w:sz w:val="20"/>
                <w:szCs w:val="20"/>
                <w:lang w:val="en-US"/>
              </w:rPr>
              <w:t>(n</w:t>
            </w:r>
            <w:r w:rsidRPr="008B1EF8">
              <w:rPr>
                <w:rFonts w:cs="Arial"/>
                <w:b/>
                <w:bCs/>
                <w:spacing w:val="-2"/>
                <w:sz w:val="20"/>
                <w:szCs w:val="20"/>
                <w:lang w:val="en-US"/>
              </w:rPr>
              <w:t>%</w:t>
            </w:r>
            <w:r w:rsidRPr="008B1EF8">
              <w:rPr>
                <w:rFonts w:cs="Arial"/>
                <w:b/>
                <w:bCs/>
                <w:sz w:val="20"/>
                <w:szCs w:val="20"/>
                <w:lang w:val="en-US"/>
              </w:rPr>
              <w:t>)</w:t>
            </w:r>
          </w:p>
        </w:tc>
      </w:tr>
      <w:tr w:rsidR="001205B1" w:rsidRPr="001205B1" w:rsidTr="008B1EF8">
        <w:trPr>
          <w:trHeight w:val="350"/>
        </w:trPr>
        <w:tc>
          <w:tcPr>
            <w:tcW w:w="2001" w:type="dxa"/>
            <w:shd w:val="clear" w:color="auto" w:fill="auto"/>
          </w:tcPr>
          <w:p w:rsidR="001205B1" w:rsidRPr="008B1EF8" w:rsidRDefault="001205B1" w:rsidP="00937266">
            <w:pPr>
              <w:spacing w:after="60" w:line="240" w:lineRule="auto"/>
              <w:ind w:left="142"/>
              <w:rPr>
                <w:b/>
                <w:sz w:val="20"/>
                <w:szCs w:val="20"/>
              </w:rPr>
            </w:pPr>
            <w:r w:rsidRPr="008B1EF8">
              <w:rPr>
                <w:rFonts w:cs="Arial"/>
                <w:b/>
                <w:bCs/>
                <w:sz w:val="20"/>
                <w:szCs w:val="20"/>
                <w:lang w:val="en-US"/>
              </w:rPr>
              <w:t>I</w:t>
            </w:r>
            <w:r w:rsidRPr="008B1EF8">
              <w:rPr>
                <w:rFonts w:cs="Arial"/>
                <w:b/>
                <w:bCs/>
                <w:spacing w:val="1"/>
                <w:sz w:val="20"/>
                <w:szCs w:val="20"/>
                <w:lang w:val="en-US"/>
              </w:rPr>
              <w:t>n</w:t>
            </w:r>
            <w:r w:rsidRPr="008B1EF8">
              <w:rPr>
                <w:rFonts w:cs="Arial"/>
                <w:b/>
                <w:bCs/>
                <w:sz w:val="20"/>
                <w:szCs w:val="20"/>
                <w:lang w:val="en-US"/>
              </w:rPr>
              <w:t>jec</w:t>
            </w:r>
            <w:r w:rsidRPr="008B1EF8">
              <w:rPr>
                <w:rFonts w:cs="Arial"/>
                <w:b/>
                <w:bCs/>
                <w:spacing w:val="1"/>
                <w:sz w:val="20"/>
                <w:szCs w:val="20"/>
                <w:lang w:val="en-US"/>
              </w:rPr>
              <w:t>t</w:t>
            </w:r>
            <w:r w:rsidRPr="008B1EF8">
              <w:rPr>
                <w:rFonts w:cs="Arial"/>
                <w:b/>
                <w:bCs/>
                <w:sz w:val="20"/>
                <w:szCs w:val="20"/>
                <w:lang w:val="en-US"/>
              </w:rPr>
              <w:t>i</w:t>
            </w:r>
            <w:r w:rsidRPr="008B1EF8">
              <w:rPr>
                <w:rFonts w:cs="Arial"/>
                <w:b/>
                <w:bCs/>
                <w:spacing w:val="1"/>
                <w:sz w:val="20"/>
                <w:szCs w:val="20"/>
                <w:lang w:val="en-US"/>
              </w:rPr>
              <w:t>o</w:t>
            </w:r>
            <w:r w:rsidRPr="008B1EF8">
              <w:rPr>
                <w:rFonts w:cs="Arial"/>
                <w:b/>
                <w:bCs/>
                <w:sz w:val="20"/>
                <w:szCs w:val="20"/>
                <w:lang w:val="en-US"/>
              </w:rPr>
              <w:t>n</w:t>
            </w:r>
            <w:r w:rsidRPr="008B1EF8">
              <w:rPr>
                <w:rFonts w:cs="Arial"/>
                <w:b/>
                <w:bCs/>
                <w:spacing w:val="-8"/>
                <w:sz w:val="20"/>
                <w:szCs w:val="20"/>
                <w:lang w:val="en-US"/>
              </w:rPr>
              <w:t xml:space="preserve"> </w:t>
            </w:r>
            <w:r w:rsidRPr="008B1EF8">
              <w:rPr>
                <w:rFonts w:cs="Arial"/>
                <w:b/>
                <w:bCs/>
                <w:sz w:val="20"/>
                <w:szCs w:val="20"/>
                <w:lang w:val="en-US"/>
              </w:rPr>
              <w:t>si</w:t>
            </w:r>
            <w:r w:rsidRPr="008B1EF8">
              <w:rPr>
                <w:rFonts w:cs="Arial"/>
                <w:b/>
                <w:bCs/>
                <w:spacing w:val="1"/>
                <w:sz w:val="20"/>
                <w:szCs w:val="20"/>
                <w:lang w:val="en-US"/>
              </w:rPr>
              <w:t>t</w:t>
            </w:r>
            <w:r w:rsidRPr="008B1EF8">
              <w:rPr>
                <w:rFonts w:cs="Arial"/>
                <w:b/>
                <w:bCs/>
                <w:sz w:val="20"/>
                <w:szCs w:val="20"/>
                <w:lang w:val="en-US"/>
              </w:rPr>
              <w:t>e</w:t>
            </w:r>
            <w:r w:rsidRPr="008B1EF8">
              <w:rPr>
                <w:rFonts w:cs="Arial"/>
                <w:b/>
                <w:bCs/>
                <w:spacing w:val="-1"/>
                <w:sz w:val="20"/>
                <w:szCs w:val="20"/>
                <w:lang w:val="en-US"/>
              </w:rPr>
              <w:t xml:space="preserve"> r</w:t>
            </w:r>
            <w:r w:rsidRPr="008B1EF8">
              <w:rPr>
                <w:rFonts w:cs="Arial"/>
                <w:b/>
                <w:bCs/>
                <w:spacing w:val="2"/>
                <w:sz w:val="20"/>
                <w:szCs w:val="20"/>
                <w:lang w:val="en-US"/>
              </w:rPr>
              <w:t>e</w:t>
            </w:r>
            <w:r w:rsidRPr="008B1EF8">
              <w:rPr>
                <w:rFonts w:cs="Arial"/>
                <w:b/>
                <w:bCs/>
                <w:sz w:val="20"/>
                <w:szCs w:val="20"/>
                <w:lang w:val="en-US"/>
              </w:rPr>
              <w:t>ac</w:t>
            </w:r>
            <w:r w:rsidRPr="008B1EF8">
              <w:rPr>
                <w:rFonts w:cs="Arial"/>
                <w:b/>
                <w:bCs/>
                <w:spacing w:val="1"/>
                <w:sz w:val="20"/>
                <w:szCs w:val="20"/>
                <w:lang w:val="en-US"/>
              </w:rPr>
              <w:t>t</w:t>
            </w:r>
            <w:r w:rsidRPr="008B1EF8">
              <w:rPr>
                <w:rFonts w:cs="Arial"/>
                <w:b/>
                <w:bCs/>
                <w:sz w:val="20"/>
                <w:szCs w:val="20"/>
                <w:lang w:val="en-US"/>
              </w:rPr>
              <w:t>i</w:t>
            </w:r>
            <w:r w:rsidRPr="008B1EF8">
              <w:rPr>
                <w:rFonts w:cs="Arial"/>
                <w:b/>
                <w:bCs/>
                <w:spacing w:val="1"/>
                <w:sz w:val="20"/>
                <w:szCs w:val="20"/>
                <w:lang w:val="en-US"/>
              </w:rPr>
              <w:t>on</w:t>
            </w:r>
            <w:r w:rsidRPr="008B1EF8">
              <w:rPr>
                <w:rFonts w:cs="Arial"/>
                <w:b/>
                <w:bCs/>
                <w:sz w:val="20"/>
                <w:szCs w:val="20"/>
                <w:lang w:val="en-US"/>
              </w:rPr>
              <w:t xml:space="preserve">s                                </w:t>
            </w:r>
            <w:r w:rsidRPr="008B1EF8">
              <w:rPr>
                <w:rFonts w:cs="Arial"/>
                <w:b/>
                <w:bCs/>
                <w:spacing w:val="21"/>
                <w:sz w:val="20"/>
                <w:szCs w:val="20"/>
                <w:lang w:val="en-US"/>
              </w:rPr>
              <w:t xml:space="preserve"> </w:t>
            </w:r>
          </w:p>
        </w:tc>
        <w:tc>
          <w:tcPr>
            <w:tcW w:w="1698" w:type="dxa"/>
            <w:shd w:val="clear" w:color="auto" w:fill="auto"/>
          </w:tcPr>
          <w:p w:rsidR="001205B1" w:rsidRPr="008B1EF8" w:rsidRDefault="001205B1" w:rsidP="00937266">
            <w:pPr>
              <w:spacing w:after="60" w:line="240" w:lineRule="auto"/>
              <w:ind w:left="142"/>
              <w:jc w:val="center"/>
              <w:rPr>
                <w:sz w:val="20"/>
                <w:szCs w:val="20"/>
              </w:rPr>
            </w:pPr>
            <w:r w:rsidRPr="008B1EF8">
              <w:rPr>
                <w:rFonts w:cs="Arial"/>
                <w:sz w:val="20"/>
                <w:szCs w:val="20"/>
                <w:lang w:val="en-US"/>
              </w:rPr>
              <w:t>196</w:t>
            </w:r>
            <w:r w:rsidRPr="008B1EF8">
              <w:rPr>
                <w:rFonts w:cs="Arial"/>
                <w:spacing w:val="-4"/>
                <w:sz w:val="20"/>
                <w:szCs w:val="20"/>
                <w:lang w:val="en-US"/>
              </w:rPr>
              <w:t xml:space="preserve"> </w:t>
            </w:r>
            <w:r w:rsidRPr="008B1EF8">
              <w:rPr>
                <w:rFonts w:cs="Arial"/>
                <w:spacing w:val="1"/>
                <w:sz w:val="20"/>
                <w:szCs w:val="20"/>
                <w:lang w:val="en-US"/>
              </w:rPr>
              <w:t>(</w:t>
            </w:r>
            <w:r w:rsidRPr="008B1EF8">
              <w:rPr>
                <w:rFonts w:cs="Arial"/>
                <w:spacing w:val="2"/>
                <w:sz w:val="20"/>
                <w:szCs w:val="20"/>
                <w:lang w:val="en-US"/>
              </w:rPr>
              <w:t>1</w:t>
            </w:r>
            <w:r w:rsidRPr="008B1EF8">
              <w:rPr>
                <w:rFonts w:cs="Arial"/>
                <w:sz w:val="20"/>
                <w:szCs w:val="20"/>
                <w:lang w:val="en-US"/>
              </w:rPr>
              <w:t>6.8</w:t>
            </w:r>
            <w:r w:rsidRPr="008B1EF8">
              <w:rPr>
                <w:rFonts w:cs="Arial"/>
                <w:spacing w:val="1"/>
                <w:sz w:val="20"/>
                <w:szCs w:val="20"/>
                <w:lang w:val="en-US"/>
              </w:rPr>
              <w:t>%</w:t>
            </w:r>
            <w:r w:rsidRPr="008B1EF8">
              <w:rPr>
                <w:rFonts w:cs="Arial"/>
                <w:sz w:val="20"/>
                <w:szCs w:val="20"/>
                <w:lang w:val="en-US"/>
              </w:rPr>
              <w:t>)</w:t>
            </w:r>
          </w:p>
        </w:tc>
        <w:tc>
          <w:tcPr>
            <w:tcW w:w="1698" w:type="dxa"/>
            <w:shd w:val="clear" w:color="auto" w:fill="auto"/>
          </w:tcPr>
          <w:p w:rsidR="001205B1" w:rsidRPr="008B1EF8" w:rsidRDefault="001205B1" w:rsidP="00937266">
            <w:pPr>
              <w:spacing w:after="60" w:line="240" w:lineRule="auto"/>
              <w:ind w:left="142"/>
              <w:jc w:val="center"/>
              <w:rPr>
                <w:sz w:val="20"/>
                <w:szCs w:val="20"/>
              </w:rPr>
            </w:pPr>
            <w:r w:rsidRPr="008B1EF8">
              <w:rPr>
                <w:rFonts w:cs="Arial"/>
                <w:sz w:val="20"/>
                <w:szCs w:val="20"/>
                <w:lang w:val="en-US"/>
              </w:rPr>
              <w:t>150</w:t>
            </w:r>
            <w:r w:rsidRPr="008B1EF8">
              <w:rPr>
                <w:rFonts w:cs="Arial"/>
                <w:spacing w:val="-4"/>
                <w:sz w:val="20"/>
                <w:szCs w:val="20"/>
                <w:lang w:val="en-US"/>
              </w:rPr>
              <w:t xml:space="preserve"> </w:t>
            </w:r>
            <w:r w:rsidRPr="008B1EF8">
              <w:rPr>
                <w:rFonts w:cs="Arial"/>
                <w:spacing w:val="1"/>
                <w:sz w:val="20"/>
                <w:szCs w:val="20"/>
                <w:lang w:val="en-US"/>
              </w:rPr>
              <w:t>(</w:t>
            </w:r>
            <w:r w:rsidRPr="008B1EF8">
              <w:rPr>
                <w:rFonts w:cs="Arial"/>
                <w:spacing w:val="2"/>
                <w:sz w:val="20"/>
                <w:szCs w:val="20"/>
                <w:lang w:val="en-US"/>
              </w:rPr>
              <w:t>1</w:t>
            </w:r>
            <w:r w:rsidRPr="008B1EF8">
              <w:rPr>
                <w:rFonts w:cs="Arial"/>
                <w:sz w:val="20"/>
                <w:szCs w:val="20"/>
                <w:lang w:val="en-US"/>
              </w:rPr>
              <w:t>2.9</w:t>
            </w:r>
            <w:r w:rsidRPr="008B1EF8">
              <w:rPr>
                <w:rFonts w:cs="Arial"/>
                <w:spacing w:val="1"/>
                <w:sz w:val="20"/>
                <w:szCs w:val="20"/>
                <w:lang w:val="en-US"/>
              </w:rPr>
              <w:t>%</w:t>
            </w:r>
            <w:r w:rsidRPr="008B1EF8">
              <w:rPr>
                <w:rFonts w:cs="Arial"/>
                <w:sz w:val="20"/>
                <w:szCs w:val="20"/>
                <w:lang w:val="en-US"/>
              </w:rPr>
              <w:t>)</w:t>
            </w:r>
          </w:p>
        </w:tc>
        <w:tc>
          <w:tcPr>
            <w:tcW w:w="1698" w:type="dxa"/>
          </w:tcPr>
          <w:p w:rsidR="001205B1" w:rsidRPr="008B1EF8" w:rsidRDefault="001205B1" w:rsidP="00937266">
            <w:pPr>
              <w:spacing w:after="60" w:line="240" w:lineRule="auto"/>
              <w:ind w:left="142"/>
              <w:jc w:val="center"/>
              <w:rPr>
                <w:sz w:val="20"/>
                <w:szCs w:val="20"/>
              </w:rPr>
            </w:pPr>
            <w:r w:rsidRPr="008B1EF8">
              <w:rPr>
                <w:rFonts w:cs="Arial"/>
                <w:sz w:val="20"/>
                <w:szCs w:val="20"/>
                <w:lang w:val="en-US"/>
              </w:rPr>
              <w:t>121 (16.4%)</w:t>
            </w:r>
          </w:p>
        </w:tc>
        <w:tc>
          <w:tcPr>
            <w:tcW w:w="1698" w:type="dxa"/>
          </w:tcPr>
          <w:p w:rsidR="001205B1" w:rsidRPr="008B1EF8" w:rsidRDefault="001205B1" w:rsidP="00937266">
            <w:pPr>
              <w:spacing w:after="60" w:line="240" w:lineRule="auto"/>
              <w:ind w:left="142"/>
              <w:jc w:val="center"/>
              <w:rPr>
                <w:rFonts w:cs="Arial"/>
                <w:sz w:val="20"/>
                <w:szCs w:val="20"/>
                <w:lang w:val="en-US"/>
              </w:rPr>
            </w:pPr>
            <w:r w:rsidRPr="008B1EF8">
              <w:rPr>
                <w:rFonts w:cs="Arial"/>
                <w:sz w:val="20"/>
                <w:szCs w:val="20"/>
                <w:lang w:val="en-US"/>
              </w:rPr>
              <w:t>26</w:t>
            </w:r>
            <w:r w:rsidRPr="008B1EF8">
              <w:rPr>
                <w:rFonts w:cs="Arial"/>
                <w:spacing w:val="-3"/>
                <w:sz w:val="20"/>
                <w:szCs w:val="20"/>
                <w:lang w:val="en-US"/>
              </w:rPr>
              <w:t xml:space="preserve"> </w:t>
            </w:r>
            <w:r w:rsidRPr="008B1EF8">
              <w:rPr>
                <w:rFonts w:cs="Arial"/>
                <w:spacing w:val="1"/>
                <w:sz w:val="20"/>
                <w:szCs w:val="20"/>
                <w:lang w:val="en-US"/>
              </w:rPr>
              <w:t>(</w:t>
            </w:r>
            <w:r w:rsidRPr="008B1EF8">
              <w:rPr>
                <w:rFonts w:cs="Arial"/>
                <w:sz w:val="20"/>
                <w:szCs w:val="20"/>
                <w:lang w:val="en-US"/>
              </w:rPr>
              <w:t>3.</w:t>
            </w:r>
            <w:r w:rsidRPr="008B1EF8">
              <w:rPr>
                <w:rFonts w:cs="Arial"/>
                <w:spacing w:val="2"/>
                <w:sz w:val="20"/>
                <w:szCs w:val="20"/>
                <w:lang w:val="en-US"/>
              </w:rPr>
              <w:t>3</w:t>
            </w:r>
            <w:r w:rsidRPr="008B1EF8">
              <w:rPr>
                <w:rFonts w:cs="Arial"/>
                <w:sz w:val="20"/>
                <w:szCs w:val="20"/>
                <w:lang w:val="en-US"/>
              </w:rPr>
              <w:t>%)</w:t>
            </w:r>
          </w:p>
        </w:tc>
      </w:tr>
      <w:tr w:rsidR="001205B1" w:rsidRPr="001205B1" w:rsidTr="008B1EF8">
        <w:tc>
          <w:tcPr>
            <w:tcW w:w="2001" w:type="dxa"/>
            <w:shd w:val="clear" w:color="auto" w:fill="auto"/>
          </w:tcPr>
          <w:p w:rsidR="001205B1" w:rsidRPr="008B1EF8" w:rsidRDefault="001205B1" w:rsidP="00937266">
            <w:pPr>
              <w:spacing w:after="60" w:line="240" w:lineRule="auto"/>
              <w:ind w:left="142"/>
              <w:rPr>
                <w:b/>
                <w:sz w:val="20"/>
                <w:szCs w:val="20"/>
              </w:rPr>
            </w:pPr>
            <w:r w:rsidRPr="008B1EF8">
              <w:rPr>
                <w:rFonts w:cs="Arial"/>
                <w:b/>
                <w:bCs/>
                <w:sz w:val="20"/>
                <w:szCs w:val="20"/>
                <w:lang w:val="en-US"/>
              </w:rPr>
              <w:t>U</w:t>
            </w:r>
            <w:r w:rsidRPr="008B1EF8">
              <w:rPr>
                <w:rFonts w:cs="Arial"/>
                <w:b/>
                <w:bCs/>
                <w:spacing w:val="1"/>
                <w:sz w:val="20"/>
                <w:szCs w:val="20"/>
                <w:lang w:val="en-US"/>
              </w:rPr>
              <w:t>pp</w:t>
            </w:r>
            <w:r w:rsidRPr="008B1EF8">
              <w:rPr>
                <w:rFonts w:cs="Arial"/>
                <w:b/>
                <w:bCs/>
                <w:sz w:val="20"/>
                <w:szCs w:val="20"/>
                <w:lang w:val="en-US"/>
              </w:rPr>
              <w:t>er</w:t>
            </w:r>
            <w:r w:rsidRPr="008B1EF8">
              <w:rPr>
                <w:rFonts w:cs="Arial"/>
                <w:b/>
                <w:bCs/>
                <w:spacing w:val="-7"/>
                <w:sz w:val="20"/>
                <w:szCs w:val="20"/>
                <w:lang w:val="en-US"/>
              </w:rPr>
              <w:t xml:space="preserve"> </w:t>
            </w:r>
            <w:r w:rsidRPr="008B1EF8">
              <w:rPr>
                <w:rFonts w:cs="Arial"/>
                <w:b/>
                <w:bCs/>
                <w:spacing w:val="2"/>
                <w:sz w:val="20"/>
                <w:szCs w:val="20"/>
                <w:lang w:val="en-US"/>
              </w:rPr>
              <w:t>r</w:t>
            </w:r>
            <w:r w:rsidRPr="008B1EF8">
              <w:rPr>
                <w:rFonts w:cs="Arial"/>
                <w:b/>
                <w:bCs/>
                <w:sz w:val="20"/>
                <w:szCs w:val="20"/>
                <w:lang w:val="en-US"/>
              </w:rPr>
              <w:t>es</w:t>
            </w:r>
            <w:r w:rsidRPr="008B1EF8">
              <w:rPr>
                <w:rFonts w:cs="Arial"/>
                <w:b/>
                <w:bCs/>
                <w:spacing w:val="1"/>
                <w:sz w:val="20"/>
                <w:szCs w:val="20"/>
                <w:lang w:val="en-US"/>
              </w:rPr>
              <w:t>p</w:t>
            </w:r>
            <w:r w:rsidRPr="008B1EF8">
              <w:rPr>
                <w:rFonts w:cs="Arial"/>
                <w:b/>
                <w:bCs/>
                <w:spacing w:val="2"/>
                <w:sz w:val="20"/>
                <w:szCs w:val="20"/>
                <w:lang w:val="en-US"/>
              </w:rPr>
              <w:t>i</w:t>
            </w:r>
            <w:r w:rsidRPr="008B1EF8">
              <w:rPr>
                <w:rFonts w:cs="Arial"/>
                <w:b/>
                <w:bCs/>
                <w:spacing w:val="-1"/>
                <w:sz w:val="20"/>
                <w:szCs w:val="20"/>
                <w:lang w:val="en-US"/>
              </w:rPr>
              <w:t>r</w:t>
            </w:r>
            <w:r w:rsidRPr="008B1EF8">
              <w:rPr>
                <w:rFonts w:cs="Arial"/>
                <w:b/>
                <w:bCs/>
                <w:sz w:val="20"/>
                <w:szCs w:val="20"/>
                <w:lang w:val="en-US"/>
              </w:rPr>
              <w:t>a</w:t>
            </w:r>
            <w:r w:rsidRPr="008B1EF8">
              <w:rPr>
                <w:rFonts w:cs="Arial"/>
                <w:b/>
                <w:bCs/>
                <w:spacing w:val="1"/>
                <w:sz w:val="20"/>
                <w:szCs w:val="20"/>
                <w:lang w:val="en-US"/>
              </w:rPr>
              <w:t>to</w:t>
            </w:r>
            <w:r w:rsidRPr="008B1EF8">
              <w:rPr>
                <w:rFonts w:cs="Arial"/>
                <w:b/>
                <w:bCs/>
                <w:spacing w:val="2"/>
                <w:sz w:val="20"/>
                <w:szCs w:val="20"/>
                <w:lang w:val="en-US"/>
              </w:rPr>
              <w:t>r</w:t>
            </w:r>
            <w:r w:rsidRPr="008B1EF8">
              <w:rPr>
                <w:rFonts w:cs="Arial"/>
                <w:b/>
                <w:bCs/>
                <w:sz w:val="20"/>
                <w:szCs w:val="20"/>
                <w:lang w:val="en-US"/>
              </w:rPr>
              <w:t>y</w:t>
            </w:r>
            <w:r w:rsidRPr="008B1EF8">
              <w:rPr>
                <w:rFonts w:cs="Arial"/>
                <w:b/>
                <w:bCs/>
                <w:spacing w:val="-11"/>
                <w:sz w:val="20"/>
                <w:szCs w:val="20"/>
                <w:lang w:val="en-US"/>
              </w:rPr>
              <w:t xml:space="preserve"> </w:t>
            </w:r>
            <w:r w:rsidRPr="008B1EF8">
              <w:rPr>
                <w:rFonts w:cs="Arial"/>
                <w:b/>
                <w:bCs/>
                <w:spacing w:val="1"/>
                <w:sz w:val="20"/>
                <w:szCs w:val="20"/>
                <w:lang w:val="en-US"/>
              </w:rPr>
              <w:t>t</w:t>
            </w:r>
            <w:r w:rsidRPr="008B1EF8">
              <w:rPr>
                <w:rFonts w:cs="Arial"/>
                <w:b/>
                <w:bCs/>
                <w:spacing w:val="-1"/>
                <w:sz w:val="20"/>
                <w:szCs w:val="20"/>
                <w:lang w:val="en-US"/>
              </w:rPr>
              <w:t>r</w:t>
            </w:r>
            <w:r w:rsidRPr="008B1EF8">
              <w:rPr>
                <w:rFonts w:cs="Arial"/>
                <w:b/>
                <w:bCs/>
                <w:sz w:val="20"/>
                <w:szCs w:val="20"/>
                <w:lang w:val="en-US"/>
              </w:rPr>
              <w:t>act</w:t>
            </w:r>
            <w:r w:rsidRPr="008B1EF8">
              <w:rPr>
                <w:rFonts w:cs="Arial"/>
                <w:b/>
                <w:bCs/>
                <w:spacing w:val="-4"/>
                <w:sz w:val="20"/>
                <w:szCs w:val="20"/>
                <w:lang w:val="en-US"/>
              </w:rPr>
              <w:t xml:space="preserve"> </w:t>
            </w:r>
            <w:r w:rsidRPr="008B1EF8">
              <w:rPr>
                <w:rFonts w:cs="Arial"/>
                <w:b/>
                <w:bCs/>
                <w:sz w:val="20"/>
                <w:szCs w:val="20"/>
                <w:lang w:val="en-US"/>
              </w:rPr>
              <w:t>i</w:t>
            </w:r>
            <w:r w:rsidRPr="008B1EF8">
              <w:rPr>
                <w:rFonts w:cs="Arial"/>
                <w:b/>
                <w:bCs/>
                <w:spacing w:val="3"/>
                <w:sz w:val="20"/>
                <w:szCs w:val="20"/>
                <w:lang w:val="en-US"/>
              </w:rPr>
              <w:t>n</w:t>
            </w:r>
            <w:r w:rsidRPr="008B1EF8">
              <w:rPr>
                <w:rFonts w:cs="Arial"/>
                <w:b/>
                <w:bCs/>
                <w:spacing w:val="1"/>
                <w:sz w:val="20"/>
                <w:szCs w:val="20"/>
                <w:lang w:val="en-US"/>
              </w:rPr>
              <w:t>f</w:t>
            </w:r>
            <w:r w:rsidRPr="008B1EF8">
              <w:rPr>
                <w:rFonts w:cs="Arial"/>
                <w:b/>
                <w:bCs/>
                <w:sz w:val="20"/>
                <w:szCs w:val="20"/>
                <w:lang w:val="en-US"/>
              </w:rPr>
              <w:t>ec</w:t>
            </w:r>
            <w:r w:rsidRPr="008B1EF8">
              <w:rPr>
                <w:rFonts w:cs="Arial"/>
                <w:b/>
                <w:bCs/>
                <w:spacing w:val="1"/>
                <w:sz w:val="20"/>
                <w:szCs w:val="20"/>
                <w:lang w:val="en-US"/>
              </w:rPr>
              <w:t>t</w:t>
            </w:r>
            <w:r w:rsidRPr="008B1EF8">
              <w:rPr>
                <w:rFonts w:cs="Arial"/>
                <w:b/>
                <w:bCs/>
                <w:sz w:val="20"/>
                <w:szCs w:val="20"/>
                <w:lang w:val="en-US"/>
              </w:rPr>
              <w:t>i</w:t>
            </w:r>
            <w:r w:rsidRPr="008B1EF8">
              <w:rPr>
                <w:rFonts w:cs="Arial"/>
                <w:b/>
                <w:bCs/>
                <w:spacing w:val="1"/>
                <w:sz w:val="20"/>
                <w:szCs w:val="20"/>
                <w:lang w:val="en-US"/>
              </w:rPr>
              <w:t>o</w:t>
            </w:r>
            <w:r w:rsidRPr="008B1EF8">
              <w:rPr>
                <w:rFonts w:cs="Arial"/>
                <w:b/>
                <w:bCs/>
                <w:spacing w:val="2"/>
                <w:sz w:val="20"/>
                <w:szCs w:val="20"/>
                <w:lang w:val="en-US"/>
              </w:rPr>
              <w:t>n</w:t>
            </w:r>
            <w:r w:rsidRPr="008B1EF8">
              <w:rPr>
                <w:rFonts w:cs="Arial"/>
                <w:b/>
                <w:position w:val="-1"/>
                <w:sz w:val="20"/>
                <w:szCs w:val="20"/>
                <w:vertAlign w:val="superscript"/>
                <w:lang w:val="en-US"/>
              </w:rPr>
              <w:t>a</w:t>
            </w:r>
          </w:p>
        </w:tc>
        <w:tc>
          <w:tcPr>
            <w:tcW w:w="1698" w:type="dxa"/>
            <w:shd w:val="clear" w:color="auto" w:fill="auto"/>
          </w:tcPr>
          <w:p w:rsidR="001205B1" w:rsidRPr="008B1EF8" w:rsidRDefault="001205B1" w:rsidP="00937266">
            <w:pPr>
              <w:spacing w:after="60" w:line="240" w:lineRule="auto"/>
              <w:ind w:left="142"/>
              <w:jc w:val="center"/>
              <w:rPr>
                <w:sz w:val="20"/>
                <w:szCs w:val="20"/>
              </w:rPr>
            </w:pPr>
            <w:r w:rsidRPr="008B1EF8">
              <w:rPr>
                <w:rFonts w:cs="Arial"/>
                <w:sz w:val="20"/>
                <w:szCs w:val="20"/>
                <w:lang w:val="en-US"/>
              </w:rPr>
              <w:t>163</w:t>
            </w:r>
            <w:r w:rsidRPr="008B1EF8">
              <w:rPr>
                <w:rFonts w:cs="Arial"/>
                <w:spacing w:val="-4"/>
                <w:sz w:val="20"/>
                <w:szCs w:val="20"/>
                <w:lang w:val="en-US"/>
              </w:rPr>
              <w:t xml:space="preserve"> </w:t>
            </w:r>
            <w:r w:rsidRPr="008B1EF8">
              <w:rPr>
                <w:rFonts w:cs="Arial"/>
                <w:spacing w:val="1"/>
                <w:sz w:val="20"/>
                <w:szCs w:val="20"/>
                <w:lang w:val="en-US"/>
              </w:rPr>
              <w:t>(</w:t>
            </w:r>
            <w:r w:rsidRPr="008B1EF8">
              <w:rPr>
                <w:rFonts w:cs="Arial"/>
                <w:spacing w:val="2"/>
                <w:sz w:val="20"/>
                <w:szCs w:val="20"/>
                <w:lang w:val="en-US"/>
              </w:rPr>
              <w:t>1</w:t>
            </w:r>
            <w:r w:rsidRPr="008B1EF8">
              <w:rPr>
                <w:rFonts w:cs="Arial"/>
                <w:sz w:val="20"/>
                <w:szCs w:val="20"/>
                <w:lang w:val="en-US"/>
              </w:rPr>
              <w:t>4.0</w:t>
            </w:r>
            <w:r w:rsidRPr="008B1EF8">
              <w:rPr>
                <w:rFonts w:cs="Arial"/>
                <w:spacing w:val="1"/>
                <w:sz w:val="20"/>
                <w:szCs w:val="20"/>
                <w:lang w:val="en-US"/>
              </w:rPr>
              <w:t>%</w:t>
            </w:r>
            <w:r w:rsidRPr="008B1EF8">
              <w:rPr>
                <w:rFonts w:cs="Arial"/>
                <w:sz w:val="20"/>
                <w:szCs w:val="20"/>
                <w:lang w:val="en-US"/>
              </w:rPr>
              <w:t>)</w:t>
            </w:r>
          </w:p>
        </w:tc>
        <w:tc>
          <w:tcPr>
            <w:tcW w:w="1698" w:type="dxa"/>
            <w:shd w:val="clear" w:color="auto" w:fill="auto"/>
          </w:tcPr>
          <w:p w:rsidR="001205B1" w:rsidRPr="008B1EF8" w:rsidRDefault="001205B1" w:rsidP="00937266">
            <w:pPr>
              <w:spacing w:after="60" w:line="240" w:lineRule="auto"/>
              <w:ind w:left="142"/>
              <w:jc w:val="center"/>
              <w:rPr>
                <w:sz w:val="20"/>
                <w:szCs w:val="20"/>
              </w:rPr>
            </w:pPr>
            <w:r w:rsidRPr="008B1EF8">
              <w:rPr>
                <w:rFonts w:cs="Arial"/>
                <w:sz w:val="20"/>
                <w:szCs w:val="20"/>
                <w:lang w:val="en-US"/>
              </w:rPr>
              <w:t>155</w:t>
            </w:r>
            <w:r w:rsidRPr="008B1EF8">
              <w:rPr>
                <w:rFonts w:cs="Arial"/>
                <w:spacing w:val="-4"/>
                <w:sz w:val="20"/>
                <w:szCs w:val="20"/>
                <w:lang w:val="en-US"/>
              </w:rPr>
              <w:t xml:space="preserve"> </w:t>
            </w:r>
            <w:r w:rsidRPr="008B1EF8">
              <w:rPr>
                <w:rFonts w:cs="Arial"/>
                <w:spacing w:val="1"/>
                <w:sz w:val="20"/>
                <w:szCs w:val="20"/>
                <w:lang w:val="en-US"/>
              </w:rPr>
              <w:t>(</w:t>
            </w:r>
            <w:r w:rsidRPr="008B1EF8">
              <w:rPr>
                <w:rFonts w:cs="Arial"/>
                <w:spacing w:val="2"/>
                <w:sz w:val="20"/>
                <w:szCs w:val="20"/>
                <w:lang w:val="en-US"/>
              </w:rPr>
              <w:t>1</w:t>
            </w:r>
            <w:r w:rsidRPr="008B1EF8">
              <w:rPr>
                <w:rFonts w:cs="Arial"/>
                <w:sz w:val="20"/>
                <w:szCs w:val="20"/>
                <w:lang w:val="en-US"/>
              </w:rPr>
              <w:t>3.4</w:t>
            </w:r>
            <w:r w:rsidRPr="008B1EF8">
              <w:rPr>
                <w:rFonts w:cs="Arial"/>
                <w:spacing w:val="1"/>
                <w:sz w:val="20"/>
                <w:szCs w:val="20"/>
                <w:lang w:val="en-US"/>
              </w:rPr>
              <w:t>%</w:t>
            </w:r>
            <w:r w:rsidRPr="008B1EF8">
              <w:rPr>
                <w:rFonts w:cs="Arial"/>
                <w:sz w:val="20"/>
                <w:szCs w:val="20"/>
                <w:lang w:val="en-US"/>
              </w:rPr>
              <w:t>)</w:t>
            </w:r>
          </w:p>
        </w:tc>
        <w:tc>
          <w:tcPr>
            <w:tcW w:w="1698" w:type="dxa"/>
          </w:tcPr>
          <w:p w:rsidR="001205B1" w:rsidRPr="008B1EF8" w:rsidRDefault="001205B1" w:rsidP="00937266">
            <w:pPr>
              <w:spacing w:after="60" w:line="240" w:lineRule="auto"/>
              <w:ind w:left="142"/>
              <w:jc w:val="center"/>
              <w:rPr>
                <w:sz w:val="20"/>
                <w:szCs w:val="20"/>
              </w:rPr>
            </w:pPr>
            <w:r w:rsidRPr="008B1EF8">
              <w:rPr>
                <w:rFonts w:cs="Arial"/>
                <w:sz w:val="20"/>
                <w:szCs w:val="20"/>
                <w:lang w:val="en-US"/>
              </w:rPr>
              <w:t>92 (12.4%)</w:t>
            </w:r>
          </w:p>
        </w:tc>
        <w:tc>
          <w:tcPr>
            <w:tcW w:w="1698" w:type="dxa"/>
          </w:tcPr>
          <w:p w:rsidR="001205B1" w:rsidRPr="008B1EF8" w:rsidRDefault="001205B1" w:rsidP="00937266">
            <w:pPr>
              <w:spacing w:after="60" w:line="240" w:lineRule="auto"/>
              <w:ind w:left="142"/>
              <w:jc w:val="center"/>
              <w:rPr>
                <w:rFonts w:cs="Arial"/>
                <w:sz w:val="20"/>
                <w:szCs w:val="20"/>
                <w:lang w:val="en-US"/>
              </w:rPr>
            </w:pPr>
            <w:r w:rsidRPr="008B1EF8">
              <w:rPr>
                <w:rFonts w:cs="Arial"/>
                <w:sz w:val="20"/>
                <w:szCs w:val="20"/>
                <w:lang w:val="en-US"/>
              </w:rPr>
              <w:t>101</w:t>
            </w:r>
            <w:r w:rsidRPr="008B1EF8">
              <w:rPr>
                <w:rFonts w:cs="Arial"/>
                <w:spacing w:val="-4"/>
                <w:sz w:val="20"/>
                <w:szCs w:val="20"/>
                <w:lang w:val="en-US"/>
              </w:rPr>
              <w:t xml:space="preserve"> </w:t>
            </w:r>
            <w:r w:rsidRPr="008B1EF8">
              <w:rPr>
                <w:rFonts w:cs="Arial"/>
                <w:spacing w:val="1"/>
                <w:sz w:val="20"/>
                <w:szCs w:val="20"/>
                <w:lang w:val="en-US"/>
              </w:rPr>
              <w:t>(</w:t>
            </w:r>
            <w:r w:rsidRPr="008B1EF8">
              <w:rPr>
                <w:rFonts w:cs="Arial"/>
                <w:spacing w:val="2"/>
                <w:sz w:val="20"/>
                <w:szCs w:val="20"/>
                <w:lang w:val="en-US"/>
              </w:rPr>
              <w:t>1</w:t>
            </w:r>
            <w:r w:rsidRPr="008B1EF8">
              <w:rPr>
                <w:rFonts w:cs="Arial"/>
                <w:sz w:val="20"/>
                <w:szCs w:val="20"/>
                <w:lang w:val="en-US"/>
              </w:rPr>
              <w:t>2.8</w:t>
            </w:r>
            <w:r w:rsidRPr="008B1EF8">
              <w:rPr>
                <w:rFonts w:cs="Arial"/>
                <w:spacing w:val="1"/>
                <w:sz w:val="20"/>
                <w:szCs w:val="20"/>
                <w:lang w:val="en-US"/>
              </w:rPr>
              <w:t>%</w:t>
            </w:r>
            <w:r w:rsidRPr="008B1EF8">
              <w:rPr>
                <w:rFonts w:cs="Arial"/>
                <w:sz w:val="20"/>
                <w:szCs w:val="20"/>
                <w:lang w:val="en-US"/>
              </w:rPr>
              <w:t>)</w:t>
            </w:r>
          </w:p>
        </w:tc>
      </w:tr>
      <w:tr w:rsidR="001205B1" w:rsidRPr="001205B1" w:rsidTr="008B1EF8">
        <w:tc>
          <w:tcPr>
            <w:tcW w:w="2001" w:type="dxa"/>
            <w:shd w:val="clear" w:color="auto" w:fill="auto"/>
          </w:tcPr>
          <w:p w:rsidR="001205B1" w:rsidRPr="008B1EF8" w:rsidRDefault="001205B1" w:rsidP="00937266">
            <w:pPr>
              <w:spacing w:after="60" w:line="240" w:lineRule="auto"/>
              <w:ind w:left="142"/>
              <w:rPr>
                <w:b/>
                <w:sz w:val="20"/>
                <w:szCs w:val="20"/>
              </w:rPr>
            </w:pPr>
            <w:r w:rsidRPr="008B1EF8">
              <w:rPr>
                <w:rFonts w:cs="Arial"/>
                <w:b/>
                <w:bCs/>
                <w:sz w:val="20"/>
                <w:szCs w:val="20"/>
                <w:lang w:val="en-US"/>
              </w:rPr>
              <w:t>Na</w:t>
            </w:r>
            <w:r w:rsidRPr="008B1EF8">
              <w:rPr>
                <w:rFonts w:cs="Arial"/>
                <w:b/>
                <w:bCs/>
                <w:spacing w:val="1"/>
                <w:sz w:val="20"/>
                <w:szCs w:val="20"/>
                <w:lang w:val="en-US"/>
              </w:rPr>
              <w:t>u</w:t>
            </w:r>
            <w:r w:rsidRPr="008B1EF8">
              <w:rPr>
                <w:rFonts w:cs="Arial"/>
                <w:b/>
                <w:bCs/>
                <w:sz w:val="20"/>
                <w:szCs w:val="20"/>
                <w:lang w:val="en-US"/>
              </w:rPr>
              <w:t xml:space="preserve">sea                                                                </w:t>
            </w:r>
            <w:r w:rsidRPr="008B1EF8">
              <w:rPr>
                <w:rFonts w:cs="Arial"/>
                <w:b/>
                <w:bCs/>
                <w:spacing w:val="31"/>
                <w:sz w:val="20"/>
                <w:szCs w:val="20"/>
                <w:lang w:val="en-US"/>
              </w:rPr>
              <w:t xml:space="preserve"> </w:t>
            </w:r>
          </w:p>
        </w:tc>
        <w:tc>
          <w:tcPr>
            <w:tcW w:w="1698" w:type="dxa"/>
            <w:shd w:val="clear" w:color="auto" w:fill="auto"/>
          </w:tcPr>
          <w:p w:rsidR="001205B1" w:rsidRPr="008B1EF8" w:rsidRDefault="001205B1" w:rsidP="00937266">
            <w:pPr>
              <w:spacing w:after="60" w:line="240" w:lineRule="auto"/>
              <w:ind w:left="142"/>
              <w:jc w:val="center"/>
              <w:rPr>
                <w:sz w:val="20"/>
                <w:szCs w:val="20"/>
              </w:rPr>
            </w:pPr>
            <w:r w:rsidRPr="008B1EF8">
              <w:rPr>
                <w:rFonts w:cs="Arial"/>
                <w:sz w:val="20"/>
                <w:szCs w:val="20"/>
                <w:lang w:val="en-US"/>
              </w:rPr>
              <w:t>23</w:t>
            </w:r>
            <w:r w:rsidRPr="008B1EF8">
              <w:rPr>
                <w:rFonts w:cs="Arial"/>
                <w:spacing w:val="-3"/>
                <w:sz w:val="20"/>
                <w:szCs w:val="20"/>
                <w:lang w:val="en-US"/>
              </w:rPr>
              <w:t xml:space="preserve"> </w:t>
            </w:r>
            <w:r w:rsidRPr="008B1EF8">
              <w:rPr>
                <w:rFonts w:cs="Arial"/>
                <w:spacing w:val="1"/>
                <w:sz w:val="20"/>
                <w:szCs w:val="20"/>
                <w:lang w:val="en-US"/>
              </w:rPr>
              <w:t>(</w:t>
            </w:r>
            <w:r w:rsidRPr="008B1EF8">
              <w:rPr>
                <w:rFonts w:cs="Arial"/>
                <w:sz w:val="20"/>
                <w:szCs w:val="20"/>
                <w:lang w:val="en-US"/>
              </w:rPr>
              <w:t>2.</w:t>
            </w:r>
            <w:r w:rsidRPr="008B1EF8">
              <w:rPr>
                <w:rFonts w:cs="Arial"/>
                <w:spacing w:val="2"/>
                <w:sz w:val="20"/>
                <w:szCs w:val="20"/>
                <w:lang w:val="en-US"/>
              </w:rPr>
              <w:t>0</w:t>
            </w:r>
            <w:r w:rsidRPr="008B1EF8">
              <w:rPr>
                <w:rFonts w:cs="Arial"/>
                <w:spacing w:val="1"/>
                <w:sz w:val="20"/>
                <w:szCs w:val="20"/>
                <w:lang w:val="en-US"/>
              </w:rPr>
              <w:t>%</w:t>
            </w:r>
            <w:r w:rsidRPr="008B1EF8">
              <w:rPr>
                <w:rFonts w:cs="Arial"/>
                <w:sz w:val="20"/>
                <w:szCs w:val="20"/>
                <w:lang w:val="en-US"/>
              </w:rPr>
              <w:t>)</w:t>
            </w:r>
          </w:p>
        </w:tc>
        <w:tc>
          <w:tcPr>
            <w:tcW w:w="1698" w:type="dxa"/>
            <w:shd w:val="clear" w:color="auto" w:fill="auto"/>
          </w:tcPr>
          <w:p w:rsidR="001205B1" w:rsidRPr="008B1EF8" w:rsidRDefault="001205B1" w:rsidP="00937266">
            <w:pPr>
              <w:spacing w:after="60" w:line="240" w:lineRule="auto"/>
              <w:ind w:left="142"/>
              <w:jc w:val="center"/>
              <w:rPr>
                <w:sz w:val="20"/>
                <w:szCs w:val="20"/>
              </w:rPr>
            </w:pPr>
            <w:r w:rsidRPr="008B1EF8">
              <w:rPr>
                <w:rFonts w:cs="Arial"/>
                <w:sz w:val="20"/>
                <w:szCs w:val="20"/>
                <w:lang w:val="en-US"/>
              </w:rPr>
              <w:t>15</w:t>
            </w:r>
            <w:r w:rsidRPr="008B1EF8">
              <w:rPr>
                <w:rFonts w:cs="Arial"/>
                <w:spacing w:val="-3"/>
                <w:sz w:val="20"/>
                <w:szCs w:val="20"/>
                <w:lang w:val="en-US"/>
              </w:rPr>
              <w:t xml:space="preserve"> </w:t>
            </w:r>
            <w:r w:rsidRPr="008B1EF8">
              <w:rPr>
                <w:rFonts w:cs="Arial"/>
                <w:spacing w:val="1"/>
                <w:sz w:val="20"/>
                <w:szCs w:val="20"/>
                <w:lang w:val="en-US"/>
              </w:rPr>
              <w:t>(</w:t>
            </w:r>
            <w:r w:rsidRPr="008B1EF8">
              <w:rPr>
                <w:rFonts w:cs="Arial"/>
                <w:sz w:val="20"/>
                <w:szCs w:val="20"/>
                <w:lang w:val="en-US"/>
              </w:rPr>
              <w:t>1.</w:t>
            </w:r>
            <w:r w:rsidRPr="008B1EF8">
              <w:rPr>
                <w:rFonts w:cs="Arial"/>
                <w:spacing w:val="2"/>
                <w:sz w:val="20"/>
                <w:szCs w:val="20"/>
                <w:lang w:val="en-US"/>
              </w:rPr>
              <w:t>3</w:t>
            </w:r>
            <w:r w:rsidRPr="008B1EF8">
              <w:rPr>
                <w:rFonts w:cs="Arial"/>
                <w:spacing w:val="1"/>
                <w:sz w:val="20"/>
                <w:szCs w:val="20"/>
                <w:lang w:val="en-US"/>
              </w:rPr>
              <w:t>%</w:t>
            </w:r>
            <w:r w:rsidRPr="008B1EF8">
              <w:rPr>
                <w:rFonts w:cs="Arial"/>
                <w:sz w:val="20"/>
                <w:szCs w:val="20"/>
                <w:lang w:val="en-US"/>
              </w:rPr>
              <w:t>)</w:t>
            </w:r>
          </w:p>
        </w:tc>
        <w:tc>
          <w:tcPr>
            <w:tcW w:w="1698" w:type="dxa"/>
          </w:tcPr>
          <w:p w:rsidR="001205B1" w:rsidRPr="008B1EF8" w:rsidRDefault="001205B1" w:rsidP="00937266">
            <w:pPr>
              <w:spacing w:after="60" w:line="240" w:lineRule="auto"/>
              <w:ind w:left="142"/>
              <w:jc w:val="center"/>
              <w:rPr>
                <w:sz w:val="20"/>
                <w:szCs w:val="20"/>
              </w:rPr>
            </w:pPr>
            <w:r w:rsidRPr="008B1EF8">
              <w:rPr>
                <w:rFonts w:cs="Arial"/>
                <w:sz w:val="20"/>
                <w:szCs w:val="20"/>
                <w:lang w:val="en-US"/>
              </w:rPr>
              <w:t>3 (0.4%)</w:t>
            </w:r>
          </w:p>
        </w:tc>
        <w:tc>
          <w:tcPr>
            <w:tcW w:w="1698" w:type="dxa"/>
          </w:tcPr>
          <w:p w:rsidR="001205B1" w:rsidRPr="008B1EF8" w:rsidRDefault="001205B1" w:rsidP="00937266">
            <w:pPr>
              <w:spacing w:after="60" w:line="240" w:lineRule="auto"/>
              <w:ind w:left="142"/>
              <w:jc w:val="center"/>
              <w:rPr>
                <w:rFonts w:cs="Arial"/>
                <w:sz w:val="20"/>
                <w:szCs w:val="20"/>
                <w:lang w:val="en-US"/>
              </w:rPr>
            </w:pPr>
            <w:r w:rsidRPr="008B1EF8">
              <w:rPr>
                <w:rFonts w:cs="Arial"/>
                <w:sz w:val="20"/>
                <w:szCs w:val="20"/>
                <w:lang w:val="en-US"/>
              </w:rPr>
              <w:t>5</w:t>
            </w:r>
            <w:r w:rsidRPr="008B1EF8">
              <w:rPr>
                <w:rFonts w:cs="Arial"/>
                <w:spacing w:val="-2"/>
                <w:sz w:val="20"/>
                <w:szCs w:val="20"/>
                <w:lang w:val="en-US"/>
              </w:rPr>
              <w:t xml:space="preserve"> </w:t>
            </w:r>
            <w:r w:rsidRPr="008B1EF8">
              <w:rPr>
                <w:rFonts w:cs="Arial"/>
                <w:spacing w:val="1"/>
                <w:sz w:val="20"/>
                <w:szCs w:val="20"/>
                <w:lang w:val="en-US"/>
              </w:rPr>
              <w:t>(</w:t>
            </w:r>
            <w:r w:rsidRPr="008B1EF8">
              <w:rPr>
                <w:rFonts w:cs="Arial"/>
                <w:sz w:val="20"/>
                <w:szCs w:val="20"/>
                <w:lang w:val="en-US"/>
              </w:rPr>
              <w:t>0.6</w:t>
            </w:r>
            <w:r w:rsidRPr="008B1EF8">
              <w:rPr>
                <w:rFonts w:cs="Arial"/>
                <w:spacing w:val="1"/>
                <w:sz w:val="20"/>
                <w:szCs w:val="20"/>
                <w:lang w:val="en-US"/>
              </w:rPr>
              <w:t>%</w:t>
            </w:r>
            <w:r w:rsidRPr="008B1EF8">
              <w:rPr>
                <w:rFonts w:cs="Arial"/>
                <w:sz w:val="20"/>
                <w:szCs w:val="20"/>
                <w:lang w:val="en-US"/>
              </w:rPr>
              <w:t>)</w:t>
            </w:r>
          </w:p>
        </w:tc>
      </w:tr>
      <w:tr w:rsidR="001205B1" w:rsidRPr="001205B1" w:rsidTr="008B1EF8">
        <w:tc>
          <w:tcPr>
            <w:tcW w:w="2001" w:type="dxa"/>
            <w:shd w:val="clear" w:color="auto" w:fill="auto"/>
          </w:tcPr>
          <w:p w:rsidR="001205B1" w:rsidRPr="008B1EF8" w:rsidRDefault="001205B1" w:rsidP="00937266">
            <w:pPr>
              <w:spacing w:after="60" w:line="240" w:lineRule="auto"/>
              <w:ind w:left="142"/>
              <w:rPr>
                <w:b/>
                <w:sz w:val="20"/>
                <w:szCs w:val="20"/>
              </w:rPr>
            </w:pPr>
            <w:r w:rsidRPr="008B1EF8">
              <w:rPr>
                <w:rFonts w:cs="Arial"/>
                <w:b/>
                <w:bCs/>
                <w:spacing w:val="1"/>
                <w:sz w:val="20"/>
                <w:szCs w:val="20"/>
                <w:lang w:val="en-US"/>
              </w:rPr>
              <w:t>O</w:t>
            </w:r>
            <w:r w:rsidRPr="008B1EF8">
              <w:rPr>
                <w:rFonts w:cs="Arial"/>
                <w:b/>
                <w:bCs/>
                <w:spacing w:val="-1"/>
                <w:sz w:val="20"/>
                <w:szCs w:val="20"/>
                <w:lang w:val="en-US"/>
              </w:rPr>
              <w:t>r</w:t>
            </w:r>
            <w:r w:rsidRPr="008B1EF8">
              <w:rPr>
                <w:rFonts w:cs="Arial"/>
                <w:b/>
                <w:bCs/>
                <w:spacing w:val="1"/>
                <w:sz w:val="20"/>
                <w:szCs w:val="20"/>
                <w:lang w:val="en-US"/>
              </w:rPr>
              <w:t>oph</w:t>
            </w:r>
            <w:r w:rsidRPr="008B1EF8">
              <w:rPr>
                <w:rFonts w:cs="Arial"/>
                <w:b/>
                <w:bCs/>
                <w:sz w:val="20"/>
                <w:szCs w:val="20"/>
                <w:lang w:val="en-US"/>
              </w:rPr>
              <w:t>a</w:t>
            </w:r>
            <w:r w:rsidRPr="008B1EF8">
              <w:rPr>
                <w:rFonts w:cs="Arial"/>
                <w:b/>
                <w:bCs/>
                <w:spacing w:val="2"/>
                <w:sz w:val="20"/>
                <w:szCs w:val="20"/>
                <w:lang w:val="en-US"/>
              </w:rPr>
              <w:t>r</w:t>
            </w:r>
            <w:r w:rsidRPr="008B1EF8">
              <w:rPr>
                <w:rFonts w:cs="Arial"/>
                <w:b/>
                <w:bCs/>
                <w:spacing w:val="-3"/>
                <w:sz w:val="20"/>
                <w:szCs w:val="20"/>
                <w:lang w:val="en-US"/>
              </w:rPr>
              <w:t>y</w:t>
            </w:r>
            <w:r w:rsidRPr="008B1EF8">
              <w:rPr>
                <w:rFonts w:cs="Arial"/>
                <w:b/>
                <w:bCs/>
                <w:spacing w:val="1"/>
                <w:sz w:val="20"/>
                <w:szCs w:val="20"/>
                <w:lang w:val="en-US"/>
              </w:rPr>
              <w:t>ng</w:t>
            </w:r>
            <w:r w:rsidRPr="008B1EF8">
              <w:rPr>
                <w:rFonts w:cs="Arial"/>
                <w:b/>
                <w:bCs/>
                <w:spacing w:val="2"/>
                <w:sz w:val="20"/>
                <w:szCs w:val="20"/>
                <w:lang w:val="en-US"/>
              </w:rPr>
              <w:t>e</w:t>
            </w:r>
            <w:r w:rsidRPr="008B1EF8">
              <w:rPr>
                <w:rFonts w:cs="Arial"/>
                <w:b/>
                <w:bCs/>
                <w:sz w:val="20"/>
                <w:szCs w:val="20"/>
                <w:lang w:val="en-US"/>
              </w:rPr>
              <w:t>al</w:t>
            </w:r>
            <w:r w:rsidRPr="008B1EF8">
              <w:rPr>
                <w:rFonts w:cs="Arial"/>
                <w:b/>
                <w:bCs/>
                <w:spacing w:val="-15"/>
                <w:sz w:val="20"/>
                <w:szCs w:val="20"/>
                <w:lang w:val="en-US"/>
              </w:rPr>
              <w:t xml:space="preserve"> </w:t>
            </w:r>
            <w:r w:rsidRPr="008B1EF8">
              <w:rPr>
                <w:rFonts w:cs="Arial"/>
                <w:b/>
                <w:bCs/>
                <w:spacing w:val="1"/>
                <w:sz w:val="20"/>
                <w:szCs w:val="20"/>
                <w:lang w:val="en-US"/>
              </w:rPr>
              <w:t>p</w:t>
            </w:r>
            <w:r w:rsidRPr="008B1EF8">
              <w:rPr>
                <w:rFonts w:cs="Arial"/>
                <w:b/>
                <w:bCs/>
                <w:sz w:val="20"/>
                <w:szCs w:val="20"/>
                <w:lang w:val="en-US"/>
              </w:rPr>
              <w:t xml:space="preserve">ain                                           </w:t>
            </w:r>
            <w:r w:rsidRPr="008B1EF8">
              <w:rPr>
                <w:rFonts w:cs="Arial"/>
                <w:b/>
                <w:bCs/>
                <w:spacing w:val="25"/>
                <w:sz w:val="20"/>
                <w:szCs w:val="20"/>
                <w:lang w:val="en-US"/>
              </w:rPr>
              <w:t xml:space="preserve"> </w:t>
            </w:r>
          </w:p>
        </w:tc>
        <w:tc>
          <w:tcPr>
            <w:tcW w:w="1698" w:type="dxa"/>
            <w:shd w:val="clear" w:color="auto" w:fill="auto"/>
          </w:tcPr>
          <w:p w:rsidR="001205B1" w:rsidRPr="008B1EF8" w:rsidRDefault="001205B1" w:rsidP="00937266">
            <w:pPr>
              <w:spacing w:after="60" w:line="240" w:lineRule="auto"/>
              <w:ind w:left="142"/>
              <w:jc w:val="center"/>
              <w:rPr>
                <w:sz w:val="20"/>
                <w:szCs w:val="20"/>
              </w:rPr>
            </w:pPr>
            <w:r w:rsidRPr="008B1EF8">
              <w:rPr>
                <w:rFonts w:cs="Arial"/>
                <w:sz w:val="20"/>
                <w:szCs w:val="20"/>
                <w:lang w:val="en-US"/>
              </w:rPr>
              <w:t>16</w:t>
            </w:r>
            <w:r w:rsidRPr="008B1EF8">
              <w:rPr>
                <w:rFonts w:cs="Arial"/>
                <w:spacing w:val="-3"/>
                <w:sz w:val="20"/>
                <w:szCs w:val="20"/>
                <w:lang w:val="en-US"/>
              </w:rPr>
              <w:t xml:space="preserve"> </w:t>
            </w:r>
            <w:r w:rsidRPr="008B1EF8">
              <w:rPr>
                <w:rFonts w:cs="Arial"/>
                <w:spacing w:val="1"/>
                <w:sz w:val="20"/>
                <w:szCs w:val="20"/>
                <w:lang w:val="en-US"/>
              </w:rPr>
              <w:t>(</w:t>
            </w:r>
            <w:r w:rsidRPr="008B1EF8">
              <w:rPr>
                <w:rFonts w:cs="Arial"/>
                <w:sz w:val="20"/>
                <w:szCs w:val="20"/>
                <w:lang w:val="en-US"/>
              </w:rPr>
              <w:t>1.</w:t>
            </w:r>
            <w:r w:rsidRPr="008B1EF8">
              <w:rPr>
                <w:rFonts w:cs="Arial"/>
                <w:spacing w:val="2"/>
                <w:sz w:val="20"/>
                <w:szCs w:val="20"/>
                <w:lang w:val="en-US"/>
              </w:rPr>
              <w:t>4</w:t>
            </w:r>
            <w:r w:rsidRPr="008B1EF8">
              <w:rPr>
                <w:rFonts w:cs="Arial"/>
                <w:spacing w:val="1"/>
                <w:sz w:val="20"/>
                <w:szCs w:val="20"/>
                <w:lang w:val="en-US"/>
              </w:rPr>
              <w:t>%</w:t>
            </w:r>
            <w:r w:rsidRPr="008B1EF8">
              <w:rPr>
                <w:rFonts w:cs="Arial"/>
                <w:sz w:val="20"/>
                <w:szCs w:val="20"/>
                <w:lang w:val="en-US"/>
              </w:rPr>
              <w:t>)</w:t>
            </w:r>
          </w:p>
        </w:tc>
        <w:tc>
          <w:tcPr>
            <w:tcW w:w="1698" w:type="dxa"/>
            <w:shd w:val="clear" w:color="auto" w:fill="auto"/>
          </w:tcPr>
          <w:p w:rsidR="001205B1" w:rsidRPr="008B1EF8" w:rsidRDefault="001205B1" w:rsidP="00937266">
            <w:pPr>
              <w:spacing w:after="60" w:line="240" w:lineRule="auto"/>
              <w:ind w:left="142"/>
              <w:jc w:val="center"/>
              <w:rPr>
                <w:sz w:val="20"/>
                <w:szCs w:val="20"/>
              </w:rPr>
            </w:pPr>
            <w:r w:rsidRPr="008B1EF8">
              <w:rPr>
                <w:rFonts w:cs="Arial"/>
                <w:sz w:val="20"/>
                <w:szCs w:val="20"/>
                <w:lang w:val="en-US"/>
              </w:rPr>
              <w:t>20</w:t>
            </w:r>
            <w:r w:rsidRPr="008B1EF8">
              <w:rPr>
                <w:rFonts w:cs="Arial"/>
                <w:spacing w:val="-3"/>
                <w:sz w:val="20"/>
                <w:szCs w:val="20"/>
                <w:lang w:val="en-US"/>
              </w:rPr>
              <w:t xml:space="preserve"> </w:t>
            </w:r>
            <w:r w:rsidRPr="008B1EF8">
              <w:rPr>
                <w:rFonts w:cs="Arial"/>
                <w:spacing w:val="1"/>
                <w:sz w:val="20"/>
                <w:szCs w:val="20"/>
                <w:lang w:val="en-US"/>
              </w:rPr>
              <w:t>(</w:t>
            </w:r>
            <w:r w:rsidRPr="008B1EF8">
              <w:rPr>
                <w:rFonts w:cs="Arial"/>
                <w:sz w:val="20"/>
                <w:szCs w:val="20"/>
                <w:lang w:val="en-US"/>
              </w:rPr>
              <w:t>1.</w:t>
            </w:r>
            <w:r w:rsidRPr="008B1EF8">
              <w:rPr>
                <w:rFonts w:cs="Arial"/>
                <w:spacing w:val="2"/>
                <w:sz w:val="20"/>
                <w:szCs w:val="20"/>
                <w:lang w:val="en-US"/>
              </w:rPr>
              <w:t>7</w:t>
            </w:r>
            <w:r w:rsidRPr="008B1EF8">
              <w:rPr>
                <w:rFonts w:cs="Arial"/>
                <w:spacing w:val="1"/>
                <w:sz w:val="20"/>
                <w:szCs w:val="20"/>
                <w:lang w:val="en-US"/>
              </w:rPr>
              <w:t>%</w:t>
            </w:r>
            <w:r w:rsidRPr="008B1EF8">
              <w:rPr>
                <w:rFonts w:cs="Arial"/>
                <w:sz w:val="20"/>
                <w:szCs w:val="20"/>
                <w:lang w:val="en-US"/>
              </w:rPr>
              <w:t>)</w:t>
            </w:r>
          </w:p>
        </w:tc>
        <w:tc>
          <w:tcPr>
            <w:tcW w:w="1698" w:type="dxa"/>
          </w:tcPr>
          <w:p w:rsidR="001205B1" w:rsidRPr="008B1EF8" w:rsidRDefault="001205B1" w:rsidP="00937266">
            <w:pPr>
              <w:spacing w:after="60" w:line="240" w:lineRule="auto"/>
              <w:ind w:left="142"/>
              <w:jc w:val="center"/>
              <w:rPr>
                <w:sz w:val="20"/>
                <w:szCs w:val="20"/>
              </w:rPr>
            </w:pPr>
            <w:r w:rsidRPr="008B1EF8">
              <w:rPr>
                <w:rFonts w:cs="Arial"/>
                <w:sz w:val="20"/>
                <w:szCs w:val="20"/>
                <w:lang w:val="en-US"/>
              </w:rPr>
              <w:t>7 (0.9%)</w:t>
            </w:r>
          </w:p>
        </w:tc>
        <w:tc>
          <w:tcPr>
            <w:tcW w:w="1698" w:type="dxa"/>
          </w:tcPr>
          <w:p w:rsidR="001205B1" w:rsidRPr="008B1EF8" w:rsidRDefault="001205B1" w:rsidP="00937266">
            <w:pPr>
              <w:spacing w:after="60" w:line="240" w:lineRule="auto"/>
              <w:ind w:left="142"/>
              <w:jc w:val="center"/>
              <w:rPr>
                <w:rFonts w:cs="Arial"/>
                <w:sz w:val="20"/>
                <w:szCs w:val="20"/>
                <w:lang w:val="en-US"/>
              </w:rPr>
            </w:pPr>
            <w:r w:rsidRPr="008B1EF8">
              <w:rPr>
                <w:rFonts w:cs="Arial"/>
                <w:sz w:val="20"/>
                <w:szCs w:val="20"/>
                <w:lang w:val="en-US"/>
              </w:rPr>
              <w:t>4</w:t>
            </w:r>
            <w:r w:rsidRPr="008B1EF8">
              <w:rPr>
                <w:rFonts w:cs="Arial"/>
                <w:spacing w:val="-2"/>
                <w:sz w:val="20"/>
                <w:szCs w:val="20"/>
                <w:lang w:val="en-US"/>
              </w:rPr>
              <w:t xml:space="preserve"> </w:t>
            </w:r>
            <w:r w:rsidRPr="008B1EF8">
              <w:rPr>
                <w:rFonts w:cs="Arial"/>
                <w:spacing w:val="1"/>
                <w:sz w:val="20"/>
                <w:szCs w:val="20"/>
                <w:lang w:val="en-US"/>
              </w:rPr>
              <w:t>(</w:t>
            </w:r>
            <w:r w:rsidRPr="008B1EF8">
              <w:rPr>
                <w:rFonts w:cs="Arial"/>
                <w:sz w:val="20"/>
                <w:szCs w:val="20"/>
                <w:lang w:val="en-US"/>
              </w:rPr>
              <w:t>0.5</w:t>
            </w:r>
            <w:r w:rsidRPr="008B1EF8">
              <w:rPr>
                <w:rFonts w:cs="Arial"/>
                <w:spacing w:val="1"/>
                <w:sz w:val="20"/>
                <w:szCs w:val="20"/>
                <w:lang w:val="en-US"/>
              </w:rPr>
              <w:t>%</w:t>
            </w:r>
            <w:r w:rsidRPr="008B1EF8">
              <w:rPr>
                <w:rFonts w:cs="Arial"/>
                <w:sz w:val="20"/>
                <w:szCs w:val="20"/>
                <w:lang w:val="en-US"/>
              </w:rPr>
              <w:t>)</w:t>
            </w:r>
          </w:p>
        </w:tc>
      </w:tr>
      <w:tr w:rsidR="001205B1" w:rsidRPr="001205B1" w:rsidTr="008B1EF8">
        <w:tc>
          <w:tcPr>
            <w:tcW w:w="2001" w:type="dxa"/>
            <w:shd w:val="clear" w:color="auto" w:fill="auto"/>
          </w:tcPr>
          <w:p w:rsidR="001205B1" w:rsidRPr="00B67571" w:rsidRDefault="001205B1" w:rsidP="00937266">
            <w:pPr>
              <w:spacing w:after="60" w:line="240" w:lineRule="auto"/>
              <w:ind w:left="142"/>
              <w:rPr>
                <w:b/>
                <w:sz w:val="20"/>
                <w:szCs w:val="20"/>
              </w:rPr>
            </w:pPr>
            <w:r w:rsidRPr="00B67571">
              <w:rPr>
                <w:rFonts w:cs="Arial"/>
                <w:b/>
                <w:bCs/>
                <w:spacing w:val="3"/>
                <w:sz w:val="20"/>
                <w:szCs w:val="20"/>
                <w:lang w:val="en-US"/>
              </w:rPr>
              <w:t>T</w:t>
            </w:r>
            <w:r w:rsidRPr="00B67571">
              <w:rPr>
                <w:rFonts w:cs="Arial"/>
                <w:b/>
                <w:bCs/>
                <w:sz w:val="20"/>
                <w:szCs w:val="20"/>
                <w:lang w:val="en-US"/>
              </w:rPr>
              <w:t>i</w:t>
            </w:r>
            <w:r w:rsidRPr="00B67571">
              <w:rPr>
                <w:rFonts w:cs="Arial"/>
                <w:b/>
                <w:bCs/>
                <w:spacing w:val="1"/>
                <w:sz w:val="20"/>
                <w:szCs w:val="20"/>
                <w:lang w:val="en-US"/>
              </w:rPr>
              <w:t>n</w:t>
            </w:r>
            <w:r w:rsidRPr="00B67571">
              <w:rPr>
                <w:rFonts w:cs="Arial"/>
                <w:b/>
                <w:bCs/>
                <w:sz w:val="20"/>
                <w:szCs w:val="20"/>
                <w:lang w:val="en-US"/>
              </w:rPr>
              <w:t>ea</w:t>
            </w:r>
            <w:r w:rsidRPr="00B67571">
              <w:rPr>
                <w:rFonts w:cs="Arial"/>
                <w:b/>
                <w:bCs/>
                <w:spacing w:val="-6"/>
                <w:sz w:val="20"/>
                <w:szCs w:val="20"/>
                <w:lang w:val="en-US"/>
              </w:rPr>
              <w:t xml:space="preserve"> </w:t>
            </w:r>
            <w:r w:rsidRPr="00B67571">
              <w:rPr>
                <w:rFonts w:cs="Arial"/>
                <w:b/>
                <w:bCs/>
                <w:sz w:val="20"/>
                <w:szCs w:val="20"/>
                <w:lang w:val="en-US"/>
              </w:rPr>
              <w:t>i</w:t>
            </w:r>
            <w:r w:rsidRPr="00B67571">
              <w:rPr>
                <w:rFonts w:cs="Arial"/>
                <w:b/>
                <w:bCs/>
                <w:spacing w:val="1"/>
                <w:sz w:val="20"/>
                <w:szCs w:val="20"/>
                <w:lang w:val="en-US"/>
              </w:rPr>
              <w:t>nf</w:t>
            </w:r>
            <w:r w:rsidRPr="00B67571">
              <w:rPr>
                <w:rFonts w:cs="Arial"/>
                <w:b/>
                <w:bCs/>
                <w:sz w:val="20"/>
                <w:szCs w:val="20"/>
                <w:lang w:val="en-US"/>
              </w:rPr>
              <w:t>ec</w:t>
            </w:r>
            <w:r w:rsidRPr="00B67571">
              <w:rPr>
                <w:rFonts w:cs="Arial"/>
                <w:b/>
                <w:bCs/>
                <w:spacing w:val="1"/>
                <w:sz w:val="20"/>
                <w:szCs w:val="20"/>
                <w:lang w:val="en-US"/>
              </w:rPr>
              <w:t>t</w:t>
            </w:r>
            <w:r w:rsidRPr="00B67571">
              <w:rPr>
                <w:rFonts w:cs="Arial"/>
                <w:b/>
                <w:bCs/>
                <w:sz w:val="20"/>
                <w:szCs w:val="20"/>
                <w:lang w:val="en-US"/>
              </w:rPr>
              <w:t>i</w:t>
            </w:r>
            <w:r w:rsidRPr="00B67571">
              <w:rPr>
                <w:rFonts w:cs="Arial"/>
                <w:b/>
                <w:bCs/>
                <w:spacing w:val="1"/>
                <w:sz w:val="20"/>
                <w:szCs w:val="20"/>
                <w:lang w:val="en-US"/>
              </w:rPr>
              <w:t>on</w:t>
            </w:r>
            <w:r w:rsidRPr="00B67571">
              <w:rPr>
                <w:rFonts w:cs="Arial"/>
                <w:b/>
                <w:bCs/>
                <w:sz w:val="20"/>
                <w:szCs w:val="20"/>
                <w:lang w:val="en-US"/>
              </w:rPr>
              <w:t xml:space="preserve">s                                                 </w:t>
            </w:r>
            <w:r w:rsidRPr="00B67571">
              <w:rPr>
                <w:rFonts w:cs="Arial"/>
                <w:b/>
                <w:bCs/>
                <w:spacing w:val="50"/>
                <w:sz w:val="20"/>
                <w:szCs w:val="20"/>
                <w:lang w:val="en-US"/>
              </w:rPr>
              <w:t xml:space="preserve"> </w:t>
            </w:r>
          </w:p>
        </w:tc>
        <w:tc>
          <w:tcPr>
            <w:tcW w:w="1698" w:type="dxa"/>
            <w:shd w:val="clear" w:color="auto" w:fill="auto"/>
          </w:tcPr>
          <w:p w:rsidR="001205B1" w:rsidRPr="00B67571" w:rsidRDefault="001205B1" w:rsidP="00937266">
            <w:pPr>
              <w:spacing w:after="60" w:line="240" w:lineRule="auto"/>
              <w:ind w:left="142"/>
              <w:jc w:val="center"/>
              <w:rPr>
                <w:sz w:val="20"/>
                <w:szCs w:val="20"/>
              </w:rPr>
            </w:pPr>
            <w:r w:rsidRPr="00B67571">
              <w:rPr>
                <w:rFonts w:cs="Arial"/>
                <w:sz w:val="20"/>
                <w:szCs w:val="20"/>
                <w:lang w:val="en-US"/>
              </w:rPr>
              <w:t>17</w:t>
            </w:r>
            <w:r w:rsidRPr="00B67571">
              <w:rPr>
                <w:rFonts w:cs="Arial"/>
                <w:spacing w:val="-3"/>
                <w:sz w:val="20"/>
                <w:szCs w:val="20"/>
                <w:lang w:val="en-US"/>
              </w:rPr>
              <w:t xml:space="preserve"> </w:t>
            </w:r>
            <w:r w:rsidRPr="00B67571">
              <w:rPr>
                <w:rFonts w:cs="Arial"/>
                <w:spacing w:val="1"/>
                <w:sz w:val="20"/>
                <w:szCs w:val="20"/>
                <w:lang w:val="en-US"/>
              </w:rPr>
              <w:t>(</w:t>
            </w:r>
            <w:r w:rsidRPr="00B67571">
              <w:rPr>
                <w:rFonts w:cs="Arial"/>
                <w:sz w:val="20"/>
                <w:szCs w:val="20"/>
                <w:lang w:val="en-US"/>
              </w:rPr>
              <w:t>1.</w:t>
            </w:r>
            <w:r w:rsidRPr="00B67571">
              <w:rPr>
                <w:rFonts w:cs="Arial"/>
                <w:spacing w:val="2"/>
                <w:sz w:val="20"/>
                <w:szCs w:val="20"/>
                <w:lang w:val="en-US"/>
              </w:rPr>
              <w:t>5</w:t>
            </w:r>
            <w:r w:rsidRPr="00B67571">
              <w:rPr>
                <w:rFonts w:cs="Arial"/>
                <w:spacing w:val="1"/>
                <w:sz w:val="20"/>
                <w:szCs w:val="20"/>
                <w:lang w:val="en-US"/>
              </w:rPr>
              <w:t>%</w:t>
            </w:r>
            <w:r w:rsidRPr="00B67571">
              <w:rPr>
                <w:rFonts w:cs="Arial"/>
                <w:sz w:val="20"/>
                <w:szCs w:val="20"/>
                <w:lang w:val="en-US"/>
              </w:rPr>
              <w:t>)</w:t>
            </w:r>
          </w:p>
        </w:tc>
        <w:tc>
          <w:tcPr>
            <w:tcW w:w="1698" w:type="dxa"/>
            <w:shd w:val="clear" w:color="auto" w:fill="auto"/>
          </w:tcPr>
          <w:p w:rsidR="001205B1" w:rsidRPr="00B67571" w:rsidRDefault="001205B1" w:rsidP="00937266">
            <w:pPr>
              <w:spacing w:after="60" w:line="240" w:lineRule="auto"/>
              <w:ind w:left="142"/>
              <w:jc w:val="center"/>
              <w:rPr>
                <w:sz w:val="20"/>
                <w:szCs w:val="20"/>
              </w:rPr>
            </w:pPr>
            <w:r w:rsidRPr="00B67571">
              <w:rPr>
                <w:rFonts w:cs="Arial"/>
                <w:sz w:val="20"/>
                <w:szCs w:val="20"/>
                <w:lang w:val="en-US"/>
              </w:rPr>
              <w:t>10</w:t>
            </w:r>
            <w:r w:rsidRPr="00B67571">
              <w:rPr>
                <w:rFonts w:cs="Arial"/>
                <w:spacing w:val="-3"/>
                <w:sz w:val="20"/>
                <w:szCs w:val="20"/>
                <w:lang w:val="en-US"/>
              </w:rPr>
              <w:t xml:space="preserve"> </w:t>
            </w:r>
            <w:r w:rsidRPr="00B67571">
              <w:rPr>
                <w:rFonts w:cs="Arial"/>
                <w:spacing w:val="1"/>
                <w:sz w:val="20"/>
                <w:szCs w:val="20"/>
                <w:lang w:val="en-US"/>
              </w:rPr>
              <w:t>(</w:t>
            </w:r>
            <w:r w:rsidRPr="00B67571">
              <w:rPr>
                <w:rFonts w:cs="Arial"/>
                <w:sz w:val="20"/>
                <w:szCs w:val="20"/>
                <w:lang w:val="en-US"/>
              </w:rPr>
              <w:t>0.</w:t>
            </w:r>
            <w:r w:rsidRPr="00B67571">
              <w:rPr>
                <w:rFonts w:cs="Arial"/>
                <w:spacing w:val="2"/>
                <w:sz w:val="20"/>
                <w:szCs w:val="20"/>
                <w:lang w:val="en-US"/>
              </w:rPr>
              <w:t>9</w:t>
            </w:r>
            <w:r w:rsidRPr="00B67571">
              <w:rPr>
                <w:rFonts w:cs="Arial"/>
                <w:spacing w:val="1"/>
                <w:sz w:val="20"/>
                <w:szCs w:val="20"/>
                <w:lang w:val="en-US"/>
              </w:rPr>
              <w:t>%</w:t>
            </w:r>
            <w:r w:rsidRPr="00B67571">
              <w:rPr>
                <w:rFonts w:cs="Arial"/>
                <w:sz w:val="20"/>
                <w:szCs w:val="20"/>
                <w:lang w:val="en-US"/>
              </w:rPr>
              <w:t>)</w:t>
            </w:r>
          </w:p>
        </w:tc>
        <w:tc>
          <w:tcPr>
            <w:tcW w:w="1698" w:type="dxa"/>
          </w:tcPr>
          <w:p w:rsidR="001205B1" w:rsidRPr="00B67571" w:rsidRDefault="001205B1" w:rsidP="00937266">
            <w:pPr>
              <w:autoSpaceDE w:val="0"/>
              <w:autoSpaceDN w:val="0"/>
              <w:adjustRightInd w:val="0"/>
              <w:spacing w:after="60" w:line="240" w:lineRule="auto"/>
              <w:ind w:left="142"/>
              <w:jc w:val="center"/>
              <w:rPr>
                <w:rFonts w:cs="Arial"/>
                <w:sz w:val="20"/>
                <w:szCs w:val="20"/>
                <w:lang w:val="en-US"/>
              </w:rPr>
            </w:pPr>
            <w:r w:rsidRPr="00B67571">
              <w:rPr>
                <w:rFonts w:cs="Arial"/>
                <w:sz w:val="20"/>
                <w:szCs w:val="20"/>
                <w:lang w:val="en-US"/>
              </w:rPr>
              <w:t>1 (0.1%)</w:t>
            </w:r>
          </w:p>
        </w:tc>
        <w:tc>
          <w:tcPr>
            <w:tcW w:w="1698" w:type="dxa"/>
          </w:tcPr>
          <w:p w:rsidR="001205B1" w:rsidRPr="00B67571" w:rsidRDefault="001205B1" w:rsidP="00937266">
            <w:pPr>
              <w:autoSpaceDE w:val="0"/>
              <w:autoSpaceDN w:val="0"/>
              <w:adjustRightInd w:val="0"/>
              <w:spacing w:after="60" w:line="240" w:lineRule="auto"/>
              <w:ind w:left="142"/>
              <w:jc w:val="center"/>
              <w:rPr>
                <w:rFonts w:cs="Arial"/>
                <w:sz w:val="20"/>
                <w:szCs w:val="20"/>
                <w:lang w:val="en-US"/>
              </w:rPr>
            </w:pPr>
            <w:r w:rsidRPr="00B67571">
              <w:rPr>
                <w:rFonts w:cs="Arial"/>
                <w:sz w:val="20"/>
                <w:szCs w:val="20"/>
                <w:lang w:val="en-US"/>
              </w:rPr>
              <w:t>1</w:t>
            </w:r>
            <w:r w:rsidRPr="00B67571">
              <w:rPr>
                <w:rFonts w:cs="Arial"/>
                <w:spacing w:val="-2"/>
                <w:sz w:val="20"/>
                <w:szCs w:val="20"/>
                <w:lang w:val="en-US"/>
              </w:rPr>
              <w:t xml:space="preserve"> </w:t>
            </w:r>
            <w:r w:rsidRPr="00B67571">
              <w:rPr>
                <w:rFonts w:cs="Arial"/>
                <w:spacing w:val="1"/>
                <w:sz w:val="20"/>
                <w:szCs w:val="20"/>
                <w:lang w:val="en-US"/>
              </w:rPr>
              <w:t>(</w:t>
            </w:r>
            <w:r w:rsidRPr="00B67571">
              <w:rPr>
                <w:rFonts w:cs="Arial"/>
                <w:sz w:val="20"/>
                <w:szCs w:val="20"/>
                <w:lang w:val="en-US"/>
              </w:rPr>
              <w:t>0.1</w:t>
            </w:r>
            <w:r w:rsidRPr="00B67571">
              <w:rPr>
                <w:rFonts w:cs="Arial"/>
                <w:spacing w:val="1"/>
                <w:sz w:val="20"/>
                <w:szCs w:val="20"/>
                <w:lang w:val="en-US"/>
              </w:rPr>
              <w:t>%</w:t>
            </w:r>
            <w:r w:rsidRPr="00B67571">
              <w:rPr>
                <w:rFonts w:cs="Arial"/>
                <w:sz w:val="20"/>
                <w:szCs w:val="20"/>
                <w:lang w:val="en-US"/>
              </w:rPr>
              <w:t>)</w:t>
            </w:r>
          </w:p>
        </w:tc>
      </w:tr>
    </w:tbl>
    <w:p w:rsidR="001205B1" w:rsidRDefault="001205B1" w:rsidP="00937266">
      <w:pPr>
        <w:pStyle w:val="TblFootnote"/>
        <w:tabs>
          <w:tab w:val="clear" w:pos="259"/>
          <w:tab w:val="left" w:pos="567"/>
        </w:tabs>
        <w:ind w:left="142" w:firstLine="0"/>
      </w:pPr>
      <w:r w:rsidRPr="000275CB">
        <w:softHyphen/>
      </w:r>
      <w:r w:rsidRPr="000275CB">
        <w:softHyphen/>
      </w:r>
      <w:r w:rsidRPr="000275CB">
        <w:rPr>
          <w:rFonts w:eastAsia="Calibri"/>
        </w:rPr>
        <w:t xml:space="preserve"> </w:t>
      </w:r>
      <w:r w:rsidRPr="000275CB">
        <w:t>N=number of patients in the integrated analysis population; n=number of patients.</w:t>
      </w:r>
      <w:r w:rsidR="000A33F0">
        <w:br/>
      </w:r>
      <w:r w:rsidRPr="000275CB">
        <w:rPr>
          <w:vertAlign w:val="superscript"/>
        </w:rPr>
        <w:t>a</w:t>
      </w:r>
      <w:r w:rsidRPr="000275CB">
        <w:t xml:space="preserve"> Upper</w:t>
      </w:r>
      <w:r w:rsidRPr="000275CB">
        <w:rPr>
          <w:spacing w:val="-5"/>
        </w:rPr>
        <w:t xml:space="preserve"> </w:t>
      </w:r>
      <w:r w:rsidRPr="000275CB">
        <w:rPr>
          <w:spacing w:val="1"/>
        </w:rPr>
        <w:t>r</w:t>
      </w:r>
      <w:r w:rsidRPr="000275CB">
        <w:t>e</w:t>
      </w:r>
      <w:r w:rsidRPr="000275CB">
        <w:rPr>
          <w:spacing w:val="1"/>
        </w:rPr>
        <w:t>s</w:t>
      </w:r>
      <w:r w:rsidRPr="000275CB">
        <w:rPr>
          <w:spacing w:val="2"/>
        </w:rPr>
        <w:t>p</w:t>
      </w:r>
      <w:r w:rsidRPr="000275CB">
        <w:rPr>
          <w:spacing w:val="-1"/>
        </w:rPr>
        <w:t>i</w:t>
      </w:r>
      <w:r w:rsidRPr="000275CB">
        <w:rPr>
          <w:spacing w:val="1"/>
        </w:rPr>
        <w:t>r</w:t>
      </w:r>
      <w:r w:rsidRPr="000275CB">
        <w:t>ato</w:t>
      </w:r>
      <w:r w:rsidRPr="000275CB">
        <w:rPr>
          <w:spacing w:val="6"/>
        </w:rPr>
        <w:t>r</w:t>
      </w:r>
      <w:r w:rsidRPr="000275CB">
        <w:t>y</w:t>
      </w:r>
      <w:r w:rsidRPr="000275CB">
        <w:rPr>
          <w:spacing w:val="-12"/>
        </w:rPr>
        <w:t xml:space="preserve"> </w:t>
      </w:r>
      <w:r w:rsidRPr="000275CB">
        <w:t>t</w:t>
      </w:r>
      <w:r w:rsidRPr="000275CB">
        <w:rPr>
          <w:spacing w:val="1"/>
        </w:rPr>
        <w:t>r</w:t>
      </w:r>
      <w:r w:rsidRPr="000275CB">
        <w:t>a</w:t>
      </w:r>
      <w:r w:rsidRPr="000275CB">
        <w:rPr>
          <w:spacing w:val="1"/>
        </w:rPr>
        <w:t>c</w:t>
      </w:r>
      <w:r w:rsidRPr="000275CB">
        <w:t>t</w:t>
      </w:r>
      <w:r w:rsidRPr="000275CB">
        <w:rPr>
          <w:spacing w:val="-2"/>
        </w:rPr>
        <w:t xml:space="preserve"> </w:t>
      </w:r>
      <w:r w:rsidRPr="000275CB">
        <w:rPr>
          <w:spacing w:val="-1"/>
        </w:rPr>
        <w:t>i</w:t>
      </w:r>
      <w:r w:rsidRPr="000275CB">
        <w:t>n</w:t>
      </w:r>
      <w:r w:rsidRPr="000275CB">
        <w:rPr>
          <w:spacing w:val="2"/>
        </w:rPr>
        <w:t>fe</w:t>
      </w:r>
      <w:r w:rsidRPr="000275CB">
        <w:rPr>
          <w:spacing w:val="1"/>
        </w:rPr>
        <w:t>c</w:t>
      </w:r>
      <w:r w:rsidRPr="000275CB">
        <w:t>t</w:t>
      </w:r>
      <w:r w:rsidRPr="000275CB">
        <w:rPr>
          <w:spacing w:val="-1"/>
        </w:rPr>
        <w:t>i</w:t>
      </w:r>
      <w:r w:rsidRPr="000275CB">
        <w:t>on</w:t>
      </w:r>
      <w:r w:rsidRPr="000275CB">
        <w:rPr>
          <w:spacing w:val="-5"/>
        </w:rPr>
        <w:t xml:space="preserve"> </w:t>
      </w:r>
      <w:r w:rsidRPr="000275CB">
        <w:rPr>
          <w:spacing w:val="-1"/>
        </w:rPr>
        <w:t>i</w:t>
      </w:r>
      <w:r w:rsidRPr="000275CB">
        <w:t>n</w:t>
      </w:r>
      <w:r w:rsidRPr="000275CB">
        <w:rPr>
          <w:spacing w:val="1"/>
        </w:rPr>
        <w:t>cl</w:t>
      </w:r>
      <w:r w:rsidRPr="000275CB">
        <w:t>ude</w:t>
      </w:r>
      <w:r w:rsidRPr="000275CB">
        <w:rPr>
          <w:spacing w:val="2"/>
        </w:rPr>
        <w:t>s</w:t>
      </w:r>
      <w:r w:rsidRPr="000275CB">
        <w:t>:</w:t>
      </w:r>
      <w:r w:rsidRPr="000275CB">
        <w:rPr>
          <w:spacing w:val="-6"/>
        </w:rPr>
        <w:t xml:space="preserve"> </w:t>
      </w:r>
      <w:r w:rsidRPr="000275CB">
        <w:t>na</w:t>
      </w:r>
      <w:r w:rsidRPr="000275CB">
        <w:rPr>
          <w:spacing w:val="1"/>
        </w:rPr>
        <w:t>s</w:t>
      </w:r>
      <w:r w:rsidRPr="000275CB">
        <w:t>o</w:t>
      </w:r>
      <w:r w:rsidRPr="000275CB">
        <w:rPr>
          <w:spacing w:val="2"/>
        </w:rPr>
        <w:t>p</w:t>
      </w:r>
      <w:r w:rsidRPr="000275CB">
        <w:t>ha</w:t>
      </w:r>
      <w:r w:rsidRPr="000275CB">
        <w:rPr>
          <w:spacing w:val="3"/>
        </w:rPr>
        <w:t>r</w:t>
      </w:r>
      <w:r w:rsidRPr="000275CB">
        <w:rPr>
          <w:spacing w:val="-4"/>
        </w:rPr>
        <w:t>y</w:t>
      </w:r>
      <w:r w:rsidRPr="000275CB">
        <w:rPr>
          <w:spacing w:val="4"/>
        </w:rPr>
        <w:t>n</w:t>
      </w:r>
      <w:r w:rsidRPr="000275CB">
        <w:t>g</w:t>
      </w:r>
      <w:r w:rsidRPr="000275CB">
        <w:rPr>
          <w:spacing w:val="-1"/>
        </w:rPr>
        <w:t>i</w:t>
      </w:r>
      <w:r w:rsidRPr="000275CB">
        <w:rPr>
          <w:spacing w:val="2"/>
        </w:rPr>
        <w:t>t</w:t>
      </w:r>
      <w:r w:rsidRPr="000275CB">
        <w:rPr>
          <w:spacing w:val="-1"/>
        </w:rPr>
        <w:t>i</w:t>
      </w:r>
      <w:r w:rsidRPr="000275CB">
        <w:t>s</w:t>
      </w:r>
      <w:r w:rsidRPr="000275CB">
        <w:rPr>
          <w:spacing w:val="-13"/>
        </w:rPr>
        <w:t xml:space="preserve"> </w:t>
      </w:r>
      <w:r w:rsidRPr="000275CB">
        <w:t>and</w:t>
      </w:r>
      <w:r w:rsidRPr="000275CB">
        <w:rPr>
          <w:spacing w:val="-1"/>
        </w:rPr>
        <w:t xml:space="preserve"> </w:t>
      </w:r>
      <w:r w:rsidRPr="000275CB">
        <w:t>u</w:t>
      </w:r>
      <w:r w:rsidRPr="000275CB">
        <w:rPr>
          <w:spacing w:val="2"/>
        </w:rPr>
        <w:t>p</w:t>
      </w:r>
      <w:r w:rsidRPr="000275CB">
        <w:t>per</w:t>
      </w:r>
      <w:r w:rsidRPr="000275CB">
        <w:rPr>
          <w:spacing w:val="-5"/>
        </w:rPr>
        <w:t xml:space="preserve"> </w:t>
      </w:r>
      <w:r w:rsidRPr="000275CB">
        <w:rPr>
          <w:spacing w:val="1"/>
        </w:rPr>
        <w:t>r</w:t>
      </w:r>
      <w:r w:rsidRPr="000275CB">
        <w:t>e</w:t>
      </w:r>
      <w:r w:rsidRPr="000275CB">
        <w:rPr>
          <w:spacing w:val="1"/>
        </w:rPr>
        <w:t>s</w:t>
      </w:r>
      <w:r w:rsidRPr="000275CB">
        <w:rPr>
          <w:spacing w:val="2"/>
        </w:rPr>
        <w:t>p</w:t>
      </w:r>
      <w:r w:rsidRPr="000275CB">
        <w:rPr>
          <w:spacing w:val="-1"/>
        </w:rPr>
        <w:t>i</w:t>
      </w:r>
      <w:r w:rsidRPr="000275CB">
        <w:rPr>
          <w:spacing w:val="1"/>
        </w:rPr>
        <w:t>r</w:t>
      </w:r>
      <w:r w:rsidRPr="000275CB">
        <w:t>ato</w:t>
      </w:r>
      <w:r w:rsidRPr="000275CB">
        <w:rPr>
          <w:spacing w:val="6"/>
        </w:rPr>
        <w:t>r</w:t>
      </w:r>
      <w:r w:rsidRPr="000275CB">
        <w:t>y</w:t>
      </w:r>
      <w:r w:rsidRPr="000275CB">
        <w:rPr>
          <w:spacing w:val="-13"/>
        </w:rPr>
        <w:t xml:space="preserve"> </w:t>
      </w:r>
      <w:r w:rsidRPr="000275CB">
        <w:rPr>
          <w:spacing w:val="2"/>
        </w:rPr>
        <w:t>t</w:t>
      </w:r>
      <w:r w:rsidRPr="000275CB">
        <w:rPr>
          <w:spacing w:val="1"/>
        </w:rPr>
        <w:t>r</w:t>
      </w:r>
      <w:r w:rsidRPr="000275CB">
        <w:t>a</w:t>
      </w:r>
      <w:r w:rsidRPr="000275CB">
        <w:rPr>
          <w:spacing w:val="1"/>
        </w:rPr>
        <w:t>c</w:t>
      </w:r>
      <w:r w:rsidRPr="000275CB">
        <w:t>t</w:t>
      </w:r>
      <w:r w:rsidRPr="000275CB">
        <w:rPr>
          <w:spacing w:val="-5"/>
        </w:rPr>
        <w:t xml:space="preserve"> </w:t>
      </w:r>
      <w:r w:rsidRPr="000275CB">
        <w:rPr>
          <w:spacing w:val="-1"/>
        </w:rPr>
        <w:t>i</w:t>
      </w:r>
      <w:r w:rsidRPr="000275CB">
        <w:t>n</w:t>
      </w:r>
      <w:r w:rsidRPr="000275CB">
        <w:rPr>
          <w:spacing w:val="2"/>
        </w:rPr>
        <w:t>f</w:t>
      </w:r>
      <w:r w:rsidRPr="000275CB">
        <w:t>e</w:t>
      </w:r>
      <w:r w:rsidRPr="000275CB">
        <w:rPr>
          <w:spacing w:val="1"/>
        </w:rPr>
        <w:t>c</w:t>
      </w:r>
      <w:r w:rsidRPr="000275CB">
        <w:t>t</w:t>
      </w:r>
      <w:r w:rsidRPr="000275CB">
        <w:rPr>
          <w:spacing w:val="-1"/>
        </w:rPr>
        <w:t>i</w:t>
      </w:r>
      <w:r w:rsidRPr="000275CB">
        <w:t>on</w:t>
      </w:r>
      <w:r w:rsidR="000A33F0">
        <w:br/>
      </w:r>
      <w:r w:rsidRPr="000275CB">
        <w:rPr>
          <w:vertAlign w:val="superscript"/>
        </w:rPr>
        <w:t>b</w:t>
      </w:r>
      <w:r w:rsidRPr="000275CB">
        <w:t xml:space="preserve"> Etanercept data from UNCOVER-2 and UNCOVER-3 only.</w:t>
      </w:r>
    </w:p>
    <w:p w:rsidR="000A33F0" w:rsidRPr="000275CB" w:rsidRDefault="000A33F0" w:rsidP="00937266">
      <w:pPr>
        <w:autoSpaceDE w:val="0"/>
        <w:autoSpaceDN w:val="0"/>
        <w:adjustRightInd w:val="0"/>
        <w:spacing w:after="0" w:line="240" w:lineRule="auto"/>
        <w:ind w:left="142"/>
        <w:rPr>
          <w:rFonts w:cs="Arial"/>
          <w:position w:val="-1"/>
          <w:sz w:val="18"/>
          <w:szCs w:val="16"/>
          <w:lang w:val="en-US"/>
        </w:rPr>
      </w:pPr>
    </w:p>
    <w:p w:rsidR="001205B1" w:rsidRPr="001205B1" w:rsidRDefault="001205B1" w:rsidP="00937266">
      <w:pPr>
        <w:ind w:left="142"/>
        <w:rPr>
          <w:lang w:val="en-US"/>
        </w:rPr>
      </w:pPr>
      <w:r w:rsidRPr="001205B1">
        <w:rPr>
          <w:lang w:val="en-US"/>
        </w:rPr>
        <w:lastRenderedPageBreak/>
        <w:t>Adverse reactions that occurred at rates less than 1% in the placebo-controlled clinical trials UNCOVER-1, UNCOVER-2 and UNCOVER-3 through to week 12 included: influenza, rhinitis, conjunctivitis, urticaria</w:t>
      </w:r>
      <w:r w:rsidR="000345C4">
        <w:rPr>
          <w:lang w:val="en-US"/>
        </w:rPr>
        <w:t>,</w:t>
      </w:r>
      <w:r w:rsidRPr="001205B1">
        <w:rPr>
          <w:lang w:val="en-US"/>
        </w:rPr>
        <w:t xml:space="preserve">  oral candidiasis</w:t>
      </w:r>
      <w:r w:rsidR="000345C4">
        <w:rPr>
          <w:lang w:val="en-US"/>
        </w:rPr>
        <w:t xml:space="preserve"> and inflammatory bowel disease (including Crohn’s disease and ulcerative colitis)</w:t>
      </w:r>
      <w:r w:rsidRPr="001205B1">
        <w:rPr>
          <w:lang w:val="en-US"/>
        </w:rPr>
        <w:t>.</w:t>
      </w:r>
    </w:p>
    <w:p w:rsidR="0036316B" w:rsidRPr="001205B1" w:rsidRDefault="001205B1" w:rsidP="00937266">
      <w:pPr>
        <w:ind w:left="142"/>
      </w:pPr>
      <w:r w:rsidRPr="001205B1">
        <w:rPr>
          <w:spacing w:val="-3"/>
        </w:rPr>
        <w:t>I</w:t>
      </w:r>
      <w:r w:rsidRPr="001205B1">
        <w:t xml:space="preserve">n </w:t>
      </w:r>
      <w:r w:rsidRPr="001205B1">
        <w:rPr>
          <w:spacing w:val="1"/>
        </w:rPr>
        <w:t>t</w:t>
      </w:r>
      <w:r w:rsidRPr="001205B1">
        <w:t>he</w:t>
      </w:r>
      <w:r w:rsidRPr="001205B1">
        <w:rPr>
          <w:spacing w:val="1"/>
        </w:rPr>
        <w:t xml:space="preserve"> </w:t>
      </w:r>
      <w:r w:rsidRPr="001205B1">
        <w:t>two c</w:t>
      </w:r>
      <w:r w:rsidRPr="001205B1">
        <w:rPr>
          <w:spacing w:val="1"/>
        </w:rPr>
        <w:t>l</w:t>
      </w:r>
      <w:r w:rsidRPr="001205B1">
        <w:rPr>
          <w:spacing w:val="-1"/>
        </w:rPr>
        <w:t>i</w:t>
      </w:r>
      <w:r w:rsidRPr="001205B1">
        <w:t>n</w:t>
      </w:r>
      <w:r w:rsidRPr="001205B1">
        <w:rPr>
          <w:spacing w:val="1"/>
        </w:rPr>
        <w:t>i</w:t>
      </w:r>
      <w:r w:rsidRPr="001205B1">
        <w:rPr>
          <w:spacing w:val="-2"/>
        </w:rPr>
        <w:t>c</w:t>
      </w:r>
      <w:r w:rsidRPr="001205B1">
        <w:t>al</w:t>
      </w:r>
      <w:r w:rsidRPr="001205B1">
        <w:rPr>
          <w:spacing w:val="-1"/>
        </w:rPr>
        <w:t xml:space="preserve"> </w:t>
      </w:r>
      <w:r w:rsidRPr="001205B1">
        <w:t>trials</w:t>
      </w:r>
      <w:r w:rsidRPr="001205B1">
        <w:rPr>
          <w:spacing w:val="1"/>
        </w:rPr>
        <w:t xml:space="preserve"> t</w:t>
      </w:r>
      <w:r w:rsidRPr="001205B1">
        <w:rPr>
          <w:spacing w:val="-2"/>
        </w:rPr>
        <w:t>h</w:t>
      </w:r>
      <w:r w:rsidRPr="001205B1">
        <w:t>at</w:t>
      </w:r>
      <w:r w:rsidRPr="001205B1">
        <w:rPr>
          <w:spacing w:val="-1"/>
        </w:rPr>
        <w:t xml:space="preserve"> </w:t>
      </w:r>
      <w:r w:rsidRPr="001205B1">
        <w:rPr>
          <w:spacing w:val="1"/>
        </w:rPr>
        <w:t>i</w:t>
      </w:r>
      <w:r w:rsidRPr="001205B1">
        <w:t>n</w:t>
      </w:r>
      <w:r w:rsidRPr="001205B1">
        <w:rPr>
          <w:spacing w:val="-2"/>
        </w:rPr>
        <w:t>c</w:t>
      </w:r>
      <w:r w:rsidRPr="001205B1">
        <w:rPr>
          <w:spacing w:val="1"/>
        </w:rPr>
        <w:t>l</w:t>
      </w:r>
      <w:r w:rsidRPr="001205B1">
        <w:t>uded</w:t>
      </w:r>
      <w:r w:rsidRPr="001205B1">
        <w:rPr>
          <w:spacing w:val="-2"/>
        </w:rPr>
        <w:t xml:space="preserve"> </w:t>
      </w:r>
      <w:r w:rsidRPr="001205B1">
        <w:t>etanercept</w:t>
      </w:r>
      <w:r w:rsidRPr="001205B1">
        <w:rPr>
          <w:spacing w:val="-1"/>
        </w:rPr>
        <w:t xml:space="preserve"> </w:t>
      </w:r>
      <w:r w:rsidRPr="001205B1">
        <w:rPr>
          <w:spacing w:val="1"/>
        </w:rPr>
        <w:t>(</w:t>
      </w:r>
      <w:r w:rsidRPr="001205B1">
        <w:rPr>
          <w:spacing w:val="-1"/>
        </w:rPr>
        <w:t>UNCO</w:t>
      </w:r>
      <w:r w:rsidRPr="001205B1">
        <w:rPr>
          <w:spacing w:val="1"/>
        </w:rPr>
        <w:t>V</w:t>
      </w:r>
      <w:r w:rsidRPr="001205B1">
        <w:t>E</w:t>
      </w:r>
      <w:r w:rsidRPr="001205B1">
        <w:rPr>
          <w:spacing w:val="-2"/>
        </w:rPr>
        <w:t>R</w:t>
      </w:r>
      <w:r w:rsidRPr="001205B1">
        <w:rPr>
          <w:spacing w:val="-3"/>
        </w:rPr>
        <w:t>-</w:t>
      </w:r>
      <w:r w:rsidRPr="001205B1">
        <w:t xml:space="preserve">2 and </w:t>
      </w:r>
      <w:r w:rsidRPr="001205B1">
        <w:rPr>
          <w:spacing w:val="-1"/>
        </w:rPr>
        <w:t>UNCO</w:t>
      </w:r>
      <w:r w:rsidRPr="001205B1">
        <w:rPr>
          <w:spacing w:val="1"/>
        </w:rPr>
        <w:t>V</w:t>
      </w:r>
      <w:r w:rsidRPr="001205B1">
        <w:t>E</w:t>
      </w:r>
      <w:r w:rsidRPr="001205B1">
        <w:rPr>
          <w:spacing w:val="-1"/>
        </w:rPr>
        <w:t>R</w:t>
      </w:r>
      <w:r w:rsidRPr="001205B1">
        <w:rPr>
          <w:spacing w:val="-3"/>
        </w:rPr>
        <w:t>-</w:t>
      </w:r>
      <w:r w:rsidRPr="001205B1">
        <w:t>3</w:t>
      </w:r>
      <w:r w:rsidRPr="001205B1">
        <w:rPr>
          <w:spacing w:val="1"/>
        </w:rPr>
        <w:t>)</w:t>
      </w:r>
      <w:r w:rsidRPr="001205B1">
        <w:t xml:space="preserve">, </w:t>
      </w:r>
      <w:r w:rsidRPr="001205B1">
        <w:rPr>
          <w:spacing w:val="1"/>
        </w:rPr>
        <w:t>t</w:t>
      </w:r>
      <w:r w:rsidRPr="001205B1">
        <w:t>he</w:t>
      </w:r>
      <w:r w:rsidRPr="001205B1">
        <w:rPr>
          <w:spacing w:val="1"/>
        </w:rPr>
        <w:t xml:space="preserve"> r</w:t>
      </w:r>
      <w:r w:rsidRPr="001205B1">
        <w:rPr>
          <w:spacing w:val="-2"/>
        </w:rPr>
        <w:t>a</w:t>
      </w:r>
      <w:r w:rsidRPr="001205B1">
        <w:rPr>
          <w:spacing w:val="1"/>
        </w:rPr>
        <w:t>t</w:t>
      </w:r>
      <w:r w:rsidRPr="001205B1">
        <w:t>e of</w:t>
      </w:r>
      <w:r w:rsidRPr="001205B1">
        <w:rPr>
          <w:spacing w:val="1"/>
        </w:rPr>
        <w:t xml:space="preserve"> </w:t>
      </w:r>
      <w:r w:rsidRPr="001205B1">
        <w:t>s</w:t>
      </w:r>
      <w:r w:rsidRPr="001205B1">
        <w:rPr>
          <w:spacing w:val="-2"/>
        </w:rPr>
        <w:t>e</w:t>
      </w:r>
      <w:r w:rsidRPr="001205B1">
        <w:rPr>
          <w:spacing w:val="1"/>
        </w:rPr>
        <w:t>r</w:t>
      </w:r>
      <w:r w:rsidRPr="001205B1">
        <w:rPr>
          <w:spacing w:val="-1"/>
        </w:rPr>
        <w:t>i</w:t>
      </w:r>
      <w:r w:rsidRPr="001205B1">
        <w:t>ous</w:t>
      </w:r>
      <w:r w:rsidRPr="001205B1">
        <w:rPr>
          <w:spacing w:val="1"/>
        </w:rPr>
        <w:t xml:space="preserve"> </w:t>
      </w:r>
      <w:r w:rsidRPr="001205B1">
        <w:rPr>
          <w:spacing w:val="-2"/>
        </w:rPr>
        <w:t>a</w:t>
      </w:r>
      <w:r w:rsidRPr="001205B1">
        <w:t>d</w:t>
      </w:r>
      <w:r w:rsidRPr="001205B1">
        <w:rPr>
          <w:spacing w:val="-2"/>
        </w:rPr>
        <w:t>v</w:t>
      </w:r>
      <w:r w:rsidRPr="001205B1">
        <w:t>e</w:t>
      </w:r>
      <w:r w:rsidRPr="001205B1">
        <w:rPr>
          <w:spacing w:val="1"/>
        </w:rPr>
        <w:t>r</w:t>
      </w:r>
      <w:r w:rsidRPr="001205B1">
        <w:t>se</w:t>
      </w:r>
      <w:r w:rsidRPr="001205B1">
        <w:rPr>
          <w:spacing w:val="-1"/>
        </w:rPr>
        <w:t xml:space="preserve"> </w:t>
      </w:r>
      <w:r w:rsidRPr="001205B1">
        <w:t>e</w:t>
      </w:r>
      <w:r w:rsidRPr="001205B1">
        <w:rPr>
          <w:spacing w:val="-2"/>
        </w:rPr>
        <w:t>v</w:t>
      </w:r>
      <w:r w:rsidRPr="001205B1">
        <w:t>en</w:t>
      </w:r>
      <w:r w:rsidRPr="001205B1">
        <w:rPr>
          <w:spacing w:val="1"/>
        </w:rPr>
        <w:t>t</w:t>
      </w:r>
      <w:r w:rsidRPr="001205B1">
        <w:t>s</w:t>
      </w:r>
      <w:r w:rsidRPr="001205B1">
        <w:rPr>
          <w:spacing w:val="1"/>
        </w:rPr>
        <w:t xml:space="preserve"> </w:t>
      </w:r>
      <w:r w:rsidRPr="001205B1">
        <w:rPr>
          <w:spacing w:val="-3"/>
        </w:rPr>
        <w:t>w</w:t>
      </w:r>
      <w:r w:rsidRPr="001205B1">
        <w:t>as</w:t>
      </w:r>
      <w:r w:rsidRPr="001205B1">
        <w:rPr>
          <w:spacing w:val="1"/>
        </w:rPr>
        <w:t xml:space="preserve"> </w:t>
      </w:r>
      <w:r w:rsidRPr="001205B1">
        <w:t>1.9%</w:t>
      </w:r>
      <w:r w:rsidRPr="001205B1">
        <w:rPr>
          <w:spacing w:val="1"/>
        </w:rPr>
        <w:t xml:space="preserve"> </w:t>
      </w:r>
      <w:r w:rsidRPr="001205B1">
        <w:rPr>
          <w:spacing w:val="-1"/>
        </w:rPr>
        <w:t>f</w:t>
      </w:r>
      <w:r w:rsidRPr="001205B1">
        <w:t>or</w:t>
      </w:r>
      <w:r w:rsidRPr="001205B1">
        <w:rPr>
          <w:spacing w:val="1"/>
        </w:rPr>
        <w:t xml:space="preserve"> </w:t>
      </w:r>
      <w:r w:rsidRPr="001205B1">
        <w:t>b</w:t>
      </w:r>
      <w:r w:rsidRPr="001205B1">
        <w:rPr>
          <w:spacing w:val="-2"/>
        </w:rPr>
        <w:t>o</w:t>
      </w:r>
      <w:r w:rsidRPr="001205B1">
        <w:rPr>
          <w:spacing w:val="1"/>
        </w:rPr>
        <w:t>t</w:t>
      </w:r>
      <w:r w:rsidRPr="001205B1">
        <w:t>h</w:t>
      </w:r>
      <w:r w:rsidRPr="001205B1">
        <w:rPr>
          <w:spacing w:val="-2"/>
        </w:rPr>
        <w:t xml:space="preserve"> </w:t>
      </w:r>
      <w:r w:rsidRPr="001205B1">
        <w:t>e</w:t>
      </w:r>
      <w:r w:rsidRPr="001205B1">
        <w:rPr>
          <w:spacing w:val="1"/>
        </w:rPr>
        <w:t>t</w:t>
      </w:r>
      <w:r w:rsidRPr="001205B1">
        <w:rPr>
          <w:spacing w:val="-2"/>
        </w:rPr>
        <w:t>a</w:t>
      </w:r>
      <w:r w:rsidRPr="001205B1">
        <w:t>ne</w:t>
      </w:r>
      <w:r w:rsidRPr="001205B1">
        <w:rPr>
          <w:spacing w:val="-1"/>
        </w:rPr>
        <w:t>r</w:t>
      </w:r>
      <w:r w:rsidRPr="001205B1">
        <w:t>ce</w:t>
      </w:r>
      <w:r w:rsidRPr="001205B1">
        <w:rPr>
          <w:spacing w:val="-2"/>
        </w:rPr>
        <w:t>p</w:t>
      </w:r>
      <w:r w:rsidRPr="001205B1">
        <w:t>t</w:t>
      </w:r>
      <w:r w:rsidRPr="001205B1">
        <w:rPr>
          <w:spacing w:val="1"/>
        </w:rPr>
        <w:t xml:space="preserve"> </w:t>
      </w:r>
      <w:r w:rsidRPr="001205B1">
        <w:t>and</w:t>
      </w:r>
      <w:r w:rsidRPr="001205B1">
        <w:rPr>
          <w:spacing w:val="-2"/>
        </w:rPr>
        <w:t xml:space="preserve"> </w:t>
      </w:r>
      <w:r w:rsidRPr="001205B1">
        <w:rPr>
          <w:spacing w:val="1"/>
        </w:rPr>
        <w:t>T</w:t>
      </w:r>
      <w:r w:rsidRPr="001205B1">
        <w:t>A</w:t>
      </w:r>
      <w:r w:rsidRPr="001205B1">
        <w:rPr>
          <w:spacing w:val="-1"/>
        </w:rPr>
        <w:t>L</w:t>
      </w:r>
      <w:r w:rsidRPr="001205B1">
        <w:rPr>
          <w:spacing w:val="1"/>
        </w:rPr>
        <w:t>T</w:t>
      </w:r>
      <w:r w:rsidRPr="001205B1">
        <w:rPr>
          <w:spacing w:val="-2"/>
        </w:rPr>
        <w:t>Z</w:t>
      </w:r>
      <w:r w:rsidRPr="001205B1">
        <w:t>, and</w:t>
      </w:r>
      <w:r w:rsidRPr="001205B1">
        <w:rPr>
          <w:spacing w:val="-2"/>
        </w:rPr>
        <w:t xml:space="preserve"> </w:t>
      </w:r>
      <w:r w:rsidRPr="001205B1">
        <w:rPr>
          <w:spacing w:val="1"/>
        </w:rPr>
        <w:t>t</w:t>
      </w:r>
      <w:r w:rsidRPr="001205B1">
        <w:t>he</w:t>
      </w:r>
      <w:r w:rsidRPr="001205B1">
        <w:rPr>
          <w:spacing w:val="-1"/>
        </w:rPr>
        <w:t xml:space="preserve"> </w:t>
      </w:r>
      <w:r w:rsidRPr="001205B1">
        <w:rPr>
          <w:spacing w:val="1"/>
        </w:rPr>
        <w:t>r</w:t>
      </w:r>
      <w:r w:rsidRPr="001205B1">
        <w:t>a</w:t>
      </w:r>
      <w:r w:rsidRPr="001205B1">
        <w:rPr>
          <w:spacing w:val="-1"/>
        </w:rPr>
        <w:t>t</w:t>
      </w:r>
      <w:r w:rsidRPr="001205B1">
        <w:t>e</w:t>
      </w:r>
      <w:r w:rsidRPr="001205B1">
        <w:rPr>
          <w:spacing w:val="-1"/>
        </w:rPr>
        <w:t xml:space="preserve"> </w:t>
      </w:r>
      <w:r w:rsidRPr="001205B1">
        <w:t>of</w:t>
      </w:r>
      <w:r w:rsidRPr="001205B1">
        <w:rPr>
          <w:spacing w:val="1"/>
        </w:rPr>
        <w:t xml:space="preserve"> </w:t>
      </w:r>
      <w:r w:rsidRPr="001205B1">
        <w:t>d</w:t>
      </w:r>
      <w:r w:rsidRPr="001205B1">
        <w:rPr>
          <w:spacing w:val="-1"/>
        </w:rPr>
        <w:t>i</w:t>
      </w:r>
      <w:r w:rsidRPr="001205B1">
        <w:t>sco</w:t>
      </w:r>
      <w:r w:rsidRPr="001205B1">
        <w:rPr>
          <w:spacing w:val="-2"/>
        </w:rPr>
        <w:t>n</w:t>
      </w:r>
      <w:r w:rsidRPr="001205B1">
        <w:rPr>
          <w:spacing w:val="1"/>
        </w:rPr>
        <w:t>t</w:t>
      </w:r>
      <w:r w:rsidRPr="001205B1">
        <w:rPr>
          <w:spacing w:val="-1"/>
        </w:rPr>
        <w:t>i</w:t>
      </w:r>
      <w:r w:rsidRPr="001205B1">
        <w:t>nu</w:t>
      </w:r>
      <w:r w:rsidRPr="001205B1">
        <w:rPr>
          <w:spacing w:val="-2"/>
        </w:rPr>
        <w:t>a</w:t>
      </w:r>
      <w:r w:rsidRPr="001205B1">
        <w:rPr>
          <w:spacing w:val="1"/>
        </w:rPr>
        <w:t>ti</w:t>
      </w:r>
      <w:r w:rsidRPr="001205B1">
        <w:t>on due</w:t>
      </w:r>
      <w:r w:rsidRPr="001205B1">
        <w:rPr>
          <w:spacing w:val="1"/>
        </w:rPr>
        <w:t xml:space="preserve"> t</w:t>
      </w:r>
      <w:r w:rsidRPr="001205B1">
        <w:t>o</w:t>
      </w:r>
      <w:r w:rsidRPr="001205B1">
        <w:rPr>
          <w:spacing w:val="-2"/>
        </w:rPr>
        <w:t xml:space="preserve"> </w:t>
      </w:r>
      <w:r w:rsidRPr="001205B1">
        <w:t>ad</w:t>
      </w:r>
      <w:r w:rsidRPr="001205B1">
        <w:rPr>
          <w:spacing w:val="-2"/>
        </w:rPr>
        <w:t>v</w:t>
      </w:r>
      <w:r w:rsidRPr="001205B1">
        <w:t>e</w:t>
      </w:r>
      <w:r w:rsidRPr="001205B1">
        <w:rPr>
          <w:spacing w:val="1"/>
        </w:rPr>
        <w:t>r</w:t>
      </w:r>
      <w:r w:rsidRPr="001205B1">
        <w:rPr>
          <w:spacing w:val="-2"/>
        </w:rPr>
        <w:t>s</w:t>
      </w:r>
      <w:r w:rsidRPr="001205B1">
        <w:t>e</w:t>
      </w:r>
      <w:r w:rsidRPr="001205B1">
        <w:rPr>
          <w:spacing w:val="1"/>
        </w:rPr>
        <w:t xml:space="preserve"> </w:t>
      </w:r>
      <w:r w:rsidRPr="001205B1">
        <w:t>e</w:t>
      </w:r>
      <w:r w:rsidRPr="001205B1">
        <w:rPr>
          <w:spacing w:val="-2"/>
        </w:rPr>
        <w:t>v</w:t>
      </w:r>
      <w:r w:rsidRPr="001205B1">
        <w:t>en</w:t>
      </w:r>
      <w:r w:rsidRPr="001205B1">
        <w:rPr>
          <w:spacing w:val="1"/>
        </w:rPr>
        <w:t>t</w:t>
      </w:r>
      <w:r w:rsidRPr="001205B1">
        <w:t>s</w:t>
      </w:r>
      <w:r w:rsidRPr="001205B1">
        <w:rPr>
          <w:spacing w:val="-1"/>
        </w:rPr>
        <w:t xml:space="preserve"> w</w:t>
      </w:r>
      <w:r w:rsidRPr="001205B1">
        <w:t>as</w:t>
      </w:r>
      <w:r w:rsidRPr="001205B1">
        <w:rPr>
          <w:spacing w:val="1"/>
        </w:rPr>
        <w:t xml:space="preserve"> </w:t>
      </w:r>
      <w:r w:rsidRPr="001205B1">
        <w:rPr>
          <w:spacing w:val="-2"/>
        </w:rPr>
        <w:t>1</w:t>
      </w:r>
      <w:r w:rsidRPr="001205B1">
        <w:t>.2%</w:t>
      </w:r>
      <w:r w:rsidRPr="001205B1">
        <w:rPr>
          <w:spacing w:val="-1"/>
        </w:rPr>
        <w:t xml:space="preserve"> </w:t>
      </w:r>
      <w:r w:rsidRPr="001205B1">
        <w:rPr>
          <w:spacing w:val="1"/>
        </w:rPr>
        <w:t>f</w:t>
      </w:r>
      <w:r w:rsidRPr="001205B1">
        <w:t>or</w:t>
      </w:r>
      <w:r w:rsidRPr="001205B1">
        <w:rPr>
          <w:spacing w:val="-1"/>
        </w:rPr>
        <w:t xml:space="preserve"> </w:t>
      </w:r>
      <w:r w:rsidRPr="001205B1">
        <w:t>e</w:t>
      </w:r>
      <w:r w:rsidRPr="001205B1">
        <w:rPr>
          <w:spacing w:val="1"/>
        </w:rPr>
        <w:t>t</w:t>
      </w:r>
      <w:r w:rsidRPr="001205B1">
        <w:rPr>
          <w:spacing w:val="-2"/>
        </w:rPr>
        <w:t>a</w:t>
      </w:r>
      <w:r w:rsidRPr="001205B1">
        <w:t>ne</w:t>
      </w:r>
      <w:r w:rsidRPr="001205B1">
        <w:rPr>
          <w:spacing w:val="-1"/>
        </w:rPr>
        <w:t>r</w:t>
      </w:r>
      <w:r w:rsidRPr="001205B1">
        <w:t>ce</w:t>
      </w:r>
      <w:r w:rsidRPr="001205B1">
        <w:rPr>
          <w:spacing w:val="-2"/>
        </w:rPr>
        <w:t>p</w:t>
      </w:r>
      <w:r w:rsidRPr="001205B1">
        <w:t>t</w:t>
      </w:r>
      <w:r w:rsidRPr="001205B1">
        <w:rPr>
          <w:spacing w:val="1"/>
        </w:rPr>
        <w:t xml:space="preserve"> </w:t>
      </w:r>
      <w:r w:rsidRPr="001205B1">
        <w:t>and</w:t>
      </w:r>
      <w:r w:rsidRPr="001205B1">
        <w:rPr>
          <w:spacing w:val="-2"/>
        </w:rPr>
        <w:t xml:space="preserve"> </w:t>
      </w:r>
      <w:r w:rsidRPr="001205B1">
        <w:t>2.0%</w:t>
      </w:r>
      <w:r w:rsidRPr="001205B1">
        <w:rPr>
          <w:spacing w:val="1"/>
        </w:rPr>
        <w:t xml:space="preserve"> f</w:t>
      </w:r>
      <w:r w:rsidRPr="001205B1">
        <w:rPr>
          <w:spacing w:val="-2"/>
        </w:rPr>
        <w:t>o</w:t>
      </w:r>
      <w:r w:rsidRPr="001205B1">
        <w:t>r</w:t>
      </w:r>
      <w:r w:rsidRPr="001205B1">
        <w:rPr>
          <w:spacing w:val="-1"/>
        </w:rPr>
        <w:t xml:space="preserve"> </w:t>
      </w:r>
      <w:r w:rsidRPr="001205B1">
        <w:rPr>
          <w:spacing w:val="2"/>
        </w:rPr>
        <w:t>T</w:t>
      </w:r>
      <w:r w:rsidRPr="001205B1">
        <w:rPr>
          <w:spacing w:val="-2"/>
        </w:rPr>
        <w:t>A</w:t>
      </w:r>
      <w:r w:rsidRPr="001205B1">
        <w:rPr>
          <w:spacing w:val="1"/>
        </w:rPr>
        <w:t>LT</w:t>
      </w:r>
      <w:r w:rsidRPr="001205B1">
        <w:rPr>
          <w:spacing w:val="-2"/>
        </w:rPr>
        <w:t>Z</w:t>
      </w:r>
      <w:r w:rsidRPr="001205B1">
        <w:t>.</w:t>
      </w:r>
      <w:r w:rsidRPr="001205B1">
        <w:rPr>
          <w:spacing w:val="-2"/>
        </w:rPr>
        <w:t xml:space="preserve"> </w:t>
      </w:r>
      <w:r w:rsidRPr="001205B1">
        <w:rPr>
          <w:spacing w:val="1"/>
        </w:rPr>
        <w:t>T</w:t>
      </w:r>
      <w:r w:rsidRPr="001205B1">
        <w:t>he</w:t>
      </w:r>
      <w:r w:rsidRPr="001205B1">
        <w:rPr>
          <w:spacing w:val="-1"/>
        </w:rPr>
        <w:t xml:space="preserve"> </w:t>
      </w:r>
      <w:r w:rsidRPr="001205B1">
        <w:rPr>
          <w:spacing w:val="1"/>
        </w:rPr>
        <w:t>r</w:t>
      </w:r>
      <w:r w:rsidRPr="001205B1">
        <w:rPr>
          <w:spacing w:val="-2"/>
        </w:rPr>
        <w:t>a</w:t>
      </w:r>
      <w:r w:rsidRPr="001205B1">
        <w:rPr>
          <w:spacing w:val="1"/>
        </w:rPr>
        <w:t>t</w:t>
      </w:r>
      <w:r w:rsidRPr="001205B1">
        <w:t>e</w:t>
      </w:r>
      <w:r w:rsidRPr="001205B1">
        <w:rPr>
          <w:spacing w:val="1"/>
        </w:rPr>
        <w:t xml:space="preserve"> </w:t>
      </w:r>
      <w:r w:rsidRPr="001205B1">
        <w:rPr>
          <w:spacing w:val="-2"/>
        </w:rPr>
        <w:t>o</w:t>
      </w:r>
      <w:r w:rsidRPr="001205B1">
        <w:t>f</w:t>
      </w:r>
      <w:r w:rsidRPr="001205B1">
        <w:rPr>
          <w:spacing w:val="1"/>
        </w:rPr>
        <w:t xml:space="preserve"> i</w:t>
      </w:r>
      <w:r w:rsidRPr="001205B1">
        <w:rPr>
          <w:spacing w:val="-2"/>
        </w:rPr>
        <w:t>n</w:t>
      </w:r>
      <w:r w:rsidRPr="001205B1">
        <w:rPr>
          <w:spacing w:val="-1"/>
        </w:rPr>
        <w:t>f</w:t>
      </w:r>
      <w:r w:rsidRPr="001205B1">
        <w:t>ec</w:t>
      </w:r>
      <w:r w:rsidRPr="001205B1">
        <w:rPr>
          <w:spacing w:val="-1"/>
        </w:rPr>
        <w:t>t</w:t>
      </w:r>
      <w:r w:rsidRPr="001205B1">
        <w:rPr>
          <w:spacing w:val="1"/>
        </w:rPr>
        <w:t>i</w:t>
      </w:r>
      <w:r w:rsidRPr="001205B1">
        <w:t>ons</w:t>
      </w:r>
      <w:r w:rsidRPr="001205B1">
        <w:rPr>
          <w:spacing w:val="1"/>
        </w:rPr>
        <w:t xml:space="preserve"> </w:t>
      </w:r>
      <w:r w:rsidRPr="001205B1">
        <w:rPr>
          <w:spacing w:val="-3"/>
        </w:rPr>
        <w:t>w</w:t>
      </w:r>
      <w:r w:rsidRPr="001205B1">
        <w:t>as</w:t>
      </w:r>
      <w:r w:rsidRPr="001205B1">
        <w:rPr>
          <w:spacing w:val="1"/>
        </w:rPr>
        <w:t xml:space="preserve"> </w:t>
      </w:r>
      <w:r w:rsidRPr="001205B1">
        <w:t xml:space="preserve">21.5% </w:t>
      </w:r>
      <w:r w:rsidRPr="001205B1">
        <w:rPr>
          <w:spacing w:val="1"/>
        </w:rPr>
        <w:t>f</w:t>
      </w:r>
      <w:r w:rsidRPr="001205B1">
        <w:t>or</w:t>
      </w:r>
      <w:r w:rsidRPr="001205B1">
        <w:rPr>
          <w:spacing w:val="1"/>
        </w:rPr>
        <w:t xml:space="preserve"> </w:t>
      </w:r>
      <w:r w:rsidRPr="001205B1">
        <w:rPr>
          <w:spacing w:val="-2"/>
        </w:rPr>
        <w:t>e</w:t>
      </w:r>
      <w:r w:rsidRPr="001205B1">
        <w:rPr>
          <w:spacing w:val="1"/>
        </w:rPr>
        <w:t>t</w:t>
      </w:r>
      <w:r w:rsidRPr="001205B1">
        <w:rPr>
          <w:spacing w:val="-2"/>
        </w:rPr>
        <w:t>a</w:t>
      </w:r>
      <w:r w:rsidRPr="001205B1">
        <w:t>ne</w:t>
      </w:r>
      <w:r w:rsidRPr="001205B1">
        <w:rPr>
          <w:spacing w:val="-1"/>
        </w:rPr>
        <w:t>r</w:t>
      </w:r>
      <w:r w:rsidRPr="001205B1">
        <w:t>ce</w:t>
      </w:r>
      <w:r w:rsidRPr="001205B1">
        <w:rPr>
          <w:spacing w:val="-2"/>
        </w:rPr>
        <w:t>p</w:t>
      </w:r>
      <w:r w:rsidRPr="001205B1">
        <w:t>t</w:t>
      </w:r>
      <w:r w:rsidRPr="001205B1">
        <w:rPr>
          <w:spacing w:val="1"/>
        </w:rPr>
        <w:t xml:space="preserve"> </w:t>
      </w:r>
      <w:r w:rsidRPr="001205B1">
        <w:t>and</w:t>
      </w:r>
      <w:r w:rsidRPr="001205B1">
        <w:rPr>
          <w:spacing w:val="-2"/>
        </w:rPr>
        <w:t xml:space="preserve"> </w:t>
      </w:r>
      <w:r w:rsidRPr="001205B1">
        <w:t>26.0%</w:t>
      </w:r>
      <w:r w:rsidRPr="001205B1">
        <w:rPr>
          <w:spacing w:val="1"/>
        </w:rPr>
        <w:t xml:space="preserve"> </w:t>
      </w:r>
      <w:r w:rsidRPr="001205B1">
        <w:rPr>
          <w:spacing w:val="-1"/>
        </w:rPr>
        <w:t>f</w:t>
      </w:r>
      <w:r w:rsidRPr="001205B1">
        <w:t>or</w:t>
      </w:r>
      <w:r w:rsidRPr="001205B1">
        <w:rPr>
          <w:spacing w:val="-1"/>
        </w:rPr>
        <w:t xml:space="preserve"> </w:t>
      </w:r>
      <w:r w:rsidRPr="001205B1">
        <w:rPr>
          <w:spacing w:val="2"/>
        </w:rPr>
        <w:t>T</w:t>
      </w:r>
      <w:r w:rsidRPr="001205B1">
        <w:rPr>
          <w:spacing w:val="-2"/>
        </w:rPr>
        <w:t>A</w:t>
      </w:r>
      <w:r w:rsidRPr="001205B1">
        <w:rPr>
          <w:spacing w:val="1"/>
        </w:rPr>
        <w:t>LT</w:t>
      </w:r>
      <w:r w:rsidRPr="001205B1">
        <w:rPr>
          <w:spacing w:val="-2"/>
        </w:rPr>
        <w:t>Z</w:t>
      </w:r>
      <w:r w:rsidRPr="001205B1">
        <w:t xml:space="preserve">, </w:t>
      </w:r>
      <w:r w:rsidRPr="001205B1">
        <w:rPr>
          <w:spacing w:val="-1"/>
        </w:rPr>
        <w:t>w</w:t>
      </w:r>
      <w:r w:rsidRPr="001205B1">
        <w:rPr>
          <w:spacing w:val="1"/>
        </w:rPr>
        <w:t>i</w:t>
      </w:r>
      <w:r w:rsidRPr="001205B1">
        <w:rPr>
          <w:spacing w:val="-1"/>
        </w:rPr>
        <w:t>t</w:t>
      </w:r>
      <w:r w:rsidRPr="001205B1">
        <w:t xml:space="preserve">h </w:t>
      </w:r>
      <w:r w:rsidRPr="001205B1">
        <w:rPr>
          <w:spacing w:val="1"/>
        </w:rPr>
        <w:t>t</w:t>
      </w:r>
      <w:r w:rsidRPr="001205B1">
        <w:rPr>
          <w:spacing w:val="-2"/>
        </w:rPr>
        <w:t>h</w:t>
      </w:r>
      <w:r w:rsidRPr="001205B1">
        <w:t>e</w:t>
      </w:r>
      <w:r w:rsidRPr="001205B1">
        <w:rPr>
          <w:spacing w:val="1"/>
        </w:rPr>
        <w:t xml:space="preserve"> </w:t>
      </w:r>
      <w:r w:rsidRPr="001205B1">
        <w:rPr>
          <w:spacing w:val="-3"/>
        </w:rPr>
        <w:t>m</w:t>
      </w:r>
      <w:r w:rsidRPr="001205B1">
        <w:t>a</w:t>
      </w:r>
      <w:r w:rsidRPr="001205B1">
        <w:rPr>
          <w:spacing w:val="3"/>
        </w:rPr>
        <w:t>j</w:t>
      </w:r>
      <w:r w:rsidRPr="001205B1">
        <w:rPr>
          <w:spacing w:val="-2"/>
        </w:rPr>
        <w:t>o</w:t>
      </w:r>
      <w:r w:rsidRPr="001205B1">
        <w:rPr>
          <w:spacing w:val="1"/>
        </w:rPr>
        <w:t>r</w:t>
      </w:r>
      <w:r w:rsidRPr="001205B1">
        <w:rPr>
          <w:spacing w:val="-1"/>
        </w:rPr>
        <w:t>i</w:t>
      </w:r>
      <w:r w:rsidRPr="001205B1">
        <w:rPr>
          <w:spacing w:val="1"/>
        </w:rPr>
        <w:t>t</w:t>
      </w:r>
      <w:r w:rsidRPr="001205B1">
        <w:t>y</w:t>
      </w:r>
      <w:r w:rsidRPr="001205B1">
        <w:rPr>
          <w:spacing w:val="-2"/>
        </w:rPr>
        <w:t xml:space="preserve"> </w:t>
      </w:r>
      <w:r w:rsidRPr="001205B1">
        <w:t>of</w:t>
      </w:r>
      <w:r w:rsidRPr="001205B1">
        <w:rPr>
          <w:spacing w:val="1"/>
        </w:rPr>
        <w:t xml:space="preserve"> </w:t>
      </w:r>
      <w:r w:rsidRPr="001205B1">
        <w:t>e</w:t>
      </w:r>
      <w:r w:rsidRPr="001205B1">
        <w:rPr>
          <w:spacing w:val="-2"/>
        </w:rPr>
        <w:t>v</w:t>
      </w:r>
      <w:r w:rsidRPr="001205B1">
        <w:t>en</w:t>
      </w:r>
      <w:r w:rsidRPr="001205B1">
        <w:rPr>
          <w:spacing w:val="-1"/>
        </w:rPr>
        <w:t>t</w:t>
      </w:r>
      <w:r w:rsidRPr="001205B1">
        <w:t>s</w:t>
      </w:r>
      <w:r w:rsidRPr="001205B1">
        <w:rPr>
          <w:spacing w:val="1"/>
        </w:rPr>
        <w:t xml:space="preserve"> being </w:t>
      </w:r>
      <w:r w:rsidRPr="001205B1">
        <w:rPr>
          <w:spacing w:val="-3"/>
        </w:rPr>
        <w:t>m</w:t>
      </w:r>
      <w:r w:rsidRPr="001205B1">
        <w:rPr>
          <w:spacing w:val="1"/>
        </w:rPr>
        <w:t>il</w:t>
      </w:r>
      <w:r w:rsidRPr="001205B1">
        <w:t xml:space="preserve">d </w:t>
      </w:r>
      <w:r w:rsidRPr="001205B1">
        <w:rPr>
          <w:spacing w:val="1"/>
        </w:rPr>
        <w:t>t</w:t>
      </w:r>
      <w:r w:rsidRPr="001205B1">
        <w:t xml:space="preserve">o </w:t>
      </w:r>
      <w:r w:rsidRPr="001205B1">
        <w:rPr>
          <w:spacing w:val="-3"/>
        </w:rPr>
        <w:t>m</w:t>
      </w:r>
      <w:r w:rsidRPr="001205B1">
        <w:t>ode</w:t>
      </w:r>
      <w:r w:rsidRPr="001205B1">
        <w:rPr>
          <w:spacing w:val="-1"/>
        </w:rPr>
        <w:t>r</w:t>
      </w:r>
      <w:r w:rsidRPr="001205B1">
        <w:t>a</w:t>
      </w:r>
      <w:r w:rsidRPr="001205B1">
        <w:rPr>
          <w:spacing w:val="1"/>
        </w:rPr>
        <w:t>t</w:t>
      </w:r>
      <w:r w:rsidRPr="001205B1">
        <w:t>e</w:t>
      </w:r>
      <w:r w:rsidRPr="001205B1">
        <w:rPr>
          <w:spacing w:val="-1"/>
        </w:rPr>
        <w:t xml:space="preserve"> </w:t>
      </w:r>
      <w:r w:rsidRPr="001205B1">
        <w:rPr>
          <w:spacing w:val="1"/>
        </w:rPr>
        <w:t>i</w:t>
      </w:r>
      <w:r w:rsidRPr="001205B1">
        <w:t xml:space="preserve">n </w:t>
      </w:r>
      <w:r w:rsidRPr="001205B1">
        <w:rPr>
          <w:spacing w:val="-2"/>
        </w:rPr>
        <w:t>s</w:t>
      </w:r>
      <w:r w:rsidRPr="001205B1">
        <w:t>e</w:t>
      </w:r>
      <w:r w:rsidRPr="001205B1">
        <w:rPr>
          <w:spacing w:val="-2"/>
        </w:rPr>
        <w:t>v</w:t>
      </w:r>
      <w:r w:rsidRPr="001205B1">
        <w:t>e</w:t>
      </w:r>
      <w:r w:rsidRPr="001205B1">
        <w:rPr>
          <w:spacing w:val="1"/>
        </w:rPr>
        <w:t>r</w:t>
      </w:r>
      <w:r w:rsidRPr="001205B1">
        <w:rPr>
          <w:spacing w:val="-1"/>
        </w:rPr>
        <w:t>i</w:t>
      </w:r>
      <w:r w:rsidRPr="001205B1">
        <w:rPr>
          <w:spacing w:val="1"/>
        </w:rPr>
        <w:t>t</w:t>
      </w:r>
      <w:r w:rsidRPr="001205B1">
        <w:rPr>
          <w:spacing w:val="-2"/>
        </w:rPr>
        <w:t>y</w:t>
      </w:r>
      <w:r w:rsidRPr="001205B1">
        <w:t xml:space="preserve">. </w:t>
      </w:r>
      <w:r w:rsidRPr="001205B1">
        <w:rPr>
          <w:spacing w:val="1"/>
        </w:rPr>
        <w:t>T</w:t>
      </w:r>
      <w:r w:rsidRPr="001205B1">
        <w:t xml:space="preserve">he </w:t>
      </w:r>
      <w:r w:rsidRPr="001205B1">
        <w:rPr>
          <w:spacing w:val="1"/>
        </w:rPr>
        <w:t>r</w:t>
      </w:r>
      <w:r w:rsidRPr="001205B1">
        <w:t>a</w:t>
      </w:r>
      <w:r w:rsidRPr="001205B1">
        <w:rPr>
          <w:spacing w:val="-1"/>
        </w:rPr>
        <w:t>t</w:t>
      </w:r>
      <w:r w:rsidRPr="001205B1">
        <w:t>e</w:t>
      </w:r>
      <w:r w:rsidRPr="001205B1">
        <w:rPr>
          <w:spacing w:val="1"/>
        </w:rPr>
        <w:t xml:space="preserve"> </w:t>
      </w:r>
      <w:r w:rsidRPr="001205B1">
        <w:t>of</w:t>
      </w:r>
      <w:r w:rsidRPr="001205B1">
        <w:rPr>
          <w:spacing w:val="-1"/>
        </w:rPr>
        <w:t xml:space="preserve"> </w:t>
      </w:r>
      <w:r w:rsidRPr="001205B1">
        <w:t>s</w:t>
      </w:r>
      <w:r w:rsidRPr="001205B1">
        <w:rPr>
          <w:spacing w:val="-2"/>
        </w:rPr>
        <w:t>e</w:t>
      </w:r>
      <w:r w:rsidRPr="001205B1">
        <w:rPr>
          <w:spacing w:val="1"/>
        </w:rPr>
        <w:t>ri</w:t>
      </w:r>
      <w:r w:rsidRPr="001205B1">
        <w:t>o</w:t>
      </w:r>
      <w:r w:rsidRPr="001205B1">
        <w:rPr>
          <w:spacing w:val="-2"/>
        </w:rPr>
        <w:t>u</w:t>
      </w:r>
      <w:r w:rsidRPr="001205B1">
        <w:t>s</w:t>
      </w:r>
      <w:r w:rsidRPr="001205B1">
        <w:rPr>
          <w:spacing w:val="1"/>
        </w:rPr>
        <w:t xml:space="preserve"> i</w:t>
      </w:r>
      <w:r w:rsidRPr="001205B1">
        <w:rPr>
          <w:spacing w:val="-2"/>
        </w:rPr>
        <w:t>n</w:t>
      </w:r>
      <w:r w:rsidRPr="001205B1">
        <w:rPr>
          <w:spacing w:val="1"/>
        </w:rPr>
        <w:t>f</w:t>
      </w:r>
      <w:r w:rsidRPr="001205B1">
        <w:rPr>
          <w:spacing w:val="-2"/>
        </w:rPr>
        <w:t>e</w:t>
      </w:r>
      <w:r w:rsidRPr="001205B1">
        <w:t>c</w:t>
      </w:r>
      <w:r w:rsidRPr="001205B1">
        <w:rPr>
          <w:spacing w:val="-1"/>
        </w:rPr>
        <w:t>t</w:t>
      </w:r>
      <w:r w:rsidRPr="001205B1">
        <w:rPr>
          <w:spacing w:val="1"/>
        </w:rPr>
        <w:t>i</w:t>
      </w:r>
      <w:r w:rsidRPr="001205B1">
        <w:t>ons</w:t>
      </w:r>
      <w:r w:rsidRPr="001205B1">
        <w:rPr>
          <w:spacing w:val="1"/>
        </w:rPr>
        <w:t xml:space="preserve"> </w:t>
      </w:r>
      <w:r w:rsidRPr="001205B1">
        <w:rPr>
          <w:spacing w:val="-3"/>
        </w:rPr>
        <w:t>w</w:t>
      </w:r>
      <w:r w:rsidRPr="001205B1">
        <w:t>as</w:t>
      </w:r>
      <w:r w:rsidRPr="001205B1">
        <w:rPr>
          <w:spacing w:val="1"/>
        </w:rPr>
        <w:t xml:space="preserve"> </w:t>
      </w:r>
      <w:r w:rsidRPr="001205B1">
        <w:t>0.4%</w:t>
      </w:r>
      <w:r w:rsidRPr="001205B1">
        <w:rPr>
          <w:spacing w:val="1"/>
        </w:rPr>
        <w:t xml:space="preserve"> </w:t>
      </w:r>
      <w:r w:rsidRPr="001205B1">
        <w:rPr>
          <w:spacing w:val="-1"/>
        </w:rPr>
        <w:t>f</w:t>
      </w:r>
      <w:r w:rsidRPr="001205B1">
        <w:t>or</w:t>
      </w:r>
      <w:r w:rsidRPr="001205B1">
        <w:rPr>
          <w:spacing w:val="1"/>
        </w:rPr>
        <w:t xml:space="preserve"> </w:t>
      </w:r>
      <w:r w:rsidRPr="001205B1">
        <w:rPr>
          <w:spacing w:val="-2"/>
        </w:rPr>
        <w:t>e</w:t>
      </w:r>
      <w:r w:rsidRPr="001205B1">
        <w:rPr>
          <w:spacing w:val="1"/>
        </w:rPr>
        <w:t>t</w:t>
      </w:r>
      <w:r w:rsidRPr="001205B1">
        <w:t>a</w:t>
      </w:r>
      <w:r w:rsidRPr="001205B1">
        <w:rPr>
          <w:spacing w:val="-2"/>
        </w:rPr>
        <w:t>n</w:t>
      </w:r>
      <w:r w:rsidRPr="001205B1">
        <w:t>e</w:t>
      </w:r>
      <w:r w:rsidRPr="001205B1">
        <w:rPr>
          <w:spacing w:val="-1"/>
        </w:rPr>
        <w:t>r</w:t>
      </w:r>
      <w:r w:rsidRPr="001205B1">
        <w:t>ce</w:t>
      </w:r>
      <w:r w:rsidRPr="001205B1">
        <w:rPr>
          <w:spacing w:val="-2"/>
        </w:rPr>
        <w:t>p</w:t>
      </w:r>
      <w:r w:rsidRPr="001205B1">
        <w:t>t</w:t>
      </w:r>
      <w:r w:rsidRPr="001205B1">
        <w:rPr>
          <w:spacing w:val="1"/>
        </w:rPr>
        <w:t xml:space="preserve"> </w:t>
      </w:r>
      <w:r w:rsidRPr="001205B1">
        <w:t>and</w:t>
      </w:r>
      <w:r w:rsidRPr="001205B1">
        <w:rPr>
          <w:spacing w:val="-2"/>
        </w:rPr>
        <w:t xml:space="preserve"> </w:t>
      </w:r>
      <w:r w:rsidRPr="001205B1">
        <w:t>0.5%</w:t>
      </w:r>
      <w:r w:rsidRPr="001205B1">
        <w:rPr>
          <w:spacing w:val="-1"/>
        </w:rPr>
        <w:t xml:space="preserve"> </w:t>
      </w:r>
      <w:r w:rsidRPr="001205B1">
        <w:rPr>
          <w:spacing w:val="1"/>
        </w:rPr>
        <w:t>f</w:t>
      </w:r>
      <w:r w:rsidRPr="001205B1">
        <w:t>or</w:t>
      </w:r>
      <w:r w:rsidRPr="001205B1">
        <w:rPr>
          <w:spacing w:val="-1"/>
        </w:rPr>
        <w:t xml:space="preserve"> </w:t>
      </w:r>
      <w:r w:rsidRPr="001205B1">
        <w:t>TA</w:t>
      </w:r>
      <w:r w:rsidRPr="001205B1">
        <w:rPr>
          <w:spacing w:val="-1"/>
        </w:rPr>
        <w:t>L</w:t>
      </w:r>
      <w:r w:rsidRPr="001205B1">
        <w:rPr>
          <w:spacing w:val="1"/>
        </w:rPr>
        <w:t>T</w:t>
      </w:r>
      <w:r w:rsidRPr="001205B1">
        <w:rPr>
          <w:spacing w:val="-2"/>
        </w:rPr>
        <w:t>Z</w:t>
      </w:r>
      <w:r w:rsidRPr="001205B1">
        <w:t>.</w:t>
      </w:r>
    </w:p>
    <w:p w:rsidR="001205B1" w:rsidRPr="001205B1" w:rsidRDefault="001205B1" w:rsidP="00937266">
      <w:pPr>
        <w:ind w:left="142"/>
        <w:rPr>
          <w:i/>
        </w:rPr>
      </w:pPr>
      <w:r w:rsidRPr="001205B1">
        <w:rPr>
          <w:b/>
          <w:bCs/>
          <w:i/>
        </w:rPr>
        <w:t>Injection site reactions</w:t>
      </w:r>
    </w:p>
    <w:p w:rsidR="00CF210E" w:rsidRPr="001205B1" w:rsidRDefault="001205B1" w:rsidP="00937266">
      <w:pPr>
        <w:ind w:left="142"/>
      </w:pPr>
      <w:r w:rsidRPr="001205B1">
        <w:t>The most frequent injection site reactions observed were erythema and pain. These reactions were predominantly mild to moderate in severity and did not lead to discontinuation of TALTZ.</w:t>
      </w:r>
    </w:p>
    <w:p w:rsidR="001205B1" w:rsidRPr="001205B1" w:rsidRDefault="001205B1" w:rsidP="00937266">
      <w:pPr>
        <w:ind w:left="142"/>
        <w:rPr>
          <w:b/>
          <w:i/>
          <w:lang w:val="en-US"/>
        </w:rPr>
      </w:pPr>
      <w:r w:rsidRPr="001205B1">
        <w:rPr>
          <w:b/>
          <w:i/>
          <w:lang w:val="en-US"/>
        </w:rPr>
        <w:t xml:space="preserve">Infections </w:t>
      </w:r>
    </w:p>
    <w:p w:rsidR="001205B1" w:rsidRPr="001205B1" w:rsidRDefault="001205B1" w:rsidP="00937266">
      <w:pPr>
        <w:ind w:left="142"/>
        <w:rPr>
          <w:lang w:val="en-GB"/>
        </w:rPr>
      </w:pPr>
      <w:r w:rsidRPr="001205B1">
        <w:rPr>
          <w:lang w:val="en-GB"/>
        </w:rPr>
        <w:t>The majority of infections consisted of non-serious and mild to moderate adverse reactions such as nasopharyngitis and upper respiratory tract infection, which did not necessitate treatment discontinuation.</w:t>
      </w:r>
    </w:p>
    <w:p w:rsidR="001205B1" w:rsidRPr="001205B1" w:rsidRDefault="001205B1" w:rsidP="00937266">
      <w:pPr>
        <w:ind w:left="142"/>
        <w:rPr>
          <w:lang w:val="en-GB"/>
        </w:rPr>
      </w:pPr>
      <w:r w:rsidRPr="001205B1">
        <w:rPr>
          <w:lang w:val="en-GB"/>
        </w:rPr>
        <w:t>In the placebo-controlled period of the phase III clinical trials in plaque psoriasis, infections were reported in 27.2% of patients treated with TALTZ compared with 22.9% of patients treated with placebo.</w:t>
      </w:r>
    </w:p>
    <w:p w:rsidR="001205B1" w:rsidRPr="001205B1" w:rsidRDefault="001205B1" w:rsidP="00937266">
      <w:pPr>
        <w:ind w:left="142"/>
        <w:rPr>
          <w:lang w:val="en-US"/>
        </w:rPr>
      </w:pPr>
      <w:r w:rsidRPr="001205B1">
        <w:rPr>
          <w:lang w:val="en-US"/>
        </w:rPr>
        <w:t xml:space="preserve">Serious infections occurred in 13 (0.6%) patients treated with TALTZ and in 3 (0.4%) patients treated with placebo </w:t>
      </w:r>
      <w:r w:rsidRPr="00074164">
        <w:rPr>
          <w:b/>
          <w:lang w:val="en-US"/>
        </w:rPr>
        <w:t>(</w:t>
      </w:r>
      <w:r w:rsidRPr="00074164">
        <w:rPr>
          <w:b/>
          <w:iCs/>
          <w:lang w:val="en-US"/>
        </w:rPr>
        <w:t>see</w:t>
      </w:r>
      <w:r w:rsidR="00074164" w:rsidRPr="00074164">
        <w:rPr>
          <w:b/>
          <w:iCs/>
          <w:lang w:val="en-US"/>
        </w:rPr>
        <w:t xml:space="preserve"> </w:t>
      </w:r>
      <w:r w:rsidR="004078FD">
        <w:rPr>
          <w:b/>
          <w:iCs/>
          <w:lang w:val="en-US"/>
        </w:rPr>
        <w:t xml:space="preserve">section </w:t>
      </w:r>
      <w:r w:rsidR="00074164" w:rsidRPr="00074164">
        <w:rPr>
          <w:b/>
          <w:iCs/>
          <w:lang w:val="en-US"/>
        </w:rPr>
        <w:t xml:space="preserve">4.4 Special warnings and precautions for use, </w:t>
      </w:r>
      <w:hyperlink w:anchor="_Infections" w:history="1">
        <w:r w:rsidR="00074164" w:rsidRPr="00074164">
          <w:rPr>
            <w:rStyle w:val="Hyperlink"/>
            <w:b/>
            <w:iCs/>
            <w:color w:val="auto"/>
            <w:u w:val="none"/>
            <w:lang w:val="en-US"/>
          </w:rPr>
          <w:t>Infections</w:t>
        </w:r>
      </w:hyperlink>
      <w:r w:rsidR="00074164" w:rsidRPr="00074164">
        <w:rPr>
          <w:b/>
          <w:iCs/>
          <w:lang w:val="en-US"/>
        </w:rPr>
        <w:t>)</w:t>
      </w:r>
      <w:r w:rsidRPr="00074164">
        <w:rPr>
          <w:b/>
          <w:lang w:val="en-US"/>
        </w:rPr>
        <w:t xml:space="preserve">. </w:t>
      </w:r>
      <w:r w:rsidRPr="001205B1">
        <w:rPr>
          <w:lang w:val="en-GB"/>
        </w:rPr>
        <w:t>Infection-related serious adverse events (SAEs) reported by more than 1 patient in the TALTZ treated group were cellulitis (n=3), appendicitis (n=2) and erysipelas (n=2). The proportion of patients who discontinued due to an infection related adverse reaction was similar in the total TALTZ treated group (n=8 [0.3%]) and the placebo group (n=2 [0.3%]).</w:t>
      </w:r>
    </w:p>
    <w:p w:rsidR="001205B1" w:rsidRPr="001205B1" w:rsidRDefault="001205B1" w:rsidP="00937266">
      <w:pPr>
        <w:ind w:left="142"/>
        <w:rPr>
          <w:lang w:val="en-US"/>
        </w:rPr>
      </w:pPr>
      <w:r w:rsidRPr="001205B1">
        <w:rPr>
          <w:lang w:val="en-US"/>
        </w:rPr>
        <w:t>Consistent with the mechanism of action, there was an increase in oral</w:t>
      </w:r>
      <w:r w:rsidRPr="001205B1" w:rsidDel="00E0247B">
        <w:rPr>
          <w:lang w:val="en-US"/>
        </w:rPr>
        <w:t xml:space="preserve"> </w:t>
      </w:r>
      <w:r w:rsidRPr="001205B1">
        <w:rPr>
          <w:lang w:val="en-US"/>
        </w:rPr>
        <w:t>candidiasis. All, except one case, were mild or moderate in severity. No SAEs or discontinuations from treatment due to candidiasis were reported.</w:t>
      </w:r>
    </w:p>
    <w:p w:rsidR="001205B1" w:rsidRPr="001205B1" w:rsidRDefault="001205B1" w:rsidP="00937266">
      <w:pPr>
        <w:ind w:left="142"/>
        <w:rPr>
          <w:lang w:val="en-US"/>
        </w:rPr>
      </w:pPr>
      <w:r w:rsidRPr="001205B1">
        <w:rPr>
          <w:lang w:val="en-US"/>
        </w:rPr>
        <w:t>Overall, infections were reported in 52.8% of patients treated with TALTZ (46.9 per 100 patient years) and serious infections were reported in 1.6% of patients treated with TALTZ (1.5 per 100 patient years).</w:t>
      </w:r>
    </w:p>
    <w:p w:rsidR="001205B1" w:rsidRPr="001205B1" w:rsidRDefault="001205B1" w:rsidP="00937266">
      <w:pPr>
        <w:ind w:left="142"/>
        <w:rPr>
          <w:lang w:val="en-US"/>
        </w:rPr>
      </w:pPr>
      <w:r w:rsidRPr="001205B1">
        <w:rPr>
          <w:b/>
          <w:bCs/>
          <w:i/>
          <w:lang w:val="en-US"/>
        </w:rPr>
        <w:t xml:space="preserve">Laboratory </w:t>
      </w:r>
      <w:r w:rsidR="00937266" w:rsidRPr="001205B1">
        <w:rPr>
          <w:b/>
          <w:bCs/>
          <w:i/>
          <w:lang w:val="en-US"/>
        </w:rPr>
        <w:t>assessment of neutropenia</w:t>
      </w:r>
    </w:p>
    <w:p w:rsidR="00481AA8" w:rsidRDefault="001205B1" w:rsidP="00937266">
      <w:pPr>
        <w:ind w:left="142"/>
        <w:rPr>
          <w:lang w:val="en-US"/>
        </w:rPr>
      </w:pPr>
      <w:r w:rsidRPr="001205B1">
        <w:rPr>
          <w:lang w:val="en-US"/>
        </w:rPr>
        <w:t>Neutropenia was observed in clinical trials. In general, neutropenia was transient and did not require discontinuation of TALTZ, and was not associated with an increased rate of infections. In the placebo-controlled period of clinical trials, neutropenia ≥ Grade 3 (&lt;1,000 cells/mm</w:t>
      </w:r>
      <w:r w:rsidRPr="001205B1">
        <w:rPr>
          <w:vertAlign w:val="superscript"/>
          <w:lang w:val="en-US"/>
        </w:rPr>
        <w:t>3</w:t>
      </w:r>
      <w:r w:rsidRPr="001205B1">
        <w:rPr>
          <w:lang w:val="en-US"/>
        </w:rPr>
        <w:t>) was observed infrequently (0.1%) in patients receiving TALTZ compared to etanercept (0.5%) and placebo (0.1%). The remaining cases of neutropenia were low grade, either Grade 2 (2.0% for TALTZ, 3.3% for etanercept and 0.3% for placebo; ≥1,000 to &lt;1,500 cells/mm</w:t>
      </w:r>
      <w:r w:rsidRPr="001205B1">
        <w:rPr>
          <w:vertAlign w:val="superscript"/>
          <w:lang w:val="en-US"/>
        </w:rPr>
        <w:t>3</w:t>
      </w:r>
      <w:r w:rsidRPr="001205B1">
        <w:rPr>
          <w:lang w:val="en-US"/>
        </w:rPr>
        <w:t>) or Grade 1 (5.7% for TALTZ, 9.0% for etanercept and 2.3% for placebo; ≥1,500 cells/mm</w:t>
      </w:r>
      <w:r w:rsidRPr="001205B1">
        <w:rPr>
          <w:vertAlign w:val="superscript"/>
          <w:lang w:val="en-US"/>
        </w:rPr>
        <w:t>3</w:t>
      </w:r>
      <w:r w:rsidRPr="001205B1">
        <w:rPr>
          <w:lang w:val="en-US"/>
        </w:rPr>
        <w:t xml:space="preserve"> up to normal).</w:t>
      </w:r>
    </w:p>
    <w:p w:rsidR="004855EF" w:rsidRPr="004855EF" w:rsidRDefault="008C3050" w:rsidP="00937266">
      <w:pPr>
        <w:pStyle w:val="Heading3"/>
        <w:ind w:left="142"/>
        <w:rPr>
          <w:lang w:val="en-US"/>
        </w:rPr>
      </w:pPr>
      <w:r w:rsidRPr="004855EF">
        <w:rPr>
          <w:lang w:val="en-US"/>
        </w:rPr>
        <w:lastRenderedPageBreak/>
        <w:t>Clinical trials experience in psoriatic arthritis</w:t>
      </w:r>
    </w:p>
    <w:p w:rsidR="004855EF" w:rsidRPr="004855EF" w:rsidRDefault="004855EF" w:rsidP="00937266">
      <w:pPr>
        <w:ind w:left="142"/>
        <w:rPr>
          <w:lang w:val="en-US"/>
        </w:rPr>
      </w:pPr>
      <w:r w:rsidRPr="004855EF">
        <w:rPr>
          <w:lang w:val="en-US"/>
        </w:rPr>
        <w:t xml:space="preserve">A total of 779 patients with active psoriatic arthritis were evaluated in two placebo-controlled phase III clinical trials SPIRIT-P1 and SPIRIT-P2 (229 patients on TALTZ 80 mg every 4 weeks (Q4W), 225 patients on TALTZ 80 mg every 2 weeks (Q2W), 101 patients on adalimumab 40 mg every 2 weeks and 224 patients on placebo). </w:t>
      </w:r>
    </w:p>
    <w:p w:rsidR="004855EF" w:rsidRDefault="004855EF" w:rsidP="00937266">
      <w:pPr>
        <w:pStyle w:val="TableTitle"/>
        <w:ind w:left="142"/>
        <w:rPr>
          <w:lang w:val="en-US"/>
        </w:rPr>
      </w:pPr>
      <w:r w:rsidRPr="004855EF">
        <w:rPr>
          <w:lang w:val="en-US"/>
        </w:rPr>
        <w:t>Adverse Drug Reactions Reported by ≥1% of Patients with Active Psoriatic Arthritis through Week 24 in Phase III Clinical Trials</w:t>
      </w: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698"/>
        <w:gridCol w:w="1698"/>
        <w:gridCol w:w="1698"/>
        <w:gridCol w:w="1698"/>
      </w:tblGrid>
      <w:tr w:rsidR="000A33F0" w:rsidRPr="000A33F0" w:rsidTr="00807094">
        <w:tc>
          <w:tcPr>
            <w:tcW w:w="2142" w:type="dxa"/>
            <w:vMerge w:val="restart"/>
            <w:shd w:val="clear" w:color="auto" w:fill="auto"/>
          </w:tcPr>
          <w:p w:rsidR="000A33F0" w:rsidRPr="000A33F0" w:rsidRDefault="000A33F0" w:rsidP="00937266">
            <w:pPr>
              <w:keepNext/>
              <w:autoSpaceDE w:val="0"/>
              <w:autoSpaceDN w:val="0"/>
              <w:adjustRightInd w:val="0"/>
              <w:spacing w:after="60" w:line="240" w:lineRule="auto"/>
              <w:ind w:left="142"/>
              <w:rPr>
                <w:rFonts w:cs="Arial"/>
                <w:sz w:val="20"/>
                <w:szCs w:val="20"/>
                <w:lang w:val="en-US"/>
              </w:rPr>
            </w:pPr>
            <w:r w:rsidRPr="000A33F0">
              <w:rPr>
                <w:rFonts w:cs="Arial"/>
                <w:b/>
                <w:bCs/>
                <w:spacing w:val="-5"/>
                <w:sz w:val="20"/>
                <w:szCs w:val="20"/>
                <w:lang w:val="en-US"/>
              </w:rPr>
              <w:t>A</w:t>
            </w:r>
            <w:r w:rsidRPr="000A33F0">
              <w:rPr>
                <w:rFonts w:cs="Arial"/>
                <w:b/>
                <w:bCs/>
                <w:spacing w:val="1"/>
                <w:sz w:val="20"/>
                <w:szCs w:val="20"/>
                <w:lang w:val="en-US"/>
              </w:rPr>
              <w:t>d</w:t>
            </w:r>
            <w:r w:rsidRPr="000A33F0">
              <w:rPr>
                <w:rFonts w:cs="Arial"/>
                <w:b/>
                <w:bCs/>
                <w:spacing w:val="4"/>
                <w:sz w:val="20"/>
                <w:szCs w:val="20"/>
                <w:lang w:val="en-US"/>
              </w:rPr>
              <w:t>v</w:t>
            </w:r>
            <w:r w:rsidRPr="000A33F0">
              <w:rPr>
                <w:rFonts w:cs="Arial"/>
                <w:b/>
                <w:bCs/>
                <w:sz w:val="20"/>
                <w:szCs w:val="20"/>
                <w:lang w:val="en-US"/>
              </w:rPr>
              <w:t>e</w:t>
            </w:r>
            <w:r w:rsidRPr="000A33F0">
              <w:rPr>
                <w:rFonts w:cs="Arial"/>
                <w:b/>
                <w:bCs/>
                <w:spacing w:val="2"/>
                <w:sz w:val="20"/>
                <w:szCs w:val="20"/>
                <w:lang w:val="en-US"/>
              </w:rPr>
              <w:t>r</w:t>
            </w:r>
            <w:r w:rsidRPr="000A33F0">
              <w:rPr>
                <w:rFonts w:cs="Arial"/>
                <w:b/>
                <w:bCs/>
                <w:sz w:val="20"/>
                <w:szCs w:val="20"/>
                <w:lang w:val="en-US"/>
              </w:rPr>
              <w:t>se</w:t>
            </w:r>
            <w:r w:rsidRPr="000A33F0">
              <w:rPr>
                <w:rFonts w:cs="Arial"/>
                <w:b/>
                <w:bCs/>
                <w:spacing w:val="-9"/>
                <w:sz w:val="20"/>
                <w:szCs w:val="20"/>
                <w:lang w:val="en-US"/>
              </w:rPr>
              <w:t xml:space="preserve"> </w:t>
            </w:r>
            <w:r w:rsidRPr="000A33F0">
              <w:rPr>
                <w:rFonts w:cs="Arial"/>
                <w:b/>
                <w:bCs/>
                <w:spacing w:val="3"/>
                <w:sz w:val="20"/>
                <w:szCs w:val="20"/>
                <w:lang w:val="en-US"/>
              </w:rPr>
              <w:t>R</w:t>
            </w:r>
            <w:r w:rsidRPr="000A33F0">
              <w:rPr>
                <w:rFonts w:cs="Arial"/>
                <w:b/>
                <w:bCs/>
                <w:sz w:val="20"/>
                <w:szCs w:val="20"/>
                <w:lang w:val="en-US"/>
              </w:rPr>
              <w:t>eac</w:t>
            </w:r>
            <w:r w:rsidRPr="000A33F0">
              <w:rPr>
                <w:rFonts w:cs="Arial"/>
                <w:b/>
                <w:bCs/>
                <w:spacing w:val="1"/>
                <w:sz w:val="20"/>
                <w:szCs w:val="20"/>
                <w:lang w:val="en-US"/>
              </w:rPr>
              <w:t>t</w:t>
            </w:r>
            <w:r w:rsidRPr="000A33F0">
              <w:rPr>
                <w:rFonts w:cs="Arial"/>
                <w:b/>
                <w:bCs/>
                <w:sz w:val="20"/>
                <w:szCs w:val="20"/>
                <w:lang w:val="en-US"/>
              </w:rPr>
              <w:t>i</w:t>
            </w:r>
            <w:r w:rsidRPr="000A33F0">
              <w:rPr>
                <w:rFonts w:cs="Arial"/>
                <w:b/>
                <w:bCs/>
                <w:spacing w:val="1"/>
                <w:sz w:val="20"/>
                <w:szCs w:val="20"/>
                <w:lang w:val="en-US"/>
              </w:rPr>
              <w:t>on</w:t>
            </w:r>
            <w:r w:rsidRPr="000A33F0">
              <w:rPr>
                <w:rFonts w:cs="Arial"/>
                <w:b/>
                <w:bCs/>
                <w:sz w:val="20"/>
                <w:szCs w:val="20"/>
                <w:lang w:val="en-US"/>
              </w:rPr>
              <w:t>s</w:t>
            </w:r>
          </w:p>
          <w:p w:rsidR="000A33F0" w:rsidRPr="000A33F0" w:rsidRDefault="000A33F0" w:rsidP="00937266">
            <w:pPr>
              <w:keepNext/>
              <w:spacing w:after="60" w:line="240" w:lineRule="auto"/>
              <w:ind w:left="142"/>
              <w:rPr>
                <w:sz w:val="20"/>
                <w:szCs w:val="20"/>
              </w:rPr>
            </w:pPr>
          </w:p>
        </w:tc>
        <w:tc>
          <w:tcPr>
            <w:tcW w:w="3396" w:type="dxa"/>
            <w:gridSpan w:val="2"/>
            <w:shd w:val="clear" w:color="auto" w:fill="auto"/>
          </w:tcPr>
          <w:p w:rsidR="000A33F0" w:rsidRPr="000A33F0" w:rsidRDefault="000A33F0" w:rsidP="00937266">
            <w:pPr>
              <w:keepNext/>
              <w:spacing w:after="60" w:line="240" w:lineRule="auto"/>
              <w:ind w:left="142"/>
              <w:jc w:val="center"/>
              <w:rPr>
                <w:sz w:val="20"/>
                <w:szCs w:val="20"/>
              </w:rPr>
            </w:pPr>
            <w:r w:rsidRPr="000A33F0">
              <w:rPr>
                <w:rFonts w:cs="Arial"/>
                <w:b/>
                <w:bCs/>
                <w:spacing w:val="6"/>
                <w:sz w:val="20"/>
                <w:szCs w:val="20"/>
                <w:lang w:val="en-US"/>
              </w:rPr>
              <w:t>T</w:t>
            </w:r>
            <w:r w:rsidRPr="000A33F0">
              <w:rPr>
                <w:rFonts w:cs="Arial"/>
                <w:b/>
                <w:bCs/>
                <w:spacing w:val="-7"/>
                <w:sz w:val="20"/>
                <w:szCs w:val="20"/>
                <w:lang w:val="en-US"/>
              </w:rPr>
              <w:t>A</w:t>
            </w:r>
            <w:r w:rsidRPr="000A33F0">
              <w:rPr>
                <w:rFonts w:cs="Arial"/>
                <w:b/>
                <w:bCs/>
                <w:spacing w:val="1"/>
                <w:sz w:val="20"/>
                <w:szCs w:val="20"/>
                <w:lang w:val="en-US"/>
              </w:rPr>
              <w:t>L</w:t>
            </w:r>
            <w:r w:rsidRPr="000A33F0">
              <w:rPr>
                <w:rFonts w:cs="Arial"/>
                <w:b/>
                <w:bCs/>
                <w:spacing w:val="3"/>
                <w:sz w:val="20"/>
                <w:szCs w:val="20"/>
                <w:lang w:val="en-US"/>
              </w:rPr>
              <w:t>T</w:t>
            </w:r>
            <w:r w:rsidRPr="000A33F0">
              <w:rPr>
                <w:rFonts w:cs="Arial"/>
                <w:b/>
                <w:bCs/>
                <w:sz w:val="20"/>
                <w:szCs w:val="20"/>
                <w:lang w:val="en-US"/>
              </w:rPr>
              <w:t>Z</w:t>
            </w:r>
          </w:p>
        </w:tc>
        <w:tc>
          <w:tcPr>
            <w:tcW w:w="1698" w:type="dxa"/>
          </w:tcPr>
          <w:p w:rsidR="000A33F0" w:rsidRPr="000A33F0" w:rsidRDefault="000A33F0" w:rsidP="00937266">
            <w:pPr>
              <w:keepNext/>
              <w:autoSpaceDE w:val="0"/>
              <w:autoSpaceDN w:val="0"/>
              <w:adjustRightInd w:val="0"/>
              <w:spacing w:after="60" w:line="240" w:lineRule="auto"/>
              <w:ind w:left="142"/>
              <w:jc w:val="center"/>
              <w:rPr>
                <w:rFonts w:cs="Arial"/>
                <w:b/>
                <w:bCs/>
                <w:spacing w:val="-1"/>
                <w:sz w:val="20"/>
                <w:szCs w:val="20"/>
                <w:lang w:val="en-US"/>
              </w:rPr>
            </w:pPr>
            <w:r w:rsidRPr="000A33F0">
              <w:rPr>
                <w:rFonts w:cs="Arial"/>
                <w:b/>
                <w:bCs/>
                <w:spacing w:val="-1"/>
                <w:sz w:val="20"/>
                <w:szCs w:val="20"/>
                <w:lang w:val="en-US"/>
              </w:rPr>
              <w:t>Adalimumab</w:t>
            </w:r>
            <w:r w:rsidRPr="000A33F0">
              <w:rPr>
                <w:rFonts w:cs="Arial"/>
                <w:bCs/>
                <w:sz w:val="20"/>
                <w:szCs w:val="20"/>
                <w:vertAlign w:val="superscript"/>
                <w:lang w:val="en-US"/>
              </w:rPr>
              <w:t>a</w:t>
            </w:r>
          </w:p>
        </w:tc>
        <w:tc>
          <w:tcPr>
            <w:tcW w:w="1698" w:type="dxa"/>
          </w:tcPr>
          <w:p w:rsidR="000A33F0" w:rsidRPr="000A33F0" w:rsidRDefault="000A33F0" w:rsidP="00937266">
            <w:pPr>
              <w:keepNext/>
              <w:autoSpaceDE w:val="0"/>
              <w:autoSpaceDN w:val="0"/>
              <w:adjustRightInd w:val="0"/>
              <w:spacing w:after="60" w:line="240" w:lineRule="auto"/>
              <w:ind w:left="142"/>
              <w:jc w:val="center"/>
              <w:rPr>
                <w:sz w:val="20"/>
                <w:szCs w:val="20"/>
              </w:rPr>
            </w:pPr>
            <w:r w:rsidRPr="000A33F0">
              <w:rPr>
                <w:rFonts w:cs="Arial"/>
                <w:b/>
                <w:bCs/>
                <w:spacing w:val="-1"/>
                <w:sz w:val="20"/>
                <w:szCs w:val="20"/>
                <w:lang w:val="en-US"/>
              </w:rPr>
              <w:t>P</w:t>
            </w:r>
            <w:r w:rsidRPr="000A33F0">
              <w:rPr>
                <w:rFonts w:cs="Arial"/>
                <w:b/>
                <w:bCs/>
                <w:spacing w:val="6"/>
                <w:sz w:val="20"/>
                <w:szCs w:val="20"/>
                <w:lang w:val="en-US"/>
              </w:rPr>
              <w:t>l</w:t>
            </w:r>
            <w:r w:rsidRPr="000A33F0">
              <w:rPr>
                <w:rFonts w:cs="Arial"/>
                <w:b/>
                <w:bCs/>
                <w:spacing w:val="-5"/>
                <w:sz w:val="20"/>
                <w:szCs w:val="20"/>
                <w:lang w:val="en-US"/>
              </w:rPr>
              <w:t>a</w:t>
            </w:r>
            <w:r w:rsidRPr="000A33F0">
              <w:rPr>
                <w:rFonts w:cs="Arial"/>
                <w:b/>
                <w:bCs/>
                <w:sz w:val="20"/>
                <w:szCs w:val="20"/>
                <w:lang w:val="en-US"/>
              </w:rPr>
              <w:t>c</w:t>
            </w:r>
            <w:r w:rsidRPr="000A33F0">
              <w:rPr>
                <w:rFonts w:cs="Arial"/>
                <w:b/>
                <w:bCs/>
                <w:spacing w:val="2"/>
                <w:sz w:val="20"/>
                <w:szCs w:val="20"/>
                <w:lang w:val="en-US"/>
              </w:rPr>
              <w:t>e</w:t>
            </w:r>
            <w:r w:rsidRPr="000A33F0">
              <w:rPr>
                <w:rFonts w:cs="Arial"/>
                <w:b/>
                <w:bCs/>
                <w:sz w:val="20"/>
                <w:szCs w:val="20"/>
                <w:lang w:val="en-US"/>
              </w:rPr>
              <w:t>bo</w:t>
            </w:r>
          </w:p>
        </w:tc>
      </w:tr>
      <w:tr w:rsidR="000A33F0" w:rsidRPr="000A33F0" w:rsidTr="00807094">
        <w:tc>
          <w:tcPr>
            <w:tcW w:w="2142" w:type="dxa"/>
            <w:vMerge/>
            <w:shd w:val="clear" w:color="auto" w:fill="auto"/>
          </w:tcPr>
          <w:p w:rsidR="000A33F0" w:rsidRPr="000A33F0" w:rsidRDefault="000A33F0" w:rsidP="00937266">
            <w:pPr>
              <w:spacing w:after="60" w:line="240" w:lineRule="auto"/>
              <w:ind w:left="142"/>
              <w:rPr>
                <w:sz w:val="20"/>
                <w:szCs w:val="20"/>
              </w:rPr>
            </w:pPr>
          </w:p>
        </w:tc>
        <w:tc>
          <w:tcPr>
            <w:tcW w:w="1698" w:type="dxa"/>
            <w:shd w:val="clear" w:color="auto" w:fill="auto"/>
          </w:tcPr>
          <w:p w:rsidR="000A33F0" w:rsidRPr="000A33F0" w:rsidRDefault="000A33F0" w:rsidP="00937266">
            <w:pPr>
              <w:keepNext/>
              <w:autoSpaceDE w:val="0"/>
              <w:autoSpaceDN w:val="0"/>
              <w:adjustRightInd w:val="0"/>
              <w:spacing w:after="60" w:line="240" w:lineRule="auto"/>
              <w:ind w:left="142"/>
              <w:jc w:val="center"/>
              <w:rPr>
                <w:rFonts w:cs="Arial"/>
                <w:b/>
                <w:bCs/>
                <w:spacing w:val="-3"/>
                <w:sz w:val="20"/>
                <w:szCs w:val="20"/>
                <w:lang w:val="en-US"/>
              </w:rPr>
            </w:pPr>
            <w:r w:rsidRPr="000A33F0">
              <w:rPr>
                <w:rFonts w:cs="Arial"/>
                <w:b/>
                <w:bCs/>
                <w:sz w:val="20"/>
                <w:szCs w:val="20"/>
                <w:lang w:val="en-US"/>
              </w:rPr>
              <w:t>80</w:t>
            </w:r>
            <w:r w:rsidRPr="000A33F0">
              <w:rPr>
                <w:rFonts w:cs="Arial"/>
                <w:b/>
                <w:bCs/>
                <w:spacing w:val="-3"/>
                <w:sz w:val="20"/>
                <w:szCs w:val="20"/>
                <w:lang w:val="en-US"/>
              </w:rPr>
              <w:t xml:space="preserve"> </w:t>
            </w:r>
            <w:r w:rsidRPr="000A33F0">
              <w:rPr>
                <w:rFonts w:cs="Arial"/>
                <w:b/>
                <w:bCs/>
                <w:spacing w:val="1"/>
                <w:sz w:val="20"/>
                <w:szCs w:val="20"/>
                <w:lang w:val="en-US"/>
              </w:rPr>
              <w:t>m</w:t>
            </w:r>
            <w:r w:rsidRPr="000A33F0">
              <w:rPr>
                <w:rFonts w:cs="Arial"/>
                <w:b/>
                <w:bCs/>
                <w:sz w:val="20"/>
                <w:szCs w:val="20"/>
                <w:lang w:val="en-US"/>
              </w:rPr>
              <w:t>g</w:t>
            </w:r>
            <w:r w:rsidRPr="000A33F0">
              <w:rPr>
                <w:rFonts w:cs="Arial"/>
                <w:b/>
                <w:bCs/>
                <w:spacing w:val="-3"/>
                <w:sz w:val="20"/>
                <w:szCs w:val="20"/>
                <w:lang w:val="en-US"/>
              </w:rPr>
              <w:t xml:space="preserve"> </w:t>
            </w:r>
          </w:p>
          <w:p w:rsidR="000A33F0" w:rsidRPr="000A33F0" w:rsidRDefault="000A33F0" w:rsidP="00937266">
            <w:pPr>
              <w:keepNext/>
              <w:autoSpaceDE w:val="0"/>
              <w:autoSpaceDN w:val="0"/>
              <w:adjustRightInd w:val="0"/>
              <w:spacing w:after="60" w:line="240" w:lineRule="auto"/>
              <w:ind w:left="142"/>
              <w:jc w:val="center"/>
              <w:rPr>
                <w:rFonts w:cs="Arial"/>
                <w:b/>
                <w:bCs/>
                <w:spacing w:val="-5"/>
                <w:sz w:val="20"/>
                <w:szCs w:val="20"/>
                <w:lang w:val="en-US"/>
              </w:rPr>
            </w:pPr>
            <w:r w:rsidRPr="000A33F0">
              <w:rPr>
                <w:rFonts w:cs="Arial"/>
                <w:b/>
                <w:bCs/>
                <w:spacing w:val="1"/>
                <w:sz w:val="20"/>
                <w:szCs w:val="20"/>
                <w:lang w:val="en-US"/>
              </w:rPr>
              <w:t>Q4</w:t>
            </w:r>
            <w:r w:rsidRPr="000A33F0">
              <w:rPr>
                <w:rFonts w:cs="Arial"/>
                <w:b/>
                <w:bCs/>
                <w:sz w:val="20"/>
                <w:szCs w:val="20"/>
                <w:lang w:val="en-US"/>
              </w:rPr>
              <w:t>W</w:t>
            </w:r>
            <w:r w:rsidRPr="000A33F0">
              <w:rPr>
                <w:rFonts w:cs="Arial"/>
                <w:b/>
                <w:bCs/>
                <w:spacing w:val="-5"/>
                <w:sz w:val="20"/>
                <w:szCs w:val="20"/>
                <w:lang w:val="en-US"/>
              </w:rPr>
              <w:t xml:space="preserve"> </w:t>
            </w:r>
          </w:p>
          <w:p w:rsidR="000A33F0" w:rsidRPr="000A33F0" w:rsidRDefault="000A33F0" w:rsidP="00937266">
            <w:pPr>
              <w:keepNext/>
              <w:autoSpaceDE w:val="0"/>
              <w:autoSpaceDN w:val="0"/>
              <w:adjustRightInd w:val="0"/>
              <w:spacing w:after="60" w:line="240" w:lineRule="auto"/>
              <w:ind w:left="142"/>
              <w:jc w:val="center"/>
              <w:rPr>
                <w:b/>
                <w:sz w:val="20"/>
                <w:szCs w:val="20"/>
              </w:rPr>
            </w:pPr>
            <w:r w:rsidRPr="000A33F0">
              <w:rPr>
                <w:rFonts w:cs="Arial"/>
                <w:b/>
                <w:bCs/>
                <w:spacing w:val="1"/>
                <w:sz w:val="20"/>
                <w:szCs w:val="20"/>
                <w:lang w:val="en-US"/>
              </w:rPr>
              <w:t>(</w:t>
            </w:r>
            <w:r w:rsidRPr="000A33F0">
              <w:rPr>
                <w:rFonts w:cs="Arial"/>
                <w:b/>
                <w:bCs/>
                <w:sz w:val="20"/>
                <w:szCs w:val="20"/>
                <w:lang w:val="en-US"/>
              </w:rPr>
              <w:t>N</w:t>
            </w:r>
            <w:r w:rsidRPr="000A33F0">
              <w:rPr>
                <w:rFonts w:cs="Arial"/>
                <w:b/>
                <w:bCs/>
                <w:spacing w:val="-1"/>
                <w:sz w:val="20"/>
                <w:szCs w:val="20"/>
                <w:lang w:val="en-US"/>
              </w:rPr>
              <w:t>=229</w:t>
            </w:r>
            <w:r w:rsidRPr="000A33F0">
              <w:rPr>
                <w:rFonts w:cs="Arial"/>
                <w:b/>
                <w:bCs/>
                <w:sz w:val="20"/>
                <w:szCs w:val="20"/>
                <w:lang w:val="en-US"/>
              </w:rPr>
              <w:t>)</w:t>
            </w:r>
            <w:r w:rsidRPr="000A33F0">
              <w:rPr>
                <w:rFonts w:cs="Arial"/>
                <w:b/>
                <w:bCs/>
                <w:spacing w:val="-8"/>
                <w:sz w:val="20"/>
                <w:szCs w:val="20"/>
                <w:lang w:val="en-US"/>
              </w:rPr>
              <w:t xml:space="preserve"> </w:t>
            </w:r>
            <w:r w:rsidRPr="000A33F0">
              <w:rPr>
                <w:rFonts w:cs="Arial"/>
                <w:b/>
                <w:bCs/>
                <w:spacing w:val="1"/>
                <w:sz w:val="20"/>
                <w:szCs w:val="20"/>
                <w:lang w:val="en-US"/>
              </w:rPr>
              <w:t>(</w:t>
            </w:r>
            <w:r w:rsidRPr="000A33F0">
              <w:rPr>
                <w:rFonts w:cs="Arial"/>
                <w:b/>
                <w:bCs/>
                <w:spacing w:val="3"/>
                <w:sz w:val="20"/>
                <w:szCs w:val="20"/>
                <w:lang w:val="en-US"/>
              </w:rPr>
              <w:t>n</w:t>
            </w:r>
            <w:r w:rsidRPr="000A33F0">
              <w:rPr>
                <w:rFonts w:cs="Arial"/>
                <w:b/>
                <w:bCs/>
                <w:spacing w:val="-2"/>
                <w:sz w:val="20"/>
                <w:szCs w:val="20"/>
                <w:lang w:val="en-US"/>
              </w:rPr>
              <w:t>%</w:t>
            </w:r>
            <w:r w:rsidRPr="000A33F0">
              <w:rPr>
                <w:rFonts w:cs="Arial"/>
                <w:b/>
                <w:bCs/>
                <w:sz w:val="20"/>
                <w:szCs w:val="20"/>
                <w:lang w:val="en-US"/>
              </w:rPr>
              <w:t>)</w:t>
            </w:r>
          </w:p>
        </w:tc>
        <w:tc>
          <w:tcPr>
            <w:tcW w:w="1698" w:type="dxa"/>
            <w:shd w:val="clear" w:color="auto" w:fill="auto"/>
          </w:tcPr>
          <w:p w:rsidR="000A33F0" w:rsidRPr="000A33F0" w:rsidRDefault="000A33F0" w:rsidP="00937266">
            <w:pPr>
              <w:keepNext/>
              <w:autoSpaceDE w:val="0"/>
              <w:autoSpaceDN w:val="0"/>
              <w:adjustRightInd w:val="0"/>
              <w:spacing w:after="60" w:line="240" w:lineRule="auto"/>
              <w:ind w:left="142"/>
              <w:jc w:val="center"/>
              <w:rPr>
                <w:rFonts w:cs="Arial"/>
                <w:b/>
                <w:bCs/>
                <w:spacing w:val="-3"/>
                <w:sz w:val="20"/>
                <w:szCs w:val="20"/>
                <w:lang w:val="en-US"/>
              </w:rPr>
            </w:pPr>
            <w:r w:rsidRPr="000A33F0">
              <w:rPr>
                <w:rFonts w:cs="Arial"/>
                <w:b/>
                <w:bCs/>
                <w:sz w:val="20"/>
                <w:szCs w:val="20"/>
                <w:lang w:val="en-US"/>
              </w:rPr>
              <w:t>80</w:t>
            </w:r>
            <w:r w:rsidRPr="000A33F0">
              <w:rPr>
                <w:rFonts w:cs="Arial"/>
                <w:b/>
                <w:bCs/>
                <w:spacing w:val="-3"/>
                <w:sz w:val="20"/>
                <w:szCs w:val="20"/>
                <w:lang w:val="en-US"/>
              </w:rPr>
              <w:t xml:space="preserve"> </w:t>
            </w:r>
            <w:r w:rsidRPr="000A33F0">
              <w:rPr>
                <w:rFonts w:cs="Arial"/>
                <w:b/>
                <w:bCs/>
                <w:spacing w:val="1"/>
                <w:sz w:val="20"/>
                <w:szCs w:val="20"/>
                <w:lang w:val="en-US"/>
              </w:rPr>
              <w:t>m</w:t>
            </w:r>
            <w:r w:rsidRPr="000A33F0">
              <w:rPr>
                <w:rFonts w:cs="Arial"/>
                <w:b/>
                <w:bCs/>
                <w:sz w:val="20"/>
                <w:szCs w:val="20"/>
                <w:lang w:val="en-US"/>
              </w:rPr>
              <w:t>g</w:t>
            </w:r>
            <w:r w:rsidRPr="000A33F0">
              <w:rPr>
                <w:rFonts w:cs="Arial"/>
                <w:b/>
                <w:bCs/>
                <w:spacing w:val="-3"/>
                <w:sz w:val="20"/>
                <w:szCs w:val="20"/>
                <w:lang w:val="en-US"/>
              </w:rPr>
              <w:t xml:space="preserve"> </w:t>
            </w:r>
          </w:p>
          <w:p w:rsidR="000A33F0" w:rsidRPr="000A33F0" w:rsidRDefault="000A33F0" w:rsidP="00937266">
            <w:pPr>
              <w:keepNext/>
              <w:autoSpaceDE w:val="0"/>
              <w:autoSpaceDN w:val="0"/>
              <w:adjustRightInd w:val="0"/>
              <w:spacing w:after="60" w:line="240" w:lineRule="auto"/>
              <w:ind w:left="142"/>
              <w:jc w:val="center"/>
              <w:rPr>
                <w:rFonts w:cs="Arial"/>
                <w:b/>
                <w:sz w:val="20"/>
                <w:szCs w:val="20"/>
                <w:lang w:val="en-US"/>
              </w:rPr>
            </w:pPr>
            <w:r w:rsidRPr="000A33F0">
              <w:rPr>
                <w:rFonts w:cs="Arial"/>
                <w:b/>
                <w:bCs/>
                <w:spacing w:val="1"/>
                <w:sz w:val="20"/>
                <w:szCs w:val="20"/>
                <w:lang w:val="en-US"/>
              </w:rPr>
              <w:t>Q2</w:t>
            </w:r>
            <w:r w:rsidRPr="000A33F0">
              <w:rPr>
                <w:rFonts w:cs="Arial"/>
                <w:b/>
                <w:bCs/>
                <w:sz w:val="20"/>
                <w:szCs w:val="20"/>
                <w:lang w:val="en-US"/>
              </w:rPr>
              <w:t>W</w:t>
            </w:r>
          </w:p>
          <w:p w:rsidR="000A33F0" w:rsidRPr="000A33F0" w:rsidRDefault="000A33F0" w:rsidP="00937266">
            <w:pPr>
              <w:keepNext/>
              <w:spacing w:after="60" w:line="240" w:lineRule="auto"/>
              <w:ind w:left="142"/>
              <w:jc w:val="center"/>
              <w:rPr>
                <w:b/>
                <w:sz w:val="20"/>
                <w:szCs w:val="20"/>
              </w:rPr>
            </w:pPr>
            <w:r w:rsidRPr="000A33F0">
              <w:rPr>
                <w:rFonts w:cs="Arial"/>
                <w:b/>
                <w:bCs/>
                <w:spacing w:val="1"/>
                <w:sz w:val="20"/>
                <w:szCs w:val="20"/>
                <w:lang w:val="en-US"/>
              </w:rPr>
              <w:t>(</w:t>
            </w:r>
            <w:r w:rsidRPr="000A33F0">
              <w:rPr>
                <w:rFonts w:cs="Arial"/>
                <w:b/>
                <w:bCs/>
                <w:sz w:val="20"/>
                <w:szCs w:val="20"/>
                <w:lang w:val="en-US"/>
              </w:rPr>
              <w:t>N</w:t>
            </w:r>
            <w:r w:rsidRPr="000A33F0">
              <w:rPr>
                <w:rFonts w:cs="Arial"/>
                <w:b/>
                <w:bCs/>
                <w:spacing w:val="-1"/>
                <w:sz w:val="20"/>
                <w:szCs w:val="20"/>
                <w:lang w:val="en-US"/>
              </w:rPr>
              <w:t>=225</w:t>
            </w:r>
            <w:r w:rsidRPr="000A33F0">
              <w:rPr>
                <w:rFonts w:cs="Arial"/>
                <w:b/>
                <w:bCs/>
                <w:sz w:val="20"/>
                <w:szCs w:val="20"/>
                <w:lang w:val="en-US"/>
              </w:rPr>
              <w:t>)</w:t>
            </w:r>
            <w:r w:rsidRPr="000A33F0">
              <w:rPr>
                <w:rFonts w:cs="Arial"/>
                <w:b/>
                <w:bCs/>
                <w:spacing w:val="-8"/>
                <w:sz w:val="20"/>
                <w:szCs w:val="20"/>
                <w:lang w:val="en-US"/>
              </w:rPr>
              <w:t xml:space="preserve"> </w:t>
            </w:r>
            <w:r w:rsidRPr="000A33F0">
              <w:rPr>
                <w:rFonts w:cs="Arial"/>
                <w:b/>
                <w:bCs/>
                <w:spacing w:val="1"/>
                <w:sz w:val="20"/>
                <w:szCs w:val="20"/>
                <w:lang w:val="en-US"/>
              </w:rPr>
              <w:t>(</w:t>
            </w:r>
            <w:r w:rsidRPr="000A33F0">
              <w:rPr>
                <w:rFonts w:cs="Arial"/>
                <w:b/>
                <w:bCs/>
                <w:spacing w:val="3"/>
                <w:sz w:val="20"/>
                <w:szCs w:val="20"/>
                <w:lang w:val="en-US"/>
              </w:rPr>
              <w:t>n</w:t>
            </w:r>
            <w:r w:rsidRPr="000A33F0">
              <w:rPr>
                <w:rFonts w:cs="Arial"/>
                <w:b/>
                <w:bCs/>
                <w:spacing w:val="-2"/>
                <w:sz w:val="20"/>
                <w:szCs w:val="20"/>
                <w:lang w:val="en-US"/>
              </w:rPr>
              <w:t>%</w:t>
            </w:r>
            <w:r w:rsidRPr="000A33F0">
              <w:rPr>
                <w:rFonts w:cs="Arial"/>
                <w:b/>
                <w:bCs/>
                <w:sz w:val="20"/>
                <w:szCs w:val="20"/>
                <w:lang w:val="en-US"/>
              </w:rPr>
              <w:t>)</w:t>
            </w:r>
          </w:p>
        </w:tc>
        <w:tc>
          <w:tcPr>
            <w:tcW w:w="1698" w:type="dxa"/>
          </w:tcPr>
          <w:p w:rsidR="000A33F0" w:rsidRPr="000A33F0" w:rsidRDefault="000A33F0" w:rsidP="00937266">
            <w:pPr>
              <w:keepNext/>
              <w:autoSpaceDE w:val="0"/>
              <w:autoSpaceDN w:val="0"/>
              <w:adjustRightInd w:val="0"/>
              <w:spacing w:after="60" w:line="240" w:lineRule="auto"/>
              <w:ind w:left="142"/>
              <w:jc w:val="center"/>
              <w:rPr>
                <w:b/>
                <w:sz w:val="20"/>
                <w:szCs w:val="20"/>
              </w:rPr>
            </w:pPr>
            <w:r w:rsidRPr="000A33F0">
              <w:rPr>
                <w:b/>
                <w:sz w:val="20"/>
                <w:szCs w:val="20"/>
              </w:rPr>
              <w:t xml:space="preserve">40 mg </w:t>
            </w:r>
          </w:p>
          <w:p w:rsidR="000A33F0" w:rsidRPr="000A33F0" w:rsidRDefault="000A33F0" w:rsidP="00937266">
            <w:pPr>
              <w:keepNext/>
              <w:autoSpaceDE w:val="0"/>
              <w:autoSpaceDN w:val="0"/>
              <w:adjustRightInd w:val="0"/>
              <w:spacing w:after="60" w:line="240" w:lineRule="auto"/>
              <w:ind w:left="142"/>
              <w:jc w:val="center"/>
              <w:rPr>
                <w:b/>
                <w:sz w:val="20"/>
                <w:szCs w:val="20"/>
              </w:rPr>
            </w:pPr>
            <w:r w:rsidRPr="000A33F0">
              <w:rPr>
                <w:b/>
                <w:sz w:val="20"/>
                <w:szCs w:val="20"/>
              </w:rPr>
              <w:t>Q2W</w:t>
            </w:r>
          </w:p>
          <w:p w:rsidR="000A33F0" w:rsidRPr="000A33F0" w:rsidRDefault="000A33F0" w:rsidP="00937266">
            <w:pPr>
              <w:keepNext/>
              <w:autoSpaceDE w:val="0"/>
              <w:autoSpaceDN w:val="0"/>
              <w:adjustRightInd w:val="0"/>
              <w:spacing w:after="60" w:line="240" w:lineRule="auto"/>
              <w:ind w:left="142"/>
              <w:jc w:val="center"/>
              <w:rPr>
                <w:b/>
                <w:sz w:val="20"/>
                <w:szCs w:val="20"/>
              </w:rPr>
            </w:pPr>
            <w:r w:rsidRPr="000A33F0">
              <w:rPr>
                <w:b/>
                <w:sz w:val="20"/>
                <w:szCs w:val="20"/>
              </w:rPr>
              <w:t>(N=101) (n%)</w:t>
            </w:r>
            <w:r w:rsidRPr="000A33F0">
              <w:rPr>
                <w:rFonts w:cs="Arial"/>
                <w:b/>
                <w:bCs/>
                <w:spacing w:val="1"/>
                <w:sz w:val="20"/>
                <w:szCs w:val="20"/>
                <w:lang w:val="en-US"/>
              </w:rPr>
              <w:t xml:space="preserve"> </w:t>
            </w:r>
          </w:p>
        </w:tc>
        <w:tc>
          <w:tcPr>
            <w:tcW w:w="1698" w:type="dxa"/>
          </w:tcPr>
          <w:p w:rsidR="000A33F0" w:rsidRPr="000A33F0" w:rsidRDefault="000A33F0" w:rsidP="00937266">
            <w:pPr>
              <w:keepNext/>
              <w:autoSpaceDE w:val="0"/>
              <w:autoSpaceDN w:val="0"/>
              <w:adjustRightInd w:val="0"/>
              <w:spacing w:after="60" w:line="240" w:lineRule="auto"/>
              <w:ind w:left="142"/>
              <w:jc w:val="center"/>
              <w:rPr>
                <w:rFonts w:cs="Arial"/>
                <w:b/>
                <w:bCs/>
                <w:spacing w:val="1"/>
                <w:sz w:val="20"/>
                <w:szCs w:val="20"/>
                <w:lang w:val="en-US"/>
              </w:rPr>
            </w:pPr>
          </w:p>
          <w:p w:rsidR="000A33F0" w:rsidRPr="000A33F0" w:rsidRDefault="000A33F0" w:rsidP="00937266">
            <w:pPr>
              <w:keepNext/>
              <w:autoSpaceDE w:val="0"/>
              <w:autoSpaceDN w:val="0"/>
              <w:adjustRightInd w:val="0"/>
              <w:spacing w:after="60" w:line="240" w:lineRule="auto"/>
              <w:ind w:left="142"/>
              <w:jc w:val="center"/>
              <w:rPr>
                <w:rFonts w:cs="Arial"/>
                <w:b/>
                <w:bCs/>
                <w:spacing w:val="1"/>
                <w:sz w:val="20"/>
                <w:szCs w:val="20"/>
                <w:lang w:val="en-US"/>
              </w:rPr>
            </w:pPr>
          </w:p>
          <w:p w:rsidR="000A33F0" w:rsidRPr="000A33F0" w:rsidRDefault="000A33F0" w:rsidP="00937266">
            <w:pPr>
              <w:keepNext/>
              <w:autoSpaceDE w:val="0"/>
              <w:autoSpaceDN w:val="0"/>
              <w:adjustRightInd w:val="0"/>
              <w:spacing w:after="60" w:line="240" w:lineRule="auto"/>
              <w:ind w:left="142"/>
              <w:jc w:val="center"/>
              <w:rPr>
                <w:rFonts w:cs="Arial"/>
                <w:b/>
                <w:bCs/>
                <w:spacing w:val="1"/>
                <w:sz w:val="20"/>
                <w:szCs w:val="20"/>
                <w:lang w:val="en-US"/>
              </w:rPr>
            </w:pPr>
            <w:r w:rsidRPr="000A33F0">
              <w:rPr>
                <w:rFonts w:cs="Arial"/>
                <w:b/>
                <w:bCs/>
                <w:spacing w:val="1"/>
                <w:sz w:val="20"/>
                <w:szCs w:val="20"/>
                <w:lang w:val="en-US"/>
              </w:rPr>
              <w:t>(</w:t>
            </w:r>
            <w:r w:rsidRPr="000A33F0">
              <w:rPr>
                <w:rFonts w:cs="Arial"/>
                <w:b/>
                <w:bCs/>
                <w:sz w:val="20"/>
                <w:szCs w:val="20"/>
                <w:lang w:val="en-US"/>
              </w:rPr>
              <w:t>N</w:t>
            </w:r>
            <w:r w:rsidRPr="000A33F0">
              <w:rPr>
                <w:rFonts w:cs="Arial"/>
                <w:b/>
                <w:bCs/>
                <w:spacing w:val="-1"/>
                <w:sz w:val="20"/>
                <w:szCs w:val="20"/>
                <w:lang w:val="en-US"/>
              </w:rPr>
              <w:t>=224</w:t>
            </w:r>
            <w:r w:rsidRPr="000A33F0">
              <w:rPr>
                <w:rFonts w:cs="Arial"/>
                <w:b/>
                <w:bCs/>
                <w:sz w:val="20"/>
                <w:szCs w:val="20"/>
                <w:lang w:val="en-US"/>
              </w:rPr>
              <w:t>)</w:t>
            </w:r>
            <w:r w:rsidRPr="000A33F0">
              <w:rPr>
                <w:rFonts w:cs="Arial"/>
                <w:b/>
                <w:bCs/>
                <w:spacing w:val="-7"/>
                <w:sz w:val="20"/>
                <w:szCs w:val="20"/>
                <w:lang w:val="en-US"/>
              </w:rPr>
              <w:t xml:space="preserve"> </w:t>
            </w:r>
            <w:r w:rsidRPr="000A33F0">
              <w:rPr>
                <w:rFonts w:cs="Arial"/>
                <w:b/>
                <w:bCs/>
                <w:spacing w:val="1"/>
                <w:sz w:val="20"/>
                <w:szCs w:val="20"/>
                <w:lang w:val="en-US"/>
              </w:rPr>
              <w:t>(n</w:t>
            </w:r>
            <w:r w:rsidRPr="000A33F0">
              <w:rPr>
                <w:rFonts w:cs="Arial"/>
                <w:b/>
                <w:bCs/>
                <w:spacing w:val="-2"/>
                <w:sz w:val="20"/>
                <w:szCs w:val="20"/>
                <w:lang w:val="en-US"/>
              </w:rPr>
              <w:t>%</w:t>
            </w:r>
            <w:r w:rsidRPr="000A33F0">
              <w:rPr>
                <w:rFonts w:cs="Arial"/>
                <w:b/>
                <w:bCs/>
                <w:sz w:val="20"/>
                <w:szCs w:val="20"/>
                <w:lang w:val="en-US"/>
              </w:rPr>
              <w:t>)</w:t>
            </w:r>
          </w:p>
        </w:tc>
      </w:tr>
      <w:tr w:rsidR="000A33F0" w:rsidRPr="000A33F0" w:rsidTr="00807094">
        <w:trPr>
          <w:trHeight w:val="350"/>
        </w:trPr>
        <w:tc>
          <w:tcPr>
            <w:tcW w:w="2142" w:type="dxa"/>
            <w:shd w:val="clear" w:color="auto" w:fill="auto"/>
          </w:tcPr>
          <w:p w:rsidR="000A33F0" w:rsidRPr="000A33F0" w:rsidRDefault="000A33F0" w:rsidP="00937266">
            <w:pPr>
              <w:spacing w:after="60" w:line="240" w:lineRule="auto"/>
              <w:ind w:left="142"/>
              <w:rPr>
                <w:b/>
                <w:sz w:val="20"/>
                <w:szCs w:val="20"/>
              </w:rPr>
            </w:pPr>
            <w:r w:rsidRPr="000A33F0">
              <w:rPr>
                <w:rFonts w:cs="Arial"/>
                <w:b/>
                <w:bCs/>
                <w:sz w:val="20"/>
                <w:szCs w:val="20"/>
                <w:lang w:val="en-US"/>
              </w:rPr>
              <w:t>I</w:t>
            </w:r>
            <w:r w:rsidRPr="000A33F0">
              <w:rPr>
                <w:rFonts w:cs="Arial"/>
                <w:b/>
                <w:bCs/>
                <w:spacing w:val="1"/>
                <w:sz w:val="20"/>
                <w:szCs w:val="20"/>
                <w:lang w:val="en-US"/>
              </w:rPr>
              <w:t>n</w:t>
            </w:r>
            <w:r w:rsidRPr="000A33F0">
              <w:rPr>
                <w:rFonts w:cs="Arial"/>
                <w:b/>
                <w:bCs/>
                <w:sz w:val="20"/>
                <w:szCs w:val="20"/>
                <w:lang w:val="en-US"/>
              </w:rPr>
              <w:t>jec</w:t>
            </w:r>
            <w:r w:rsidRPr="000A33F0">
              <w:rPr>
                <w:rFonts w:cs="Arial"/>
                <w:b/>
                <w:bCs/>
                <w:spacing w:val="1"/>
                <w:sz w:val="20"/>
                <w:szCs w:val="20"/>
                <w:lang w:val="en-US"/>
              </w:rPr>
              <w:t>t</w:t>
            </w:r>
            <w:r w:rsidRPr="000A33F0">
              <w:rPr>
                <w:rFonts w:cs="Arial"/>
                <w:b/>
                <w:bCs/>
                <w:sz w:val="20"/>
                <w:szCs w:val="20"/>
                <w:lang w:val="en-US"/>
              </w:rPr>
              <w:t>i</w:t>
            </w:r>
            <w:r w:rsidRPr="000A33F0">
              <w:rPr>
                <w:rFonts w:cs="Arial"/>
                <w:b/>
                <w:bCs/>
                <w:spacing w:val="1"/>
                <w:sz w:val="20"/>
                <w:szCs w:val="20"/>
                <w:lang w:val="en-US"/>
              </w:rPr>
              <w:t>o</w:t>
            </w:r>
            <w:r w:rsidRPr="000A33F0">
              <w:rPr>
                <w:rFonts w:cs="Arial"/>
                <w:b/>
                <w:bCs/>
                <w:sz w:val="20"/>
                <w:szCs w:val="20"/>
                <w:lang w:val="en-US"/>
              </w:rPr>
              <w:t>n</w:t>
            </w:r>
            <w:r w:rsidRPr="000A33F0">
              <w:rPr>
                <w:rFonts w:cs="Arial"/>
                <w:b/>
                <w:bCs/>
                <w:spacing w:val="-8"/>
                <w:sz w:val="20"/>
                <w:szCs w:val="20"/>
                <w:lang w:val="en-US"/>
              </w:rPr>
              <w:t xml:space="preserve"> </w:t>
            </w:r>
            <w:r w:rsidRPr="000A33F0">
              <w:rPr>
                <w:rFonts w:cs="Arial"/>
                <w:b/>
                <w:bCs/>
                <w:sz w:val="20"/>
                <w:szCs w:val="20"/>
                <w:lang w:val="en-US"/>
              </w:rPr>
              <w:t>si</w:t>
            </w:r>
            <w:r w:rsidRPr="000A33F0">
              <w:rPr>
                <w:rFonts w:cs="Arial"/>
                <w:b/>
                <w:bCs/>
                <w:spacing w:val="1"/>
                <w:sz w:val="20"/>
                <w:szCs w:val="20"/>
                <w:lang w:val="en-US"/>
              </w:rPr>
              <w:t>t</w:t>
            </w:r>
            <w:r w:rsidRPr="000A33F0">
              <w:rPr>
                <w:rFonts w:cs="Arial"/>
                <w:b/>
                <w:bCs/>
                <w:sz w:val="20"/>
                <w:szCs w:val="20"/>
                <w:lang w:val="en-US"/>
              </w:rPr>
              <w:t>e</w:t>
            </w:r>
            <w:r w:rsidRPr="000A33F0">
              <w:rPr>
                <w:rFonts w:cs="Arial"/>
                <w:b/>
                <w:bCs/>
                <w:spacing w:val="-1"/>
                <w:sz w:val="20"/>
                <w:szCs w:val="20"/>
                <w:lang w:val="en-US"/>
              </w:rPr>
              <w:t xml:space="preserve"> r</w:t>
            </w:r>
            <w:r w:rsidRPr="000A33F0">
              <w:rPr>
                <w:rFonts w:cs="Arial"/>
                <w:b/>
                <w:bCs/>
                <w:spacing w:val="2"/>
                <w:sz w:val="20"/>
                <w:szCs w:val="20"/>
                <w:lang w:val="en-US"/>
              </w:rPr>
              <w:t>e</w:t>
            </w:r>
            <w:r w:rsidRPr="000A33F0">
              <w:rPr>
                <w:rFonts w:cs="Arial"/>
                <w:b/>
                <w:bCs/>
                <w:sz w:val="20"/>
                <w:szCs w:val="20"/>
                <w:lang w:val="en-US"/>
              </w:rPr>
              <w:t>ac</w:t>
            </w:r>
            <w:r w:rsidRPr="000A33F0">
              <w:rPr>
                <w:rFonts w:cs="Arial"/>
                <w:b/>
                <w:bCs/>
                <w:spacing w:val="1"/>
                <w:sz w:val="20"/>
                <w:szCs w:val="20"/>
                <w:lang w:val="en-US"/>
              </w:rPr>
              <w:t>t</w:t>
            </w:r>
            <w:r w:rsidRPr="000A33F0">
              <w:rPr>
                <w:rFonts w:cs="Arial"/>
                <w:b/>
                <w:bCs/>
                <w:sz w:val="20"/>
                <w:szCs w:val="20"/>
                <w:lang w:val="en-US"/>
              </w:rPr>
              <w:t>i</w:t>
            </w:r>
            <w:r w:rsidRPr="000A33F0">
              <w:rPr>
                <w:rFonts w:cs="Arial"/>
                <w:b/>
                <w:bCs/>
                <w:spacing w:val="1"/>
                <w:sz w:val="20"/>
                <w:szCs w:val="20"/>
                <w:lang w:val="en-US"/>
              </w:rPr>
              <w:t>on</w:t>
            </w:r>
            <w:r w:rsidRPr="000A33F0">
              <w:rPr>
                <w:rFonts w:cs="Arial"/>
                <w:b/>
                <w:bCs/>
                <w:sz w:val="20"/>
                <w:szCs w:val="20"/>
                <w:lang w:val="en-US"/>
              </w:rPr>
              <w:t xml:space="preserve">s                                    </w:t>
            </w:r>
            <w:r w:rsidRPr="000A33F0">
              <w:rPr>
                <w:rFonts w:cs="Arial"/>
                <w:b/>
                <w:bCs/>
                <w:spacing w:val="21"/>
                <w:sz w:val="20"/>
                <w:szCs w:val="20"/>
                <w:lang w:val="en-US"/>
              </w:rPr>
              <w:t xml:space="preserve"> </w:t>
            </w:r>
          </w:p>
        </w:tc>
        <w:tc>
          <w:tcPr>
            <w:tcW w:w="1698" w:type="dxa"/>
            <w:shd w:val="clear" w:color="auto" w:fill="auto"/>
          </w:tcPr>
          <w:p w:rsidR="000A33F0" w:rsidRPr="000A33F0" w:rsidRDefault="000A33F0" w:rsidP="00937266">
            <w:pPr>
              <w:spacing w:after="60" w:line="240" w:lineRule="auto"/>
              <w:ind w:left="142"/>
              <w:jc w:val="center"/>
              <w:rPr>
                <w:sz w:val="20"/>
                <w:szCs w:val="20"/>
              </w:rPr>
            </w:pPr>
            <w:r w:rsidRPr="000A33F0">
              <w:rPr>
                <w:sz w:val="20"/>
                <w:szCs w:val="20"/>
              </w:rPr>
              <w:t>40 (17.5%)</w:t>
            </w:r>
          </w:p>
        </w:tc>
        <w:tc>
          <w:tcPr>
            <w:tcW w:w="1698" w:type="dxa"/>
            <w:shd w:val="clear" w:color="auto" w:fill="auto"/>
          </w:tcPr>
          <w:p w:rsidR="000A33F0" w:rsidRPr="000A33F0" w:rsidRDefault="000A33F0" w:rsidP="00937266">
            <w:pPr>
              <w:spacing w:after="60" w:line="240" w:lineRule="auto"/>
              <w:ind w:left="142"/>
              <w:jc w:val="center"/>
              <w:rPr>
                <w:sz w:val="20"/>
                <w:szCs w:val="20"/>
              </w:rPr>
            </w:pPr>
            <w:r w:rsidRPr="000A33F0">
              <w:rPr>
                <w:sz w:val="20"/>
                <w:szCs w:val="20"/>
              </w:rPr>
              <w:t>57 (25.3%)</w:t>
            </w:r>
          </w:p>
        </w:tc>
        <w:tc>
          <w:tcPr>
            <w:tcW w:w="1698" w:type="dxa"/>
          </w:tcPr>
          <w:p w:rsidR="000A33F0" w:rsidRPr="000A33F0" w:rsidRDefault="000A33F0" w:rsidP="00937266">
            <w:pPr>
              <w:spacing w:after="60" w:line="240" w:lineRule="auto"/>
              <w:ind w:left="142"/>
              <w:jc w:val="center"/>
              <w:rPr>
                <w:sz w:val="20"/>
                <w:szCs w:val="20"/>
              </w:rPr>
            </w:pPr>
            <w:r w:rsidRPr="000A33F0">
              <w:rPr>
                <w:sz w:val="20"/>
                <w:szCs w:val="20"/>
              </w:rPr>
              <w:t>6 (5.9%)</w:t>
            </w:r>
          </w:p>
        </w:tc>
        <w:tc>
          <w:tcPr>
            <w:tcW w:w="1698" w:type="dxa"/>
          </w:tcPr>
          <w:p w:rsidR="000A33F0" w:rsidRPr="000A33F0" w:rsidRDefault="000A33F0" w:rsidP="00937266">
            <w:pPr>
              <w:spacing w:after="60" w:line="240" w:lineRule="auto"/>
              <w:ind w:left="142"/>
              <w:jc w:val="center"/>
              <w:rPr>
                <w:rFonts w:cs="Arial"/>
                <w:sz w:val="20"/>
                <w:szCs w:val="20"/>
                <w:lang w:val="en-US"/>
              </w:rPr>
            </w:pPr>
            <w:r w:rsidRPr="000A33F0">
              <w:rPr>
                <w:rFonts w:cs="Arial"/>
                <w:sz w:val="20"/>
                <w:szCs w:val="20"/>
                <w:lang w:val="en-US"/>
              </w:rPr>
              <w:t>10 (4.5%)</w:t>
            </w:r>
          </w:p>
        </w:tc>
      </w:tr>
      <w:tr w:rsidR="000A33F0" w:rsidRPr="000A33F0" w:rsidTr="00807094">
        <w:tc>
          <w:tcPr>
            <w:tcW w:w="2142" w:type="dxa"/>
            <w:shd w:val="clear" w:color="auto" w:fill="auto"/>
          </w:tcPr>
          <w:p w:rsidR="000A33F0" w:rsidRPr="000A33F0" w:rsidRDefault="000A33F0" w:rsidP="00937266">
            <w:pPr>
              <w:spacing w:after="60" w:line="240" w:lineRule="auto"/>
              <w:ind w:left="142"/>
              <w:rPr>
                <w:b/>
                <w:sz w:val="20"/>
                <w:szCs w:val="20"/>
              </w:rPr>
            </w:pPr>
            <w:r w:rsidRPr="000A33F0">
              <w:rPr>
                <w:rFonts w:cs="Arial"/>
                <w:b/>
                <w:bCs/>
                <w:sz w:val="20"/>
                <w:szCs w:val="20"/>
                <w:lang w:val="en-US"/>
              </w:rPr>
              <w:t>U</w:t>
            </w:r>
            <w:r w:rsidRPr="000A33F0">
              <w:rPr>
                <w:rFonts w:cs="Arial"/>
                <w:b/>
                <w:bCs/>
                <w:spacing w:val="1"/>
                <w:sz w:val="20"/>
                <w:szCs w:val="20"/>
                <w:lang w:val="en-US"/>
              </w:rPr>
              <w:t>pp</w:t>
            </w:r>
            <w:r w:rsidRPr="000A33F0">
              <w:rPr>
                <w:rFonts w:cs="Arial"/>
                <w:b/>
                <w:bCs/>
                <w:sz w:val="20"/>
                <w:szCs w:val="20"/>
                <w:lang w:val="en-US"/>
              </w:rPr>
              <w:t>er</w:t>
            </w:r>
            <w:r w:rsidRPr="000A33F0">
              <w:rPr>
                <w:rFonts w:cs="Arial"/>
                <w:b/>
                <w:bCs/>
                <w:spacing w:val="-7"/>
                <w:sz w:val="20"/>
                <w:szCs w:val="20"/>
                <w:lang w:val="en-US"/>
              </w:rPr>
              <w:t xml:space="preserve"> </w:t>
            </w:r>
            <w:r w:rsidRPr="000A33F0">
              <w:rPr>
                <w:rFonts w:cs="Arial"/>
                <w:b/>
                <w:bCs/>
                <w:spacing w:val="2"/>
                <w:sz w:val="20"/>
                <w:szCs w:val="20"/>
                <w:lang w:val="en-US"/>
              </w:rPr>
              <w:t>r</w:t>
            </w:r>
            <w:r w:rsidRPr="000A33F0">
              <w:rPr>
                <w:rFonts w:cs="Arial"/>
                <w:b/>
                <w:bCs/>
                <w:sz w:val="20"/>
                <w:szCs w:val="20"/>
                <w:lang w:val="en-US"/>
              </w:rPr>
              <w:t>es</w:t>
            </w:r>
            <w:r w:rsidRPr="000A33F0">
              <w:rPr>
                <w:rFonts w:cs="Arial"/>
                <w:b/>
                <w:bCs/>
                <w:spacing w:val="1"/>
                <w:sz w:val="20"/>
                <w:szCs w:val="20"/>
                <w:lang w:val="en-US"/>
              </w:rPr>
              <w:t>p</w:t>
            </w:r>
            <w:r w:rsidRPr="000A33F0">
              <w:rPr>
                <w:rFonts w:cs="Arial"/>
                <w:b/>
                <w:bCs/>
                <w:spacing w:val="2"/>
                <w:sz w:val="20"/>
                <w:szCs w:val="20"/>
                <w:lang w:val="en-US"/>
              </w:rPr>
              <w:t>i</w:t>
            </w:r>
            <w:r w:rsidRPr="000A33F0">
              <w:rPr>
                <w:rFonts w:cs="Arial"/>
                <w:b/>
                <w:bCs/>
                <w:spacing w:val="-1"/>
                <w:sz w:val="20"/>
                <w:szCs w:val="20"/>
                <w:lang w:val="en-US"/>
              </w:rPr>
              <w:t>r</w:t>
            </w:r>
            <w:r w:rsidRPr="000A33F0">
              <w:rPr>
                <w:rFonts w:cs="Arial"/>
                <w:b/>
                <w:bCs/>
                <w:sz w:val="20"/>
                <w:szCs w:val="20"/>
                <w:lang w:val="en-US"/>
              </w:rPr>
              <w:t>a</w:t>
            </w:r>
            <w:r w:rsidRPr="000A33F0">
              <w:rPr>
                <w:rFonts w:cs="Arial"/>
                <w:b/>
                <w:bCs/>
                <w:spacing w:val="1"/>
                <w:sz w:val="20"/>
                <w:szCs w:val="20"/>
                <w:lang w:val="en-US"/>
              </w:rPr>
              <w:t>to</w:t>
            </w:r>
            <w:r w:rsidRPr="000A33F0">
              <w:rPr>
                <w:rFonts w:cs="Arial"/>
                <w:b/>
                <w:bCs/>
                <w:spacing w:val="2"/>
                <w:sz w:val="20"/>
                <w:szCs w:val="20"/>
                <w:lang w:val="en-US"/>
              </w:rPr>
              <w:t>r</w:t>
            </w:r>
            <w:r w:rsidRPr="000A33F0">
              <w:rPr>
                <w:rFonts w:cs="Arial"/>
                <w:b/>
                <w:bCs/>
                <w:sz w:val="20"/>
                <w:szCs w:val="20"/>
                <w:lang w:val="en-US"/>
              </w:rPr>
              <w:t>y</w:t>
            </w:r>
            <w:r w:rsidRPr="000A33F0">
              <w:rPr>
                <w:rFonts w:cs="Arial"/>
                <w:b/>
                <w:bCs/>
                <w:spacing w:val="-11"/>
                <w:sz w:val="20"/>
                <w:szCs w:val="20"/>
                <w:lang w:val="en-US"/>
              </w:rPr>
              <w:t xml:space="preserve"> </w:t>
            </w:r>
            <w:r w:rsidRPr="000A33F0">
              <w:rPr>
                <w:rFonts w:cs="Arial"/>
                <w:b/>
                <w:bCs/>
                <w:spacing w:val="1"/>
                <w:sz w:val="20"/>
                <w:szCs w:val="20"/>
                <w:lang w:val="en-US"/>
              </w:rPr>
              <w:t>t</w:t>
            </w:r>
            <w:r w:rsidRPr="000A33F0">
              <w:rPr>
                <w:rFonts w:cs="Arial"/>
                <w:b/>
                <w:bCs/>
                <w:spacing w:val="-1"/>
                <w:sz w:val="20"/>
                <w:szCs w:val="20"/>
                <w:lang w:val="en-US"/>
              </w:rPr>
              <w:t>r</w:t>
            </w:r>
            <w:r w:rsidRPr="000A33F0">
              <w:rPr>
                <w:rFonts w:cs="Arial"/>
                <w:b/>
                <w:bCs/>
                <w:sz w:val="20"/>
                <w:szCs w:val="20"/>
                <w:lang w:val="en-US"/>
              </w:rPr>
              <w:t>act</w:t>
            </w:r>
            <w:r w:rsidR="000A062C" w:rsidRPr="000A062C">
              <w:rPr>
                <w:rFonts w:cs="Arial"/>
                <w:b/>
                <w:bCs/>
                <w:sz w:val="20"/>
                <w:szCs w:val="20"/>
                <w:vertAlign w:val="superscript"/>
                <w:lang w:val="en-US"/>
              </w:rPr>
              <w:t>b</w:t>
            </w:r>
            <w:r w:rsidRPr="000A33F0">
              <w:rPr>
                <w:rFonts w:cs="Arial"/>
                <w:b/>
                <w:bCs/>
                <w:spacing w:val="-4"/>
                <w:sz w:val="20"/>
                <w:szCs w:val="20"/>
                <w:lang w:val="en-US"/>
              </w:rPr>
              <w:t xml:space="preserve"> </w:t>
            </w:r>
            <w:r w:rsidRPr="000A33F0">
              <w:rPr>
                <w:rFonts w:cs="Arial"/>
                <w:b/>
                <w:bCs/>
                <w:sz w:val="20"/>
                <w:szCs w:val="20"/>
                <w:lang w:val="en-US"/>
              </w:rPr>
              <w:t>i</w:t>
            </w:r>
            <w:r w:rsidRPr="000A33F0">
              <w:rPr>
                <w:rFonts w:cs="Arial"/>
                <w:b/>
                <w:bCs/>
                <w:spacing w:val="3"/>
                <w:sz w:val="20"/>
                <w:szCs w:val="20"/>
                <w:lang w:val="en-US"/>
              </w:rPr>
              <w:t>n</w:t>
            </w:r>
            <w:r w:rsidRPr="000A33F0">
              <w:rPr>
                <w:rFonts w:cs="Arial"/>
                <w:b/>
                <w:bCs/>
                <w:spacing w:val="1"/>
                <w:sz w:val="20"/>
                <w:szCs w:val="20"/>
                <w:lang w:val="en-US"/>
              </w:rPr>
              <w:t>f</w:t>
            </w:r>
            <w:r w:rsidRPr="000A33F0">
              <w:rPr>
                <w:rFonts w:cs="Arial"/>
                <w:b/>
                <w:bCs/>
                <w:sz w:val="20"/>
                <w:szCs w:val="20"/>
                <w:lang w:val="en-US"/>
              </w:rPr>
              <w:t>ec</w:t>
            </w:r>
            <w:r w:rsidRPr="000A33F0">
              <w:rPr>
                <w:rFonts w:cs="Arial"/>
                <w:b/>
                <w:bCs/>
                <w:spacing w:val="1"/>
                <w:sz w:val="20"/>
                <w:szCs w:val="20"/>
                <w:lang w:val="en-US"/>
              </w:rPr>
              <w:t>t</w:t>
            </w:r>
            <w:r w:rsidRPr="000A33F0">
              <w:rPr>
                <w:rFonts w:cs="Arial"/>
                <w:b/>
                <w:bCs/>
                <w:sz w:val="20"/>
                <w:szCs w:val="20"/>
                <w:lang w:val="en-US"/>
              </w:rPr>
              <w:t>i</w:t>
            </w:r>
            <w:r w:rsidRPr="000A33F0">
              <w:rPr>
                <w:rFonts w:cs="Arial"/>
                <w:b/>
                <w:bCs/>
                <w:spacing w:val="1"/>
                <w:sz w:val="20"/>
                <w:szCs w:val="20"/>
                <w:lang w:val="en-US"/>
              </w:rPr>
              <w:t>o</w:t>
            </w:r>
            <w:r w:rsidRPr="000A33F0">
              <w:rPr>
                <w:rFonts w:cs="Arial"/>
                <w:b/>
                <w:bCs/>
                <w:spacing w:val="2"/>
                <w:sz w:val="20"/>
                <w:szCs w:val="20"/>
                <w:lang w:val="en-US"/>
              </w:rPr>
              <w:t>n</w:t>
            </w:r>
            <w:r w:rsidRPr="000A33F0">
              <w:rPr>
                <w:rFonts w:cs="Arial"/>
                <w:bCs/>
                <w:sz w:val="20"/>
                <w:szCs w:val="20"/>
                <w:vertAlign w:val="superscript"/>
                <w:lang w:val="en-US"/>
              </w:rPr>
              <w:t xml:space="preserve">  </w:t>
            </w:r>
          </w:p>
        </w:tc>
        <w:tc>
          <w:tcPr>
            <w:tcW w:w="1698" w:type="dxa"/>
            <w:shd w:val="clear" w:color="auto" w:fill="auto"/>
          </w:tcPr>
          <w:p w:rsidR="000A33F0" w:rsidRPr="000A33F0" w:rsidRDefault="000A33F0" w:rsidP="00937266">
            <w:pPr>
              <w:spacing w:after="60" w:line="240" w:lineRule="auto"/>
              <w:ind w:left="142"/>
              <w:jc w:val="center"/>
              <w:rPr>
                <w:sz w:val="20"/>
                <w:szCs w:val="20"/>
              </w:rPr>
            </w:pPr>
            <w:r w:rsidRPr="000A33F0">
              <w:rPr>
                <w:sz w:val="20"/>
                <w:szCs w:val="20"/>
              </w:rPr>
              <w:t>33 (14.4%)</w:t>
            </w:r>
          </w:p>
        </w:tc>
        <w:tc>
          <w:tcPr>
            <w:tcW w:w="1698" w:type="dxa"/>
            <w:shd w:val="clear" w:color="auto" w:fill="auto"/>
          </w:tcPr>
          <w:p w:rsidR="000A33F0" w:rsidRPr="000A33F0" w:rsidRDefault="000A33F0" w:rsidP="00937266">
            <w:pPr>
              <w:spacing w:after="60" w:line="240" w:lineRule="auto"/>
              <w:ind w:left="142"/>
              <w:jc w:val="center"/>
              <w:rPr>
                <w:sz w:val="20"/>
                <w:szCs w:val="20"/>
              </w:rPr>
            </w:pPr>
            <w:r w:rsidRPr="000A33F0">
              <w:rPr>
                <w:sz w:val="20"/>
                <w:szCs w:val="20"/>
              </w:rPr>
              <w:t>23 (10.2%)</w:t>
            </w:r>
          </w:p>
        </w:tc>
        <w:tc>
          <w:tcPr>
            <w:tcW w:w="1698" w:type="dxa"/>
          </w:tcPr>
          <w:p w:rsidR="000A33F0" w:rsidRPr="000A33F0" w:rsidRDefault="000A062C" w:rsidP="00937266">
            <w:pPr>
              <w:spacing w:after="60" w:line="240" w:lineRule="auto"/>
              <w:ind w:left="142"/>
              <w:jc w:val="center"/>
              <w:rPr>
                <w:sz w:val="20"/>
                <w:szCs w:val="20"/>
              </w:rPr>
            </w:pPr>
            <w:r>
              <w:rPr>
                <w:sz w:val="20"/>
                <w:szCs w:val="20"/>
              </w:rPr>
              <w:t>11 (10.9%)</w:t>
            </w:r>
          </w:p>
        </w:tc>
        <w:tc>
          <w:tcPr>
            <w:tcW w:w="1698" w:type="dxa"/>
          </w:tcPr>
          <w:p w:rsidR="000A33F0" w:rsidRPr="000A33F0" w:rsidRDefault="000A33F0" w:rsidP="00937266">
            <w:pPr>
              <w:spacing w:after="60" w:line="240" w:lineRule="auto"/>
              <w:ind w:left="142"/>
              <w:jc w:val="center"/>
              <w:rPr>
                <w:rFonts w:cs="Arial"/>
                <w:sz w:val="20"/>
                <w:szCs w:val="20"/>
                <w:lang w:val="en-US"/>
              </w:rPr>
            </w:pPr>
            <w:r w:rsidRPr="000A33F0">
              <w:rPr>
                <w:rFonts w:cs="Arial"/>
                <w:sz w:val="20"/>
                <w:szCs w:val="20"/>
                <w:lang w:val="en-US"/>
              </w:rPr>
              <w:t>25 (11.2%)</w:t>
            </w:r>
          </w:p>
        </w:tc>
      </w:tr>
      <w:tr w:rsidR="000A33F0" w:rsidRPr="000A33F0" w:rsidTr="00807094">
        <w:tc>
          <w:tcPr>
            <w:tcW w:w="2142" w:type="dxa"/>
            <w:shd w:val="clear" w:color="auto" w:fill="auto"/>
          </w:tcPr>
          <w:p w:rsidR="000A33F0" w:rsidRPr="000A33F0" w:rsidRDefault="000A33F0" w:rsidP="00937266">
            <w:pPr>
              <w:spacing w:after="60" w:line="240" w:lineRule="auto"/>
              <w:ind w:left="142"/>
              <w:rPr>
                <w:b/>
                <w:sz w:val="20"/>
                <w:szCs w:val="20"/>
              </w:rPr>
            </w:pPr>
            <w:r w:rsidRPr="000A33F0">
              <w:rPr>
                <w:rFonts w:cs="Arial"/>
                <w:b/>
                <w:bCs/>
                <w:sz w:val="20"/>
                <w:szCs w:val="20"/>
                <w:lang w:val="en-US"/>
              </w:rPr>
              <w:t>Na</w:t>
            </w:r>
            <w:r w:rsidRPr="000A33F0">
              <w:rPr>
                <w:rFonts w:cs="Arial"/>
                <w:b/>
                <w:bCs/>
                <w:spacing w:val="1"/>
                <w:sz w:val="20"/>
                <w:szCs w:val="20"/>
                <w:lang w:val="en-US"/>
              </w:rPr>
              <w:t>u</w:t>
            </w:r>
            <w:r w:rsidRPr="000A33F0">
              <w:rPr>
                <w:rFonts w:cs="Arial"/>
                <w:b/>
                <w:bCs/>
                <w:sz w:val="20"/>
                <w:szCs w:val="20"/>
                <w:lang w:val="en-US"/>
              </w:rPr>
              <w:t xml:space="preserve">sea </w:t>
            </w:r>
          </w:p>
        </w:tc>
        <w:tc>
          <w:tcPr>
            <w:tcW w:w="1698" w:type="dxa"/>
            <w:shd w:val="clear" w:color="auto" w:fill="auto"/>
          </w:tcPr>
          <w:p w:rsidR="000A33F0" w:rsidRPr="000A33F0" w:rsidRDefault="000A33F0" w:rsidP="00937266">
            <w:pPr>
              <w:spacing w:after="60" w:line="240" w:lineRule="auto"/>
              <w:ind w:left="142"/>
              <w:jc w:val="center"/>
              <w:rPr>
                <w:sz w:val="20"/>
                <w:szCs w:val="20"/>
              </w:rPr>
            </w:pPr>
            <w:r w:rsidRPr="000A33F0">
              <w:rPr>
                <w:sz w:val="20"/>
                <w:szCs w:val="20"/>
              </w:rPr>
              <w:t>1 (0.4%)</w:t>
            </w:r>
          </w:p>
        </w:tc>
        <w:tc>
          <w:tcPr>
            <w:tcW w:w="1698" w:type="dxa"/>
            <w:shd w:val="clear" w:color="auto" w:fill="auto"/>
          </w:tcPr>
          <w:p w:rsidR="000A33F0" w:rsidRPr="000A33F0" w:rsidRDefault="000A33F0" w:rsidP="00937266">
            <w:pPr>
              <w:spacing w:after="60" w:line="240" w:lineRule="auto"/>
              <w:ind w:left="142"/>
              <w:jc w:val="center"/>
              <w:rPr>
                <w:sz w:val="20"/>
                <w:szCs w:val="20"/>
              </w:rPr>
            </w:pPr>
            <w:r w:rsidRPr="000A33F0">
              <w:rPr>
                <w:sz w:val="20"/>
                <w:szCs w:val="20"/>
              </w:rPr>
              <w:t>5 (2.2%)</w:t>
            </w:r>
          </w:p>
        </w:tc>
        <w:tc>
          <w:tcPr>
            <w:tcW w:w="1698" w:type="dxa"/>
          </w:tcPr>
          <w:p w:rsidR="000A33F0" w:rsidRPr="000A33F0" w:rsidRDefault="000A33F0" w:rsidP="00937266">
            <w:pPr>
              <w:spacing w:after="60" w:line="240" w:lineRule="auto"/>
              <w:ind w:left="142"/>
              <w:jc w:val="center"/>
              <w:rPr>
                <w:sz w:val="20"/>
                <w:szCs w:val="20"/>
              </w:rPr>
            </w:pPr>
            <w:r w:rsidRPr="000A33F0">
              <w:rPr>
                <w:sz w:val="20"/>
                <w:szCs w:val="20"/>
              </w:rPr>
              <w:t>4 (4.0%)</w:t>
            </w:r>
          </w:p>
        </w:tc>
        <w:tc>
          <w:tcPr>
            <w:tcW w:w="1698" w:type="dxa"/>
          </w:tcPr>
          <w:p w:rsidR="000A33F0" w:rsidRPr="000A33F0" w:rsidRDefault="000A33F0" w:rsidP="00937266">
            <w:pPr>
              <w:spacing w:after="60" w:line="240" w:lineRule="auto"/>
              <w:ind w:left="142"/>
              <w:jc w:val="center"/>
              <w:rPr>
                <w:rFonts w:cs="Arial"/>
                <w:sz w:val="20"/>
                <w:szCs w:val="20"/>
                <w:lang w:val="en-US"/>
              </w:rPr>
            </w:pPr>
            <w:r w:rsidRPr="000A33F0">
              <w:rPr>
                <w:rFonts w:cs="Arial"/>
                <w:sz w:val="20"/>
                <w:szCs w:val="20"/>
                <w:lang w:val="en-US"/>
              </w:rPr>
              <w:t>3 (1.3%)</w:t>
            </w:r>
          </w:p>
        </w:tc>
      </w:tr>
      <w:tr w:rsidR="000A33F0" w:rsidRPr="000A33F0" w:rsidTr="00807094">
        <w:tc>
          <w:tcPr>
            <w:tcW w:w="2142" w:type="dxa"/>
            <w:shd w:val="clear" w:color="auto" w:fill="auto"/>
          </w:tcPr>
          <w:p w:rsidR="000A33F0" w:rsidRPr="000A33F0" w:rsidRDefault="000A33F0" w:rsidP="00937266">
            <w:pPr>
              <w:spacing w:after="60" w:line="240" w:lineRule="auto"/>
              <w:ind w:left="142"/>
              <w:rPr>
                <w:b/>
                <w:sz w:val="20"/>
                <w:szCs w:val="20"/>
              </w:rPr>
            </w:pPr>
            <w:r w:rsidRPr="000A33F0">
              <w:rPr>
                <w:rFonts w:cs="Arial"/>
                <w:b/>
                <w:bCs/>
                <w:spacing w:val="1"/>
                <w:sz w:val="20"/>
                <w:szCs w:val="20"/>
                <w:lang w:val="en-US"/>
              </w:rPr>
              <w:t>O</w:t>
            </w:r>
            <w:r w:rsidRPr="000A33F0">
              <w:rPr>
                <w:rFonts w:cs="Arial"/>
                <w:b/>
                <w:bCs/>
                <w:spacing w:val="-1"/>
                <w:sz w:val="20"/>
                <w:szCs w:val="20"/>
                <w:lang w:val="en-US"/>
              </w:rPr>
              <w:t>r</w:t>
            </w:r>
            <w:r w:rsidRPr="000A33F0">
              <w:rPr>
                <w:rFonts w:cs="Arial"/>
                <w:b/>
                <w:bCs/>
                <w:spacing w:val="1"/>
                <w:sz w:val="20"/>
                <w:szCs w:val="20"/>
                <w:lang w:val="en-US"/>
              </w:rPr>
              <w:t>oph</w:t>
            </w:r>
            <w:r w:rsidRPr="000A33F0">
              <w:rPr>
                <w:rFonts w:cs="Arial"/>
                <w:b/>
                <w:bCs/>
                <w:sz w:val="20"/>
                <w:szCs w:val="20"/>
                <w:lang w:val="en-US"/>
              </w:rPr>
              <w:t>a</w:t>
            </w:r>
            <w:r w:rsidRPr="000A33F0">
              <w:rPr>
                <w:rFonts w:cs="Arial"/>
                <w:b/>
                <w:bCs/>
                <w:spacing w:val="2"/>
                <w:sz w:val="20"/>
                <w:szCs w:val="20"/>
                <w:lang w:val="en-US"/>
              </w:rPr>
              <w:t>r</w:t>
            </w:r>
            <w:r w:rsidRPr="000A33F0">
              <w:rPr>
                <w:rFonts w:cs="Arial"/>
                <w:b/>
                <w:bCs/>
                <w:spacing w:val="-3"/>
                <w:sz w:val="20"/>
                <w:szCs w:val="20"/>
                <w:lang w:val="en-US"/>
              </w:rPr>
              <w:t>y</w:t>
            </w:r>
            <w:r w:rsidRPr="000A33F0">
              <w:rPr>
                <w:rFonts w:cs="Arial"/>
                <w:b/>
                <w:bCs/>
                <w:spacing w:val="1"/>
                <w:sz w:val="20"/>
                <w:szCs w:val="20"/>
                <w:lang w:val="en-US"/>
              </w:rPr>
              <w:t>ng</w:t>
            </w:r>
            <w:r w:rsidRPr="000A33F0">
              <w:rPr>
                <w:rFonts w:cs="Arial"/>
                <w:b/>
                <w:bCs/>
                <w:spacing w:val="2"/>
                <w:sz w:val="20"/>
                <w:szCs w:val="20"/>
                <w:lang w:val="en-US"/>
              </w:rPr>
              <w:t>e</w:t>
            </w:r>
            <w:r w:rsidRPr="000A33F0">
              <w:rPr>
                <w:rFonts w:cs="Arial"/>
                <w:b/>
                <w:bCs/>
                <w:sz w:val="20"/>
                <w:szCs w:val="20"/>
                <w:lang w:val="en-US"/>
              </w:rPr>
              <w:t>al</w:t>
            </w:r>
            <w:r w:rsidRPr="000A33F0">
              <w:rPr>
                <w:rFonts w:cs="Arial"/>
                <w:b/>
                <w:bCs/>
                <w:spacing w:val="-15"/>
                <w:sz w:val="20"/>
                <w:szCs w:val="20"/>
                <w:lang w:val="en-US"/>
              </w:rPr>
              <w:t xml:space="preserve"> </w:t>
            </w:r>
            <w:r w:rsidRPr="000A33F0">
              <w:rPr>
                <w:rFonts w:cs="Arial"/>
                <w:b/>
                <w:bCs/>
                <w:spacing w:val="1"/>
                <w:sz w:val="20"/>
                <w:szCs w:val="20"/>
                <w:lang w:val="en-US"/>
              </w:rPr>
              <w:t>p</w:t>
            </w:r>
            <w:r w:rsidRPr="000A33F0">
              <w:rPr>
                <w:rFonts w:cs="Arial"/>
                <w:b/>
                <w:bCs/>
                <w:sz w:val="20"/>
                <w:szCs w:val="20"/>
                <w:lang w:val="en-US"/>
              </w:rPr>
              <w:t xml:space="preserve">ain                                                                </w:t>
            </w:r>
            <w:r w:rsidRPr="000A33F0">
              <w:rPr>
                <w:rFonts w:cs="Arial"/>
                <w:b/>
                <w:bCs/>
                <w:spacing w:val="31"/>
                <w:sz w:val="20"/>
                <w:szCs w:val="20"/>
                <w:lang w:val="en-US"/>
              </w:rPr>
              <w:t xml:space="preserve"> </w:t>
            </w:r>
          </w:p>
        </w:tc>
        <w:tc>
          <w:tcPr>
            <w:tcW w:w="1698" w:type="dxa"/>
            <w:shd w:val="clear" w:color="auto" w:fill="auto"/>
          </w:tcPr>
          <w:p w:rsidR="000A33F0" w:rsidRPr="000A33F0" w:rsidRDefault="000A33F0" w:rsidP="00937266">
            <w:pPr>
              <w:spacing w:after="60" w:line="240" w:lineRule="auto"/>
              <w:ind w:left="142"/>
              <w:jc w:val="center"/>
              <w:rPr>
                <w:sz w:val="20"/>
                <w:szCs w:val="20"/>
              </w:rPr>
            </w:pPr>
            <w:r w:rsidRPr="000A33F0">
              <w:rPr>
                <w:sz w:val="20"/>
                <w:szCs w:val="20"/>
              </w:rPr>
              <w:t>7 (3.1%)</w:t>
            </w:r>
          </w:p>
        </w:tc>
        <w:tc>
          <w:tcPr>
            <w:tcW w:w="1698" w:type="dxa"/>
            <w:shd w:val="clear" w:color="auto" w:fill="auto"/>
          </w:tcPr>
          <w:p w:rsidR="000A33F0" w:rsidRPr="000A33F0" w:rsidRDefault="000A33F0" w:rsidP="00937266">
            <w:pPr>
              <w:spacing w:after="60" w:line="240" w:lineRule="auto"/>
              <w:ind w:left="142"/>
              <w:jc w:val="center"/>
              <w:rPr>
                <w:sz w:val="20"/>
                <w:szCs w:val="20"/>
              </w:rPr>
            </w:pPr>
            <w:r w:rsidRPr="000A33F0">
              <w:rPr>
                <w:sz w:val="20"/>
                <w:szCs w:val="20"/>
              </w:rPr>
              <w:t>2 (0.9%)</w:t>
            </w:r>
          </w:p>
        </w:tc>
        <w:tc>
          <w:tcPr>
            <w:tcW w:w="1698" w:type="dxa"/>
          </w:tcPr>
          <w:p w:rsidR="000A33F0" w:rsidRPr="000A33F0" w:rsidRDefault="000A33F0" w:rsidP="00937266">
            <w:pPr>
              <w:spacing w:after="60" w:line="240" w:lineRule="auto"/>
              <w:ind w:left="142"/>
              <w:jc w:val="center"/>
              <w:rPr>
                <w:sz w:val="20"/>
                <w:szCs w:val="20"/>
              </w:rPr>
            </w:pPr>
            <w:r w:rsidRPr="000A33F0">
              <w:rPr>
                <w:sz w:val="20"/>
                <w:szCs w:val="20"/>
              </w:rPr>
              <w:t>0</w:t>
            </w:r>
          </w:p>
        </w:tc>
        <w:tc>
          <w:tcPr>
            <w:tcW w:w="1698" w:type="dxa"/>
          </w:tcPr>
          <w:p w:rsidR="000A33F0" w:rsidRPr="000A33F0" w:rsidRDefault="000A33F0" w:rsidP="00937266">
            <w:pPr>
              <w:spacing w:after="60" w:line="240" w:lineRule="auto"/>
              <w:ind w:left="142"/>
              <w:jc w:val="center"/>
              <w:rPr>
                <w:rFonts w:cs="Arial"/>
                <w:sz w:val="20"/>
                <w:szCs w:val="20"/>
                <w:lang w:val="en-US"/>
              </w:rPr>
            </w:pPr>
            <w:r w:rsidRPr="000A33F0">
              <w:rPr>
                <w:rFonts w:cs="Arial"/>
                <w:sz w:val="20"/>
                <w:szCs w:val="20"/>
                <w:lang w:val="en-US"/>
              </w:rPr>
              <w:t>1 (0.4%)</w:t>
            </w:r>
          </w:p>
        </w:tc>
      </w:tr>
      <w:tr w:rsidR="000A33F0" w:rsidRPr="000A33F0" w:rsidTr="00807094">
        <w:tc>
          <w:tcPr>
            <w:tcW w:w="2142" w:type="dxa"/>
            <w:shd w:val="clear" w:color="auto" w:fill="auto"/>
          </w:tcPr>
          <w:p w:rsidR="000A33F0" w:rsidRPr="000A33F0" w:rsidRDefault="000A33F0" w:rsidP="00937266">
            <w:pPr>
              <w:spacing w:after="60" w:line="240" w:lineRule="auto"/>
              <w:ind w:left="142"/>
              <w:rPr>
                <w:b/>
                <w:sz w:val="20"/>
                <w:szCs w:val="20"/>
              </w:rPr>
            </w:pPr>
            <w:r w:rsidRPr="000A33F0">
              <w:rPr>
                <w:rFonts w:cs="Arial"/>
                <w:b/>
                <w:bCs/>
                <w:spacing w:val="3"/>
                <w:sz w:val="20"/>
                <w:szCs w:val="20"/>
                <w:lang w:val="en-US"/>
              </w:rPr>
              <w:t>Rhinitis</w:t>
            </w:r>
          </w:p>
        </w:tc>
        <w:tc>
          <w:tcPr>
            <w:tcW w:w="1698" w:type="dxa"/>
            <w:shd w:val="clear" w:color="auto" w:fill="auto"/>
          </w:tcPr>
          <w:p w:rsidR="000A33F0" w:rsidRPr="000A33F0" w:rsidRDefault="000A33F0" w:rsidP="00937266">
            <w:pPr>
              <w:spacing w:after="60" w:line="240" w:lineRule="auto"/>
              <w:ind w:left="142"/>
              <w:jc w:val="center"/>
              <w:rPr>
                <w:sz w:val="20"/>
                <w:szCs w:val="20"/>
              </w:rPr>
            </w:pPr>
            <w:r w:rsidRPr="000A33F0">
              <w:rPr>
                <w:sz w:val="20"/>
                <w:szCs w:val="20"/>
              </w:rPr>
              <w:t>1 (0.4%)</w:t>
            </w:r>
          </w:p>
        </w:tc>
        <w:tc>
          <w:tcPr>
            <w:tcW w:w="1698" w:type="dxa"/>
            <w:shd w:val="clear" w:color="auto" w:fill="auto"/>
          </w:tcPr>
          <w:p w:rsidR="000A33F0" w:rsidRPr="000A33F0" w:rsidRDefault="000A33F0" w:rsidP="00937266">
            <w:pPr>
              <w:spacing w:after="60" w:line="240" w:lineRule="auto"/>
              <w:ind w:left="142"/>
              <w:jc w:val="center"/>
              <w:rPr>
                <w:sz w:val="20"/>
                <w:szCs w:val="20"/>
              </w:rPr>
            </w:pPr>
            <w:r w:rsidRPr="000A33F0">
              <w:rPr>
                <w:sz w:val="20"/>
                <w:szCs w:val="20"/>
              </w:rPr>
              <w:t>4 (1.8%)</w:t>
            </w:r>
          </w:p>
        </w:tc>
        <w:tc>
          <w:tcPr>
            <w:tcW w:w="1698" w:type="dxa"/>
          </w:tcPr>
          <w:p w:rsidR="000A33F0" w:rsidRPr="000A33F0" w:rsidRDefault="000A33F0" w:rsidP="00937266">
            <w:pPr>
              <w:autoSpaceDE w:val="0"/>
              <w:autoSpaceDN w:val="0"/>
              <w:adjustRightInd w:val="0"/>
              <w:spacing w:after="60" w:line="240" w:lineRule="auto"/>
              <w:ind w:left="142"/>
              <w:jc w:val="center"/>
              <w:rPr>
                <w:rFonts w:cs="Arial"/>
                <w:sz w:val="20"/>
                <w:szCs w:val="20"/>
                <w:lang w:val="en-US"/>
              </w:rPr>
            </w:pPr>
            <w:r w:rsidRPr="000A33F0">
              <w:rPr>
                <w:rFonts w:cs="Arial"/>
                <w:sz w:val="20"/>
                <w:szCs w:val="20"/>
                <w:lang w:val="en-US"/>
              </w:rPr>
              <w:t>1 (1.0%)</w:t>
            </w:r>
          </w:p>
        </w:tc>
        <w:tc>
          <w:tcPr>
            <w:tcW w:w="1698" w:type="dxa"/>
          </w:tcPr>
          <w:p w:rsidR="000A33F0" w:rsidRPr="000A33F0" w:rsidRDefault="000A33F0" w:rsidP="00937266">
            <w:pPr>
              <w:autoSpaceDE w:val="0"/>
              <w:autoSpaceDN w:val="0"/>
              <w:adjustRightInd w:val="0"/>
              <w:spacing w:after="60" w:line="240" w:lineRule="auto"/>
              <w:ind w:left="142"/>
              <w:jc w:val="center"/>
              <w:rPr>
                <w:rFonts w:cs="Arial"/>
                <w:sz w:val="20"/>
                <w:szCs w:val="20"/>
                <w:lang w:val="en-US"/>
              </w:rPr>
            </w:pPr>
            <w:r w:rsidRPr="000A33F0">
              <w:rPr>
                <w:rFonts w:cs="Arial"/>
                <w:sz w:val="20"/>
                <w:szCs w:val="20"/>
                <w:lang w:val="en-US"/>
              </w:rPr>
              <w:t>0</w:t>
            </w:r>
          </w:p>
        </w:tc>
      </w:tr>
      <w:tr w:rsidR="000A33F0" w:rsidRPr="000A33F0" w:rsidTr="00807094">
        <w:tc>
          <w:tcPr>
            <w:tcW w:w="2142" w:type="dxa"/>
            <w:shd w:val="clear" w:color="auto" w:fill="auto"/>
          </w:tcPr>
          <w:p w:rsidR="000A33F0" w:rsidRPr="000A33F0" w:rsidRDefault="000A33F0" w:rsidP="00937266">
            <w:pPr>
              <w:spacing w:after="60" w:line="240" w:lineRule="auto"/>
              <w:ind w:left="142"/>
              <w:rPr>
                <w:rFonts w:cs="Arial"/>
                <w:b/>
                <w:bCs/>
                <w:spacing w:val="1"/>
                <w:sz w:val="20"/>
                <w:szCs w:val="20"/>
                <w:lang w:val="en-US"/>
              </w:rPr>
            </w:pPr>
            <w:r w:rsidRPr="000A33F0">
              <w:rPr>
                <w:rFonts w:cs="Arial"/>
                <w:b/>
                <w:bCs/>
                <w:spacing w:val="1"/>
                <w:sz w:val="20"/>
                <w:szCs w:val="20"/>
                <w:lang w:val="en-US"/>
              </w:rPr>
              <w:t>Conjunctivitis</w:t>
            </w:r>
          </w:p>
        </w:tc>
        <w:tc>
          <w:tcPr>
            <w:tcW w:w="1698" w:type="dxa"/>
            <w:shd w:val="clear" w:color="auto" w:fill="auto"/>
          </w:tcPr>
          <w:p w:rsidR="000A33F0" w:rsidRPr="000A33F0" w:rsidRDefault="000A33F0" w:rsidP="00937266">
            <w:pPr>
              <w:spacing w:after="60" w:line="240" w:lineRule="auto"/>
              <w:ind w:left="142"/>
              <w:jc w:val="center"/>
              <w:rPr>
                <w:sz w:val="20"/>
                <w:szCs w:val="20"/>
              </w:rPr>
            </w:pPr>
            <w:r w:rsidRPr="000A33F0">
              <w:rPr>
                <w:sz w:val="20"/>
                <w:szCs w:val="20"/>
              </w:rPr>
              <w:t>3 (1.3%)</w:t>
            </w:r>
          </w:p>
        </w:tc>
        <w:tc>
          <w:tcPr>
            <w:tcW w:w="1698" w:type="dxa"/>
            <w:shd w:val="clear" w:color="auto" w:fill="auto"/>
          </w:tcPr>
          <w:p w:rsidR="000A33F0" w:rsidRPr="000A33F0" w:rsidRDefault="000A33F0" w:rsidP="00937266">
            <w:pPr>
              <w:spacing w:after="60" w:line="240" w:lineRule="auto"/>
              <w:ind w:left="142"/>
              <w:jc w:val="center"/>
              <w:rPr>
                <w:sz w:val="20"/>
                <w:szCs w:val="20"/>
              </w:rPr>
            </w:pPr>
            <w:r w:rsidRPr="000A33F0">
              <w:rPr>
                <w:sz w:val="20"/>
                <w:szCs w:val="20"/>
              </w:rPr>
              <w:t>3 (1.3%)</w:t>
            </w:r>
          </w:p>
        </w:tc>
        <w:tc>
          <w:tcPr>
            <w:tcW w:w="1698" w:type="dxa"/>
          </w:tcPr>
          <w:p w:rsidR="000A33F0" w:rsidRPr="000A33F0" w:rsidRDefault="000A33F0" w:rsidP="00937266">
            <w:pPr>
              <w:autoSpaceDE w:val="0"/>
              <w:autoSpaceDN w:val="0"/>
              <w:adjustRightInd w:val="0"/>
              <w:spacing w:after="60" w:line="240" w:lineRule="auto"/>
              <w:ind w:left="142"/>
              <w:jc w:val="center"/>
              <w:rPr>
                <w:rFonts w:cs="Arial"/>
                <w:sz w:val="20"/>
                <w:szCs w:val="20"/>
                <w:lang w:val="en-US"/>
              </w:rPr>
            </w:pPr>
            <w:r w:rsidRPr="000A33F0">
              <w:rPr>
                <w:rFonts w:cs="Arial"/>
                <w:sz w:val="20"/>
                <w:szCs w:val="20"/>
                <w:lang w:val="en-US"/>
              </w:rPr>
              <w:t>0</w:t>
            </w:r>
          </w:p>
        </w:tc>
        <w:tc>
          <w:tcPr>
            <w:tcW w:w="1698" w:type="dxa"/>
          </w:tcPr>
          <w:p w:rsidR="000A33F0" w:rsidRPr="000A33F0" w:rsidRDefault="000A33F0" w:rsidP="00937266">
            <w:pPr>
              <w:autoSpaceDE w:val="0"/>
              <w:autoSpaceDN w:val="0"/>
              <w:adjustRightInd w:val="0"/>
              <w:spacing w:after="60" w:line="240" w:lineRule="auto"/>
              <w:ind w:left="142"/>
              <w:jc w:val="center"/>
              <w:rPr>
                <w:rFonts w:cs="Arial"/>
                <w:sz w:val="20"/>
                <w:szCs w:val="20"/>
                <w:lang w:val="en-US"/>
              </w:rPr>
            </w:pPr>
            <w:r w:rsidRPr="000A33F0">
              <w:rPr>
                <w:rFonts w:cs="Arial"/>
                <w:sz w:val="20"/>
                <w:szCs w:val="20"/>
                <w:lang w:val="en-US"/>
              </w:rPr>
              <w:t>0</w:t>
            </w:r>
          </w:p>
        </w:tc>
      </w:tr>
      <w:tr w:rsidR="000A33F0" w:rsidRPr="000A33F0" w:rsidTr="00807094">
        <w:tc>
          <w:tcPr>
            <w:tcW w:w="2142" w:type="dxa"/>
            <w:shd w:val="clear" w:color="auto" w:fill="auto"/>
          </w:tcPr>
          <w:p w:rsidR="000A33F0" w:rsidRPr="000A33F0" w:rsidRDefault="000A33F0" w:rsidP="00937266">
            <w:pPr>
              <w:spacing w:after="60" w:line="240" w:lineRule="auto"/>
              <w:ind w:left="142"/>
              <w:rPr>
                <w:rFonts w:cs="Arial"/>
                <w:b/>
                <w:bCs/>
                <w:spacing w:val="1"/>
                <w:sz w:val="20"/>
                <w:szCs w:val="20"/>
                <w:lang w:val="en-US"/>
              </w:rPr>
            </w:pPr>
            <w:r w:rsidRPr="000A33F0">
              <w:rPr>
                <w:rFonts w:cs="Arial"/>
                <w:b/>
                <w:bCs/>
                <w:spacing w:val="3"/>
                <w:sz w:val="20"/>
                <w:szCs w:val="20"/>
                <w:lang w:val="en-US"/>
              </w:rPr>
              <w:t>Influenza</w:t>
            </w:r>
          </w:p>
        </w:tc>
        <w:tc>
          <w:tcPr>
            <w:tcW w:w="1698" w:type="dxa"/>
            <w:shd w:val="clear" w:color="auto" w:fill="auto"/>
          </w:tcPr>
          <w:p w:rsidR="000A33F0" w:rsidRPr="000A33F0" w:rsidRDefault="000A33F0" w:rsidP="00937266">
            <w:pPr>
              <w:spacing w:after="60" w:line="240" w:lineRule="auto"/>
              <w:ind w:left="142"/>
              <w:jc w:val="center"/>
              <w:rPr>
                <w:sz w:val="20"/>
                <w:szCs w:val="20"/>
              </w:rPr>
            </w:pPr>
            <w:r w:rsidRPr="000A33F0">
              <w:rPr>
                <w:sz w:val="20"/>
                <w:szCs w:val="20"/>
              </w:rPr>
              <w:t>3 (1.3%)</w:t>
            </w:r>
          </w:p>
        </w:tc>
        <w:tc>
          <w:tcPr>
            <w:tcW w:w="1698" w:type="dxa"/>
            <w:shd w:val="clear" w:color="auto" w:fill="auto"/>
          </w:tcPr>
          <w:p w:rsidR="000A33F0" w:rsidRPr="000A33F0" w:rsidRDefault="000A33F0" w:rsidP="00937266">
            <w:pPr>
              <w:spacing w:after="60" w:line="240" w:lineRule="auto"/>
              <w:ind w:left="142"/>
              <w:jc w:val="center"/>
              <w:rPr>
                <w:sz w:val="20"/>
                <w:szCs w:val="20"/>
              </w:rPr>
            </w:pPr>
            <w:r w:rsidRPr="000A33F0">
              <w:rPr>
                <w:sz w:val="20"/>
                <w:szCs w:val="20"/>
              </w:rPr>
              <w:t>1 (0.4%)</w:t>
            </w:r>
          </w:p>
        </w:tc>
        <w:tc>
          <w:tcPr>
            <w:tcW w:w="1698" w:type="dxa"/>
          </w:tcPr>
          <w:p w:rsidR="000A33F0" w:rsidRPr="000A33F0" w:rsidRDefault="000A33F0" w:rsidP="00937266">
            <w:pPr>
              <w:autoSpaceDE w:val="0"/>
              <w:autoSpaceDN w:val="0"/>
              <w:adjustRightInd w:val="0"/>
              <w:spacing w:after="60" w:line="240" w:lineRule="auto"/>
              <w:ind w:left="142"/>
              <w:jc w:val="center"/>
              <w:rPr>
                <w:rFonts w:cs="Arial"/>
                <w:sz w:val="20"/>
                <w:szCs w:val="20"/>
                <w:lang w:val="en-US"/>
              </w:rPr>
            </w:pPr>
            <w:r w:rsidRPr="000A33F0">
              <w:rPr>
                <w:rFonts w:cs="Arial"/>
                <w:sz w:val="20"/>
                <w:szCs w:val="20"/>
                <w:lang w:val="en-US"/>
              </w:rPr>
              <w:t>2 (2.0%)</w:t>
            </w:r>
          </w:p>
        </w:tc>
        <w:tc>
          <w:tcPr>
            <w:tcW w:w="1698" w:type="dxa"/>
          </w:tcPr>
          <w:p w:rsidR="000A33F0" w:rsidRPr="000A33F0" w:rsidRDefault="000A33F0" w:rsidP="00937266">
            <w:pPr>
              <w:autoSpaceDE w:val="0"/>
              <w:autoSpaceDN w:val="0"/>
              <w:adjustRightInd w:val="0"/>
              <w:spacing w:after="60" w:line="240" w:lineRule="auto"/>
              <w:ind w:left="142"/>
              <w:jc w:val="center"/>
              <w:rPr>
                <w:rFonts w:cs="Arial"/>
                <w:sz w:val="20"/>
                <w:szCs w:val="20"/>
                <w:lang w:val="en-US"/>
              </w:rPr>
            </w:pPr>
            <w:r w:rsidRPr="000A33F0">
              <w:rPr>
                <w:rFonts w:cs="Arial"/>
                <w:sz w:val="20"/>
                <w:szCs w:val="20"/>
                <w:lang w:val="en-US"/>
              </w:rPr>
              <w:t>1 (0.4%)</w:t>
            </w:r>
          </w:p>
        </w:tc>
      </w:tr>
      <w:tr w:rsidR="000A33F0" w:rsidRPr="000A33F0" w:rsidTr="00807094">
        <w:tc>
          <w:tcPr>
            <w:tcW w:w="2142" w:type="dxa"/>
            <w:shd w:val="clear" w:color="auto" w:fill="auto"/>
          </w:tcPr>
          <w:p w:rsidR="000A33F0" w:rsidRPr="000A33F0" w:rsidRDefault="000A33F0" w:rsidP="00937266">
            <w:pPr>
              <w:spacing w:after="60" w:line="240" w:lineRule="auto"/>
              <w:ind w:left="142"/>
              <w:rPr>
                <w:rFonts w:cs="Arial"/>
                <w:b/>
                <w:bCs/>
                <w:spacing w:val="3"/>
                <w:sz w:val="20"/>
                <w:szCs w:val="20"/>
                <w:lang w:val="en-US"/>
              </w:rPr>
            </w:pPr>
            <w:r w:rsidRPr="000A33F0">
              <w:rPr>
                <w:rFonts w:cs="Arial"/>
                <w:b/>
                <w:bCs/>
                <w:spacing w:val="3"/>
                <w:sz w:val="20"/>
                <w:szCs w:val="20"/>
                <w:lang w:val="en-US"/>
              </w:rPr>
              <w:t>Oral candidiasis</w:t>
            </w:r>
          </w:p>
        </w:tc>
        <w:tc>
          <w:tcPr>
            <w:tcW w:w="1698" w:type="dxa"/>
            <w:shd w:val="clear" w:color="auto" w:fill="auto"/>
          </w:tcPr>
          <w:p w:rsidR="000A33F0" w:rsidRPr="000A33F0" w:rsidRDefault="000A33F0" w:rsidP="00937266">
            <w:pPr>
              <w:spacing w:after="60" w:line="240" w:lineRule="auto"/>
              <w:ind w:left="142"/>
              <w:jc w:val="center"/>
              <w:rPr>
                <w:sz w:val="20"/>
                <w:szCs w:val="20"/>
              </w:rPr>
            </w:pPr>
            <w:r w:rsidRPr="000A33F0">
              <w:rPr>
                <w:sz w:val="20"/>
                <w:szCs w:val="20"/>
              </w:rPr>
              <w:t>1 (0.4)</w:t>
            </w:r>
          </w:p>
        </w:tc>
        <w:tc>
          <w:tcPr>
            <w:tcW w:w="1698" w:type="dxa"/>
            <w:shd w:val="clear" w:color="auto" w:fill="auto"/>
          </w:tcPr>
          <w:p w:rsidR="000A33F0" w:rsidRPr="000A33F0" w:rsidRDefault="000A33F0" w:rsidP="00937266">
            <w:pPr>
              <w:spacing w:after="60" w:line="240" w:lineRule="auto"/>
              <w:ind w:left="142"/>
              <w:jc w:val="center"/>
              <w:rPr>
                <w:sz w:val="20"/>
                <w:szCs w:val="20"/>
              </w:rPr>
            </w:pPr>
            <w:r w:rsidRPr="000A33F0">
              <w:rPr>
                <w:sz w:val="20"/>
                <w:szCs w:val="20"/>
              </w:rPr>
              <w:t>4 (1.8%)</w:t>
            </w:r>
          </w:p>
        </w:tc>
        <w:tc>
          <w:tcPr>
            <w:tcW w:w="1698" w:type="dxa"/>
          </w:tcPr>
          <w:p w:rsidR="000A33F0" w:rsidRPr="000A33F0" w:rsidRDefault="000A33F0" w:rsidP="00937266">
            <w:pPr>
              <w:autoSpaceDE w:val="0"/>
              <w:autoSpaceDN w:val="0"/>
              <w:adjustRightInd w:val="0"/>
              <w:spacing w:after="60" w:line="240" w:lineRule="auto"/>
              <w:ind w:left="142"/>
              <w:jc w:val="center"/>
              <w:rPr>
                <w:rFonts w:cs="Arial"/>
                <w:sz w:val="20"/>
                <w:szCs w:val="20"/>
                <w:lang w:val="en-US"/>
              </w:rPr>
            </w:pPr>
            <w:r w:rsidRPr="000A33F0">
              <w:rPr>
                <w:rFonts w:cs="Arial"/>
                <w:sz w:val="20"/>
                <w:szCs w:val="20"/>
                <w:lang w:val="en-US"/>
              </w:rPr>
              <w:t>0</w:t>
            </w:r>
          </w:p>
        </w:tc>
        <w:tc>
          <w:tcPr>
            <w:tcW w:w="1698" w:type="dxa"/>
          </w:tcPr>
          <w:p w:rsidR="000A33F0" w:rsidRPr="000A33F0" w:rsidRDefault="000A33F0" w:rsidP="00937266">
            <w:pPr>
              <w:autoSpaceDE w:val="0"/>
              <w:autoSpaceDN w:val="0"/>
              <w:adjustRightInd w:val="0"/>
              <w:spacing w:after="60" w:line="240" w:lineRule="auto"/>
              <w:ind w:left="142"/>
              <w:jc w:val="center"/>
              <w:rPr>
                <w:rFonts w:cs="Arial"/>
                <w:sz w:val="20"/>
                <w:szCs w:val="20"/>
                <w:lang w:val="en-US"/>
              </w:rPr>
            </w:pPr>
            <w:r w:rsidRPr="000A33F0">
              <w:rPr>
                <w:rFonts w:cs="Arial"/>
                <w:sz w:val="20"/>
                <w:szCs w:val="20"/>
                <w:lang w:val="en-US"/>
              </w:rPr>
              <w:t>0</w:t>
            </w:r>
          </w:p>
        </w:tc>
      </w:tr>
    </w:tbl>
    <w:p w:rsidR="004855EF" w:rsidRPr="004855EF" w:rsidRDefault="004855EF" w:rsidP="00937266">
      <w:pPr>
        <w:pStyle w:val="TblFootnote"/>
        <w:ind w:left="142" w:firstLine="25"/>
      </w:pPr>
      <w:r w:rsidRPr="004855EF">
        <w:t xml:space="preserve"> N=number of patients in the integrated analysis population; n=number of patients.</w:t>
      </w:r>
      <w:r>
        <w:br/>
      </w:r>
      <w:r w:rsidRPr="004855EF">
        <w:rPr>
          <w:vertAlign w:val="superscript"/>
        </w:rPr>
        <w:t>a</w:t>
      </w:r>
      <w:r w:rsidRPr="004855EF">
        <w:t xml:space="preserve"> adalimumab data from SPIRIT-P1 only</w:t>
      </w:r>
      <w:r w:rsidR="000A062C">
        <w:br/>
      </w:r>
      <w:r w:rsidR="000A062C" w:rsidRPr="000A062C">
        <w:rPr>
          <w:vertAlign w:val="superscript"/>
        </w:rPr>
        <w:t>b</w:t>
      </w:r>
      <w:r w:rsidR="000A062C">
        <w:t xml:space="preserve"> Upper respiratory tract infection includes: Upper respiratory tract infection, Nasopharyngitis and Viral upper respiratory tract</w:t>
      </w:r>
    </w:p>
    <w:p w:rsidR="004855EF" w:rsidRPr="004855EF" w:rsidRDefault="004855EF" w:rsidP="00937266">
      <w:pPr>
        <w:ind w:left="142"/>
        <w:rPr>
          <w:lang w:val="en-US"/>
        </w:rPr>
      </w:pPr>
      <w:r w:rsidRPr="004855EF">
        <w:rPr>
          <w:lang w:val="en-US"/>
        </w:rPr>
        <w:t xml:space="preserve">Adverse reactions that occurred </w:t>
      </w:r>
      <w:r w:rsidR="000A062C" w:rsidRPr="00082CC0">
        <w:rPr>
          <w:lang w:val="en-US"/>
        </w:rPr>
        <w:t xml:space="preserve">in patients treated with ixekizumab </w:t>
      </w:r>
      <w:r w:rsidRPr="00082CC0">
        <w:rPr>
          <w:lang w:val="en-US"/>
        </w:rPr>
        <w:t>a</w:t>
      </w:r>
      <w:r w:rsidRPr="004855EF">
        <w:rPr>
          <w:lang w:val="en-US"/>
        </w:rPr>
        <w:t xml:space="preserve">t rates less than </w:t>
      </w:r>
      <w:r w:rsidRPr="00B95DE5">
        <w:rPr>
          <w:lang w:val="en-US"/>
        </w:rPr>
        <w:t>1% i</w:t>
      </w:r>
      <w:r w:rsidRPr="004855EF">
        <w:rPr>
          <w:lang w:val="en-US"/>
        </w:rPr>
        <w:t>n the placebo-controlled clinical trials SPIRIT-P1 and SPIRIT-P2 through to week 24 included tinea and urticaria.</w:t>
      </w:r>
    </w:p>
    <w:p w:rsidR="000A062C" w:rsidRPr="004855EF" w:rsidRDefault="000A062C" w:rsidP="00937266">
      <w:pPr>
        <w:ind w:left="142"/>
        <w:rPr>
          <w:lang w:val="en-US"/>
        </w:rPr>
      </w:pPr>
      <w:r w:rsidRPr="000A062C">
        <w:rPr>
          <w:lang w:val="en-US"/>
        </w:rPr>
        <w:t xml:space="preserve">During the 24-week placebo-controlled period of SPIRIT-P1 and SPIRIT-2, the proportion of patients with </w:t>
      </w:r>
      <w:r w:rsidR="00B95DE5">
        <w:rPr>
          <w:lang w:val="en-US"/>
        </w:rPr>
        <w:t xml:space="preserve">treatment-emergent </w:t>
      </w:r>
      <w:r w:rsidRPr="000A062C">
        <w:rPr>
          <w:lang w:val="en-US"/>
        </w:rPr>
        <w:t xml:space="preserve">adverse events was higher in the TALTZ </w:t>
      </w:r>
      <w:r w:rsidR="00B95DE5">
        <w:rPr>
          <w:lang w:val="en-US"/>
        </w:rPr>
        <w:t xml:space="preserve">80 mg </w:t>
      </w:r>
      <w:r w:rsidRPr="000A062C">
        <w:rPr>
          <w:lang w:val="en-US"/>
        </w:rPr>
        <w:t>Q4W group compared to the placebo group (67% and 57%, respectively). The rate of SAEs was 3.9% (TALTZ 80mg Q4W), 4.9% (TALTZ 80mg Q2W), 2.7% (placebo), and the discontinuation due to adverse events were 3.1% (TALTZ 80mg Q4W), 5.3% (TALTZ 80mg Q2W), 3.6% (placebo)</w:t>
      </w:r>
      <w:r>
        <w:rPr>
          <w:lang w:val="en-US"/>
        </w:rPr>
        <w:t>.</w:t>
      </w:r>
    </w:p>
    <w:p w:rsidR="004855EF" w:rsidRPr="00930782" w:rsidRDefault="004855EF" w:rsidP="00937266">
      <w:pPr>
        <w:ind w:left="142"/>
        <w:rPr>
          <w:b/>
          <w:i/>
          <w:lang w:val="en-US"/>
        </w:rPr>
      </w:pPr>
      <w:r w:rsidRPr="00930782">
        <w:rPr>
          <w:b/>
          <w:i/>
          <w:lang w:val="en-US"/>
        </w:rPr>
        <w:t xml:space="preserve">Infections </w:t>
      </w:r>
    </w:p>
    <w:p w:rsidR="004855EF" w:rsidRPr="004855EF" w:rsidRDefault="004855EF" w:rsidP="00937266">
      <w:pPr>
        <w:ind w:left="142"/>
        <w:rPr>
          <w:lang w:val="en-US"/>
        </w:rPr>
      </w:pPr>
      <w:r w:rsidRPr="004855EF">
        <w:rPr>
          <w:lang w:val="en-US"/>
        </w:rPr>
        <w:t>In the double-blind treatment period of the phase III clinical studies in psoriatic arthritis, infections were reported in 32.8% of patients treated with TALTZ for up to 24 weeks compared with 27.7% of patients treated with placebo. The majority of infections were non-serious and mild to moderate in severity, most of which did not necessitate treatment discontinuation. Serious infections occurred in 1.3% of patients treated with TALTZ and in 0% of patients treated with placebo. Over the entire ixekizumab exposure treatment period, infections were reported in 37.2% of patients treated with TALTZ (39.6 per 100 patient years). Serious infections were reported in 1.3% of patients treated with TALTZ (1.4 per 100 patient years).</w:t>
      </w:r>
    </w:p>
    <w:p w:rsidR="004855EF" w:rsidRPr="00930782" w:rsidRDefault="004855EF" w:rsidP="00937266">
      <w:pPr>
        <w:ind w:left="142"/>
        <w:rPr>
          <w:b/>
          <w:i/>
          <w:lang w:val="en-US"/>
        </w:rPr>
      </w:pPr>
      <w:r w:rsidRPr="00930782">
        <w:rPr>
          <w:b/>
          <w:i/>
          <w:lang w:val="en-US"/>
        </w:rPr>
        <w:lastRenderedPageBreak/>
        <w:t xml:space="preserve">Laboratory </w:t>
      </w:r>
      <w:r w:rsidR="00937266" w:rsidRPr="00930782">
        <w:rPr>
          <w:b/>
          <w:i/>
          <w:lang w:val="en-US"/>
        </w:rPr>
        <w:t>assessment of neutropenia</w:t>
      </w:r>
    </w:p>
    <w:p w:rsidR="004855EF" w:rsidRDefault="004855EF" w:rsidP="00937266">
      <w:pPr>
        <w:ind w:left="142"/>
        <w:rPr>
          <w:lang w:val="en-US"/>
        </w:rPr>
      </w:pPr>
      <w:r w:rsidRPr="004855EF">
        <w:rPr>
          <w:lang w:val="en-US"/>
        </w:rPr>
        <w:t>In psoriatic arthritis studies, 1.9% of patients receiving TALTZ developed neutropenia. In most cases, the blood neutrophil count was ≥1,000 cells/mm</w:t>
      </w:r>
      <w:r w:rsidRPr="00B67571">
        <w:rPr>
          <w:vertAlign w:val="superscript"/>
          <w:lang w:val="en-US"/>
        </w:rPr>
        <w:t>3</w:t>
      </w:r>
      <w:r w:rsidRPr="004855EF">
        <w:rPr>
          <w:lang w:val="en-US"/>
        </w:rPr>
        <w:t>. Such levels of   neutropenia may persist, fluctuate or be transient. 0.3% of patients receiving TALTZ developed a neutrophil count &lt;1000 cells/mm</w:t>
      </w:r>
      <w:r w:rsidRPr="00B67571">
        <w:rPr>
          <w:vertAlign w:val="superscript"/>
          <w:lang w:val="en-US"/>
        </w:rPr>
        <w:t>3</w:t>
      </w:r>
      <w:r w:rsidRPr="004855EF">
        <w:rPr>
          <w:lang w:val="en-US"/>
        </w:rPr>
        <w:t>.  In general, neutropenia did not require discontinuation of TALTZ.</w:t>
      </w:r>
    </w:p>
    <w:p w:rsidR="007A68E9" w:rsidRPr="004855EF" w:rsidRDefault="007A68E9" w:rsidP="00937266">
      <w:pPr>
        <w:pStyle w:val="Heading3"/>
        <w:ind w:left="142"/>
        <w:rPr>
          <w:lang w:val="en-US"/>
        </w:rPr>
      </w:pPr>
      <w:bookmarkStart w:id="4" w:name="_Hlk20995881"/>
      <w:r w:rsidRPr="004855EF">
        <w:rPr>
          <w:lang w:val="en-US"/>
        </w:rPr>
        <w:t xml:space="preserve">Clinical trials experience in </w:t>
      </w:r>
      <w:r>
        <w:rPr>
          <w:lang w:val="en-US"/>
        </w:rPr>
        <w:t xml:space="preserve">ankylosing </w:t>
      </w:r>
      <w:r w:rsidR="00F04369">
        <w:rPr>
          <w:lang w:val="en-US"/>
        </w:rPr>
        <w:t>s</w:t>
      </w:r>
      <w:r>
        <w:rPr>
          <w:lang w:val="en-US"/>
        </w:rPr>
        <w:t>pondyliti</w:t>
      </w:r>
      <w:r w:rsidRPr="004855EF">
        <w:rPr>
          <w:lang w:val="en-US"/>
        </w:rPr>
        <w:t>s</w:t>
      </w:r>
    </w:p>
    <w:p w:rsidR="007A68E9" w:rsidRDefault="0004772E" w:rsidP="00937266">
      <w:pPr>
        <w:ind w:left="142"/>
        <w:rPr>
          <w:lang w:val="en-US"/>
        </w:rPr>
      </w:pPr>
      <w:r w:rsidRPr="0004772E">
        <w:rPr>
          <w:lang w:val="en-US"/>
        </w:rPr>
        <w:t>TALTZ was studied in two placebo-controlled trials in patients with ankylosing spondylitis. A total of 566 patients were studied (376 patients on TALTZ</w:t>
      </w:r>
      <w:r w:rsidR="00340B4F">
        <w:rPr>
          <w:lang w:val="en-US"/>
        </w:rPr>
        <w:t xml:space="preserve"> (Q2W and Q4W)</w:t>
      </w:r>
      <w:r w:rsidRPr="0004772E">
        <w:rPr>
          <w:lang w:val="en-US"/>
        </w:rPr>
        <w:t xml:space="preserve"> </w:t>
      </w:r>
      <w:r>
        <w:rPr>
          <w:lang w:val="en-US"/>
        </w:rPr>
        <w:t xml:space="preserve">and 190 on placebo). A total of </w:t>
      </w:r>
      <w:r w:rsidRPr="0004772E">
        <w:rPr>
          <w:lang w:val="en-US"/>
        </w:rPr>
        <w:t>195 patients in these trials received TALTZ 80 or 160 mg at Week 0, followed by 80 mg every 4 weeks (Q4W). Overall, the safety profile observed in patients with ankylosing spondylitis treated with TALTZ Q4W is consistent with the safety profile in patients with plaque psoriasis with the exception of rhinitis (1%).</w:t>
      </w:r>
    </w:p>
    <w:p w:rsidR="00424888" w:rsidRDefault="009B4548" w:rsidP="00937266">
      <w:pPr>
        <w:ind w:left="142"/>
        <w:rPr>
          <w:lang w:val="en-US"/>
        </w:rPr>
      </w:pPr>
      <w:r w:rsidRPr="009B4548">
        <w:rPr>
          <w:lang w:val="en-US"/>
        </w:rPr>
        <w:t>Adverse drug reactions in patients treated with ixekizumab (80 mg or 160 mg at week 0)</w:t>
      </w:r>
      <w:r>
        <w:rPr>
          <w:lang w:val="en-US"/>
        </w:rPr>
        <w:t xml:space="preserve"> </w:t>
      </w:r>
      <w:r w:rsidRPr="009B4548">
        <w:rPr>
          <w:lang w:val="en-US"/>
        </w:rPr>
        <w:t xml:space="preserve">by </w:t>
      </w:r>
      <w:r>
        <w:rPr>
          <w:lang w:val="en-US"/>
        </w:rPr>
        <w:t>s</w:t>
      </w:r>
      <w:r w:rsidRPr="009B4548">
        <w:rPr>
          <w:lang w:val="en-US"/>
        </w:rPr>
        <w:t xml:space="preserve">ubcutaneous injection followed by 80 mg every 4 weeks in the </w:t>
      </w:r>
      <w:r w:rsidR="00DE31DB">
        <w:rPr>
          <w:lang w:val="en-US"/>
        </w:rPr>
        <w:t>ankylosing spondylitis</w:t>
      </w:r>
      <w:r>
        <w:rPr>
          <w:lang w:val="en-US"/>
        </w:rPr>
        <w:t xml:space="preserve"> c</w:t>
      </w:r>
      <w:r w:rsidRPr="009B4548">
        <w:rPr>
          <w:lang w:val="en-US"/>
        </w:rPr>
        <w:t xml:space="preserve">linical trials were similar with the exception of the frequency of </w:t>
      </w:r>
      <w:r w:rsidR="004B0045" w:rsidRPr="00664085">
        <w:rPr>
          <w:lang w:val="en-US"/>
        </w:rPr>
        <w:t>inflammatory bowel disease (common)</w:t>
      </w:r>
      <w:r w:rsidR="004B0045">
        <w:rPr>
          <w:lang w:val="en-US"/>
        </w:rPr>
        <w:t xml:space="preserve"> and </w:t>
      </w:r>
      <w:r w:rsidRPr="009B4548">
        <w:rPr>
          <w:lang w:val="en-US"/>
        </w:rPr>
        <w:t>rhinitis (common).</w:t>
      </w:r>
    </w:p>
    <w:bookmarkEnd w:id="4"/>
    <w:p w:rsidR="004B0045" w:rsidRPr="004B0045" w:rsidRDefault="004B0045" w:rsidP="00937266">
      <w:pPr>
        <w:pStyle w:val="TableTitle"/>
        <w:ind w:left="142"/>
        <w:rPr>
          <w:lang w:val="en-US"/>
        </w:rPr>
      </w:pPr>
      <w:r w:rsidRPr="004B0045">
        <w:rPr>
          <w:lang w:val="en-US"/>
        </w:rPr>
        <w:t>TEAEs occurring in ≥ 1% of patients with ankylosing spondylitis weeks 0 to 16</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693"/>
        <w:gridCol w:w="3260"/>
        <w:tblGridChange w:id="5">
          <w:tblGrid>
            <w:gridCol w:w="2801"/>
            <w:gridCol w:w="2693"/>
            <w:gridCol w:w="3260"/>
          </w:tblGrid>
        </w:tblGridChange>
      </w:tblGrid>
      <w:tr w:rsidR="009B6A33" w:rsidRPr="00664085" w:rsidTr="00937266">
        <w:trPr>
          <w:tblHeader/>
        </w:trPr>
        <w:tc>
          <w:tcPr>
            <w:tcW w:w="2801" w:type="dxa"/>
            <w:shd w:val="clear" w:color="auto" w:fill="auto"/>
          </w:tcPr>
          <w:p w:rsidR="009B6A33" w:rsidRPr="00664085" w:rsidRDefault="009B6A33" w:rsidP="00937266">
            <w:pPr>
              <w:pStyle w:val="TableTitle"/>
              <w:numPr>
                <w:ilvl w:val="0"/>
                <w:numId w:val="0"/>
              </w:numPr>
              <w:ind w:left="142"/>
              <w:rPr>
                <w:sz w:val="20"/>
                <w:szCs w:val="20"/>
                <w:lang w:val="en-US"/>
              </w:rPr>
            </w:pPr>
            <w:r w:rsidRPr="004B0045">
              <w:rPr>
                <w:rFonts w:cs="Calibri-Bold"/>
                <w:bCs/>
                <w:sz w:val="20"/>
                <w:szCs w:val="20"/>
                <w:lang w:eastAsia="en-AU"/>
              </w:rPr>
              <w:t>Treatment Group</w:t>
            </w:r>
          </w:p>
        </w:tc>
        <w:tc>
          <w:tcPr>
            <w:tcW w:w="2693" w:type="dxa"/>
            <w:shd w:val="clear" w:color="auto" w:fill="auto"/>
          </w:tcPr>
          <w:p w:rsidR="009B6A33" w:rsidRPr="004B0045" w:rsidRDefault="009B6A33" w:rsidP="00937266">
            <w:pPr>
              <w:autoSpaceDE w:val="0"/>
              <w:autoSpaceDN w:val="0"/>
              <w:adjustRightInd w:val="0"/>
              <w:spacing w:after="0" w:line="240" w:lineRule="auto"/>
              <w:ind w:left="142"/>
              <w:jc w:val="center"/>
              <w:rPr>
                <w:rFonts w:cs="Calibri-Bold"/>
                <w:b/>
                <w:bCs/>
                <w:sz w:val="20"/>
                <w:szCs w:val="20"/>
                <w:lang w:eastAsia="en-AU"/>
              </w:rPr>
            </w:pPr>
            <w:r w:rsidRPr="004B0045">
              <w:rPr>
                <w:rFonts w:cs="Calibri-Bold"/>
                <w:b/>
                <w:bCs/>
                <w:sz w:val="20"/>
                <w:szCs w:val="20"/>
                <w:lang w:eastAsia="en-AU"/>
              </w:rPr>
              <w:t>PBO</w:t>
            </w:r>
          </w:p>
          <w:p w:rsidR="009B6A33" w:rsidRPr="00664085" w:rsidRDefault="009B6A33" w:rsidP="00937266">
            <w:pPr>
              <w:pStyle w:val="TableTitle"/>
              <w:numPr>
                <w:ilvl w:val="0"/>
                <w:numId w:val="0"/>
              </w:numPr>
              <w:ind w:left="142"/>
              <w:jc w:val="center"/>
              <w:rPr>
                <w:sz w:val="20"/>
                <w:szCs w:val="20"/>
                <w:lang w:val="en-US"/>
              </w:rPr>
            </w:pPr>
            <w:r w:rsidRPr="004B0045">
              <w:rPr>
                <w:rFonts w:cs="Calibri-Bold"/>
                <w:bCs/>
                <w:sz w:val="20"/>
                <w:szCs w:val="20"/>
                <w:lang w:eastAsia="en-AU"/>
              </w:rPr>
              <w:t>N = 190</w:t>
            </w:r>
          </w:p>
        </w:tc>
        <w:tc>
          <w:tcPr>
            <w:tcW w:w="3260" w:type="dxa"/>
            <w:shd w:val="clear" w:color="auto" w:fill="auto"/>
          </w:tcPr>
          <w:p w:rsidR="009B6A33" w:rsidRPr="004B0045" w:rsidRDefault="009B6A33" w:rsidP="00937266">
            <w:pPr>
              <w:autoSpaceDE w:val="0"/>
              <w:autoSpaceDN w:val="0"/>
              <w:adjustRightInd w:val="0"/>
              <w:spacing w:after="0" w:line="240" w:lineRule="auto"/>
              <w:ind w:left="142"/>
              <w:jc w:val="center"/>
              <w:rPr>
                <w:rFonts w:cs="Calibri-Bold"/>
                <w:b/>
                <w:bCs/>
                <w:sz w:val="20"/>
                <w:szCs w:val="20"/>
                <w:lang w:eastAsia="en-AU"/>
              </w:rPr>
            </w:pPr>
            <w:r w:rsidRPr="004B0045">
              <w:rPr>
                <w:rFonts w:cs="Calibri-Bold"/>
                <w:b/>
                <w:bCs/>
                <w:sz w:val="20"/>
                <w:szCs w:val="20"/>
                <w:lang w:eastAsia="en-AU"/>
              </w:rPr>
              <w:t>IXE Q4W</w:t>
            </w:r>
          </w:p>
          <w:p w:rsidR="009B6A33" w:rsidRPr="00664085" w:rsidRDefault="009B6A33" w:rsidP="00937266">
            <w:pPr>
              <w:pStyle w:val="TableTitle"/>
              <w:numPr>
                <w:ilvl w:val="0"/>
                <w:numId w:val="0"/>
              </w:numPr>
              <w:ind w:left="142"/>
              <w:jc w:val="center"/>
              <w:rPr>
                <w:sz w:val="20"/>
                <w:szCs w:val="20"/>
                <w:lang w:val="en-US"/>
              </w:rPr>
            </w:pPr>
            <w:r w:rsidRPr="004B0045">
              <w:rPr>
                <w:rFonts w:cs="Calibri-Bold"/>
                <w:bCs/>
                <w:sz w:val="20"/>
                <w:szCs w:val="20"/>
                <w:lang w:eastAsia="en-AU"/>
              </w:rPr>
              <w:t>N = 195</w:t>
            </w:r>
          </w:p>
        </w:tc>
      </w:tr>
      <w:tr w:rsidR="00937266" w:rsidRPr="00664085" w:rsidTr="001846E4">
        <w:tc>
          <w:tcPr>
            <w:tcW w:w="8754" w:type="dxa"/>
            <w:gridSpan w:val="3"/>
            <w:shd w:val="clear" w:color="auto" w:fill="auto"/>
          </w:tcPr>
          <w:p w:rsidR="00937266" w:rsidRPr="00664085" w:rsidRDefault="00937266" w:rsidP="00937266">
            <w:pPr>
              <w:pStyle w:val="TableTitle"/>
              <w:numPr>
                <w:ilvl w:val="0"/>
                <w:numId w:val="0"/>
              </w:numPr>
              <w:ind w:left="142"/>
              <w:rPr>
                <w:sz w:val="20"/>
                <w:szCs w:val="20"/>
                <w:lang w:val="en-US"/>
              </w:rPr>
            </w:pPr>
            <w:r w:rsidRPr="00664085">
              <w:rPr>
                <w:sz w:val="20"/>
                <w:szCs w:val="20"/>
                <w:lang w:val="en-US"/>
              </w:rPr>
              <w:t>Category, n (%)</w:t>
            </w:r>
          </w:p>
        </w:tc>
      </w:tr>
      <w:tr w:rsidR="009B6A33" w:rsidRPr="00664085" w:rsidTr="009B6A33">
        <w:tc>
          <w:tcPr>
            <w:tcW w:w="2801" w:type="dxa"/>
            <w:shd w:val="clear" w:color="auto" w:fill="auto"/>
          </w:tcPr>
          <w:p w:rsidR="009B6A33" w:rsidRPr="00664085" w:rsidRDefault="009B6A33" w:rsidP="00937266">
            <w:pPr>
              <w:pStyle w:val="TableTitle"/>
              <w:numPr>
                <w:ilvl w:val="0"/>
                <w:numId w:val="0"/>
              </w:numPr>
              <w:ind w:left="142"/>
              <w:rPr>
                <w:b w:val="0"/>
                <w:sz w:val="20"/>
                <w:szCs w:val="20"/>
                <w:lang w:val="en-US"/>
              </w:rPr>
            </w:pPr>
            <w:r w:rsidRPr="00664085">
              <w:rPr>
                <w:rFonts w:cs="Calibri"/>
                <w:b w:val="0"/>
                <w:sz w:val="20"/>
                <w:szCs w:val="20"/>
                <w:lang w:eastAsia="en-AU"/>
              </w:rPr>
              <w:t>Patients with ≥ 1 TEAE</w:t>
            </w:r>
          </w:p>
        </w:tc>
        <w:tc>
          <w:tcPr>
            <w:tcW w:w="2693" w:type="dxa"/>
            <w:shd w:val="clear" w:color="auto" w:fill="auto"/>
          </w:tcPr>
          <w:p w:rsidR="009B6A33" w:rsidRPr="0066408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85 (44.7)</w:t>
            </w:r>
          </w:p>
        </w:tc>
        <w:tc>
          <w:tcPr>
            <w:tcW w:w="3260" w:type="dxa"/>
            <w:shd w:val="clear" w:color="auto" w:fill="auto"/>
          </w:tcPr>
          <w:p w:rsidR="009B6A33" w:rsidRPr="0066408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110 (56.4)</w:t>
            </w:r>
            <w:r w:rsidRPr="00664085">
              <w:rPr>
                <w:rFonts w:cs="Calibri"/>
                <w:b w:val="0"/>
                <w:sz w:val="20"/>
                <w:szCs w:val="20"/>
                <w:vertAlign w:val="superscript"/>
                <w:lang w:eastAsia="en-AU"/>
              </w:rPr>
              <w:t>a</w:t>
            </w:r>
          </w:p>
        </w:tc>
      </w:tr>
      <w:tr w:rsidR="009B6A33" w:rsidRPr="00664085" w:rsidTr="009B6A33">
        <w:tc>
          <w:tcPr>
            <w:tcW w:w="2801" w:type="dxa"/>
            <w:shd w:val="clear" w:color="auto" w:fill="auto"/>
          </w:tcPr>
          <w:p w:rsidR="009B6A33" w:rsidRPr="00664085" w:rsidRDefault="009B6A33" w:rsidP="00937266">
            <w:pPr>
              <w:autoSpaceDE w:val="0"/>
              <w:autoSpaceDN w:val="0"/>
              <w:adjustRightInd w:val="0"/>
              <w:spacing w:after="0" w:line="240" w:lineRule="auto"/>
              <w:ind w:left="142"/>
              <w:rPr>
                <w:rFonts w:cs="Calibri"/>
                <w:sz w:val="20"/>
                <w:szCs w:val="20"/>
                <w:lang w:eastAsia="en-AU"/>
              </w:rPr>
            </w:pPr>
            <w:r w:rsidRPr="00664085">
              <w:rPr>
                <w:rFonts w:cs="Calibri"/>
                <w:sz w:val="20"/>
                <w:szCs w:val="20"/>
                <w:lang w:eastAsia="en-AU"/>
              </w:rPr>
              <w:t>Upper respiratory tract</w:t>
            </w:r>
          </w:p>
          <w:p w:rsidR="009B6A33" w:rsidRPr="00664085" w:rsidRDefault="009B6A33" w:rsidP="00937266">
            <w:pPr>
              <w:pStyle w:val="TableTitle"/>
              <w:numPr>
                <w:ilvl w:val="0"/>
                <w:numId w:val="0"/>
              </w:numPr>
              <w:ind w:left="142"/>
              <w:rPr>
                <w:b w:val="0"/>
                <w:sz w:val="20"/>
                <w:szCs w:val="20"/>
                <w:lang w:val="en-US"/>
              </w:rPr>
            </w:pPr>
            <w:r w:rsidRPr="00664085">
              <w:rPr>
                <w:rFonts w:cs="Calibri"/>
                <w:b w:val="0"/>
                <w:sz w:val="20"/>
                <w:szCs w:val="20"/>
                <w:lang w:eastAsia="en-AU"/>
              </w:rPr>
              <w:t>infection</w:t>
            </w:r>
            <w:r w:rsidRPr="00664085">
              <w:rPr>
                <w:rFonts w:cs="Calibri"/>
                <w:b w:val="0"/>
                <w:sz w:val="20"/>
                <w:szCs w:val="20"/>
                <w:vertAlign w:val="superscript"/>
                <w:lang w:eastAsia="en-AU"/>
              </w:rPr>
              <w:t>b</w:t>
            </w:r>
          </w:p>
        </w:tc>
        <w:tc>
          <w:tcPr>
            <w:tcW w:w="2693" w:type="dxa"/>
            <w:shd w:val="clear" w:color="auto" w:fill="auto"/>
          </w:tcPr>
          <w:p w:rsidR="009B6A33" w:rsidRPr="0066408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7 (3.7)</w:t>
            </w:r>
          </w:p>
        </w:tc>
        <w:tc>
          <w:tcPr>
            <w:tcW w:w="3260" w:type="dxa"/>
            <w:shd w:val="clear" w:color="auto" w:fill="auto"/>
          </w:tcPr>
          <w:p w:rsidR="009B6A33" w:rsidRPr="0066408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16 (8.2)</w:t>
            </w:r>
          </w:p>
        </w:tc>
      </w:tr>
      <w:tr w:rsidR="009B6A33" w:rsidRPr="00664085" w:rsidTr="009B6A33">
        <w:tc>
          <w:tcPr>
            <w:tcW w:w="2801" w:type="dxa"/>
            <w:shd w:val="clear" w:color="auto" w:fill="auto"/>
          </w:tcPr>
          <w:p w:rsidR="009B6A33" w:rsidRPr="00664085" w:rsidRDefault="009B6A33" w:rsidP="00937266">
            <w:pPr>
              <w:pStyle w:val="TableTitle"/>
              <w:numPr>
                <w:ilvl w:val="0"/>
                <w:numId w:val="0"/>
              </w:numPr>
              <w:ind w:left="142"/>
              <w:rPr>
                <w:b w:val="0"/>
                <w:sz w:val="20"/>
                <w:szCs w:val="20"/>
                <w:lang w:val="en-US"/>
              </w:rPr>
            </w:pPr>
            <w:r w:rsidRPr="00664085">
              <w:rPr>
                <w:rFonts w:cs="Calibri"/>
                <w:b w:val="0"/>
                <w:sz w:val="20"/>
                <w:szCs w:val="20"/>
                <w:lang w:eastAsia="en-AU"/>
              </w:rPr>
              <w:t>Nasopharyngitis</w:t>
            </w:r>
            <w:r w:rsidRPr="00664085">
              <w:rPr>
                <w:rFonts w:cs="Calibri"/>
                <w:b w:val="0"/>
                <w:sz w:val="20"/>
                <w:szCs w:val="20"/>
                <w:vertAlign w:val="superscript"/>
                <w:lang w:eastAsia="en-AU"/>
              </w:rPr>
              <w:t>b</w:t>
            </w:r>
          </w:p>
        </w:tc>
        <w:tc>
          <w:tcPr>
            <w:tcW w:w="2693" w:type="dxa"/>
            <w:shd w:val="clear" w:color="auto" w:fill="auto"/>
          </w:tcPr>
          <w:p w:rsidR="009B6A33" w:rsidRPr="0066408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8 (4.2)</w:t>
            </w:r>
          </w:p>
        </w:tc>
        <w:tc>
          <w:tcPr>
            <w:tcW w:w="3260" w:type="dxa"/>
            <w:shd w:val="clear" w:color="auto" w:fill="auto"/>
          </w:tcPr>
          <w:p w:rsidR="009B6A33" w:rsidRPr="0066408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11 (5.6)</w:t>
            </w:r>
          </w:p>
        </w:tc>
      </w:tr>
      <w:tr w:rsidR="009B6A33" w:rsidRPr="00664085" w:rsidTr="009B6A33">
        <w:tc>
          <w:tcPr>
            <w:tcW w:w="2801" w:type="dxa"/>
            <w:shd w:val="clear" w:color="auto" w:fill="auto"/>
          </w:tcPr>
          <w:p w:rsidR="009B6A33" w:rsidRPr="00664085" w:rsidRDefault="009B6A33" w:rsidP="00937266">
            <w:pPr>
              <w:pStyle w:val="TableTitle"/>
              <w:numPr>
                <w:ilvl w:val="0"/>
                <w:numId w:val="0"/>
              </w:numPr>
              <w:ind w:left="142"/>
              <w:rPr>
                <w:b w:val="0"/>
                <w:sz w:val="20"/>
                <w:szCs w:val="20"/>
                <w:lang w:val="en-US"/>
              </w:rPr>
            </w:pPr>
            <w:r w:rsidRPr="00664085">
              <w:rPr>
                <w:rFonts w:cs="Calibri"/>
                <w:b w:val="0"/>
                <w:sz w:val="20"/>
                <w:szCs w:val="20"/>
                <w:lang w:eastAsia="en-AU"/>
              </w:rPr>
              <w:t>Injection site reaction</w:t>
            </w:r>
            <w:r w:rsidRPr="00664085">
              <w:rPr>
                <w:rFonts w:cs="Calibri"/>
                <w:b w:val="0"/>
                <w:sz w:val="20"/>
                <w:szCs w:val="20"/>
                <w:vertAlign w:val="superscript"/>
                <w:lang w:eastAsia="en-AU"/>
              </w:rPr>
              <w:t>b</w:t>
            </w:r>
          </w:p>
        </w:tc>
        <w:tc>
          <w:tcPr>
            <w:tcW w:w="2693" w:type="dxa"/>
            <w:shd w:val="clear" w:color="auto" w:fill="auto"/>
          </w:tcPr>
          <w:p w:rsidR="009B6A33" w:rsidRPr="0066408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3 (1.6)</w:t>
            </w:r>
          </w:p>
        </w:tc>
        <w:tc>
          <w:tcPr>
            <w:tcW w:w="3260" w:type="dxa"/>
            <w:shd w:val="clear" w:color="auto" w:fill="auto"/>
          </w:tcPr>
          <w:p w:rsidR="009B6A33" w:rsidRPr="0066408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3 (1.5)</w:t>
            </w:r>
          </w:p>
        </w:tc>
      </w:tr>
      <w:tr w:rsidR="009B6A33" w:rsidRPr="00664085" w:rsidTr="009B6A33">
        <w:tc>
          <w:tcPr>
            <w:tcW w:w="2801" w:type="dxa"/>
            <w:shd w:val="clear" w:color="auto" w:fill="auto"/>
          </w:tcPr>
          <w:p w:rsidR="009B6A33" w:rsidRPr="004B0045" w:rsidRDefault="009B6A33" w:rsidP="00937266">
            <w:pPr>
              <w:pStyle w:val="TableTitle"/>
              <w:numPr>
                <w:ilvl w:val="0"/>
                <w:numId w:val="0"/>
              </w:numPr>
              <w:ind w:left="142"/>
              <w:rPr>
                <w:b w:val="0"/>
                <w:sz w:val="20"/>
                <w:szCs w:val="20"/>
                <w:lang w:val="en-US"/>
              </w:rPr>
            </w:pPr>
            <w:r w:rsidRPr="004B0045">
              <w:rPr>
                <w:b w:val="0"/>
                <w:sz w:val="20"/>
                <w:szCs w:val="20"/>
                <w:lang w:val="en-US"/>
              </w:rPr>
              <w:t>Diarrhoea</w:t>
            </w:r>
          </w:p>
        </w:tc>
        <w:tc>
          <w:tcPr>
            <w:tcW w:w="2693"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2 (1.1)</w:t>
            </w:r>
          </w:p>
        </w:tc>
        <w:tc>
          <w:tcPr>
            <w:tcW w:w="3260"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6 (3.1)</w:t>
            </w:r>
          </w:p>
        </w:tc>
      </w:tr>
      <w:tr w:rsidR="009B6A33" w:rsidRPr="00664085" w:rsidTr="009B6A33">
        <w:tc>
          <w:tcPr>
            <w:tcW w:w="2801" w:type="dxa"/>
            <w:shd w:val="clear" w:color="auto" w:fill="auto"/>
          </w:tcPr>
          <w:p w:rsidR="009B6A33" w:rsidRPr="004B0045" w:rsidRDefault="009B6A33" w:rsidP="00937266">
            <w:pPr>
              <w:pStyle w:val="TableTitle"/>
              <w:numPr>
                <w:ilvl w:val="0"/>
                <w:numId w:val="0"/>
              </w:numPr>
              <w:ind w:left="142"/>
              <w:rPr>
                <w:b w:val="0"/>
                <w:sz w:val="20"/>
                <w:szCs w:val="20"/>
                <w:lang w:val="en-US"/>
              </w:rPr>
            </w:pPr>
            <w:r w:rsidRPr="004B0045">
              <w:rPr>
                <w:b w:val="0"/>
                <w:sz w:val="20"/>
                <w:szCs w:val="20"/>
                <w:lang w:val="en-US"/>
              </w:rPr>
              <w:t>Arthralgia</w:t>
            </w:r>
          </w:p>
        </w:tc>
        <w:tc>
          <w:tcPr>
            <w:tcW w:w="2693"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3 (1.6)</w:t>
            </w:r>
          </w:p>
        </w:tc>
        <w:tc>
          <w:tcPr>
            <w:tcW w:w="3260"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9 (4.6)</w:t>
            </w:r>
          </w:p>
        </w:tc>
      </w:tr>
      <w:tr w:rsidR="009B6A33" w:rsidRPr="00664085" w:rsidTr="009B6A33">
        <w:tc>
          <w:tcPr>
            <w:tcW w:w="2801" w:type="dxa"/>
            <w:shd w:val="clear" w:color="auto" w:fill="auto"/>
          </w:tcPr>
          <w:p w:rsidR="009B6A33" w:rsidRPr="004B0045" w:rsidRDefault="009B6A33" w:rsidP="00937266">
            <w:pPr>
              <w:pStyle w:val="TableTitle"/>
              <w:numPr>
                <w:ilvl w:val="0"/>
                <w:numId w:val="0"/>
              </w:numPr>
              <w:ind w:left="142"/>
              <w:rPr>
                <w:b w:val="0"/>
                <w:sz w:val="20"/>
                <w:szCs w:val="20"/>
                <w:lang w:val="en-US"/>
              </w:rPr>
            </w:pPr>
            <w:r w:rsidRPr="004B0045">
              <w:rPr>
                <w:b w:val="0"/>
                <w:sz w:val="20"/>
                <w:szCs w:val="20"/>
                <w:lang w:val="en-US"/>
              </w:rPr>
              <w:t>Injection site pain</w:t>
            </w:r>
            <w:r w:rsidRPr="004B0045">
              <w:rPr>
                <w:b w:val="0"/>
                <w:sz w:val="20"/>
                <w:szCs w:val="20"/>
                <w:vertAlign w:val="superscript"/>
                <w:lang w:val="en-US"/>
              </w:rPr>
              <w:t>b</w:t>
            </w:r>
          </w:p>
        </w:tc>
        <w:tc>
          <w:tcPr>
            <w:tcW w:w="2693"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4 (2.1)</w:t>
            </w:r>
          </w:p>
        </w:tc>
        <w:tc>
          <w:tcPr>
            <w:tcW w:w="3260"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4 (2.1)</w:t>
            </w:r>
          </w:p>
        </w:tc>
      </w:tr>
      <w:tr w:rsidR="009B6A33" w:rsidRPr="00664085" w:rsidTr="009B6A33">
        <w:tc>
          <w:tcPr>
            <w:tcW w:w="2801" w:type="dxa"/>
            <w:shd w:val="clear" w:color="auto" w:fill="auto"/>
          </w:tcPr>
          <w:p w:rsidR="009B6A33" w:rsidRPr="004B0045" w:rsidRDefault="009B6A33" w:rsidP="00937266">
            <w:pPr>
              <w:pStyle w:val="TableTitle"/>
              <w:numPr>
                <w:ilvl w:val="0"/>
                <w:numId w:val="0"/>
              </w:numPr>
              <w:ind w:left="142"/>
              <w:rPr>
                <w:b w:val="0"/>
                <w:sz w:val="20"/>
                <w:szCs w:val="20"/>
                <w:lang w:val="en-US"/>
              </w:rPr>
            </w:pPr>
            <w:r w:rsidRPr="004B0045">
              <w:rPr>
                <w:b w:val="0"/>
                <w:sz w:val="20"/>
                <w:szCs w:val="20"/>
                <w:lang w:val="en-US"/>
              </w:rPr>
              <w:t>Pharyngitis</w:t>
            </w:r>
          </w:p>
        </w:tc>
        <w:tc>
          <w:tcPr>
            <w:tcW w:w="2693"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2 (1.1)</w:t>
            </w:r>
          </w:p>
        </w:tc>
        <w:tc>
          <w:tcPr>
            <w:tcW w:w="3260"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3 (1.5)</w:t>
            </w:r>
          </w:p>
        </w:tc>
      </w:tr>
      <w:tr w:rsidR="009B6A33" w:rsidRPr="00664085" w:rsidTr="009B6A33">
        <w:tc>
          <w:tcPr>
            <w:tcW w:w="2801" w:type="dxa"/>
            <w:shd w:val="clear" w:color="auto" w:fill="auto"/>
          </w:tcPr>
          <w:p w:rsidR="009B6A33" w:rsidRPr="004B0045" w:rsidRDefault="009B6A33" w:rsidP="00937266">
            <w:pPr>
              <w:pStyle w:val="TableTitle"/>
              <w:numPr>
                <w:ilvl w:val="0"/>
                <w:numId w:val="0"/>
              </w:numPr>
              <w:ind w:left="142"/>
              <w:rPr>
                <w:b w:val="0"/>
                <w:sz w:val="20"/>
                <w:szCs w:val="20"/>
                <w:lang w:val="en-US"/>
              </w:rPr>
            </w:pPr>
            <w:r w:rsidRPr="004B0045">
              <w:rPr>
                <w:b w:val="0"/>
                <w:sz w:val="20"/>
                <w:szCs w:val="20"/>
                <w:lang w:val="en-US"/>
              </w:rPr>
              <w:t>Headache</w:t>
            </w:r>
          </w:p>
        </w:tc>
        <w:tc>
          <w:tcPr>
            <w:tcW w:w="2693"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1 (0.5)</w:t>
            </w:r>
          </w:p>
        </w:tc>
        <w:tc>
          <w:tcPr>
            <w:tcW w:w="3260"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3 (1.5)</w:t>
            </w:r>
          </w:p>
        </w:tc>
      </w:tr>
      <w:tr w:rsidR="009B6A33" w:rsidRPr="00664085" w:rsidTr="009B6A33">
        <w:tc>
          <w:tcPr>
            <w:tcW w:w="2801" w:type="dxa"/>
            <w:shd w:val="clear" w:color="auto" w:fill="auto"/>
          </w:tcPr>
          <w:p w:rsidR="009B6A33" w:rsidRPr="004B0045" w:rsidRDefault="009B6A33" w:rsidP="00937266">
            <w:pPr>
              <w:pStyle w:val="TableTitle"/>
              <w:numPr>
                <w:ilvl w:val="0"/>
                <w:numId w:val="0"/>
              </w:numPr>
              <w:ind w:left="142"/>
              <w:rPr>
                <w:b w:val="0"/>
                <w:sz w:val="20"/>
                <w:szCs w:val="20"/>
                <w:lang w:val="en-US"/>
              </w:rPr>
            </w:pPr>
            <w:r w:rsidRPr="004B0045">
              <w:rPr>
                <w:b w:val="0"/>
                <w:sz w:val="20"/>
                <w:szCs w:val="20"/>
                <w:lang w:val="en-US"/>
              </w:rPr>
              <w:t>Injection site erythema</w:t>
            </w:r>
            <w:r w:rsidRPr="004B0045">
              <w:rPr>
                <w:b w:val="0"/>
                <w:sz w:val="20"/>
                <w:szCs w:val="20"/>
                <w:vertAlign w:val="superscript"/>
                <w:lang w:val="en-US"/>
              </w:rPr>
              <w:t>b</w:t>
            </w:r>
          </w:p>
        </w:tc>
        <w:tc>
          <w:tcPr>
            <w:tcW w:w="2693"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1 (0.5)</w:t>
            </w:r>
          </w:p>
        </w:tc>
        <w:tc>
          <w:tcPr>
            <w:tcW w:w="3260"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3 (1.5)</w:t>
            </w:r>
          </w:p>
        </w:tc>
      </w:tr>
      <w:tr w:rsidR="009B6A33" w:rsidRPr="00664085" w:rsidTr="009B6A33">
        <w:tc>
          <w:tcPr>
            <w:tcW w:w="2801" w:type="dxa"/>
            <w:shd w:val="clear" w:color="auto" w:fill="auto"/>
          </w:tcPr>
          <w:p w:rsidR="009B6A33" w:rsidRPr="004B0045" w:rsidRDefault="009B6A33" w:rsidP="00937266">
            <w:pPr>
              <w:pStyle w:val="TableTitle"/>
              <w:numPr>
                <w:ilvl w:val="0"/>
                <w:numId w:val="0"/>
              </w:numPr>
              <w:ind w:left="142"/>
              <w:rPr>
                <w:b w:val="0"/>
                <w:sz w:val="20"/>
                <w:szCs w:val="20"/>
                <w:lang w:val="en-US"/>
              </w:rPr>
            </w:pPr>
            <w:r w:rsidRPr="004B0045">
              <w:rPr>
                <w:b w:val="0"/>
                <w:sz w:val="20"/>
                <w:szCs w:val="20"/>
                <w:lang w:val="en-US"/>
              </w:rPr>
              <w:t>Pruritus</w:t>
            </w:r>
          </w:p>
        </w:tc>
        <w:tc>
          <w:tcPr>
            <w:tcW w:w="2693"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4B0045">
              <w:rPr>
                <w:b w:val="0"/>
                <w:sz w:val="20"/>
                <w:szCs w:val="20"/>
                <w:lang w:val="en-US"/>
              </w:rPr>
              <w:t>0</w:t>
            </w:r>
          </w:p>
        </w:tc>
        <w:tc>
          <w:tcPr>
            <w:tcW w:w="3260"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2 (1.0)</w:t>
            </w:r>
          </w:p>
        </w:tc>
      </w:tr>
      <w:tr w:rsidR="009B6A33" w:rsidRPr="00664085" w:rsidTr="009B6A33">
        <w:tc>
          <w:tcPr>
            <w:tcW w:w="2801" w:type="dxa"/>
            <w:shd w:val="clear" w:color="auto" w:fill="auto"/>
          </w:tcPr>
          <w:p w:rsidR="009B6A33" w:rsidRPr="004B0045" w:rsidRDefault="009B6A33" w:rsidP="00937266">
            <w:pPr>
              <w:pStyle w:val="TableTitle"/>
              <w:numPr>
                <w:ilvl w:val="0"/>
                <w:numId w:val="0"/>
              </w:numPr>
              <w:ind w:left="142"/>
              <w:rPr>
                <w:b w:val="0"/>
                <w:sz w:val="20"/>
                <w:szCs w:val="20"/>
                <w:lang w:val="en-US"/>
              </w:rPr>
            </w:pPr>
            <w:r w:rsidRPr="004B0045">
              <w:rPr>
                <w:b w:val="0"/>
                <w:sz w:val="20"/>
                <w:szCs w:val="20"/>
                <w:lang w:val="en-US"/>
              </w:rPr>
              <w:t>Iridocyclitis</w:t>
            </w:r>
          </w:p>
        </w:tc>
        <w:tc>
          <w:tcPr>
            <w:tcW w:w="2693"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4B0045">
              <w:rPr>
                <w:b w:val="0"/>
                <w:sz w:val="20"/>
                <w:szCs w:val="20"/>
                <w:lang w:val="en-US"/>
              </w:rPr>
              <w:t>0</w:t>
            </w:r>
          </w:p>
        </w:tc>
        <w:tc>
          <w:tcPr>
            <w:tcW w:w="3260"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3 (1.5)</w:t>
            </w:r>
          </w:p>
        </w:tc>
      </w:tr>
      <w:tr w:rsidR="009B6A33" w:rsidRPr="00664085" w:rsidTr="009B6A33">
        <w:tc>
          <w:tcPr>
            <w:tcW w:w="2801" w:type="dxa"/>
            <w:shd w:val="clear" w:color="auto" w:fill="auto"/>
          </w:tcPr>
          <w:p w:rsidR="009B6A33" w:rsidRPr="004B0045" w:rsidRDefault="009B6A33" w:rsidP="00937266">
            <w:pPr>
              <w:pStyle w:val="TableTitle"/>
              <w:numPr>
                <w:ilvl w:val="0"/>
                <w:numId w:val="0"/>
              </w:numPr>
              <w:ind w:left="142"/>
              <w:rPr>
                <w:b w:val="0"/>
                <w:sz w:val="20"/>
                <w:szCs w:val="20"/>
                <w:lang w:val="en-US"/>
              </w:rPr>
            </w:pPr>
            <w:r w:rsidRPr="004B0045">
              <w:rPr>
                <w:b w:val="0"/>
                <w:sz w:val="20"/>
                <w:szCs w:val="20"/>
                <w:lang w:val="en-US"/>
              </w:rPr>
              <w:lastRenderedPageBreak/>
              <w:t>Back pain</w:t>
            </w:r>
          </w:p>
        </w:tc>
        <w:tc>
          <w:tcPr>
            <w:tcW w:w="2693"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3 (1.6)</w:t>
            </w:r>
          </w:p>
        </w:tc>
        <w:tc>
          <w:tcPr>
            <w:tcW w:w="3260"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1 (0.5)</w:t>
            </w:r>
          </w:p>
        </w:tc>
      </w:tr>
      <w:tr w:rsidR="009B6A33" w:rsidRPr="00664085" w:rsidTr="009B6A33">
        <w:tc>
          <w:tcPr>
            <w:tcW w:w="2801" w:type="dxa"/>
            <w:shd w:val="clear" w:color="auto" w:fill="auto"/>
          </w:tcPr>
          <w:p w:rsidR="009B6A33" w:rsidRPr="004B0045" w:rsidRDefault="009B6A33" w:rsidP="00937266">
            <w:pPr>
              <w:pStyle w:val="TableTitle"/>
              <w:numPr>
                <w:ilvl w:val="0"/>
                <w:numId w:val="0"/>
              </w:numPr>
              <w:ind w:left="142"/>
              <w:rPr>
                <w:b w:val="0"/>
                <w:sz w:val="20"/>
                <w:szCs w:val="20"/>
                <w:lang w:val="en-US"/>
              </w:rPr>
            </w:pPr>
            <w:r w:rsidRPr="004B0045">
              <w:rPr>
                <w:b w:val="0"/>
                <w:sz w:val="20"/>
                <w:szCs w:val="20"/>
                <w:lang w:val="en-US"/>
              </w:rPr>
              <w:t>Hypertension</w:t>
            </w:r>
          </w:p>
        </w:tc>
        <w:tc>
          <w:tcPr>
            <w:tcW w:w="2693"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5 (2.6)</w:t>
            </w:r>
          </w:p>
        </w:tc>
        <w:tc>
          <w:tcPr>
            <w:tcW w:w="3260"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2 (1.0)</w:t>
            </w:r>
          </w:p>
        </w:tc>
      </w:tr>
      <w:tr w:rsidR="009B6A33" w:rsidRPr="00664085" w:rsidTr="009B6A33">
        <w:tc>
          <w:tcPr>
            <w:tcW w:w="2801" w:type="dxa"/>
            <w:shd w:val="clear" w:color="auto" w:fill="auto"/>
          </w:tcPr>
          <w:p w:rsidR="009B6A33" w:rsidRPr="004B0045" w:rsidRDefault="009B6A33" w:rsidP="00937266">
            <w:pPr>
              <w:pStyle w:val="TableTitle"/>
              <w:numPr>
                <w:ilvl w:val="0"/>
                <w:numId w:val="0"/>
              </w:numPr>
              <w:ind w:left="142"/>
              <w:rPr>
                <w:b w:val="0"/>
                <w:sz w:val="20"/>
                <w:szCs w:val="20"/>
                <w:lang w:val="en-US"/>
              </w:rPr>
            </w:pPr>
            <w:r w:rsidRPr="004B0045">
              <w:rPr>
                <w:b w:val="0"/>
                <w:sz w:val="20"/>
                <w:szCs w:val="20"/>
                <w:lang w:val="en-US"/>
              </w:rPr>
              <w:t>Bronchitis</w:t>
            </w:r>
          </w:p>
        </w:tc>
        <w:tc>
          <w:tcPr>
            <w:tcW w:w="2693"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1 (0.5)</w:t>
            </w:r>
          </w:p>
        </w:tc>
        <w:tc>
          <w:tcPr>
            <w:tcW w:w="3260"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3 (1.5)</w:t>
            </w:r>
          </w:p>
        </w:tc>
      </w:tr>
      <w:tr w:rsidR="009B6A33" w:rsidRPr="00664085" w:rsidTr="009B6A33">
        <w:tc>
          <w:tcPr>
            <w:tcW w:w="2801" w:type="dxa"/>
            <w:shd w:val="clear" w:color="auto" w:fill="auto"/>
          </w:tcPr>
          <w:p w:rsidR="009B6A33" w:rsidRPr="004B0045" w:rsidRDefault="009B6A33" w:rsidP="00937266">
            <w:pPr>
              <w:pStyle w:val="TableTitle"/>
              <w:numPr>
                <w:ilvl w:val="0"/>
                <w:numId w:val="0"/>
              </w:numPr>
              <w:ind w:left="142"/>
              <w:rPr>
                <w:b w:val="0"/>
                <w:sz w:val="20"/>
                <w:szCs w:val="20"/>
                <w:lang w:val="en-US"/>
              </w:rPr>
            </w:pPr>
            <w:r w:rsidRPr="004B0045">
              <w:rPr>
                <w:b w:val="0"/>
                <w:sz w:val="20"/>
                <w:szCs w:val="20"/>
                <w:lang w:val="en-US"/>
              </w:rPr>
              <w:t>Musculoskeletal pain</w:t>
            </w:r>
          </w:p>
        </w:tc>
        <w:tc>
          <w:tcPr>
            <w:tcW w:w="2693"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2 (1.1)</w:t>
            </w:r>
          </w:p>
        </w:tc>
        <w:tc>
          <w:tcPr>
            <w:tcW w:w="3260" w:type="dxa"/>
            <w:shd w:val="clear" w:color="auto" w:fill="auto"/>
          </w:tcPr>
          <w:p w:rsidR="009B6A33" w:rsidRPr="004B0045" w:rsidRDefault="009B6A33" w:rsidP="00937266">
            <w:pPr>
              <w:pStyle w:val="TableTitle"/>
              <w:numPr>
                <w:ilvl w:val="0"/>
                <w:numId w:val="0"/>
              </w:numPr>
              <w:ind w:left="142"/>
              <w:jc w:val="center"/>
              <w:rPr>
                <w:b w:val="0"/>
                <w:sz w:val="20"/>
                <w:szCs w:val="20"/>
                <w:lang w:val="en-US"/>
              </w:rPr>
            </w:pPr>
            <w:r w:rsidRPr="00664085">
              <w:rPr>
                <w:rFonts w:cs="Calibri"/>
                <w:b w:val="0"/>
                <w:sz w:val="20"/>
                <w:szCs w:val="20"/>
                <w:lang w:eastAsia="en-AU"/>
              </w:rPr>
              <w:t>4 (2.1)</w:t>
            </w:r>
          </w:p>
        </w:tc>
      </w:tr>
      <w:tr w:rsidR="009B6A33" w:rsidRPr="00664085" w:rsidTr="009B6A33">
        <w:tc>
          <w:tcPr>
            <w:tcW w:w="2801" w:type="dxa"/>
            <w:shd w:val="clear" w:color="auto" w:fill="auto"/>
          </w:tcPr>
          <w:p w:rsidR="009B6A33" w:rsidRPr="00664085" w:rsidRDefault="009B6A33" w:rsidP="00937266">
            <w:pPr>
              <w:pStyle w:val="TableTitle"/>
              <w:numPr>
                <w:ilvl w:val="0"/>
                <w:numId w:val="0"/>
              </w:numPr>
              <w:ind w:left="142"/>
              <w:rPr>
                <w:rFonts w:cs="Calibri"/>
                <w:b w:val="0"/>
                <w:sz w:val="20"/>
                <w:szCs w:val="20"/>
                <w:lang w:eastAsia="en-AU"/>
              </w:rPr>
            </w:pPr>
            <w:r w:rsidRPr="00664085">
              <w:rPr>
                <w:rFonts w:cs="Calibri"/>
                <w:b w:val="0"/>
                <w:sz w:val="20"/>
                <w:szCs w:val="20"/>
                <w:lang w:eastAsia="en-AU"/>
              </w:rPr>
              <w:t>Alanine aminotransferase increased</w:t>
            </w:r>
          </w:p>
        </w:tc>
        <w:tc>
          <w:tcPr>
            <w:tcW w:w="2693" w:type="dxa"/>
            <w:shd w:val="clear" w:color="auto" w:fill="auto"/>
          </w:tcPr>
          <w:p w:rsidR="009B6A33" w:rsidRPr="00664085" w:rsidRDefault="009B6A33" w:rsidP="00937266">
            <w:pPr>
              <w:pStyle w:val="TableTitle"/>
              <w:numPr>
                <w:ilvl w:val="0"/>
                <w:numId w:val="0"/>
              </w:numPr>
              <w:ind w:left="142"/>
              <w:jc w:val="center"/>
              <w:rPr>
                <w:rFonts w:cs="Calibri"/>
                <w:b w:val="0"/>
                <w:sz w:val="20"/>
                <w:szCs w:val="20"/>
                <w:lang w:eastAsia="en-AU"/>
              </w:rPr>
            </w:pPr>
            <w:r w:rsidRPr="00664085">
              <w:rPr>
                <w:rFonts w:cs="Calibri"/>
                <w:b w:val="0"/>
                <w:sz w:val="20"/>
                <w:szCs w:val="20"/>
                <w:lang w:eastAsia="en-AU"/>
              </w:rPr>
              <w:t>1 (0.5)</w:t>
            </w:r>
          </w:p>
        </w:tc>
        <w:tc>
          <w:tcPr>
            <w:tcW w:w="3260" w:type="dxa"/>
            <w:shd w:val="clear" w:color="auto" w:fill="auto"/>
          </w:tcPr>
          <w:p w:rsidR="009B6A33" w:rsidRPr="00664085" w:rsidRDefault="009B6A33" w:rsidP="00937266">
            <w:pPr>
              <w:pStyle w:val="TableTitle"/>
              <w:numPr>
                <w:ilvl w:val="0"/>
                <w:numId w:val="0"/>
              </w:numPr>
              <w:ind w:left="142"/>
              <w:jc w:val="center"/>
              <w:rPr>
                <w:rFonts w:cs="Calibri"/>
                <w:b w:val="0"/>
                <w:sz w:val="20"/>
                <w:szCs w:val="20"/>
                <w:lang w:eastAsia="en-AU"/>
              </w:rPr>
            </w:pPr>
            <w:r w:rsidRPr="00664085">
              <w:rPr>
                <w:rFonts w:cs="Calibri"/>
                <w:b w:val="0"/>
                <w:sz w:val="20"/>
                <w:szCs w:val="20"/>
                <w:lang w:eastAsia="en-AU"/>
              </w:rPr>
              <w:t>5 (2.6)</w:t>
            </w:r>
          </w:p>
        </w:tc>
      </w:tr>
      <w:tr w:rsidR="009B6A33" w:rsidRPr="00664085" w:rsidTr="009B6A33">
        <w:tc>
          <w:tcPr>
            <w:tcW w:w="2801" w:type="dxa"/>
            <w:shd w:val="clear" w:color="auto" w:fill="auto"/>
          </w:tcPr>
          <w:p w:rsidR="009B6A33" w:rsidRPr="00664085" w:rsidRDefault="009B6A33" w:rsidP="00937266">
            <w:pPr>
              <w:pStyle w:val="TableTitle"/>
              <w:numPr>
                <w:ilvl w:val="0"/>
                <w:numId w:val="0"/>
              </w:numPr>
              <w:ind w:left="142"/>
              <w:rPr>
                <w:rFonts w:cs="Calibri"/>
                <w:b w:val="0"/>
                <w:sz w:val="20"/>
                <w:szCs w:val="20"/>
                <w:lang w:eastAsia="en-AU"/>
              </w:rPr>
            </w:pPr>
            <w:r w:rsidRPr="00664085">
              <w:rPr>
                <w:rFonts w:cs="Calibri"/>
                <w:b w:val="0"/>
                <w:sz w:val="20"/>
                <w:szCs w:val="20"/>
                <w:lang w:eastAsia="en-AU"/>
              </w:rPr>
              <w:t>Oropharyngeal pain</w:t>
            </w:r>
            <w:r w:rsidRPr="00664085">
              <w:rPr>
                <w:rFonts w:cs="Calibri"/>
                <w:b w:val="0"/>
                <w:sz w:val="20"/>
                <w:szCs w:val="20"/>
                <w:vertAlign w:val="superscript"/>
                <w:lang w:eastAsia="en-AU"/>
              </w:rPr>
              <w:t>b</w:t>
            </w:r>
          </w:p>
        </w:tc>
        <w:tc>
          <w:tcPr>
            <w:tcW w:w="2693" w:type="dxa"/>
            <w:shd w:val="clear" w:color="auto" w:fill="auto"/>
          </w:tcPr>
          <w:p w:rsidR="009B6A33" w:rsidRPr="00664085" w:rsidRDefault="009B6A33" w:rsidP="00937266">
            <w:pPr>
              <w:pStyle w:val="TableTitle"/>
              <w:numPr>
                <w:ilvl w:val="0"/>
                <w:numId w:val="0"/>
              </w:numPr>
              <w:ind w:left="142"/>
              <w:jc w:val="center"/>
              <w:rPr>
                <w:rFonts w:cs="Calibri"/>
                <w:b w:val="0"/>
                <w:sz w:val="20"/>
                <w:szCs w:val="20"/>
                <w:lang w:eastAsia="en-AU"/>
              </w:rPr>
            </w:pPr>
            <w:r w:rsidRPr="00664085">
              <w:rPr>
                <w:rFonts w:cs="Calibri"/>
                <w:b w:val="0"/>
                <w:sz w:val="20"/>
                <w:szCs w:val="20"/>
                <w:lang w:eastAsia="en-AU"/>
              </w:rPr>
              <w:t>0</w:t>
            </w:r>
          </w:p>
        </w:tc>
        <w:tc>
          <w:tcPr>
            <w:tcW w:w="3260" w:type="dxa"/>
            <w:shd w:val="clear" w:color="auto" w:fill="auto"/>
          </w:tcPr>
          <w:p w:rsidR="009B6A33" w:rsidRPr="00664085" w:rsidRDefault="009B6A33" w:rsidP="00937266">
            <w:pPr>
              <w:pStyle w:val="TableTitle"/>
              <w:numPr>
                <w:ilvl w:val="0"/>
                <w:numId w:val="0"/>
              </w:numPr>
              <w:ind w:left="142"/>
              <w:jc w:val="center"/>
              <w:rPr>
                <w:rFonts w:cs="Calibri"/>
                <w:b w:val="0"/>
                <w:sz w:val="20"/>
                <w:szCs w:val="20"/>
                <w:lang w:eastAsia="en-AU"/>
              </w:rPr>
            </w:pPr>
            <w:r w:rsidRPr="00664085">
              <w:rPr>
                <w:rFonts w:cs="Calibri"/>
                <w:b w:val="0"/>
                <w:sz w:val="20"/>
                <w:szCs w:val="20"/>
                <w:lang w:eastAsia="en-AU"/>
              </w:rPr>
              <w:t>5 (2.6)</w:t>
            </w:r>
            <w:r w:rsidRPr="00664085">
              <w:rPr>
                <w:rFonts w:cs="Calibri"/>
                <w:b w:val="0"/>
                <w:sz w:val="20"/>
                <w:szCs w:val="20"/>
                <w:vertAlign w:val="superscript"/>
                <w:lang w:eastAsia="en-AU"/>
              </w:rPr>
              <w:t>a</w:t>
            </w:r>
          </w:p>
        </w:tc>
      </w:tr>
      <w:tr w:rsidR="009B6A33" w:rsidRPr="00664085" w:rsidTr="009B6A33">
        <w:tc>
          <w:tcPr>
            <w:tcW w:w="2801" w:type="dxa"/>
            <w:shd w:val="clear" w:color="auto" w:fill="auto"/>
          </w:tcPr>
          <w:p w:rsidR="009B6A33" w:rsidRPr="00664085" w:rsidRDefault="009B6A33" w:rsidP="00937266">
            <w:pPr>
              <w:pStyle w:val="TableTitle"/>
              <w:numPr>
                <w:ilvl w:val="0"/>
                <w:numId w:val="0"/>
              </w:numPr>
              <w:ind w:left="142"/>
              <w:rPr>
                <w:rFonts w:cs="Calibri"/>
                <w:b w:val="0"/>
                <w:sz w:val="20"/>
                <w:szCs w:val="20"/>
                <w:lang w:eastAsia="en-AU"/>
              </w:rPr>
            </w:pPr>
            <w:r w:rsidRPr="00664085">
              <w:rPr>
                <w:rFonts w:cs="Calibri"/>
                <w:b w:val="0"/>
                <w:sz w:val="20"/>
                <w:szCs w:val="20"/>
                <w:lang w:eastAsia="en-AU"/>
              </w:rPr>
              <w:t>Vulvovaginal mycotic infection</w:t>
            </w:r>
            <w:r w:rsidR="00B67571" w:rsidRPr="00B67571">
              <w:rPr>
                <w:rFonts w:cs="Calibri"/>
                <w:b w:val="0"/>
                <w:sz w:val="20"/>
                <w:szCs w:val="20"/>
                <w:vertAlign w:val="superscript"/>
                <w:lang w:eastAsia="en-AU"/>
              </w:rPr>
              <w:t>c</w:t>
            </w:r>
          </w:p>
        </w:tc>
        <w:tc>
          <w:tcPr>
            <w:tcW w:w="2693" w:type="dxa"/>
            <w:shd w:val="clear" w:color="auto" w:fill="auto"/>
          </w:tcPr>
          <w:p w:rsidR="009B6A33" w:rsidRPr="00664085" w:rsidRDefault="009B6A33" w:rsidP="00937266">
            <w:pPr>
              <w:pStyle w:val="TableTitle"/>
              <w:numPr>
                <w:ilvl w:val="0"/>
                <w:numId w:val="0"/>
              </w:numPr>
              <w:ind w:left="142"/>
              <w:jc w:val="center"/>
              <w:rPr>
                <w:rFonts w:cs="Calibri"/>
                <w:b w:val="0"/>
                <w:sz w:val="20"/>
                <w:szCs w:val="20"/>
                <w:lang w:eastAsia="en-AU"/>
              </w:rPr>
            </w:pPr>
            <w:r w:rsidRPr="00664085">
              <w:rPr>
                <w:rFonts w:cs="Calibri"/>
                <w:b w:val="0"/>
                <w:sz w:val="20"/>
                <w:szCs w:val="20"/>
                <w:lang w:eastAsia="en-AU"/>
              </w:rPr>
              <w:t>0</w:t>
            </w:r>
          </w:p>
        </w:tc>
        <w:tc>
          <w:tcPr>
            <w:tcW w:w="3260" w:type="dxa"/>
            <w:shd w:val="clear" w:color="auto" w:fill="auto"/>
          </w:tcPr>
          <w:p w:rsidR="009B6A33" w:rsidRPr="00664085" w:rsidRDefault="009B6A33" w:rsidP="00937266">
            <w:pPr>
              <w:pStyle w:val="TableTitle"/>
              <w:numPr>
                <w:ilvl w:val="0"/>
                <w:numId w:val="0"/>
              </w:numPr>
              <w:ind w:left="142"/>
              <w:jc w:val="center"/>
              <w:rPr>
                <w:rFonts w:cs="Calibri"/>
                <w:b w:val="0"/>
                <w:sz w:val="20"/>
                <w:szCs w:val="20"/>
                <w:lang w:eastAsia="en-AU"/>
              </w:rPr>
            </w:pPr>
            <w:r w:rsidRPr="00664085">
              <w:rPr>
                <w:rFonts w:cs="Calibri"/>
                <w:b w:val="0"/>
                <w:sz w:val="20"/>
                <w:szCs w:val="20"/>
                <w:lang w:eastAsia="en-AU"/>
              </w:rPr>
              <w:t>0</w:t>
            </w:r>
          </w:p>
        </w:tc>
      </w:tr>
      <w:tr w:rsidR="009B6A33" w:rsidRPr="00664085" w:rsidTr="009B6A33">
        <w:tc>
          <w:tcPr>
            <w:tcW w:w="2801" w:type="dxa"/>
            <w:shd w:val="clear" w:color="auto" w:fill="auto"/>
          </w:tcPr>
          <w:p w:rsidR="009B6A33" w:rsidRPr="00664085" w:rsidRDefault="009B6A33" w:rsidP="00937266">
            <w:pPr>
              <w:pStyle w:val="TableTitle"/>
              <w:numPr>
                <w:ilvl w:val="0"/>
                <w:numId w:val="0"/>
              </w:numPr>
              <w:ind w:left="142"/>
              <w:rPr>
                <w:rFonts w:cs="Calibri"/>
                <w:b w:val="0"/>
                <w:sz w:val="20"/>
                <w:szCs w:val="20"/>
                <w:lang w:eastAsia="en-AU"/>
              </w:rPr>
            </w:pPr>
            <w:r w:rsidRPr="00664085">
              <w:rPr>
                <w:rFonts w:cs="Calibri"/>
                <w:b w:val="0"/>
                <w:sz w:val="20"/>
                <w:szCs w:val="20"/>
                <w:lang w:eastAsia="en-AU"/>
              </w:rPr>
              <w:t>Dry eye</w:t>
            </w:r>
          </w:p>
        </w:tc>
        <w:tc>
          <w:tcPr>
            <w:tcW w:w="2693" w:type="dxa"/>
            <w:shd w:val="clear" w:color="auto" w:fill="auto"/>
          </w:tcPr>
          <w:p w:rsidR="009B6A33" w:rsidRPr="00664085" w:rsidRDefault="009B6A33" w:rsidP="00937266">
            <w:pPr>
              <w:pStyle w:val="TableTitle"/>
              <w:numPr>
                <w:ilvl w:val="0"/>
                <w:numId w:val="0"/>
              </w:numPr>
              <w:ind w:left="142"/>
              <w:jc w:val="center"/>
              <w:rPr>
                <w:rFonts w:cs="Calibri"/>
                <w:b w:val="0"/>
                <w:sz w:val="20"/>
                <w:szCs w:val="20"/>
                <w:lang w:eastAsia="en-AU"/>
              </w:rPr>
            </w:pPr>
            <w:r w:rsidRPr="00664085">
              <w:rPr>
                <w:rFonts w:cs="Calibri"/>
                <w:b w:val="0"/>
                <w:sz w:val="20"/>
                <w:szCs w:val="20"/>
                <w:lang w:eastAsia="en-AU"/>
              </w:rPr>
              <w:t>1 (0.5)</w:t>
            </w:r>
          </w:p>
        </w:tc>
        <w:tc>
          <w:tcPr>
            <w:tcW w:w="3260" w:type="dxa"/>
            <w:shd w:val="clear" w:color="auto" w:fill="auto"/>
          </w:tcPr>
          <w:p w:rsidR="009B6A33" w:rsidRPr="00664085" w:rsidRDefault="009B6A33" w:rsidP="00937266">
            <w:pPr>
              <w:pStyle w:val="TableTitle"/>
              <w:numPr>
                <w:ilvl w:val="0"/>
                <w:numId w:val="0"/>
              </w:numPr>
              <w:ind w:left="142"/>
              <w:jc w:val="center"/>
              <w:rPr>
                <w:rFonts w:cs="Calibri"/>
                <w:b w:val="0"/>
                <w:sz w:val="20"/>
                <w:szCs w:val="20"/>
                <w:lang w:eastAsia="en-AU"/>
              </w:rPr>
            </w:pPr>
            <w:r w:rsidRPr="00664085">
              <w:rPr>
                <w:rFonts w:cs="Calibri"/>
                <w:b w:val="0"/>
                <w:sz w:val="20"/>
                <w:szCs w:val="20"/>
                <w:lang w:eastAsia="en-AU"/>
              </w:rPr>
              <w:t>1 (0.5)</w:t>
            </w:r>
          </w:p>
        </w:tc>
      </w:tr>
      <w:tr w:rsidR="009B6A33" w:rsidRPr="00664085" w:rsidTr="009B6A33">
        <w:tc>
          <w:tcPr>
            <w:tcW w:w="2801" w:type="dxa"/>
            <w:shd w:val="clear" w:color="auto" w:fill="auto"/>
          </w:tcPr>
          <w:p w:rsidR="009B6A33" w:rsidRPr="00664085" w:rsidRDefault="009B6A33" w:rsidP="00937266">
            <w:pPr>
              <w:pStyle w:val="TableTitle"/>
              <w:numPr>
                <w:ilvl w:val="0"/>
                <w:numId w:val="0"/>
              </w:numPr>
              <w:ind w:left="142"/>
              <w:rPr>
                <w:rFonts w:cs="Calibri"/>
                <w:b w:val="0"/>
                <w:sz w:val="20"/>
                <w:szCs w:val="20"/>
                <w:lang w:eastAsia="en-AU"/>
              </w:rPr>
            </w:pPr>
            <w:r w:rsidRPr="00664085">
              <w:rPr>
                <w:rFonts w:cs="Calibri"/>
                <w:b w:val="0"/>
                <w:sz w:val="20"/>
                <w:szCs w:val="20"/>
                <w:lang w:eastAsia="en-AU"/>
              </w:rPr>
              <w:t>Rhinorrhoea</w:t>
            </w:r>
          </w:p>
        </w:tc>
        <w:tc>
          <w:tcPr>
            <w:tcW w:w="2693" w:type="dxa"/>
            <w:shd w:val="clear" w:color="auto" w:fill="auto"/>
          </w:tcPr>
          <w:p w:rsidR="009B6A33" w:rsidRPr="00664085" w:rsidRDefault="009B6A33" w:rsidP="00937266">
            <w:pPr>
              <w:pStyle w:val="TableTitle"/>
              <w:numPr>
                <w:ilvl w:val="0"/>
                <w:numId w:val="0"/>
              </w:numPr>
              <w:ind w:left="142"/>
              <w:jc w:val="center"/>
              <w:rPr>
                <w:rFonts w:cs="Calibri"/>
                <w:b w:val="0"/>
                <w:sz w:val="20"/>
                <w:szCs w:val="20"/>
                <w:lang w:eastAsia="en-AU"/>
              </w:rPr>
            </w:pPr>
            <w:r w:rsidRPr="00664085">
              <w:rPr>
                <w:rFonts w:cs="Calibri"/>
                <w:b w:val="0"/>
                <w:sz w:val="20"/>
                <w:szCs w:val="20"/>
                <w:lang w:eastAsia="en-AU"/>
              </w:rPr>
              <w:t>1 (0.5)</w:t>
            </w:r>
          </w:p>
        </w:tc>
        <w:tc>
          <w:tcPr>
            <w:tcW w:w="3260" w:type="dxa"/>
            <w:shd w:val="clear" w:color="auto" w:fill="auto"/>
          </w:tcPr>
          <w:p w:rsidR="009B6A33" w:rsidRPr="00664085" w:rsidRDefault="009B6A33" w:rsidP="00937266">
            <w:pPr>
              <w:pStyle w:val="TableTitle"/>
              <w:numPr>
                <w:ilvl w:val="0"/>
                <w:numId w:val="0"/>
              </w:numPr>
              <w:ind w:left="142"/>
              <w:jc w:val="center"/>
              <w:rPr>
                <w:rFonts w:cs="Calibri"/>
                <w:b w:val="0"/>
                <w:sz w:val="20"/>
                <w:szCs w:val="20"/>
                <w:lang w:eastAsia="en-AU"/>
              </w:rPr>
            </w:pPr>
            <w:r w:rsidRPr="00664085">
              <w:rPr>
                <w:rFonts w:cs="Calibri"/>
                <w:b w:val="0"/>
                <w:sz w:val="20"/>
                <w:szCs w:val="20"/>
                <w:lang w:eastAsia="en-AU"/>
              </w:rPr>
              <w:t>1 (0.5)</w:t>
            </w:r>
          </w:p>
        </w:tc>
      </w:tr>
      <w:tr w:rsidR="009B6A33" w:rsidRPr="00664085" w:rsidTr="009B6A33">
        <w:tc>
          <w:tcPr>
            <w:tcW w:w="2801" w:type="dxa"/>
            <w:shd w:val="clear" w:color="auto" w:fill="auto"/>
          </w:tcPr>
          <w:p w:rsidR="009B6A33" w:rsidRPr="00664085" w:rsidRDefault="009B6A33" w:rsidP="00937266">
            <w:pPr>
              <w:pStyle w:val="TableTitle"/>
              <w:numPr>
                <w:ilvl w:val="0"/>
                <w:numId w:val="0"/>
              </w:numPr>
              <w:ind w:left="142"/>
              <w:rPr>
                <w:rFonts w:cs="Calibri"/>
                <w:b w:val="0"/>
                <w:sz w:val="20"/>
                <w:szCs w:val="20"/>
                <w:lang w:eastAsia="en-AU"/>
              </w:rPr>
            </w:pPr>
            <w:r w:rsidRPr="00664085">
              <w:rPr>
                <w:rFonts w:cs="Calibri"/>
                <w:b w:val="0"/>
                <w:sz w:val="20"/>
                <w:szCs w:val="20"/>
                <w:lang w:eastAsia="en-AU"/>
              </w:rPr>
              <w:t>Dyspepsia</w:t>
            </w:r>
          </w:p>
        </w:tc>
        <w:tc>
          <w:tcPr>
            <w:tcW w:w="2693" w:type="dxa"/>
            <w:shd w:val="clear" w:color="auto" w:fill="auto"/>
          </w:tcPr>
          <w:p w:rsidR="009B6A33" w:rsidRPr="00664085" w:rsidRDefault="009B6A33" w:rsidP="00937266">
            <w:pPr>
              <w:pStyle w:val="TableTitle"/>
              <w:numPr>
                <w:ilvl w:val="0"/>
                <w:numId w:val="0"/>
              </w:numPr>
              <w:ind w:left="142"/>
              <w:jc w:val="center"/>
              <w:rPr>
                <w:rFonts w:cs="Calibri"/>
                <w:b w:val="0"/>
                <w:sz w:val="20"/>
                <w:szCs w:val="20"/>
                <w:lang w:eastAsia="en-AU"/>
              </w:rPr>
            </w:pPr>
            <w:r w:rsidRPr="00664085">
              <w:rPr>
                <w:rFonts w:cs="Calibri"/>
                <w:b w:val="0"/>
                <w:sz w:val="20"/>
                <w:szCs w:val="20"/>
                <w:lang w:eastAsia="en-AU"/>
              </w:rPr>
              <w:t>0</w:t>
            </w:r>
          </w:p>
        </w:tc>
        <w:tc>
          <w:tcPr>
            <w:tcW w:w="3260" w:type="dxa"/>
            <w:shd w:val="clear" w:color="auto" w:fill="auto"/>
          </w:tcPr>
          <w:p w:rsidR="009B6A33" w:rsidRPr="00664085" w:rsidRDefault="009B6A33" w:rsidP="00937266">
            <w:pPr>
              <w:pStyle w:val="TableTitle"/>
              <w:numPr>
                <w:ilvl w:val="0"/>
                <w:numId w:val="0"/>
              </w:numPr>
              <w:ind w:left="142"/>
              <w:jc w:val="center"/>
              <w:rPr>
                <w:rFonts w:cs="Calibri"/>
                <w:b w:val="0"/>
                <w:sz w:val="20"/>
                <w:szCs w:val="20"/>
                <w:lang w:eastAsia="en-AU"/>
              </w:rPr>
            </w:pPr>
            <w:r w:rsidRPr="00664085">
              <w:rPr>
                <w:rFonts w:cs="Calibri"/>
                <w:b w:val="0"/>
                <w:sz w:val="20"/>
                <w:szCs w:val="20"/>
                <w:lang w:eastAsia="en-AU"/>
              </w:rPr>
              <w:t>1 (0.5)</w:t>
            </w:r>
          </w:p>
        </w:tc>
      </w:tr>
      <w:tr w:rsidR="009B6A33" w:rsidRPr="00664085" w:rsidTr="009B6A33">
        <w:tc>
          <w:tcPr>
            <w:tcW w:w="2801" w:type="dxa"/>
            <w:shd w:val="clear" w:color="auto" w:fill="auto"/>
          </w:tcPr>
          <w:p w:rsidR="009B6A33" w:rsidRPr="00664085" w:rsidRDefault="009B6A33" w:rsidP="00937266">
            <w:pPr>
              <w:pStyle w:val="TableTitle"/>
              <w:numPr>
                <w:ilvl w:val="0"/>
                <w:numId w:val="0"/>
              </w:numPr>
              <w:ind w:left="142"/>
              <w:rPr>
                <w:rFonts w:cs="Calibri"/>
                <w:b w:val="0"/>
                <w:sz w:val="20"/>
                <w:szCs w:val="20"/>
                <w:lang w:eastAsia="en-AU"/>
              </w:rPr>
            </w:pPr>
            <w:r w:rsidRPr="00664085">
              <w:rPr>
                <w:rFonts w:cs="Calibri"/>
                <w:b w:val="0"/>
                <w:sz w:val="20"/>
                <w:szCs w:val="20"/>
                <w:lang w:eastAsia="en-AU"/>
              </w:rPr>
              <w:t>Malaise</w:t>
            </w:r>
          </w:p>
        </w:tc>
        <w:tc>
          <w:tcPr>
            <w:tcW w:w="2693" w:type="dxa"/>
            <w:shd w:val="clear" w:color="auto" w:fill="auto"/>
          </w:tcPr>
          <w:p w:rsidR="009B6A33" w:rsidRPr="00664085" w:rsidRDefault="009B6A33" w:rsidP="00937266">
            <w:pPr>
              <w:pStyle w:val="TableTitle"/>
              <w:numPr>
                <w:ilvl w:val="0"/>
                <w:numId w:val="0"/>
              </w:numPr>
              <w:ind w:left="142"/>
              <w:jc w:val="center"/>
              <w:rPr>
                <w:rFonts w:cs="Calibri"/>
                <w:b w:val="0"/>
                <w:sz w:val="20"/>
                <w:szCs w:val="20"/>
                <w:lang w:eastAsia="en-AU"/>
              </w:rPr>
            </w:pPr>
            <w:r w:rsidRPr="00664085">
              <w:rPr>
                <w:rFonts w:cs="Calibri"/>
                <w:b w:val="0"/>
                <w:sz w:val="20"/>
                <w:szCs w:val="20"/>
                <w:lang w:eastAsia="en-AU"/>
              </w:rPr>
              <w:t>0</w:t>
            </w:r>
          </w:p>
        </w:tc>
        <w:tc>
          <w:tcPr>
            <w:tcW w:w="3260" w:type="dxa"/>
            <w:shd w:val="clear" w:color="auto" w:fill="auto"/>
          </w:tcPr>
          <w:p w:rsidR="009B6A33" w:rsidRPr="00664085" w:rsidRDefault="009B6A33" w:rsidP="00937266">
            <w:pPr>
              <w:pStyle w:val="TableTitle"/>
              <w:numPr>
                <w:ilvl w:val="0"/>
                <w:numId w:val="0"/>
              </w:numPr>
              <w:ind w:left="142"/>
              <w:jc w:val="center"/>
              <w:rPr>
                <w:rFonts w:cs="Calibri"/>
                <w:b w:val="0"/>
                <w:sz w:val="20"/>
                <w:szCs w:val="20"/>
                <w:lang w:eastAsia="en-AU"/>
              </w:rPr>
            </w:pPr>
            <w:r w:rsidRPr="00664085">
              <w:rPr>
                <w:rFonts w:cs="Calibri"/>
                <w:b w:val="0"/>
                <w:sz w:val="20"/>
                <w:szCs w:val="20"/>
                <w:lang w:eastAsia="en-AU"/>
              </w:rPr>
              <w:t>1 (0.5)</w:t>
            </w:r>
          </w:p>
        </w:tc>
      </w:tr>
      <w:tr w:rsidR="009B6A33" w:rsidRPr="00664085" w:rsidTr="009B6A33">
        <w:tc>
          <w:tcPr>
            <w:tcW w:w="2801" w:type="dxa"/>
            <w:shd w:val="clear" w:color="auto" w:fill="auto"/>
          </w:tcPr>
          <w:p w:rsidR="009B6A33" w:rsidRPr="00664085" w:rsidRDefault="009B6A33" w:rsidP="00937266">
            <w:pPr>
              <w:pStyle w:val="TableTitle"/>
              <w:numPr>
                <w:ilvl w:val="0"/>
                <w:numId w:val="0"/>
              </w:numPr>
              <w:ind w:left="142"/>
              <w:rPr>
                <w:rFonts w:cs="Calibri"/>
                <w:b w:val="0"/>
                <w:sz w:val="20"/>
                <w:szCs w:val="20"/>
                <w:lang w:eastAsia="en-AU"/>
              </w:rPr>
            </w:pPr>
            <w:r w:rsidRPr="00664085">
              <w:rPr>
                <w:rFonts w:cs="Calibri"/>
                <w:b w:val="0"/>
                <w:sz w:val="20"/>
                <w:szCs w:val="20"/>
                <w:lang w:eastAsia="en-AU"/>
              </w:rPr>
              <w:t>Urinary tract infection</w:t>
            </w:r>
          </w:p>
        </w:tc>
        <w:tc>
          <w:tcPr>
            <w:tcW w:w="2693" w:type="dxa"/>
            <w:shd w:val="clear" w:color="auto" w:fill="auto"/>
          </w:tcPr>
          <w:p w:rsidR="009B6A33" w:rsidRPr="00664085" w:rsidRDefault="009B6A33" w:rsidP="00937266">
            <w:pPr>
              <w:pStyle w:val="TableTitle"/>
              <w:numPr>
                <w:ilvl w:val="0"/>
                <w:numId w:val="0"/>
              </w:numPr>
              <w:ind w:left="142"/>
              <w:jc w:val="center"/>
              <w:rPr>
                <w:rFonts w:cs="Calibri"/>
                <w:b w:val="0"/>
                <w:sz w:val="20"/>
                <w:szCs w:val="20"/>
                <w:lang w:eastAsia="en-AU"/>
              </w:rPr>
            </w:pPr>
            <w:r w:rsidRPr="00664085">
              <w:rPr>
                <w:rFonts w:cs="Calibri"/>
                <w:b w:val="0"/>
                <w:sz w:val="20"/>
                <w:szCs w:val="20"/>
                <w:lang w:eastAsia="en-AU"/>
              </w:rPr>
              <w:t>0</w:t>
            </w:r>
          </w:p>
        </w:tc>
        <w:tc>
          <w:tcPr>
            <w:tcW w:w="3260" w:type="dxa"/>
            <w:shd w:val="clear" w:color="auto" w:fill="auto"/>
          </w:tcPr>
          <w:p w:rsidR="009B6A33" w:rsidRPr="00664085" w:rsidRDefault="009B6A33" w:rsidP="00937266">
            <w:pPr>
              <w:pStyle w:val="TableTitle"/>
              <w:numPr>
                <w:ilvl w:val="0"/>
                <w:numId w:val="0"/>
              </w:numPr>
              <w:ind w:left="142"/>
              <w:jc w:val="center"/>
              <w:rPr>
                <w:rFonts w:cs="Calibri"/>
                <w:b w:val="0"/>
                <w:sz w:val="20"/>
                <w:szCs w:val="20"/>
                <w:lang w:eastAsia="en-AU"/>
              </w:rPr>
            </w:pPr>
            <w:r w:rsidRPr="00664085">
              <w:rPr>
                <w:rFonts w:cs="Calibri"/>
                <w:b w:val="0"/>
                <w:sz w:val="20"/>
                <w:szCs w:val="20"/>
                <w:lang w:eastAsia="en-AU"/>
              </w:rPr>
              <w:t>1 (0.5)</w:t>
            </w:r>
          </w:p>
        </w:tc>
      </w:tr>
      <w:tr w:rsidR="009B6A33" w:rsidRPr="00664085" w:rsidTr="009B6A33">
        <w:tc>
          <w:tcPr>
            <w:tcW w:w="2801" w:type="dxa"/>
            <w:shd w:val="clear" w:color="auto" w:fill="auto"/>
          </w:tcPr>
          <w:p w:rsidR="009B6A33" w:rsidRPr="00664085" w:rsidRDefault="009B6A33" w:rsidP="00937266">
            <w:pPr>
              <w:pStyle w:val="TableTitle"/>
              <w:numPr>
                <w:ilvl w:val="0"/>
                <w:numId w:val="0"/>
              </w:numPr>
              <w:ind w:left="142"/>
              <w:rPr>
                <w:rFonts w:cs="Calibri"/>
                <w:b w:val="0"/>
                <w:sz w:val="20"/>
                <w:szCs w:val="20"/>
                <w:lang w:eastAsia="en-AU"/>
              </w:rPr>
            </w:pPr>
            <w:r w:rsidRPr="00664085">
              <w:rPr>
                <w:rFonts w:cs="Calibri"/>
                <w:b w:val="0"/>
                <w:sz w:val="20"/>
                <w:szCs w:val="20"/>
                <w:lang w:eastAsia="en-AU"/>
              </w:rPr>
              <w:t>Eczema</w:t>
            </w:r>
          </w:p>
        </w:tc>
        <w:tc>
          <w:tcPr>
            <w:tcW w:w="2693" w:type="dxa"/>
            <w:shd w:val="clear" w:color="auto" w:fill="auto"/>
          </w:tcPr>
          <w:p w:rsidR="009B6A33" w:rsidRPr="00664085" w:rsidRDefault="009B6A33" w:rsidP="00937266">
            <w:pPr>
              <w:pStyle w:val="TableTitle"/>
              <w:numPr>
                <w:ilvl w:val="0"/>
                <w:numId w:val="0"/>
              </w:numPr>
              <w:ind w:left="142"/>
              <w:jc w:val="center"/>
              <w:rPr>
                <w:rFonts w:cs="Calibri"/>
                <w:b w:val="0"/>
                <w:sz w:val="20"/>
                <w:szCs w:val="20"/>
                <w:lang w:eastAsia="en-AU"/>
              </w:rPr>
            </w:pPr>
            <w:r w:rsidRPr="00664085">
              <w:rPr>
                <w:rFonts w:cs="Calibri"/>
                <w:b w:val="0"/>
                <w:sz w:val="20"/>
                <w:szCs w:val="20"/>
                <w:lang w:eastAsia="en-AU"/>
              </w:rPr>
              <w:t>0</w:t>
            </w:r>
          </w:p>
        </w:tc>
        <w:tc>
          <w:tcPr>
            <w:tcW w:w="3260" w:type="dxa"/>
            <w:shd w:val="clear" w:color="auto" w:fill="auto"/>
          </w:tcPr>
          <w:p w:rsidR="009B6A33" w:rsidRPr="00664085" w:rsidRDefault="009B6A33" w:rsidP="00937266">
            <w:pPr>
              <w:pStyle w:val="TableTitle"/>
              <w:numPr>
                <w:ilvl w:val="0"/>
                <w:numId w:val="0"/>
              </w:numPr>
              <w:ind w:left="142"/>
              <w:jc w:val="center"/>
              <w:rPr>
                <w:rFonts w:cs="Calibri"/>
                <w:b w:val="0"/>
                <w:sz w:val="20"/>
                <w:szCs w:val="20"/>
                <w:lang w:eastAsia="en-AU"/>
              </w:rPr>
            </w:pPr>
            <w:r w:rsidRPr="00664085">
              <w:rPr>
                <w:rFonts w:cs="Calibri"/>
                <w:b w:val="0"/>
                <w:sz w:val="20"/>
                <w:szCs w:val="20"/>
                <w:lang w:eastAsia="en-AU"/>
              </w:rPr>
              <w:t>2 (1.0)</w:t>
            </w:r>
          </w:p>
        </w:tc>
      </w:tr>
    </w:tbl>
    <w:p w:rsidR="00F50E04" w:rsidRPr="009A4226" w:rsidRDefault="00F50E04" w:rsidP="00937266">
      <w:pPr>
        <w:autoSpaceDE w:val="0"/>
        <w:autoSpaceDN w:val="0"/>
        <w:adjustRightInd w:val="0"/>
        <w:spacing w:after="0" w:line="240" w:lineRule="auto"/>
        <w:ind w:left="142"/>
        <w:rPr>
          <w:rFonts w:cs="Calibri"/>
          <w:sz w:val="18"/>
          <w:szCs w:val="18"/>
          <w:lang w:eastAsia="en-AU"/>
        </w:rPr>
      </w:pPr>
      <w:r w:rsidRPr="009A4226">
        <w:rPr>
          <w:rFonts w:cs="Calibri"/>
          <w:sz w:val="18"/>
          <w:szCs w:val="18"/>
          <w:lang w:eastAsia="en-AU"/>
        </w:rPr>
        <w:t>ADR = adverse drug reaction; ISS = Integrated Summary of Safety; IXE = ixekizumab; IXE</w:t>
      </w:r>
      <w:r>
        <w:rPr>
          <w:rFonts w:cs="Calibri"/>
          <w:sz w:val="18"/>
          <w:szCs w:val="18"/>
          <w:lang w:eastAsia="en-AU"/>
        </w:rPr>
        <w:t xml:space="preserve"> </w:t>
      </w:r>
      <w:r w:rsidRPr="009A4226">
        <w:rPr>
          <w:rFonts w:cs="Calibri"/>
          <w:sz w:val="18"/>
          <w:szCs w:val="18"/>
          <w:lang w:eastAsia="en-AU"/>
        </w:rPr>
        <w:t>Q4W = ixekizumab 80 mg every 4 weeks; N = number of patients in the analysis</w:t>
      </w:r>
      <w:r>
        <w:rPr>
          <w:rFonts w:cs="Calibri"/>
          <w:sz w:val="18"/>
          <w:szCs w:val="18"/>
          <w:lang w:eastAsia="en-AU"/>
        </w:rPr>
        <w:t xml:space="preserve"> </w:t>
      </w:r>
      <w:r w:rsidRPr="009A4226">
        <w:rPr>
          <w:rFonts w:cs="Calibri"/>
          <w:sz w:val="18"/>
          <w:szCs w:val="18"/>
          <w:lang w:eastAsia="en-AU"/>
        </w:rPr>
        <w:t>population; n = number of patients in the specified category; PBO = placebo; TEAE = treatment-emergent adverse event.</w:t>
      </w:r>
    </w:p>
    <w:p w:rsidR="00F50E04" w:rsidRPr="009A4226" w:rsidRDefault="00F50E04" w:rsidP="00937266">
      <w:pPr>
        <w:autoSpaceDE w:val="0"/>
        <w:autoSpaceDN w:val="0"/>
        <w:adjustRightInd w:val="0"/>
        <w:spacing w:after="0" w:line="240" w:lineRule="auto"/>
        <w:ind w:left="142"/>
        <w:rPr>
          <w:rFonts w:cs="Calibri"/>
          <w:sz w:val="18"/>
          <w:szCs w:val="18"/>
          <w:lang w:eastAsia="en-AU"/>
        </w:rPr>
      </w:pPr>
      <w:r w:rsidRPr="009A4226">
        <w:rPr>
          <w:rFonts w:cs="Calibri"/>
          <w:sz w:val="18"/>
          <w:szCs w:val="18"/>
          <w:lang w:eastAsia="en-AU"/>
        </w:rPr>
        <w:t>a p&lt;.05 vs. PBO.</w:t>
      </w:r>
    </w:p>
    <w:p w:rsidR="00F50E04" w:rsidRPr="009A4226" w:rsidRDefault="00F50E04" w:rsidP="00937266">
      <w:pPr>
        <w:autoSpaceDE w:val="0"/>
        <w:autoSpaceDN w:val="0"/>
        <w:adjustRightInd w:val="0"/>
        <w:spacing w:after="0" w:line="240" w:lineRule="auto"/>
        <w:ind w:left="142"/>
        <w:rPr>
          <w:rFonts w:cs="Calibri"/>
          <w:sz w:val="18"/>
          <w:szCs w:val="18"/>
          <w:lang w:eastAsia="en-AU"/>
        </w:rPr>
      </w:pPr>
      <w:r w:rsidRPr="009A4226">
        <w:rPr>
          <w:rFonts w:cs="Calibri"/>
          <w:sz w:val="18"/>
          <w:szCs w:val="18"/>
          <w:lang w:eastAsia="en-AU"/>
        </w:rPr>
        <w:t>b Upper respiratory tract infection, Nasopharyngitis, Injection site reaction, Injection site pain, Injection site erythema, and</w:t>
      </w:r>
      <w:r>
        <w:rPr>
          <w:rFonts w:cs="Calibri"/>
          <w:sz w:val="18"/>
          <w:szCs w:val="18"/>
          <w:lang w:eastAsia="en-AU"/>
        </w:rPr>
        <w:t xml:space="preserve"> </w:t>
      </w:r>
      <w:r w:rsidRPr="009A4226">
        <w:rPr>
          <w:rFonts w:cs="Calibri"/>
          <w:sz w:val="18"/>
          <w:szCs w:val="18"/>
          <w:lang w:eastAsia="en-AU"/>
        </w:rPr>
        <w:t>Oropharyngeal pain have been previously identified as ADRs for ixekizumab.</w:t>
      </w:r>
    </w:p>
    <w:p w:rsidR="00837399" w:rsidRDefault="00AC6366" w:rsidP="00937266">
      <w:pPr>
        <w:autoSpaceDE w:val="0"/>
        <w:autoSpaceDN w:val="0"/>
        <w:adjustRightInd w:val="0"/>
        <w:spacing w:after="0" w:line="240" w:lineRule="auto"/>
        <w:ind w:left="142"/>
        <w:rPr>
          <w:rFonts w:cs="Calibri"/>
          <w:sz w:val="18"/>
          <w:szCs w:val="18"/>
          <w:lang w:eastAsia="en-AU"/>
        </w:rPr>
      </w:pPr>
      <w:r>
        <w:rPr>
          <w:rFonts w:cs="Calibri"/>
          <w:sz w:val="18"/>
          <w:szCs w:val="18"/>
          <w:lang w:eastAsia="en-AU"/>
        </w:rPr>
        <w:t>c</w:t>
      </w:r>
      <w:r w:rsidR="00F50E04" w:rsidRPr="009A4226">
        <w:rPr>
          <w:rFonts w:cs="Calibri"/>
          <w:sz w:val="18"/>
          <w:szCs w:val="18"/>
          <w:lang w:eastAsia="en-AU"/>
        </w:rPr>
        <w:t xml:space="preserve"> Denominator adjusted because gender-specific event for females: N = 42 (placebo), N = 36 (ixekizumab 80 mg Q4W), N = 3</w:t>
      </w:r>
      <w:r w:rsidR="00F50E04">
        <w:rPr>
          <w:rFonts w:cs="Calibri"/>
          <w:sz w:val="18"/>
          <w:szCs w:val="18"/>
          <w:lang w:eastAsia="en-AU"/>
        </w:rPr>
        <w:t xml:space="preserve"> </w:t>
      </w:r>
      <w:r w:rsidR="00F50E04" w:rsidRPr="009A4226">
        <w:rPr>
          <w:rFonts w:cs="Calibri"/>
          <w:sz w:val="18"/>
          <w:szCs w:val="18"/>
          <w:lang w:eastAsia="en-AU"/>
        </w:rPr>
        <w:t>(ixekizumab 80 mg Q2W).</w:t>
      </w:r>
    </w:p>
    <w:p w:rsidR="00AF3BFC" w:rsidRPr="00177A5D" w:rsidRDefault="00AF3BFC" w:rsidP="00937266">
      <w:pPr>
        <w:pStyle w:val="Heading3"/>
        <w:ind w:left="142"/>
        <w:rPr>
          <w:lang w:val="en-US"/>
        </w:rPr>
      </w:pPr>
      <w:bookmarkStart w:id="6" w:name="_Hlk20995907"/>
      <w:r w:rsidRPr="00177A5D">
        <w:rPr>
          <w:lang w:val="en-US"/>
        </w:rPr>
        <w:t>Immunogenicity</w:t>
      </w:r>
    </w:p>
    <w:p w:rsidR="00AF3BFC" w:rsidRPr="00177A5D" w:rsidRDefault="00AF3BFC" w:rsidP="00937266">
      <w:pPr>
        <w:ind w:left="142"/>
        <w:rPr>
          <w:lang w:val="en-US"/>
        </w:rPr>
      </w:pPr>
      <w:r w:rsidRPr="00AF3BFC">
        <w:rPr>
          <w:lang w:val="en-US"/>
        </w:rPr>
        <w:t>In the psoriasis clinical trials, approximately 9% to 17% of patients treated with TALTZ at the recommended dosing regimen developed anti-drug antibodies, the majority of which were low titres and not associated with reduced clinical response up to 60 weeks of treatment. However, approximately 1% of patients treated with TALTZ had confirmed neutralising antibodies associated with low drug concentrations and reduced clinical response.</w:t>
      </w:r>
      <w:r w:rsidRPr="00177A5D">
        <w:rPr>
          <w:lang w:val="en-US"/>
        </w:rPr>
        <w:t xml:space="preserve"> </w:t>
      </w:r>
    </w:p>
    <w:p w:rsidR="00AF3BFC" w:rsidRPr="00177A5D" w:rsidRDefault="00AF3BFC" w:rsidP="00937266">
      <w:pPr>
        <w:ind w:left="142"/>
        <w:rPr>
          <w:lang w:val="en-US"/>
        </w:rPr>
      </w:pPr>
      <w:r w:rsidRPr="00177A5D">
        <w:rPr>
          <w:lang w:val="en-US"/>
        </w:rPr>
        <w:t>In psoriatic arthritis patients treated with ixekizumab at the recommended dosing regimen up to 52 weeks, approximately 11% (n = 12) developed anti-drug antibodies, the majority of which were low titre. Approximately 8% (n = 8) had confirmed neutralising antibodies, which were first detected at Week 24 (n=2), Week 32 (n=2), Week 36 (n=3) and Week 52 (n=1). No apparent association between the presence of neutralising antibodies and impact on drug concentration or efficacy was observed.</w:t>
      </w:r>
    </w:p>
    <w:p w:rsidR="00424888" w:rsidRDefault="00424888" w:rsidP="00937266">
      <w:pPr>
        <w:ind w:left="142"/>
        <w:rPr>
          <w:lang w:val="en-US"/>
        </w:rPr>
      </w:pPr>
      <w:r w:rsidRPr="00424888">
        <w:rPr>
          <w:lang w:val="en-US"/>
        </w:rPr>
        <w:lastRenderedPageBreak/>
        <w:t>In radiographic axial spondyloarthritis patients treated with ixekizumab at the recommended dosing</w:t>
      </w:r>
      <w:r>
        <w:rPr>
          <w:lang w:val="en-US"/>
        </w:rPr>
        <w:t xml:space="preserve"> </w:t>
      </w:r>
      <w:r w:rsidRPr="00424888">
        <w:rPr>
          <w:lang w:val="en-US"/>
        </w:rPr>
        <w:t>regimen up to 16 weeks, 10 patients (5.2%) developed anti-drug antibodies, the majority of which were</w:t>
      </w:r>
      <w:r>
        <w:rPr>
          <w:lang w:val="en-US"/>
        </w:rPr>
        <w:t xml:space="preserve"> </w:t>
      </w:r>
      <w:r w:rsidRPr="00424888">
        <w:rPr>
          <w:lang w:val="en-US"/>
        </w:rPr>
        <w:t>low titer, and 3 patients (1.5%) had neutrali</w:t>
      </w:r>
      <w:r w:rsidR="001C71F4">
        <w:rPr>
          <w:lang w:val="en-US"/>
        </w:rPr>
        <w:t>s</w:t>
      </w:r>
      <w:r w:rsidRPr="00424888">
        <w:rPr>
          <w:lang w:val="en-US"/>
        </w:rPr>
        <w:t>ing antibodies.</w:t>
      </w:r>
    </w:p>
    <w:p w:rsidR="00B61A39" w:rsidRDefault="00B61A39" w:rsidP="00937266">
      <w:pPr>
        <w:ind w:left="142"/>
        <w:rPr>
          <w:lang w:val="en-US"/>
        </w:rPr>
      </w:pPr>
      <w:r w:rsidRPr="00177A5D">
        <w:rPr>
          <w:lang w:val="en-US"/>
        </w:rPr>
        <w:t>An association between immunogenicity and treatment emergent adverse events has not been established.</w:t>
      </w:r>
    </w:p>
    <w:bookmarkEnd w:id="6"/>
    <w:p w:rsidR="001205B1" w:rsidRPr="001205B1" w:rsidRDefault="008C3050" w:rsidP="00937266">
      <w:pPr>
        <w:pStyle w:val="Heading3"/>
        <w:ind w:left="142"/>
        <w:rPr>
          <w:lang w:val="en-US"/>
        </w:rPr>
      </w:pPr>
      <w:r w:rsidRPr="001205B1">
        <w:rPr>
          <w:lang w:val="en-US"/>
        </w:rPr>
        <w:t>Postmarketing data</w:t>
      </w:r>
    </w:p>
    <w:p w:rsidR="00C9158B" w:rsidRDefault="001205B1" w:rsidP="00937266">
      <w:pPr>
        <w:ind w:left="142"/>
        <w:rPr>
          <w:lang w:val="en-US"/>
        </w:rPr>
      </w:pPr>
      <w:r w:rsidRPr="001205B1">
        <w:rPr>
          <w:lang w:val="en-US"/>
        </w:rPr>
        <w:t>The following undesirable effect (adverse drug reaction) is based on postmarketing spontaneous reports:</w:t>
      </w:r>
    </w:p>
    <w:p w:rsidR="001205B1" w:rsidRPr="001205B1" w:rsidRDefault="001205B1" w:rsidP="00937266">
      <w:pPr>
        <w:ind w:left="142"/>
        <w:rPr>
          <w:i/>
        </w:rPr>
      </w:pPr>
      <w:r w:rsidRPr="001205B1">
        <w:rPr>
          <w:b/>
          <w:bCs/>
          <w:i/>
        </w:rPr>
        <w:t>Immune system disorders:</w:t>
      </w:r>
    </w:p>
    <w:p w:rsidR="001205B1" w:rsidRDefault="001205B1" w:rsidP="00937266">
      <w:pPr>
        <w:ind w:left="142"/>
      </w:pPr>
      <w:r w:rsidRPr="001205B1">
        <w:t>Anaphylaxis: Rare (≥ 0.01%, &lt;0.1%)</w:t>
      </w:r>
    </w:p>
    <w:p w:rsidR="00B24D9B" w:rsidRDefault="008C3050" w:rsidP="00937266">
      <w:pPr>
        <w:pStyle w:val="Heading3"/>
        <w:ind w:left="142"/>
      </w:pPr>
      <w:r>
        <w:t>Reporting suspected adverse reactions</w:t>
      </w:r>
    </w:p>
    <w:p w:rsidR="0036316B" w:rsidRPr="001205B1" w:rsidRDefault="00B24D9B" w:rsidP="00937266">
      <w:pPr>
        <w:ind w:left="142"/>
      </w:pPr>
      <w:r w:rsidRPr="00B24D9B">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5" w:history="1">
        <w:r w:rsidR="0036316B" w:rsidRPr="00D042C2">
          <w:rPr>
            <w:rStyle w:val="Hyperlink"/>
          </w:rPr>
          <w:t>http://www.tga.gov.au/reporting-problems</w:t>
        </w:r>
      </w:hyperlink>
      <w:r w:rsidRPr="00B24D9B">
        <w:t>.</w:t>
      </w:r>
    </w:p>
    <w:p w:rsidR="00F57863" w:rsidRPr="00391B34" w:rsidRDefault="00F57863" w:rsidP="00937266">
      <w:pPr>
        <w:pStyle w:val="Heading2"/>
        <w:ind w:left="0" w:firstLine="0"/>
      </w:pPr>
      <w:r w:rsidRPr="00391B34">
        <w:t>Overdose</w:t>
      </w:r>
    </w:p>
    <w:p w:rsidR="001205B1" w:rsidRDefault="001205B1" w:rsidP="00937266">
      <w:pPr>
        <w:ind w:left="142"/>
      </w:pPr>
      <w:r>
        <w:t>Doses up to 180 mg have been administered subcutaneously in clinical trials without dose-limiting toxicity. Overdoses up to 240 mg have been reported without any serious adverse events. In the event of overdose, it is recommended that the patient be monitored for any signs or symptoms of adverse reactions and appropriate symptomatic treatment be instituted immediately.</w:t>
      </w:r>
    </w:p>
    <w:p w:rsidR="00700755" w:rsidRPr="00700755" w:rsidRDefault="001205B1" w:rsidP="00937266">
      <w:pPr>
        <w:ind w:left="142"/>
      </w:pPr>
      <w:r>
        <w:t>For information on the management of overdose, contact the Poison Information Centre on 131126</w:t>
      </w:r>
      <w:r w:rsidR="00233961">
        <w:t xml:space="preserve"> (Australia)</w:t>
      </w:r>
      <w:r w:rsidR="00700755" w:rsidRPr="00700755">
        <w:t xml:space="preserve">. </w:t>
      </w:r>
    </w:p>
    <w:p w:rsidR="00F57863" w:rsidRDefault="00F57863" w:rsidP="00937266">
      <w:pPr>
        <w:pStyle w:val="Heading1"/>
        <w:ind w:left="0" w:firstLine="0"/>
      </w:pPr>
      <w:r>
        <w:t>Pharmacological Properties</w:t>
      </w:r>
    </w:p>
    <w:p w:rsidR="00F57863" w:rsidRPr="00391B34" w:rsidRDefault="00F57863" w:rsidP="00937266">
      <w:pPr>
        <w:pStyle w:val="Heading2"/>
        <w:ind w:left="0" w:firstLine="0"/>
      </w:pPr>
      <w:r w:rsidRPr="00391B34">
        <w:t>Pharmacodynamic properties</w:t>
      </w:r>
    </w:p>
    <w:p w:rsidR="00700755" w:rsidRPr="00391B34" w:rsidRDefault="008C3050" w:rsidP="00937266">
      <w:pPr>
        <w:pStyle w:val="Heading3"/>
        <w:ind w:left="0"/>
      </w:pPr>
      <w:bookmarkStart w:id="7" w:name="_Mechanism_of_action"/>
      <w:bookmarkEnd w:id="7"/>
      <w:r w:rsidRPr="00391B34">
        <w:t xml:space="preserve">Mechanism of action </w:t>
      </w:r>
    </w:p>
    <w:p w:rsidR="001205B1" w:rsidRDefault="001205B1" w:rsidP="00937266">
      <w:pPr>
        <w:ind w:left="0"/>
      </w:pPr>
      <w:r>
        <w:t xml:space="preserve">Ixekizumab is an IgG4 monoclonal antibody that binds with high affinity (&lt;3 pM) to IL-17A, a proinflammatory cytokine.  Ixekizumab does not bind to ligands IL-17B, IL 17C, IL-17D, IL-17E or IL-17F. Elevated levels of IL-17A have been implicated in the pathogenesis of a variety of autoimmune diseases. In psoriasis, the IL-17A ligand plays a major role in driving excess keratinocyte proliferation and activation. Neutralisation of IL-17A by ixekizumab inhibits these actions. </w:t>
      </w:r>
    </w:p>
    <w:p w:rsidR="00700755" w:rsidRDefault="001205B1" w:rsidP="00937266">
      <w:pPr>
        <w:ind w:left="0"/>
      </w:pPr>
      <w:r w:rsidRPr="00DB26F7">
        <w:rPr>
          <w:i/>
        </w:rPr>
        <w:t xml:space="preserve">In vitro </w:t>
      </w:r>
      <w:r>
        <w:t>binding assays showed that ixekizumab does not bind to human</w:t>
      </w:r>
      <w:r w:rsidR="000275CB">
        <w:t xml:space="preserve"> Fcγ r</w:t>
      </w:r>
      <w:r w:rsidRPr="000275CB">
        <w:t>e</w:t>
      </w:r>
      <w:r>
        <w:t>ceptors I, IIa and IIIa or to complement component C1q and is therefore not expected to elicit Fc-receptor mediated effects (e.g., antibody-dependent cell-mediated cytotoxicity, complement system activation).</w:t>
      </w:r>
      <w:r w:rsidR="00700755">
        <w:t xml:space="preserve"> </w:t>
      </w:r>
    </w:p>
    <w:p w:rsidR="00DB26F7" w:rsidRPr="000275CB" w:rsidRDefault="00DB26F7" w:rsidP="00937266">
      <w:pPr>
        <w:pStyle w:val="Heading4"/>
        <w:pageBreakBefore/>
        <w:ind w:left="0"/>
        <w:rPr>
          <w:b/>
        </w:rPr>
      </w:pPr>
      <w:r w:rsidRPr="000275CB">
        <w:rPr>
          <w:b/>
        </w:rPr>
        <w:lastRenderedPageBreak/>
        <w:t>Pharmacodynamics</w:t>
      </w:r>
    </w:p>
    <w:p w:rsidR="00DB26F7" w:rsidRDefault="00DB26F7" w:rsidP="00937266">
      <w:pPr>
        <w:ind w:left="0"/>
        <w:rPr>
          <w:lang w:val="en-US"/>
        </w:rPr>
      </w:pPr>
      <w:r w:rsidRPr="00DB26F7">
        <w:rPr>
          <w:lang w:val="en-US"/>
        </w:rPr>
        <w:t>Ixekizumab modulates biological responses that are induced or regulated by IL-17A.</w:t>
      </w:r>
    </w:p>
    <w:p w:rsidR="00C9158B" w:rsidRDefault="00BD0E75" w:rsidP="00937266">
      <w:pPr>
        <w:ind w:left="0"/>
        <w:rPr>
          <w:lang w:val="en-US"/>
        </w:rPr>
      </w:pPr>
      <w:r w:rsidRPr="00BD0E75">
        <w:rPr>
          <w:lang w:val="en-US"/>
        </w:rPr>
        <w:t>Healthy individuals who received ixekizumab had similar antibody responses 1 month after vaccination with tetanus and pneumococcal vaccines compared to individuals who did not receive ixekizumab. The clinical effectiveness of vaccines has not been assessed in patients undergoing treatment with ixekizumab.</w:t>
      </w:r>
    </w:p>
    <w:p w:rsidR="00700755" w:rsidRPr="00391B34" w:rsidRDefault="008C3050" w:rsidP="00937266">
      <w:pPr>
        <w:pStyle w:val="Heading3"/>
        <w:ind w:left="0"/>
      </w:pPr>
      <w:bookmarkStart w:id="8" w:name="_Clinical_trials"/>
      <w:bookmarkEnd w:id="8"/>
      <w:r w:rsidRPr="00391B34">
        <w:t xml:space="preserve">Clinical trials </w:t>
      </w:r>
    </w:p>
    <w:p w:rsidR="006E6DEE" w:rsidRPr="00427E80" w:rsidRDefault="00427E80" w:rsidP="00937266">
      <w:pPr>
        <w:pStyle w:val="Heading4"/>
        <w:ind w:left="0"/>
        <w:rPr>
          <w:b/>
        </w:rPr>
      </w:pPr>
      <w:bookmarkStart w:id="9" w:name="_Plaque_Psoriasis"/>
      <w:bookmarkEnd w:id="9"/>
      <w:r w:rsidRPr="00427E80">
        <w:rPr>
          <w:b/>
        </w:rPr>
        <w:t>Plaque Psoriasis</w:t>
      </w:r>
    </w:p>
    <w:p w:rsidR="00427E80" w:rsidRDefault="00427E80" w:rsidP="00937266">
      <w:pPr>
        <w:ind w:left="0"/>
      </w:pPr>
      <w:r>
        <w:t>The efficacy and safety of TALTZ were assessed in three randomised, double-blind, placebo-controlled phase III clinical trials in adult patients with moderate to severe plaque psoriasis who were candidates for phototherapy or systemic therapy (UNCOVER-1 [RHAZ], UNCOVER-2 [RHBA] and UNCOVER-3 [RHBC]). Patients were ≥18 years of age with plaque psoriasis who had a minimum body surface area involvement of 10%, a static Physician Global Assessment (sPGA) score of ≥3 and Psoriasis Area and Severity Index (PASI) score ≥12. Patients with guttate, erythrodermic or pustular psoriasis were excluded from clinical trials.</w:t>
      </w:r>
    </w:p>
    <w:p w:rsidR="00427E80" w:rsidRDefault="00427E80" w:rsidP="00937266">
      <w:pPr>
        <w:ind w:left="0"/>
      </w:pPr>
      <w:r>
        <w:t>The efficacy and safety of TALTZ were also evaluated compared to etanercept (UNCOVER-2 and UNCOVER-3). Patients randomised to TALTZ who were responders (sPGA 0 (clear) or 1 (minimal) at Week 12) were re-randomised to receive TALTZ or placebo for an additional 48 weeks (UNCOVER-1 and UNCOVER-2). Patients randomised to placebo, etanercept or TALTZ who were non-responders (sPGA ≥1 at Week 12) received TALTZ for up to 48 weeks.</w:t>
      </w:r>
    </w:p>
    <w:p w:rsidR="00427E80" w:rsidRDefault="00427E80" w:rsidP="00937266">
      <w:pPr>
        <w:ind w:left="0"/>
      </w:pPr>
      <w:r>
        <w:t>Of the 3866 patients enrolled in the placebo-controlled trials, 64% had received prior systemic therapy (biologic, conventional systemic or PUVA), 43.5% had received prior phototherapy, 49.3% had received prior conventional systemic therapy and 26.4% had received prior biologic therapy for the treatment of psoriasis. Of all patients, 14.9% had received at least one anti-TNF alpha agent and 8.7% had received an anti-IL-12/IL-23. A total of 23.4% of patients had a history of psoriatic arthritis.</w:t>
      </w:r>
    </w:p>
    <w:p w:rsidR="00427E80" w:rsidRDefault="00427E80" w:rsidP="00937266">
      <w:pPr>
        <w:ind w:left="0"/>
      </w:pPr>
      <w:r>
        <w:t>In all three clinical trials, the primary endpoints were the proportion of patients who achieved at least a 75% reduction in PASI score (PASI 75) from baseline to Week 12 and an sPGA (0,1) with at least a 2-point improvement from baseline. The sPGA is a 6 category scale ranging from 0 (clear) to 5 (very severe) that indicates the physician’s overall assessment of psoriasis based on plaque thickness/induration, erythema and scaling.</w:t>
      </w:r>
    </w:p>
    <w:p w:rsidR="00427E80" w:rsidRDefault="00427E80" w:rsidP="00937266">
      <w:pPr>
        <w:ind w:left="0"/>
      </w:pPr>
      <w:r>
        <w:t>Other evaluated outcomes included the proportion of patients with a sPGA 0, a reduction of at least 90% in PASI (PASI 90), a reduction of 100% in PASI (PASI 100) and an improvement of itch severity as measured by an Itch Numeric Rating Scale (Itch NRS).</w:t>
      </w:r>
    </w:p>
    <w:p w:rsidR="00427E80" w:rsidRDefault="00427E80" w:rsidP="00937266">
      <w:pPr>
        <w:ind w:left="0"/>
      </w:pPr>
      <w:r>
        <w:t>Patients in all treatment groups had a median baseline PASI score ranging from approximately 17.4 to 18.3. Baseline sPGA score was severe or very severe in 51.2% of patients in UNCOVER-1, 49.7% in UNCOVER-2 and 48.3% in UNCOVER-3.</w:t>
      </w:r>
    </w:p>
    <w:p w:rsidR="00427E80" w:rsidRDefault="00427E80" w:rsidP="00937266">
      <w:pPr>
        <w:pStyle w:val="Heading4"/>
        <w:ind w:left="0"/>
      </w:pPr>
      <w:r>
        <w:t>Clinical Response at Week 12</w:t>
      </w:r>
    </w:p>
    <w:p w:rsidR="00C9158B" w:rsidRDefault="00427E80" w:rsidP="00937266">
      <w:pPr>
        <w:ind w:left="0"/>
      </w:pPr>
      <w:r w:rsidRPr="00427E80">
        <w:t>UNCOVER-1 enrolled 1296 patients, randomised to receive either TALTZ (80 mg every two or four weeks [Q2W or Q4W]) following a 160 mg starting dose (two injections) at Week 0, or p</w:t>
      </w:r>
      <w:r w:rsidR="000275CB">
        <w:t xml:space="preserve">lacebo for 12 weeks (see Table </w:t>
      </w:r>
      <w:r w:rsidR="00E21134">
        <w:t>4</w:t>
      </w:r>
      <w:r w:rsidRPr="00427E80">
        <w:t>).</w:t>
      </w:r>
    </w:p>
    <w:p w:rsidR="000275CB" w:rsidRDefault="000275CB" w:rsidP="00937266">
      <w:pPr>
        <w:pStyle w:val="TableTitle"/>
        <w:ind w:left="142"/>
      </w:pPr>
      <w:r w:rsidRPr="000275CB">
        <w:lastRenderedPageBreak/>
        <w:t>Efficacy Results at Week 12 in UNCOVER-1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2019"/>
        <w:gridCol w:w="2019"/>
        <w:gridCol w:w="2018"/>
      </w:tblGrid>
      <w:tr w:rsidR="00427E80" w:rsidRPr="00427E80" w:rsidTr="00427E80">
        <w:tc>
          <w:tcPr>
            <w:tcW w:w="2818" w:type="dxa"/>
            <w:vMerge w:val="restart"/>
            <w:shd w:val="clear" w:color="auto" w:fill="auto"/>
          </w:tcPr>
          <w:p w:rsidR="00427E80" w:rsidRPr="00427E80" w:rsidRDefault="00427E80" w:rsidP="00937266">
            <w:pPr>
              <w:autoSpaceDE w:val="0"/>
              <w:autoSpaceDN w:val="0"/>
              <w:adjustRightInd w:val="0"/>
              <w:spacing w:after="0" w:line="240" w:lineRule="auto"/>
              <w:ind w:left="142"/>
              <w:rPr>
                <w:rFonts w:ascii="Arial" w:hAnsi="Arial" w:cs="Arial"/>
                <w:b/>
                <w:bCs/>
                <w:position w:val="10"/>
                <w:sz w:val="13"/>
                <w:szCs w:val="13"/>
                <w:lang w:val="en-US"/>
              </w:rPr>
            </w:pPr>
          </w:p>
        </w:tc>
        <w:tc>
          <w:tcPr>
            <w:tcW w:w="6056" w:type="dxa"/>
            <w:gridSpan w:val="3"/>
            <w:shd w:val="clear" w:color="auto" w:fill="auto"/>
          </w:tcPr>
          <w:p w:rsidR="00427E80" w:rsidRPr="00427E80" w:rsidRDefault="00427E80" w:rsidP="00937266">
            <w:pPr>
              <w:autoSpaceDE w:val="0"/>
              <w:autoSpaceDN w:val="0"/>
              <w:adjustRightInd w:val="0"/>
              <w:spacing w:after="60" w:line="240" w:lineRule="auto"/>
              <w:ind w:left="142"/>
              <w:jc w:val="center"/>
              <w:rPr>
                <w:rFonts w:cs="Arial"/>
                <w:b/>
                <w:bCs/>
                <w:position w:val="10"/>
                <w:sz w:val="13"/>
                <w:szCs w:val="13"/>
                <w:lang w:val="en-US"/>
              </w:rPr>
            </w:pPr>
            <w:r w:rsidRPr="00427E80">
              <w:rPr>
                <w:rFonts w:cs="Arial"/>
                <w:b/>
                <w:bCs/>
                <w:sz w:val="20"/>
                <w:szCs w:val="20"/>
                <w:lang w:val="en-US"/>
              </w:rPr>
              <w:t>UNC</w:t>
            </w:r>
            <w:r w:rsidRPr="00427E80">
              <w:rPr>
                <w:rFonts w:cs="Arial"/>
                <w:b/>
                <w:bCs/>
                <w:spacing w:val="1"/>
                <w:sz w:val="20"/>
                <w:szCs w:val="20"/>
                <w:lang w:val="en-US"/>
              </w:rPr>
              <w:t>O</w:t>
            </w:r>
            <w:r w:rsidRPr="00427E80">
              <w:rPr>
                <w:rFonts w:cs="Arial"/>
                <w:b/>
                <w:bCs/>
                <w:spacing w:val="2"/>
                <w:sz w:val="20"/>
                <w:szCs w:val="20"/>
                <w:lang w:val="en-US"/>
              </w:rPr>
              <w:t>V</w:t>
            </w:r>
            <w:r w:rsidRPr="00427E80">
              <w:rPr>
                <w:rFonts w:cs="Arial"/>
                <w:b/>
                <w:bCs/>
                <w:spacing w:val="-1"/>
                <w:sz w:val="20"/>
                <w:szCs w:val="20"/>
                <w:lang w:val="en-US"/>
              </w:rPr>
              <w:t>E</w:t>
            </w:r>
            <w:r w:rsidRPr="00427E80">
              <w:rPr>
                <w:rFonts w:cs="Arial"/>
                <w:b/>
                <w:bCs/>
                <w:sz w:val="20"/>
                <w:szCs w:val="20"/>
                <w:lang w:val="en-US"/>
              </w:rPr>
              <w:t>R</w:t>
            </w:r>
            <w:r w:rsidRPr="00427E80">
              <w:rPr>
                <w:rFonts w:cs="Arial"/>
                <w:b/>
                <w:bCs/>
                <w:spacing w:val="1"/>
                <w:sz w:val="20"/>
                <w:szCs w:val="20"/>
                <w:lang w:val="en-US"/>
              </w:rPr>
              <w:t>-</w:t>
            </w:r>
            <w:r w:rsidRPr="00427E80">
              <w:rPr>
                <w:rFonts w:cs="Arial"/>
                <w:b/>
                <w:bCs/>
                <w:sz w:val="20"/>
                <w:szCs w:val="20"/>
                <w:lang w:val="en-US"/>
              </w:rPr>
              <w:t xml:space="preserve">1 </w:t>
            </w:r>
            <w:r w:rsidRPr="000275CB">
              <w:rPr>
                <w:rFonts w:cs="Arial"/>
                <w:b/>
                <w:bCs/>
                <w:sz w:val="20"/>
                <w:szCs w:val="20"/>
                <w:lang w:val="en-US"/>
              </w:rPr>
              <w:softHyphen/>
            </w:r>
            <w:r w:rsidRPr="000275CB">
              <w:rPr>
                <w:rFonts w:cs="Arial"/>
                <w:b/>
                <w:bCs/>
                <w:sz w:val="20"/>
                <w:szCs w:val="20"/>
                <w:lang w:val="en-US"/>
              </w:rPr>
              <w:softHyphen/>
              <w:t>–</w:t>
            </w:r>
            <w:r w:rsidRPr="00427E80">
              <w:rPr>
                <w:rFonts w:cs="Arial"/>
                <w:b/>
                <w:bCs/>
                <w:sz w:val="20"/>
                <w:szCs w:val="20"/>
                <w:lang w:val="en-US"/>
              </w:rPr>
              <w:t xml:space="preserve"> N</w:t>
            </w:r>
            <w:r w:rsidRPr="00427E80">
              <w:rPr>
                <w:rFonts w:cs="Arial"/>
                <w:b/>
                <w:bCs/>
                <w:spacing w:val="1"/>
                <w:sz w:val="20"/>
                <w:szCs w:val="20"/>
                <w:lang w:val="en-US"/>
              </w:rPr>
              <w:t>umb</w:t>
            </w:r>
            <w:r w:rsidRPr="00427E80">
              <w:rPr>
                <w:rFonts w:cs="Arial"/>
                <w:b/>
                <w:bCs/>
                <w:sz w:val="20"/>
                <w:szCs w:val="20"/>
                <w:lang w:val="en-US"/>
              </w:rPr>
              <w:t>er</w:t>
            </w:r>
            <w:r w:rsidRPr="00427E80">
              <w:rPr>
                <w:rFonts w:cs="Arial"/>
                <w:b/>
                <w:bCs/>
                <w:spacing w:val="-7"/>
                <w:sz w:val="20"/>
                <w:szCs w:val="20"/>
                <w:lang w:val="en-US"/>
              </w:rPr>
              <w:t xml:space="preserve"> </w:t>
            </w:r>
            <w:r w:rsidRPr="00427E80">
              <w:rPr>
                <w:rFonts w:cs="Arial"/>
                <w:b/>
                <w:bCs/>
                <w:spacing w:val="1"/>
                <w:sz w:val="20"/>
                <w:szCs w:val="20"/>
                <w:lang w:val="en-US"/>
              </w:rPr>
              <w:t>o</w:t>
            </w:r>
            <w:r w:rsidRPr="00427E80">
              <w:rPr>
                <w:rFonts w:cs="Arial"/>
                <w:b/>
                <w:bCs/>
                <w:sz w:val="20"/>
                <w:szCs w:val="20"/>
                <w:lang w:val="en-US"/>
              </w:rPr>
              <w:t>f</w:t>
            </w:r>
            <w:r w:rsidRPr="00427E80">
              <w:rPr>
                <w:rFonts w:cs="Arial"/>
                <w:b/>
                <w:bCs/>
                <w:spacing w:val="-2"/>
                <w:sz w:val="20"/>
                <w:szCs w:val="20"/>
                <w:lang w:val="en-US"/>
              </w:rPr>
              <w:t xml:space="preserve"> </w:t>
            </w:r>
            <w:r w:rsidRPr="00427E80">
              <w:rPr>
                <w:rFonts w:cs="Arial"/>
                <w:b/>
                <w:bCs/>
                <w:spacing w:val="-1"/>
                <w:sz w:val="20"/>
                <w:szCs w:val="20"/>
                <w:lang w:val="en-US"/>
              </w:rPr>
              <w:t>P</w:t>
            </w:r>
            <w:r w:rsidRPr="00427E80">
              <w:rPr>
                <w:rFonts w:cs="Arial"/>
                <w:b/>
                <w:bCs/>
                <w:sz w:val="20"/>
                <w:szCs w:val="20"/>
                <w:lang w:val="en-US"/>
              </w:rPr>
              <w:t>a</w:t>
            </w:r>
            <w:r w:rsidRPr="00427E80">
              <w:rPr>
                <w:rFonts w:cs="Arial"/>
                <w:b/>
                <w:bCs/>
                <w:spacing w:val="1"/>
                <w:sz w:val="20"/>
                <w:szCs w:val="20"/>
                <w:lang w:val="en-US"/>
              </w:rPr>
              <w:t>t</w:t>
            </w:r>
            <w:r w:rsidRPr="00427E80">
              <w:rPr>
                <w:rFonts w:cs="Arial"/>
                <w:b/>
                <w:bCs/>
                <w:sz w:val="20"/>
                <w:szCs w:val="20"/>
                <w:lang w:val="en-US"/>
              </w:rPr>
              <w:t>ie</w:t>
            </w:r>
            <w:r w:rsidRPr="00427E80">
              <w:rPr>
                <w:rFonts w:cs="Arial"/>
                <w:b/>
                <w:bCs/>
                <w:spacing w:val="1"/>
                <w:sz w:val="20"/>
                <w:szCs w:val="20"/>
                <w:lang w:val="en-US"/>
              </w:rPr>
              <w:t>nt</w:t>
            </w:r>
            <w:r w:rsidRPr="00427E80">
              <w:rPr>
                <w:rFonts w:cs="Arial"/>
                <w:b/>
                <w:bCs/>
                <w:sz w:val="20"/>
                <w:szCs w:val="20"/>
                <w:lang w:val="en-US"/>
              </w:rPr>
              <w:t>s</w:t>
            </w:r>
            <w:r w:rsidRPr="00427E80">
              <w:rPr>
                <w:rFonts w:cs="Arial"/>
                <w:b/>
                <w:bCs/>
                <w:spacing w:val="-9"/>
                <w:sz w:val="20"/>
                <w:szCs w:val="20"/>
                <w:lang w:val="en-US"/>
              </w:rPr>
              <w:t xml:space="preserve"> </w:t>
            </w:r>
            <w:r w:rsidRPr="00427E80">
              <w:rPr>
                <w:rFonts w:cs="Arial"/>
                <w:b/>
                <w:bCs/>
                <w:spacing w:val="3"/>
                <w:sz w:val="20"/>
                <w:szCs w:val="20"/>
                <w:lang w:val="en-US"/>
              </w:rPr>
              <w:t>(</w:t>
            </w:r>
            <w:r w:rsidRPr="00427E80">
              <w:rPr>
                <w:rFonts w:cs="Arial"/>
                <w:b/>
                <w:bCs/>
                <w:spacing w:val="-2"/>
                <w:sz w:val="20"/>
                <w:szCs w:val="20"/>
                <w:lang w:val="en-US"/>
              </w:rPr>
              <w:t>%</w:t>
            </w:r>
            <w:r w:rsidRPr="00427E80">
              <w:rPr>
                <w:rFonts w:cs="Arial"/>
                <w:b/>
                <w:bCs/>
                <w:spacing w:val="1"/>
                <w:sz w:val="20"/>
                <w:szCs w:val="20"/>
                <w:lang w:val="en-US"/>
              </w:rPr>
              <w:t>)</w:t>
            </w:r>
            <w:r w:rsidRPr="00427E80">
              <w:rPr>
                <w:rFonts w:cs="Arial"/>
                <w:b/>
                <w:bCs/>
                <w:sz w:val="20"/>
                <w:szCs w:val="20"/>
                <w:lang w:val="en-US"/>
              </w:rPr>
              <w:t>,</w:t>
            </w:r>
            <w:r w:rsidRPr="00427E80">
              <w:rPr>
                <w:rFonts w:cs="Arial"/>
                <w:b/>
                <w:bCs/>
                <w:spacing w:val="-5"/>
                <w:sz w:val="20"/>
                <w:szCs w:val="20"/>
                <w:lang w:val="en-US"/>
              </w:rPr>
              <w:t xml:space="preserve"> </w:t>
            </w:r>
            <w:r w:rsidRPr="00427E80">
              <w:rPr>
                <w:rFonts w:cs="Arial"/>
                <w:b/>
                <w:bCs/>
                <w:spacing w:val="3"/>
                <w:sz w:val="20"/>
                <w:szCs w:val="20"/>
                <w:lang w:val="en-US"/>
              </w:rPr>
              <w:t>N</w:t>
            </w:r>
            <w:r w:rsidRPr="00427E80">
              <w:rPr>
                <w:rFonts w:cs="Arial"/>
                <w:b/>
                <w:bCs/>
                <w:sz w:val="20"/>
                <w:szCs w:val="20"/>
                <w:lang w:val="en-US"/>
              </w:rPr>
              <w:t>RI</w:t>
            </w:r>
          </w:p>
        </w:tc>
      </w:tr>
      <w:tr w:rsidR="00427E80" w:rsidRPr="00427E80" w:rsidTr="00427E80">
        <w:tc>
          <w:tcPr>
            <w:tcW w:w="2818" w:type="dxa"/>
            <w:vMerge/>
            <w:shd w:val="clear" w:color="auto" w:fill="auto"/>
          </w:tcPr>
          <w:p w:rsidR="00427E80" w:rsidRPr="00427E80" w:rsidRDefault="00427E80" w:rsidP="00937266">
            <w:pPr>
              <w:autoSpaceDE w:val="0"/>
              <w:autoSpaceDN w:val="0"/>
              <w:adjustRightInd w:val="0"/>
              <w:spacing w:after="0" w:line="240" w:lineRule="auto"/>
              <w:ind w:left="142"/>
              <w:rPr>
                <w:rFonts w:ascii="Arial" w:hAnsi="Arial" w:cs="Arial"/>
                <w:b/>
                <w:bCs/>
                <w:position w:val="10"/>
                <w:sz w:val="13"/>
                <w:szCs w:val="13"/>
                <w:lang w:val="en-US"/>
              </w:rPr>
            </w:pPr>
          </w:p>
        </w:tc>
        <w:tc>
          <w:tcPr>
            <w:tcW w:w="4038" w:type="dxa"/>
            <w:gridSpan w:val="2"/>
            <w:shd w:val="clear" w:color="auto" w:fill="auto"/>
          </w:tcPr>
          <w:p w:rsidR="00427E80" w:rsidRPr="00427E80" w:rsidRDefault="00427E80" w:rsidP="00937266">
            <w:pPr>
              <w:autoSpaceDE w:val="0"/>
              <w:autoSpaceDN w:val="0"/>
              <w:adjustRightInd w:val="0"/>
              <w:spacing w:after="0" w:line="240" w:lineRule="auto"/>
              <w:ind w:left="142"/>
              <w:jc w:val="center"/>
              <w:rPr>
                <w:rFonts w:cs="Arial"/>
                <w:b/>
                <w:bCs/>
                <w:i/>
                <w:position w:val="10"/>
                <w:sz w:val="13"/>
                <w:szCs w:val="13"/>
                <w:lang w:val="en-US"/>
              </w:rPr>
            </w:pPr>
            <w:r w:rsidRPr="00427E80">
              <w:rPr>
                <w:rFonts w:cs="Arial"/>
                <w:b/>
                <w:bCs/>
                <w:spacing w:val="6"/>
                <w:sz w:val="20"/>
                <w:szCs w:val="20"/>
                <w:lang w:val="en-US"/>
              </w:rPr>
              <w:t>T</w:t>
            </w:r>
            <w:r w:rsidRPr="00427E80">
              <w:rPr>
                <w:rFonts w:cs="Arial"/>
                <w:b/>
                <w:bCs/>
                <w:spacing w:val="-7"/>
                <w:sz w:val="20"/>
                <w:szCs w:val="20"/>
                <w:lang w:val="en-US"/>
              </w:rPr>
              <w:t>A</w:t>
            </w:r>
            <w:r w:rsidRPr="00427E80">
              <w:rPr>
                <w:rFonts w:cs="Arial"/>
                <w:b/>
                <w:bCs/>
                <w:spacing w:val="1"/>
                <w:sz w:val="20"/>
                <w:szCs w:val="20"/>
                <w:lang w:val="en-US"/>
              </w:rPr>
              <w:t>L</w:t>
            </w:r>
            <w:r w:rsidRPr="00427E80">
              <w:rPr>
                <w:rFonts w:cs="Arial"/>
                <w:b/>
                <w:bCs/>
                <w:spacing w:val="3"/>
                <w:sz w:val="20"/>
                <w:szCs w:val="20"/>
                <w:lang w:val="en-US"/>
              </w:rPr>
              <w:t>T</w:t>
            </w:r>
            <w:r w:rsidRPr="00427E80">
              <w:rPr>
                <w:rFonts w:cs="Arial"/>
                <w:b/>
                <w:bCs/>
                <w:sz w:val="20"/>
                <w:szCs w:val="20"/>
                <w:lang w:val="en-US"/>
              </w:rPr>
              <w:t>Z</w:t>
            </w:r>
          </w:p>
        </w:tc>
        <w:tc>
          <w:tcPr>
            <w:tcW w:w="2018"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b/>
                <w:bCs/>
                <w:position w:val="10"/>
                <w:sz w:val="13"/>
                <w:szCs w:val="13"/>
                <w:lang w:val="en-US"/>
              </w:rPr>
            </w:pPr>
            <w:r w:rsidRPr="00427E80">
              <w:rPr>
                <w:rFonts w:cs="Arial"/>
                <w:b/>
                <w:bCs/>
                <w:spacing w:val="-1"/>
                <w:sz w:val="20"/>
                <w:szCs w:val="20"/>
                <w:lang w:val="en-US"/>
              </w:rPr>
              <w:t>P</w:t>
            </w:r>
            <w:r w:rsidRPr="00427E80">
              <w:rPr>
                <w:rFonts w:cs="Arial"/>
                <w:b/>
                <w:bCs/>
                <w:sz w:val="20"/>
                <w:szCs w:val="20"/>
                <w:lang w:val="en-US"/>
              </w:rPr>
              <w:t>la</w:t>
            </w:r>
            <w:r w:rsidRPr="00427E80">
              <w:rPr>
                <w:rFonts w:cs="Arial"/>
                <w:b/>
                <w:bCs/>
                <w:spacing w:val="2"/>
                <w:sz w:val="20"/>
                <w:szCs w:val="20"/>
                <w:lang w:val="en-US"/>
              </w:rPr>
              <w:t>c</w:t>
            </w:r>
            <w:r w:rsidRPr="00427E80">
              <w:rPr>
                <w:rFonts w:cs="Arial"/>
                <w:b/>
                <w:bCs/>
                <w:sz w:val="20"/>
                <w:szCs w:val="20"/>
                <w:lang w:val="en-US"/>
              </w:rPr>
              <w:t>e</w:t>
            </w:r>
            <w:r w:rsidRPr="00427E80">
              <w:rPr>
                <w:rFonts w:cs="Arial"/>
                <w:b/>
                <w:bCs/>
                <w:spacing w:val="1"/>
                <w:sz w:val="20"/>
                <w:szCs w:val="20"/>
                <w:lang w:val="en-US"/>
              </w:rPr>
              <w:t>b</w:t>
            </w:r>
            <w:r w:rsidRPr="00427E80">
              <w:rPr>
                <w:rFonts w:cs="Arial"/>
                <w:b/>
                <w:bCs/>
                <w:sz w:val="20"/>
                <w:szCs w:val="20"/>
                <w:lang w:val="en-US"/>
              </w:rPr>
              <w:t>o</w:t>
            </w:r>
          </w:p>
        </w:tc>
      </w:tr>
      <w:tr w:rsidR="00427E80" w:rsidRPr="00427E80" w:rsidTr="00427E80">
        <w:tc>
          <w:tcPr>
            <w:tcW w:w="2818" w:type="dxa"/>
            <w:vMerge/>
            <w:shd w:val="clear" w:color="auto" w:fill="auto"/>
          </w:tcPr>
          <w:p w:rsidR="00427E80" w:rsidRPr="00427E80" w:rsidRDefault="00427E80" w:rsidP="00937266">
            <w:pPr>
              <w:autoSpaceDE w:val="0"/>
              <w:autoSpaceDN w:val="0"/>
              <w:adjustRightInd w:val="0"/>
              <w:spacing w:after="0" w:line="240" w:lineRule="auto"/>
              <w:ind w:left="142"/>
              <w:rPr>
                <w:rFonts w:ascii="Arial" w:hAnsi="Arial" w:cs="Arial"/>
                <w:b/>
                <w:bCs/>
                <w:position w:val="10"/>
                <w:sz w:val="13"/>
                <w:szCs w:val="13"/>
                <w:lang w:val="en-US"/>
              </w:rPr>
            </w:pPr>
          </w:p>
        </w:tc>
        <w:tc>
          <w:tcPr>
            <w:tcW w:w="2019" w:type="dxa"/>
            <w:shd w:val="clear" w:color="auto" w:fill="auto"/>
          </w:tcPr>
          <w:p w:rsidR="00427E80" w:rsidRPr="00427E80" w:rsidRDefault="00427E80" w:rsidP="00937266">
            <w:pPr>
              <w:autoSpaceDE w:val="0"/>
              <w:autoSpaceDN w:val="0"/>
              <w:adjustRightInd w:val="0"/>
              <w:spacing w:before="34" w:after="0" w:line="240" w:lineRule="auto"/>
              <w:ind w:left="142"/>
              <w:jc w:val="center"/>
              <w:rPr>
                <w:rFonts w:cs="Arial"/>
                <w:b/>
                <w:bCs/>
                <w:position w:val="10"/>
                <w:sz w:val="13"/>
                <w:szCs w:val="13"/>
                <w:lang w:val="en-US"/>
              </w:rPr>
            </w:pPr>
            <w:r w:rsidRPr="00427E80">
              <w:rPr>
                <w:rFonts w:cs="Arial"/>
                <w:b/>
                <w:bCs/>
                <w:sz w:val="20"/>
                <w:szCs w:val="20"/>
                <w:lang w:val="en-US"/>
              </w:rPr>
              <w:t>80</w:t>
            </w:r>
            <w:r w:rsidRPr="00427E80">
              <w:rPr>
                <w:rFonts w:cs="Arial"/>
                <w:b/>
                <w:bCs/>
                <w:spacing w:val="-3"/>
                <w:sz w:val="20"/>
                <w:szCs w:val="20"/>
                <w:lang w:val="en-US"/>
              </w:rPr>
              <w:t xml:space="preserve"> </w:t>
            </w:r>
            <w:r w:rsidRPr="00427E80">
              <w:rPr>
                <w:rFonts w:cs="Arial"/>
                <w:b/>
                <w:bCs/>
                <w:spacing w:val="1"/>
                <w:sz w:val="20"/>
                <w:szCs w:val="20"/>
                <w:lang w:val="en-US"/>
              </w:rPr>
              <w:t>m</w:t>
            </w:r>
            <w:r w:rsidRPr="00427E80">
              <w:rPr>
                <w:rFonts w:cs="Arial"/>
                <w:b/>
                <w:bCs/>
                <w:sz w:val="20"/>
                <w:szCs w:val="20"/>
                <w:lang w:val="en-US"/>
              </w:rPr>
              <w:t>g</w:t>
            </w:r>
            <w:r w:rsidRPr="00427E80">
              <w:rPr>
                <w:rFonts w:cs="Arial"/>
                <w:b/>
                <w:bCs/>
                <w:spacing w:val="-3"/>
                <w:sz w:val="20"/>
                <w:szCs w:val="20"/>
                <w:lang w:val="en-US"/>
              </w:rPr>
              <w:t xml:space="preserve"> </w:t>
            </w:r>
            <w:r w:rsidRPr="00427E80">
              <w:rPr>
                <w:rFonts w:cs="Arial"/>
                <w:b/>
                <w:bCs/>
                <w:spacing w:val="1"/>
                <w:sz w:val="20"/>
                <w:szCs w:val="20"/>
                <w:lang w:val="en-US"/>
              </w:rPr>
              <w:t>Q</w:t>
            </w:r>
            <w:r w:rsidRPr="00427E80">
              <w:rPr>
                <w:rFonts w:cs="Arial"/>
                <w:b/>
                <w:bCs/>
                <w:sz w:val="20"/>
                <w:szCs w:val="20"/>
                <w:lang w:val="en-US"/>
              </w:rPr>
              <w:t>2W</w:t>
            </w:r>
            <w:r w:rsidRPr="00427E80">
              <w:rPr>
                <w:rFonts w:cs="Arial"/>
                <w:b/>
                <w:bCs/>
                <w:spacing w:val="-5"/>
                <w:sz w:val="20"/>
                <w:szCs w:val="20"/>
                <w:lang w:val="en-US"/>
              </w:rPr>
              <w:t xml:space="preserve"> </w:t>
            </w:r>
            <w:r w:rsidRPr="00427E80">
              <w:rPr>
                <w:rFonts w:cs="Arial"/>
                <w:b/>
                <w:bCs/>
                <w:spacing w:val="1"/>
                <w:sz w:val="20"/>
                <w:szCs w:val="20"/>
                <w:lang w:val="en-US"/>
              </w:rPr>
              <w:t>(</w:t>
            </w:r>
            <w:r w:rsidRPr="00427E80">
              <w:rPr>
                <w:rFonts w:cs="Arial"/>
                <w:b/>
                <w:bCs/>
                <w:sz w:val="20"/>
                <w:szCs w:val="20"/>
                <w:lang w:val="en-US"/>
              </w:rPr>
              <w:t>N</w:t>
            </w:r>
            <w:r w:rsidRPr="00427E80">
              <w:rPr>
                <w:rFonts w:cs="Arial"/>
                <w:b/>
                <w:bCs/>
                <w:spacing w:val="-1"/>
                <w:sz w:val="20"/>
                <w:szCs w:val="20"/>
                <w:lang w:val="en-US"/>
              </w:rPr>
              <w:t>=</w:t>
            </w:r>
            <w:r w:rsidRPr="00427E80">
              <w:rPr>
                <w:rFonts w:cs="Arial"/>
                <w:b/>
                <w:bCs/>
                <w:sz w:val="20"/>
                <w:szCs w:val="20"/>
                <w:lang w:val="en-US"/>
              </w:rPr>
              <w:t>4</w:t>
            </w:r>
            <w:r w:rsidRPr="00427E80">
              <w:rPr>
                <w:rFonts w:cs="Arial"/>
                <w:b/>
                <w:bCs/>
                <w:spacing w:val="2"/>
                <w:sz w:val="20"/>
                <w:szCs w:val="20"/>
                <w:lang w:val="en-US"/>
              </w:rPr>
              <w:t>3</w:t>
            </w:r>
            <w:r w:rsidRPr="00427E80">
              <w:rPr>
                <w:rFonts w:cs="Arial"/>
                <w:b/>
                <w:bCs/>
                <w:sz w:val="20"/>
                <w:szCs w:val="20"/>
                <w:lang w:val="en-US"/>
              </w:rPr>
              <w:t>3)</w:t>
            </w:r>
          </w:p>
        </w:tc>
        <w:tc>
          <w:tcPr>
            <w:tcW w:w="2019" w:type="dxa"/>
            <w:shd w:val="clear" w:color="auto" w:fill="auto"/>
          </w:tcPr>
          <w:p w:rsidR="00427E80" w:rsidRPr="00427E80" w:rsidRDefault="00427E80" w:rsidP="00937266">
            <w:pPr>
              <w:autoSpaceDE w:val="0"/>
              <w:autoSpaceDN w:val="0"/>
              <w:adjustRightInd w:val="0"/>
              <w:spacing w:after="0" w:line="240" w:lineRule="auto"/>
              <w:ind w:left="142"/>
              <w:jc w:val="center"/>
              <w:rPr>
                <w:rFonts w:cs="Arial"/>
                <w:sz w:val="20"/>
                <w:szCs w:val="20"/>
                <w:lang w:val="en-US"/>
              </w:rPr>
            </w:pPr>
            <w:r w:rsidRPr="00427E80">
              <w:rPr>
                <w:rFonts w:cs="Arial"/>
                <w:b/>
                <w:bCs/>
                <w:sz w:val="20"/>
                <w:szCs w:val="20"/>
                <w:lang w:val="en-US"/>
              </w:rPr>
              <w:t>80</w:t>
            </w:r>
            <w:r w:rsidRPr="00427E80">
              <w:rPr>
                <w:rFonts w:cs="Arial"/>
                <w:b/>
                <w:bCs/>
                <w:spacing w:val="-3"/>
                <w:sz w:val="20"/>
                <w:szCs w:val="20"/>
                <w:lang w:val="en-US"/>
              </w:rPr>
              <w:t xml:space="preserve"> </w:t>
            </w:r>
            <w:r w:rsidRPr="00427E80">
              <w:rPr>
                <w:rFonts w:cs="Arial"/>
                <w:b/>
                <w:bCs/>
                <w:spacing w:val="1"/>
                <w:sz w:val="20"/>
                <w:szCs w:val="20"/>
                <w:lang w:val="en-US"/>
              </w:rPr>
              <w:t>m</w:t>
            </w:r>
            <w:r w:rsidRPr="00427E80">
              <w:rPr>
                <w:rFonts w:cs="Arial"/>
                <w:b/>
                <w:bCs/>
                <w:sz w:val="20"/>
                <w:szCs w:val="20"/>
                <w:lang w:val="en-US"/>
              </w:rPr>
              <w:t>g</w:t>
            </w:r>
            <w:r w:rsidRPr="00427E80">
              <w:rPr>
                <w:rFonts w:cs="Arial"/>
                <w:b/>
                <w:bCs/>
                <w:spacing w:val="-3"/>
                <w:sz w:val="20"/>
                <w:szCs w:val="20"/>
                <w:lang w:val="en-US"/>
              </w:rPr>
              <w:t xml:space="preserve"> </w:t>
            </w:r>
            <w:r w:rsidRPr="00427E80">
              <w:rPr>
                <w:rFonts w:cs="Arial"/>
                <w:b/>
                <w:bCs/>
                <w:spacing w:val="1"/>
                <w:sz w:val="20"/>
                <w:szCs w:val="20"/>
                <w:lang w:val="en-US"/>
              </w:rPr>
              <w:t>Q</w:t>
            </w:r>
            <w:r w:rsidRPr="00427E80">
              <w:rPr>
                <w:rFonts w:cs="Arial"/>
                <w:b/>
                <w:bCs/>
                <w:sz w:val="20"/>
                <w:szCs w:val="20"/>
                <w:lang w:val="en-US"/>
              </w:rPr>
              <w:t>4W</w:t>
            </w:r>
          </w:p>
          <w:p w:rsidR="00427E80" w:rsidRPr="00427E80" w:rsidRDefault="00427E80" w:rsidP="00937266">
            <w:pPr>
              <w:autoSpaceDE w:val="0"/>
              <w:autoSpaceDN w:val="0"/>
              <w:adjustRightInd w:val="0"/>
              <w:spacing w:after="0" w:line="240" w:lineRule="auto"/>
              <w:ind w:left="142"/>
              <w:jc w:val="center"/>
              <w:rPr>
                <w:rFonts w:cs="Arial"/>
                <w:sz w:val="20"/>
                <w:szCs w:val="20"/>
                <w:lang w:val="en-US"/>
              </w:rPr>
            </w:pPr>
            <w:r w:rsidRPr="00427E80">
              <w:rPr>
                <w:rFonts w:cs="Arial"/>
                <w:b/>
                <w:bCs/>
                <w:spacing w:val="1"/>
                <w:sz w:val="20"/>
                <w:szCs w:val="20"/>
                <w:lang w:val="en-US"/>
              </w:rPr>
              <w:t>(</w:t>
            </w:r>
            <w:r w:rsidRPr="00427E80">
              <w:rPr>
                <w:rFonts w:cs="Arial"/>
                <w:b/>
                <w:bCs/>
                <w:sz w:val="20"/>
                <w:szCs w:val="20"/>
                <w:lang w:val="en-US"/>
              </w:rPr>
              <w:t>N</w:t>
            </w:r>
            <w:r w:rsidRPr="00427E80">
              <w:rPr>
                <w:rFonts w:cs="Arial"/>
                <w:b/>
                <w:bCs/>
                <w:spacing w:val="-1"/>
                <w:sz w:val="20"/>
                <w:szCs w:val="20"/>
                <w:lang w:val="en-US"/>
              </w:rPr>
              <w:t>=</w:t>
            </w:r>
            <w:r w:rsidRPr="00427E80">
              <w:rPr>
                <w:rFonts w:cs="Arial"/>
                <w:b/>
                <w:bCs/>
                <w:sz w:val="20"/>
                <w:szCs w:val="20"/>
                <w:lang w:val="en-US"/>
              </w:rPr>
              <w:t>4</w:t>
            </w:r>
            <w:r w:rsidRPr="00427E80">
              <w:rPr>
                <w:rFonts w:cs="Arial"/>
                <w:b/>
                <w:bCs/>
                <w:spacing w:val="2"/>
                <w:sz w:val="20"/>
                <w:szCs w:val="20"/>
                <w:lang w:val="en-US"/>
              </w:rPr>
              <w:t>3</w:t>
            </w:r>
            <w:r w:rsidRPr="00427E80">
              <w:rPr>
                <w:rFonts w:cs="Arial"/>
                <w:b/>
                <w:bCs/>
                <w:sz w:val="20"/>
                <w:szCs w:val="20"/>
                <w:lang w:val="en-US"/>
              </w:rPr>
              <w:t>2)</w:t>
            </w:r>
          </w:p>
        </w:tc>
        <w:tc>
          <w:tcPr>
            <w:tcW w:w="2018"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b/>
                <w:bCs/>
                <w:position w:val="10"/>
                <w:sz w:val="13"/>
                <w:szCs w:val="13"/>
                <w:lang w:val="en-US"/>
              </w:rPr>
            </w:pPr>
            <w:r w:rsidRPr="00427E80">
              <w:rPr>
                <w:rFonts w:cs="Arial"/>
                <w:b/>
                <w:bCs/>
                <w:spacing w:val="1"/>
                <w:sz w:val="20"/>
                <w:szCs w:val="20"/>
                <w:lang w:val="en-US"/>
              </w:rPr>
              <w:br/>
              <w:t>(</w:t>
            </w:r>
            <w:r w:rsidRPr="00427E80">
              <w:rPr>
                <w:rFonts w:cs="Arial"/>
                <w:b/>
                <w:bCs/>
                <w:sz w:val="20"/>
                <w:szCs w:val="20"/>
                <w:lang w:val="en-US"/>
              </w:rPr>
              <w:t>N</w:t>
            </w:r>
            <w:r w:rsidRPr="00427E80">
              <w:rPr>
                <w:rFonts w:cs="Arial"/>
                <w:b/>
                <w:bCs/>
                <w:spacing w:val="-1"/>
                <w:sz w:val="20"/>
                <w:szCs w:val="20"/>
                <w:lang w:val="en-US"/>
              </w:rPr>
              <w:t>=</w:t>
            </w:r>
            <w:r w:rsidRPr="00427E80">
              <w:rPr>
                <w:rFonts w:cs="Arial"/>
                <w:b/>
                <w:bCs/>
                <w:sz w:val="20"/>
                <w:szCs w:val="20"/>
                <w:lang w:val="en-US"/>
              </w:rPr>
              <w:t>4</w:t>
            </w:r>
            <w:r w:rsidRPr="00427E80">
              <w:rPr>
                <w:rFonts w:cs="Arial"/>
                <w:b/>
                <w:bCs/>
                <w:spacing w:val="2"/>
                <w:sz w:val="20"/>
                <w:szCs w:val="20"/>
                <w:lang w:val="en-US"/>
              </w:rPr>
              <w:t>3</w:t>
            </w:r>
            <w:r w:rsidRPr="00427E80">
              <w:rPr>
                <w:rFonts w:cs="Arial"/>
                <w:b/>
                <w:bCs/>
                <w:sz w:val="20"/>
                <w:szCs w:val="20"/>
                <w:lang w:val="en-US"/>
              </w:rPr>
              <w:t>1)</w:t>
            </w:r>
          </w:p>
        </w:tc>
      </w:tr>
      <w:tr w:rsidR="00427E80" w:rsidRPr="00427E80" w:rsidTr="00427E80">
        <w:tc>
          <w:tcPr>
            <w:tcW w:w="2818" w:type="dxa"/>
            <w:shd w:val="clear" w:color="auto" w:fill="auto"/>
          </w:tcPr>
          <w:p w:rsidR="00427E80" w:rsidRPr="00427E80" w:rsidRDefault="00427E80" w:rsidP="00937266">
            <w:pPr>
              <w:autoSpaceDE w:val="0"/>
              <w:autoSpaceDN w:val="0"/>
              <w:adjustRightInd w:val="0"/>
              <w:spacing w:after="60" w:line="240" w:lineRule="auto"/>
              <w:ind w:left="142"/>
              <w:rPr>
                <w:rFonts w:cs="Arial"/>
                <w:b/>
                <w:bCs/>
                <w:color w:val="000000"/>
                <w:position w:val="10"/>
                <w:sz w:val="13"/>
                <w:szCs w:val="13"/>
                <w:lang w:val="en-US"/>
              </w:rPr>
            </w:pPr>
            <w:r w:rsidRPr="00427E80">
              <w:rPr>
                <w:rFonts w:cs="Arial"/>
                <w:b/>
                <w:bCs/>
                <w:color w:val="000000"/>
                <w:sz w:val="20"/>
                <w:szCs w:val="20"/>
                <w:lang w:val="en-US"/>
              </w:rPr>
              <w:t xml:space="preserve">sPGA of (0,1)  </w:t>
            </w:r>
          </w:p>
        </w:tc>
        <w:tc>
          <w:tcPr>
            <w:tcW w:w="2019"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b/>
                <w:bCs/>
                <w:color w:val="000000"/>
                <w:position w:val="10"/>
                <w:sz w:val="13"/>
                <w:szCs w:val="13"/>
                <w:lang w:val="en-US"/>
              </w:rPr>
            </w:pPr>
            <w:r w:rsidRPr="00427E80">
              <w:rPr>
                <w:rFonts w:cs="Arial"/>
                <w:color w:val="000000"/>
                <w:sz w:val="20"/>
                <w:szCs w:val="20"/>
                <w:lang w:val="en-US"/>
              </w:rPr>
              <w:t>354 (81.8%)</w:t>
            </w:r>
            <w:r w:rsidRPr="00427E80">
              <w:rPr>
                <w:rFonts w:cs="Arial"/>
                <w:color w:val="000000"/>
                <w:spacing w:val="-1"/>
                <w:sz w:val="20"/>
                <w:szCs w:val="18"/>
                <w:vertAlign w:val="superscript"/>
                <w:lang w:val="en-US"/>
              </w:rPr>
              <w:t>a</w:t>
            </w:r>
          </w:p>
        </w:tc>
        <w:tc>
          <w:tcPr>
            <w:tcW w:w="2019"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b/>
                <w:bCs/>
                <w:color w:val="000000"/>
                <w:position w:val="10"/>
                <w:sz w:val="13"/>
                <w:szCs w:val="13"/>
                <w:lang w:val="en-US"/>
              </w:rPr>
            </w:pPr>
            <w:r w:rsidRPr="00427E80">
              <w:rPr>
                <w:rFonts w:cs="Arial"/>
                <w:color w:val="000000"/>
                <w:sz w:val="20"/>
                <w:szCs w:val="20"/>
                <w:lang w:val="en-US"/>
              </w:rPr>
              <w:t>330 (76.4%)</w:t>
            </w:r>
            <w:r w:rsidRPr="00427E80">
              <w:rPr>
                <w:rFonts w:cs="Arial"/>
                <w:color w:val="000000"/>
                <w:spacing w:val="-1"/>
                <w:sz w:val="20"/>
                <w:szCs w:val="18"/>
                <w:vertAlign w:val="superscript"/>
                <w:lang w:val="en-US"/>
              </w:rPr>
              <w:t>a</w:t>
            </w:r>
          </w:p>
        </w:tc>
        <w:tc>
          <w:tcPr>
            <w:tcW w:w="2018"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b/>
                <w:bCs/>
                <w:color w:val="000000"/>
                <w:position w:val="10"/>
                <w:sz w:val="13"/>
                <w:szCs w:val="13"/>
                <w:lang w:val="en-US"/>
              </w:rPr>
            </w:pPr>
            <w:r w:rsidRPr="00427E80">
              <w:rPr>
                <w:rFonts w:cs="Arial"/>
                <w:color w:val="000000"/>
                <w:sz w:val="20"/>
                <w:szCs w:val="20"/>
                <w:lang w:val="en-US"/>
              </w:rPr>
              <w:t>14 (3.2%)</w:t>
            </w:r>
          </w:p>
        </w:tc>
      </w:tr>
      <w:tr w:rsidR="00427E80" w:rsidRPr="00427E80" w:rsidTr="00427E80">
        <w:tc>
          <w:tcPr>
            <w:tcW w:w="2818" w:type="dxa"/>
            <w:shd w:val="clear" w:color="auto" w:fill="auto"/>
          </w:tcPr>
          <w:p w:rsidR="00427E80" w:rsidRPr="00427E80" w:rsidRDefault="00427E80" w:rsidP="00937266">
            <w:pPr>
              <w:autoSpaceDE w:val="0"/>
              <w:autoSpaceDN w:val="0"/>
              <w:adjustRightInd w:val="0"/>
              <w:spacing w:after="60" w:line="240" w:lineRule="auto"/>
              <w:ind w:left="142"/>
              <w:rPr>
                <w:rFonts w:cs="Arial"/>
                <w:b/>
                <w:bCs/>
                <w:color w:val="000000"/>
                <w:sz w:val="20"/>
                <w:szCs w:val="20"/>
                <w:lang w:val="en-US"/>
              </w:rPr>
            </w:pPr>
            <w:r w:rsidRPr="00427E80">
              <w:rPr>
                <w:rFonts w:cs="Arial"/>
                <w:b/>
                <w:bCs/>
                <w:color w:val="000000"/>
                <w:sz w:val="20"/>
                <w:szCs w:val="20"/>
                <w:lang w:val="en-US"/>
              </w:rPr>
              <w:t xml:space="preserve">PASI 75 </w:t>
            </w:r>
          </w:p>
        </w:tc>
        <w:tc>
          <w:tcPr>
            <w:tcW w:w="2019"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color w:val="000000"/>
                <w:sz w:val="20"/>
                <w:szCs w:val="20"/>
                <w:lang w:val="en-US"/>
              </w:rPr>
            </w:pPr>
            <w:r w:rsidRPr="00427E80">
              <w:rPr>
                <w:rFonts w:cs="Arial"/>
                <w:color w:val="000000"/>
                <w:sz w:val="20"/>
                <w:szCs w:val="20"/>
                <w:lang w:val="en-US"/>
              </w:rPr>
              <w:t>386 (89.1%)</w:t>
            </w:r>
            <w:r w:rsidRPr="00427E80">
              <w:rPr>
                <w:rFonts w:cs="Arial"/>
                <w:color w:val="000000"/>
                <w:spacing w:val="-1"/>
                <w:sz w:val="20"/>
                <w:szCs w:val="18"/>
                <w:vertAlign w:val="superscript"/>
                <w:lang w:val="en-US"/>
              </w:rPr>
              <w:t>a</w:t>
            </w:r>
          </w:p>
        </w:tc>
        <w:tc>
          <w:tcPr>
            <w:tcW w:w="2019"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color w:val="000000"/>
                <w:sz w:val="20"/>
                <w:szCs w:val="20"/>
                <w:lang w:val="en-US"/>
              </w:rPr>
            </w:pPr>
            <w:r w:rsidRPr="00427E80">
              <w:rPr>
                <w:rFonts w:cs="Arial"/>
                <w:color w:val="000000"/>
                <w:sz w:val="20"/>
                <w:szCs w:val="20"/>
                <w:lang w:val="en-US"/>
              </w:rPr>
              <w:t>357 (82.6%)</w:t>
            </w:r>
            <w:r w:rsidRPr="00427E80">
              <w:rPr>
                <w:rFonts w:cs="Arial"/>
                <w:color w:val="000000"/>
                <w:spacing w:val="-1"/>
                <w:sz w:val="20"/>
                <w:szCs w:val="18"/>
                <w:vertAlign w:val="superscript"/>
                <w:lang w:val="en-US"/>
              </w:rPr>
              <w:t>a</w:t>
            </w:r>
          </w:p>
        </w:tc>
        <w:tc>
          <w:tcPr>
            <w:tcW w:w="2018"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color w:val="000000"/>
                <w:sz w:val="20"/>
                <w:szCs w:val="20"/>
                <w:lang w:val="en-US"/>
              </w:rPr>
            </w:pPr>
            <w:r w:rsidRPr="00427E80">
              <w:rPr>
                <w:rFonts w:cs="Arial"/>
                <w:color w:val="000000"/>
                <w:sz w:val="20"/>
                <w:szCs w:val="20"/>
                <w:lang w:val="en-US"/>
              </w:rPr>
              <w:t>17 (3.9%)</w:t>
            </w:r>
          </w:p>
        </w:tc>
      </w:tr>
      <w:tr w:rsidR="00427E80" w:rsidRPr="00427E80" w:rsidTr="00427E80">
        <w:tc>
          <w:tcPr>
            <w:tcW w:w="2818" w:type="dxa"/>
            <w:shd w:val="clear" w:color="auto" w:fill="auto"/>
          </w:tcPr>
          <w:p w:rsidR="00427E80" w:rsidRPr="00427E80" w:rsidRDefault="00427E80" w:rsidP="00937266">
            <w:pPr>
              <w:autoSpaceDE w:val="0"/>
              <w:autoSpaceDN w:val="0"/>
              <w:adjustRightInd w:val="0"/>
              <w:spacing w:after="60" w:line="240" w:lineRule="auto"/>
              <w:ind w:left="142"/>
              <w:rPr>
                <w:rFonts w:cs="Arial"/>
                <w:b/>
                <w:bCs/>
                <w:color w:val="000000"/>
                <w:sz w:val="20"/>
                <w:szCs w:val="20"/>
                <w:lang w:val="en-US"/>
              </w:rPr>
            </w:pPr>
            <w:r w:rsidRPr="00427E80">
              <w:rPr>
                <w:rFonts w:cs="Arial"/>
                <w:b/>
                <w:bCs/>
                <w:color w:val="000000"/>
                <w:sz w:val="20"/>
                <w:szCs w:val="20"/>
                <w:lang w:val="en-US"/>
              </w:rPr>
              <w:t>sPGA 0</w:t>
            </w:r>
          </w:p>
        </w:tc>
        <w:tc>
          <w:tcPr>
            <w:tcW w:w="2019"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color w:val="000000"/>
                <w:sz w:val="20"/>
                <w:szCs w:val="20"/>
                <w:lang w:val="en-US"/>
              </w:rPr>
            </w:pPr>
            <w:r w:rsidRPr="00427E80">
              <w:rPr>
                <w:rFonts w:cs="Arial"/>
                <w:color w:val="000000"/>
                <w:sz w:val="20"/>
                <w:szCs w:val="20"/>
                <w:lang w:val="en-US"/>
              </w:rPr>
              <w:t>160 (37.0%)</w:t>
            </w:r>
            <w:r w:rsidRPr="00427E80">
              <w:rPr>
                <w:rFonts w:cs="Arial"/>
                <w:color w:val="000000"/>
                <w:spacing w:val="-1"/>
                <w:sz w:val="20"/>
                <w:szCs w:val="18"/>
                <w:vertAlign w:val="superscript"/>
                <w:lang w:val="en-US"/>
              </w:rPr>
              <w:t>a</w:t>
            </w:r>
            <w:r w:rsidRPr="00427E80">
              <w:rPr>
                <w:rFonts w:cs="Arial"/>
                <w:color w:val="000000"/>
                <w:sz w:val="20"/>
                <w:szCs w:val="18"/>
                <w:vertAlign w:val="superscript"/>
                <w:lang w:val="en-US"/>
              </w:rPr>
              <w:t xml:space="preserve"> </w:t>
            </w:r>
          </w:p>
        </w:tc>
        <w:tc>
          <w:tcPr>
            <w:tcW w:w="2019"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color w:val="000000"/>
                <w:sz w:val="20"/>
                <w:szCs w:val="20"/>
                <w:lang w:val="en-US"/>
              </w:rPr>
            </w:pPr>
            <w:r w:rsidRPr="00427E80">
              <w:rPr>
                <w:rFonts w:cs="Arial"/>
                <w:color w:val="000000"/>
                <w:sz w:val="20"/>
                <w:szCs w:val="20"/>
                <w:lang w:val="en-US"/>
              </w:rPr>
              <w:t>149 (34.5%)</w:t>
            </w:r>
            <w:r w:rsidRPr="00427E80">
              <w:rPr>
                <w:rFonts w:cs="Arial"/>
                <w:color w:val="000000"/>
                <w:spacing w:val="-1"/>
                <w:sz w:val="20"/>
                <w:szCs w:val="18"/>
                <w:vertAlign w:val="superscript"/>
                <w:lang w:val="en-US"/>
              </w:rPr>
              <w:t>a</w:t>
            </w:r>
          </w:p>
        </w:tc>
        <w:tc>
          <w:tcPr>
            <w:tcW w:w="2018"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color w:val="000000"/>
                <w:sz w:val="20"/>
                <w:szCs w:val="20"/>
                <w:lang w:val="en-US"/>
              </w:rPr>
            </w:pPr>
            <w:r w:rsidRPr="00427E80">
              <w:rPr>
                <w:rFonts w:cs="Arial"/>
                <w:color w:val="000000"/>
                <w:sz w:val="20"/>
                <w:szCs w:val="20"/>
                <w:lang w:val="en-US"/>
              </w:rPr>
              <w:t>0</w:t>
            </w:r>
          </w:p>
        </w:tc>
      </w:tr>
      <w:tr w:rsidR="00427E80" w:rsidRPr="00427E80" w:rsidTr="00427E80">
        <w:tc>
          <w:tcPr>
            <w:tcW w:w="2818" w:type="dxa"/>
            <w:shd w:val="clear" w:color="auto" w:fill="auto"/>
          </w:tcPr>
          <w:p w:rsidR="00427E80" w:rsidRPr="00427E80" w:rsidRDefault="00427E80" w:rsidP="00937266">
            <w:pPr>
              <w:autoSpaceDE w:val="0"/>
              <w:autoSpaceDN w:val="0"/>
              <w:adjustRightInd w:val="0"/>
              <w:spacing w:after="60" w:line="240" w:lineRule="auto"/>
              <w:ind w:left="142"/>
              <w:rPr>
                <w:rFonts w:cs="Arial"/>
                <w:b/>
                <w:bCs/>
                <w:color w:val="000000"/>
                <w:sz w:val="20"/>
                <w:szCs w:val="20"/>
                <w:lang w:val="en-US"/>
              </w:rPr>
            </w:pPr>
            <w:r w:rsidRPr="00427E80">
              <w:rPr>
                <w:rFonts w:cs="Arial"/>
                <w:b/>
                <w:bCs/>
                <w:color w:val="000000"/>
                <w:sz w:val="20"/>
                <w:szCs w:val="20"/>
                <w:lang w:val="en-US"/>
              </w:rPr>
              <w:t xml:space="preserve">PASI 90 </w:t>
            </w:r>
          </w:p>
        </w:tc>
        <w:tc>
          <w:tcPr>
            <w:tcW w:w="2019"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color w:val="000000"/>
                <w:sz w:val="20"/>
                <w:szCs w:val="20"/>
                <w:lang w:val="en-US"/>
              </w:rPr>
            </w:pPr>
            <w:r w:rsidRPr="00427E80">
              <w:rPr>
                <w:rFonts w:cs="Arial"/>
                <w:color w:val="000000"/>
                <w:sz w:val="20"/>
                <w:szCs w:val="20"/>
                <w:lang w:val="en-US"/>
              </w:rPr>
              <w:t>307 (70.9%)</w:t>
            </w:r>
            <w:r w:rsidRPr="00427E80">
              <w:rPr>
                <w:rFonts w:cs="Arial"/>
                <w:color w:val="000000"/>
                <w:spacing w:val="-1"/>
                <w:sz w:val="20"/>
                <w:szCs w:val="18"/>
                <w:vertAlign w:val="superscript"/>
                <w:lang w:val="en-US"/>
              </w:rPr>
              <w:t>a</w:t>
            </w:r>
          </w:p>
        </w:tc>
        <w:tc>
          <w:tcPr>
            <w:tcW w:w="2019"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color w:val="000000"/>
                <w:sz w:val="20"/>
                <w:szCs w:val="20"/>
                <w:lang w:val="en-US"/>
              </w:rPr>
            </w:pPr>
            <w:r w:rsidRPr="00427E80">
              <w:rPr>
                <w:rFonts w:cs="Arial"/>
                <w:color w:val="000000"/>
                <w:sz w:val="20"/>
                <w:szCs w:val="20"/>
                <w:lang w:val="en-US"/>
              </w:rPr>
              <w:t>279 (64.6%)</w:t>
            </w:r>
            <w:r w:rsidRPr="00427E80">
              <w:rPr>
                <w:rFonts w:cs="Arial"/>
                <w:color w:val="000000"/>
                <w:spacing w:val="-1"/>
                <w:sz w:val="20"/>
                <w:szCs w:val="18"/>
                <w:vertAlign w:val="superscript"/>
                <w:lang w:val="en-US"/>
              </w:rPr>
              <w:t>a</w:t>
            </w:r>
          </w:p>
        </w:tc>
        <w:tc>
          <w:tcPr>
            <w:tcW w:w="2018"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color w:val="000000"/>
                <w:sz w:val="20"/>
                <w:szCs w:val="20"/>
                <w:lang w:val="en-US"/>
              </w:rPr>
            </w:pPr>
            <w:r w:rsidRPr="00427E80">
              <w:rPr>
                <w:rFonts w:cs="Arial"/>
                <w:color w:val="000000"/>
                <w:sz w:val="20"/>
                <w:szCs w:val="20"/>
                <w:lang w:val="en-US"/>
              </w:rPr>
              <w:t>2 (0.5%)</w:t>
            </w:r>
          </w:p>
        </w:tc>
      </w:tr>
      <w:tr w:rsidR="00427E80" w:rsidRPr="00427E80" w:rsidTr="00427E80">
        <w:tc>
          <w:tcPr>
            <w:tcW w:w="2818" w:type="dxa"/>
            <w:shd w:val="clear" w:color="auto" w:fill="auto"/>
          </w:tcPr>
          <w:p w:rsidR="00427E80" w:rsidRPr="00427E80" w:rsidRDefault="00427E80" w:rsidP="00937266">
            <w:pPr>
              <w:autoSpaceDE w:val="0"/>
              <w:autoSpaceDN w:val="0"/>
              <w:adjustRightInd w:val="0"/>
              <w:spacing w:after="60" w:line="240" w:lineRule="auto"/>
              <w:ind w:left="142"/>
              <w:rPr>
                <w:rFonts w:cs="Arial"/>
                <w:b/>
                <w:bCs/>
                <w:color w:val="000000"/>
                <w:sz w:val="20"/>
                <w:szCs w:val="20"/>
                <w:lang w:val="en-US"/>
              </w:rPr>
            </w:pPr>
            <w:r w:rsidRPr="00427E80">
              <w:rPr>
                <w:rFonts w:cs="Arial"/>
                <w:b/>
                <w:bCs/>
                <w:color w:val="000000"/>
                <w:sz w:val="20"/>
                <w:szCs w:val="20"/>
                <w:lang w:val="en-US"/>
              </w:rPr>
              <w:t xml:space="preserve">PASI 100 </w:t>
            </w:r>
          </w:p>
        </w:tc>
        <w:tc>
          <w:tcPr>
            <w:tcW w:w="2019"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color w:val="000000"/>
                <w:sz w:val="20"/>
                <w:szCs w:val="20"/>
                <w:lang w:val="en-US"/>
              </w:rPr>
            </w:pPr>
            <w:r w:rsidRPr="00427E80">
              <w:rPr>
                <w:rFonts w:cs="Arial"/>
                <w:color w:val="000000"/>
                <w:sz w:val="20"/>
                <w:szCs w:val="20"/>
                <w:lang w:val="en-US"/>
              </w:rPr>
              <w:t>153 (35.3%)</w:t>
            </w:r>
            <w:r w:rsidRPr="00427E80">
              <w:rPr>
                <w:rFonts w:cs="Arial"/>
                <w:color w:val="000000"/>
                <w:spacing w:val="-1"/>
                <w:sz w:val="20"/>
                <w:szCs w:val="18"/>
                <w:vertAlign w:val="superscript"/>
                <w:lang w:val="en-US"/>
              </w:rPr>
              <w:t>a</w:t>
            </w:r>
          </w:p>
        </w:tc>
        <w:tc>
          <w:tcPr>
            <w:tcW w:w="2019"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color w:val="000000"/>
                <w:sz w:val="20"/>
                <w:szCs w:val="20"/>
                <w:lang w:val="en-US"/>
              </w:rPr>
            </w:pPr>
            <w:r w:rsidRPr="00427E80">
              <w:rPr>
                <w:rFonts w:cs="Arial"/>
                <w:color w:val="000000"/>
                <w:sz w:val="20"/>
                <w:szCs w:val="20"/>
                <w:lang w:val="en-US"/>
              </w:rPr>
              <w:t>145 (33.6%)</w:t>
            </w:r>
            <w:r w:rsidRPr="00427E80">
              <w:rPr>
                <w:rFonts w:cs="Arial"/>
                <w:color w:val="000000"/>
                <w:spacing w:val="-1"/>
                <w:sz w:val="20"/>
                <w:szCs w:val="18"/>
                <w:vertAlign w:val="superscript"/>
                <w:lang w:val="en-US"/>
              </w:rPr>
              <w:t xml:space="preserve"> </w:t>
            </w:r>
          </w:p>
        </w:tc>
        <w:tc>
          <w:tcPr>
            <w:tcW w:w="2018"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color w:val="000000"/>
                <w:sz w:val="20"/>
                <w:szCs w:val="20"/>
                <w:lang w:val="en-US"/>
              </w:rPr>
            </w:pPr>
            <w:r w:rsidRPr="00427E80">
              <w:rPr>
                <w:rFonts w:cs="Arial"/>
                <w:color w:val="000000"/>
                <w:sz w:val="20"/>
                <w:szCs w:val="20"/>
                <w:lang w:val="en-US"/>
              </w:rPr>
              <w:t>0</w:t>
            </w:r>
          </w:p>
        </w:tc>
      </w:tr>
      <w:tr w:rsidR="00427E80" w:rsidRPr="00427E80" w:rsidTr="00427E80">
        <w:tc>
          <w:tcPr>
            <w:tcW w:w="2818" w:type="dxa"/>
            <w:shd w:val="clear" w:color="auto" w:fill="auto"/>
          </w:tcPr>
          <w:p w:rsidR="00427E80" w:rsidRPr="00427E80" w:rsidRDefault="00427E80" w:rsidP="00937266">
            <w:pPr>
              <w:autoSpaceDE w:val="0"/>
              <w:autoSpaceDN w:val="0"/>
              <w:adjustRightInd w:val="0"/>
              <w:spacing w:after="60" w:line="240" w:lineRule="auto"/>
              <w:ind w:left="142"/>
              <w:rPr>
                <w:rFonts w:cs="Arial"/>
                <w:b/>
                <w:bCs/>
                <w:color w:val="000000"/>
                <w:sz w:val="20"/>
                <w:szCs w:val="20"/>
                <w:lang w:val="en-US"/>
              </w:rPr>
            </w:pPr>
            <w:r w:rsidRPr="00427E80">
              <w:rPr>
                <w:rFonts w:cs="Arial"/>
                <w:b/>
                <w:bCs/>
                <w:color w:val="000000"/>
                <w:sz w:val="20"/>
                <w:szCs w:val="20"/>
                <w:lang w:val="en-US"/>
              </w:rPr>
              <w:t>Itch NRS Reduction ≥4</w:t>
            </w:r>
            <w:r w:rsidRPr="00427E80">
              <w:rPr>
                <w:rFonts w:cs="Arial"/>
                <w:color w:val="000000"/>
                <w:sz w:val="20"/>
                <w:szCs w:val="18"/>
                <w:vertAlign w:val="superscript"/>
                <w:lang w:val="en-US"/>
              </w:rPr>
              <w:t>b</w:t>
            </w:r>
          </w:p>
        </w:tc>
        <w:tc>
          <w:tcPr>
            <w:tcW w:w="2019"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color w:val="000000"/>
                <w:sz w:val="20"/>
                <w:szCs w:val="20"/>
                <w:lang w:val="en-US"/>
              </w:rPr>
            </w:pPr>
            <w:r w:rsidRPr="00427E80">
              <w:rPr>
                <w:rFonts w:cs="Arial"/>
                <w:color w:val="000000"/>
                <w:sz w:val="20"/>
                <w:szCs w:val="20"/>
                <w:lang w:val="en-US"/>
              </w:rPr>
              <w:t>336 (85.9%)</w:t>
            </w:r>
            <w:r w:rsidRPr="00427E80">
              <w:rPr>
                <w:rFonts w:cs="Arial"/>
                <w:color w:val="000000"/>
                <w:spacing w:val="-1"/>
                <w:sz w:val="20"/>
                <w:szCs w:val="18"/>
                <w:vertAlign w:val="superscript"/>
                <w:lang w:val="en-US"/>
              </w:rPr>
              <w:t>a</w:t>
            </w:r>
          </w:p>
        </w:tc>
        <w:tc>
          <w:tcPr>
            <w:tcW w:w="2019"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color w:val="000000"/>
                <w:sz w:val="20"/>
                <w:szCs w:val="20"/>
                <w:lang w:val="en-US"/>
              </w:rPr>
            </w:pPr>
            <w:r w:rsidRPr="00427E80">
              <w:rPr>
                <w:rFonts w:cs="Arial"/>
                <w:color w:val="000000"/>
                <w:position w:val="1"/>
                <w:sz w:val="20"/>
                <w:szCs w:val="20"/>
                <w:lang w:val="en-US"/>
              </w:rPr>
              <w:t xml:space="preserve">305 </w:t>
            </w:r>
            <w:r w:rsidRPr="00427E80">
              <w:rPr>
                <w:rFonts w:cs="Arial"/>
                <w:color w:val="000000"/>
                <w:spacing w:val="1"/>
                <w:position w:val="1"/>
                <w:sz w:val="20"/>
                <w:szCs w:val="20"/>
                <w:lang w:val="en-US"/>
              </w:rPr>
              <w:t>(</w:t>
            </w:r>
            <w:r w:rsidRPr="00427E80">
              <w:rPr>
                <w:rFonts w:cs="Arial"/>
                <w:color w:val="000000"/>
                <w:position w:val="1"/>
                <w:sz w:val="20"/>
                <w:szCs w:val="20"/>
                <w:lang w:val="en-US"/>
              </w:rPr>
              <w:t>80</w:t>
            </w:r>
            <w:r w:rsidRPr="00427E80">
              <w:rPr>
                <w:rFonts w:cs="Arial"/>
                <w:color w:val="000000"/>
                <w:spacing w:val="-2"/>
                <w:position w:val="1"/>
                <w:sz w:val="20"/>
                <w:szCs w:val="20"/>
                <w:lang w:val="en-US"/>
              </w:rPr>
              <w:t>.</w:t>
            </w:r>
            <w:r w:rsidRPr="00427E80">
              <w:rPr>
                <w:rFonts w:cs="Arial"/>
                <w:color w:val="000000"/>
                <w:position w:val="1"/>
                <w:sz w:val="20"/>
                <w:szCs w:val="20"/>
                <w:lang w:val="en-US"/>
              </w:rPr>
              <w:t xml:space="preserve">5 </w:t>
            </w:r>
            <w:r w:rsidRPr="00427E80">
              <w:rPr>
                <w:rFonts w:cs="Arial"/>
                <w:color w:val="000000"/>
                <w:spacing w:val="-1"/>
                <w:position w:val="1"/>
                <w:sz w:val="20"/>
                <w:szCs w:val="20"/>
                <w:lang w:val="en-US"/>
              </w:rPr>
              <w:t>%)</w:t>
            </w:r>
            <w:r w:rsidRPr="00427E80">
              <w:rPr>
                <w:rFonts w:cs="Arial"/>
                <w:color w:val="000000"/>
                <w:spacing w:val="-1"/>
                <w:sz w:val="20"/>
                <w:szCs w:val="18"/>
                <w:vertAlign w:val="superscript"/>
                <w:lang w:val="en-US"/>
              </w:rPr>
              <w:t>a</w:t>
            </w:r>
          </w:p>
        </w:tc>
        <w:tc>
          <w:tcPr>
            <w:tcW w:w="2018" w:type="dxa"/>
            <w:shd w:val="clear" w:color="auto" w:fill="auto"/>
          </w:tcPr>
          <w:p w:rsidR="00427E80" w:rsidRPr="00427E80" w:rsidRDefault="00427E80" w:rsidP="00937266">
            <w:pPr>
              <w:autoSpaceDE w:val="0"/>
              <w:autoSpaceDN w:val="0"/>
              <w:adjustRightInd w:val="0"/>
              <w:spacing w:after="60" w:line="240" w:lineRule="auto"/>
              <w:ind w:left="142"/>
              <w:jc w:val="center"/>
              <w:rPr>
                <w:rFonts w:cs="Arial"/>
                <w:color w:val="000000"/>
                <w:sz w:val="20"/>
                <w:szCs w:val="20"/>
                <w:lang w:val="en-US"/>
              </w:rPr>
            </w:pPr>
            <w:r w:rsidRPr="00427E80">
              <w:rPr>
                <w:rFonts w:cs="Arial"/>
                <w:color w:val="000000"/>
                <w:sz w:val="20"/>
                <w:szCs w:val="20"/>
                <w:lang w:val="en-US"/>
              </w:rPr>
              <w:t>58 (15.5%)</w:t>
            </w:r>
          </w:p>
        </w:tc>
      </w:tr>
    </w:tbl>
    <w:p w:rsidR="00427E80" w:rsidRPr="00DE6B41" w:rsidRDefault="00427E80" w:rsidP="00937266">
      <w:pPr>
        <w:pStyle w:val="TblFootnote"/>
        <w:tabs>
          <w:tab w:val="clear" w:pos="259"/>
        </w:tabs>
        <w:spacing w:after="0" w:line="240" w:lineRule="auto"/>
        <w:ind w:left="142" w:firstLine="0"/>
      </w:pPr>
      <w:r w:rsidRPr="00DE6B41">
        <w:rPr>
          <w:spacing w:val="-1"/>
        </w:rPr>
        <w:t>A</w:t>
      </w:r>
      <w:r w:rsidRPr="00DE6B41">
        <w:t>bb</w:t>
      </w:r>
      <w:r w:rsidRPr="00DE6B41">
        <w:rPr>
          <w:spacing w:val="1"/>
        </w:rPr>
        <w:t>r</w:t>
      </w:r>
      <w:r w:rsidRPr="00DE6B41">
        <w:rPr>
          <w:spacing w:val="2"/>
        </w:rPr>
        <w:t>e</w:t>
      </w:r>
      <w:r w:rsidRPr="00DE6B41">
        <w:rPr>
          <w:spacing w:val="1"/>
        </w:rPr>
        <w:t>v</w:t>
      </w:r>
      <w:r w:rsidRPr="00DE6B41">
        <w:rPr>
          <w:spacing w:val="-1"/>
        </w:rPr>
        <w:t>i</w:t>
      </w:r>
      <w:r w:rsidRPr="00DE6B41">
        <w:t>a</w:t>
      </w:r>
      <w:r w:rsidRPr="00DE6B41">
        <w:rPr>
          <w:spacing w:val="2"/>
        </w:rPr>
        <w:t>t</w:t>
      </w:r>
      <w:r w:rsidRPr="00DE6B41">
        <w:rPr>
          <w:spacing w:val="-1"/>
        </w:rPr>
        <w:t>i</w:t>
      </w:r>
      <w:r w:rsidRPr="00DE6B41">
        <w:t>on</w:t>
      </w:r>
      <w:r w:rsidRPr="00DE6B41">
        <w:rPr>
          <w:spacing w:val="1"/>
        </w:rPr>
        <w:t>s</w:t>
      </w:r>
      <w:r w:rsidRPr="00DE6B41">
        <w:t>:</w:t>
      </w:r>
      <w:r w:rsidRPr="00DE6B41">
        <w:rPr>
          <w:spacing w:val="-14"/>
        </w:rPr>
        <w:t xml:space="preserve"> </w:t>
      </w:r>
      <w:r w:rsidRPr="00DE6B41">
        <w:t>N=nu</w:t>
      </w:r>
      <w:r w:rsidRPr="00DE6B41">
        <w:rPr>
          <w:spacing w:val="4"/>
        </w:rPr>
        <w:t>m</w:t>
      </w:r>
      <w:r w:rsidRPr="00DE6B41">
        <w:t>ber</w:t>
      </w:r>
      <w:r w:rsidRPr="00DE6B41">
        <w:rPr>
          <w:spacing w:val="-7"/>
        </w:rPr>
        <w:t xml:space="preserve"> </w:t>
      </w:r>
      <w:r w:rsidRPr="00DE6B41">
        <w:t>of pat</w:t>
      </w:r>
      <w:r w:rsidRPr="00DE6B41">
        <w:rPr>
          <w:spacing w:val="-1"/>
        </w:rPr>
        <w:t>i</w:t>
      </w:r>
      <w:r w:rsidRPr="00DE6B41">
        <w:rPr>
          <w:spacing w:val="2"/>
        </w:rPr>
        <w:t>e</w:t>
      </w:r>
      <w:r w:rsidRPr="00DE6B41">
        <w:t>nts</w:t>
      </w:r>
      <w:r w:rsidRPr="00DE6B41">
        <w:rPr>
          <w:spacing w:val="-6"/>
        </w:rPr>
        <w:t xml:space="preserve"> </w:t>
      </w:r>
      <w:r w:rsidRPr="00DE6B41">
        <w:rPr>
          <w:spacing w:val="1"/>
        </w:rPr>
        <w:t>i</w:t>
      </w:r>
      <w:r w:rsidRPr="00DE6B41">
        <w:t>n</w:t>
      </w:r>
      <w:r w:rsidRPr="00DE6B41">
        <w:rPr>
          <w:spacing w:val="-3"/>
        </w:rPr>
        <w:t xml:space="preserve"> </w:t>
      </w:r>
      <w:r w:rsidRPr="00DE6B41">
        <w:t>t</w:t>
      </w:r>
      <w:r w:rsidRPr="00DE6B41">
        <w:rPr>
          <w:spacing w:val="2"/>
        </w:rPr>
        <w:t>h</w:t>
      </w:r>
      <w:r w:rsidRPr="00DE6B41">
        <w:t>e</w:t>
      </w:r>
      <w:r w:rsidRPr="00DE6B41">
        <w:rPr>
          <w:spacing w:val="-4"/>
        </w:rPr>
        <w:t xml:space="preserve"> </w:t>
      </w:r>
      <w:r w:rsidRPr="00DE6B41">
        <w:rPr>
          <w:spacing w:val="1"/>
        </w:rPr>
        <w:t>i</w:t>
      </w:r>
      <w:r w:rsidRPr="00DE6B41">
        <w:t>nte</w:t>
      </w:r>
      <w:r w:rsidRPr="00DE6B41">
        <w:rPr>
          <w:spacing w:val="2"/>
        </w:rPr>
        <w:t>n</w:t>
      </w:r>
      <w:r w:rsidRPr="00DE6B41">
        <w:rPr>
          <w:spacing w:val="1"/>
        </w:rPr>
        <w:t>t-</w:t>
      </w:r>
      <w:r w:rsidRPr="00DE6B41">
        <w:t>to</w:t>
      </w:r>
      <w:r w:rsidRPr="00DE6B41">
        <w:rPr>
          <w:spacing w:val="1"/>
        </w:rPr>
        <w:t>-</w:t>
      </w:r>
      <w:r w:rsidRPr="00DE6B41">
        <w:t>t</w:t>
      </w:r>
      <w:r w:rsidRPr="00DE6B41">
        <w:rPr>
          <w:spacing w:val="3"/>
        </w:rPr>
        <w:t>r</w:t>
      </w:r>
      <w:r w:rsidRPr="00DE6B41">
        <w:t>eat</w:t>
      </w:r>
      <w:r w:rsidRPr="00DE6B41">
        <w:rPr>
          <w:spacing w:val="-13"/>
        </w:rPr>
        <w:t xml:space="preserve"> </w:t>
      </w:r>
      <w:r w:rsidRPr="00DE6B41">
        <w:rPr>
          <w:spacing w:val="2"/>
        </w:rPr>
        <w:t>p</w:t>
      </w:r>
      <w:r w:rsidRPr="00DE6B41">
        <w:t>op</w:t>
      </w:r>
      <w:r w:rsidRPr="00DE6B41">
        <w:rPr>
          <w:spacing w:val="2"/>
        </w:rPr>
        <w:t>u</w:t>
      </w:r>
      <w:r w:rsidRPr="00DE6B41">
        <w:rPr>
          <w:spacing w:val="-1"/>
        </w:rPr>
        <w:t>l</w:t>
      </w:r>
      <w:r w:rsidRPr="00DE6B41">
        <w:t>a</w:t>
      </w:r>
      <w:r w:rsidRPr="00DE6B41">
        <w:rPr>
          <w:spacing w:val="2"/>
        </w:rPr>
        <w:t>t</w:t>
      </w:r>
      <w:r w:rsidRPr="00DE6B41">
        <w:rPr>
          <w:spacing w:val="-1"/>
        </w:rPr>
        <w:t>i</w:t>
      </w:r>
      <w:r w:rsidRPr="00DE6B41">
        <w:rPr>
          <w:spacing w:val="2"/>
        </w:rPr>
        <w:t>o</w:t>
      </w:r>
      <w:r w:rsidRPr="00DE6B41">
        <w:t>n;</w:t>
      </w:r>
      <w:r w:rsidRPr="00DE6B41">
        <w:rPr>
          <w:spacing w:val="-11"/>
        </w:rPr>
        <w:t xml:space="preserve"> </w:t>
      </w:r>
      <w:r w:rsidRPr="00DE6B41">
        <w:t>NRI=Non</w:t>
      </w:r>
      <w:r w:rsidRPr="00DE6B41">
        <w:rPr>
          <w:spacing w:val="4"/>
        </w:rPr>
        <w:t>-</w:t>
      </w:r>
      <w:r w:rsidRPr="00DE6B41">
        <w:t>Re</w:t>
      </w:r>
      <w:r w:rsidRPr="00DE6B41">
        <w:rPr>
          <w:spacing w:val="1"/>
        </w:rPr>
        <w:t>s</w:t>
      </w:r>
      <w:r w:rsidRPr="00DE6B41">
        <w:t>po</w:t>
      </w:r>
      <w:r w:rsidRPr="00DE6B41">
        <w:rPr>
          <w:spacing w:val="2"/>
        </w:rPr>
        <w:t>n</w:t>
      </w:r>
      <w:r w:rsidRPr="00DE6B41">
        <w:t>der</w:t>
      </w:r>
      <w:r w:rsidRPr="00DE6B41">
        <w:rPr>
          <w:spacing w:val="-14"/>
        </w:rPr>
        <w:t xml:space="preserve"> </w:t>
      </w:r>
      <w:r w:rsidRPr="00DE6B41">
        <w:t>I</w:t>
      </w:r>
      <w:r w:rsidRPr="00DE6B41">
        <w:rPr>
          <w:spacing w:val="4"/>
        </w:rPr>
        <w:t>m</w:t>
      </w:r>
      <w:r w:rsidRPr="00DE6B41">
        <w:t>putat</w:t>
      </w:r>
      <w:r w:rsidRPr="00DE6B41">
        <w:rPr>
          <w:spacing w:val="1"/>
        </w:rPr>
        <w:t>i</w:t>
      </w:r>
      <w:r w:rsidRPr="00DE6B41">
        <w:t>on</w:t>
      </w:r>
    </w:p>
    <w:p w:rsidR="00427E80" w:rsidRPr="00DE6B41" w:rsidRDefault="00427E80" w:rsidP="00937266">
      <w:pPr>
        <w:pStyle w:val="TblFootnote"/>
        <w:tabs>
          <w:tab w:val="clear" w:pos="259"/>
        </w:tabs>
        <w:spacing w:after="0" w:line="240" w:lineRule="auto"/>
        <w:ind w:left="142" w:firstLine="0"/>
      </w:pPr>
      <w:r w:rsidRPr="00DE6B41">
        <w:rPr>
          <w:spacing w:val="-1"/>
          <w:vertAlign w:val="superscript"/>
        </w:rPr>
        <w:t>a</w:t>
      </w:r>
      <w:r w:rsidRPr="00DE6B41">
        <w:rPr>
          <w:vertAlign w:val="superscript"/>
        </w:rPr>
        <w:t xml:space="preserve"> </w:t>
      </w:r>
      <w:r w:rsidR="000275CB" w:rsidRPr="00DE6B41">
        <w:rPr>
          <w:vertAlign w:val="superscript"/>
        </w:rPr>
        <w:t xml:space="preserve"> </w:t>
      </w:r>
      <w:r w:rsidRPr="00DE6B41">
        <w:t>p&lt;0.001 compared with placebo</w:t>
      </w:r>
    </w:p>
    <w:p w:rsidR="00427E80" w:rsidRDefault="00427E80" w:rsidP="00937266">
      <w:pPr>
        <w:pStyle w:val="TblFootnote"/>
        <w:tabs>
          <w:tab w:val="clear" w:pos="259"/>
        </w:tabs>
        <w:spacing w:after="0" w:line="240" w:lineRule="auto"/>
        <w:ind w:left="142" w:firstLine="0"/>
      </w:pPr>
      <w:r w:rsidRPr="00DE6B41">
        <w:rPr>
          <w:vertAlign w:val="superscript"/>
        </w:rPr>
        <w:t xml:space="preserve">b </w:t>
      </w:r>
      <w:r w:rsidR="000275CB" w:rsidRPr="00DE6B41">
        <w:rPr>
          <w:vertAlign w:val="superscript"/>
        </w:rPr>
        <w:t xml:space="preserve"> </w:t>
      </w:r>
      <w:r w:rsidRPr="00DE6B41">
        <w:t xml:space="preserve">Patients with Itch NRS ≥4 at baseline: TALTZ 80 mg Q2W N=391, TALTZ 80 mg Q4W N=379, placebo N=374. </w:t>
      </w:r>
    </w:p>
    <w:p w:rsidR="009B6A33" w:rsidRPr="009B6A33" w:rsidRDefault="009B6A33" w:rsidP="00937266">
      <w:pPr>
        <w:ind w:left="142"/>
        <w:rPr>
          <w:lang w:val="en-US"/>
        </w:rPr>
      </w:pPr>
    </w:p>
    <w:p w:rsidR="00072F6C" w:rsidRDefault="00427E80" w:rsidP="00937266">
      <w:pPr>
        <w:ind w:left="142"/>
      </w:pPr>
      <w:r w:rsidRPr="00427E80">
        <w:t xml:space="preserve">In the UNCOVER-2 and UNCOVER-3 trials, 1224 patients and 1346 patients were enrolled, respectively. Patients were randomised to receive either TALTZ (80 mg Q2W or Q4W) following a 160 mg starting dose at Week 0, placebo or etanercept 50 mg twice </w:t>
      </w:r>
      <w:r w:rsidR="00CC59E9">
        <w:t xml:space="preserve">weekly for 12 weeks (see Table </w:t>
      </w:r>
      <w:r w:rsidR="004078FD">
        <w:t>5</w:t>
      </w:r>
      <w:r w:rsidRPr="00427E80">
        <w:t>).</w:t>
      </w:r>
    </w:p>
    <w:p w:rsidR="00427E80" w:rsidRPr="000275CB" w:rsidRDefault="00427E80" w:rsidP="00937266">
      <w:pPr>
        <w:pStyle w:val="TableTitle"/>
        <w:pageBreakBefore/>
        <w:ind w:left="142"/>
        <w:rPr>
          <w:lang w:val="en-US"/>
        </w:rPr>
      </w:pPr>
      <w:r w:rsidRPr="000275CB">
        <w:lastRenderedPageBreak/>
        <w:t>Efficacy Results at Week 12 in UNCOVER-2 and UNCOVER-3</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134"/>
        <w:gridCol w:w="1134"/>
        <w:gridCol w:w="1084"/>
        <w:gridCol w:w="1097"/>
        <w:gridCol w:w="1080"/>
        <w:gridCol w:w="1188"/>
        <w:gridCol w:w="966"/>
      </w:tblGrid>
      <w:tr w:rsidR="00F46772" w:rsidRPr="00F46772" w:rsidTr="00937266">
        <w:tc>
          <w:tcPr>
            <w:tcW w:w="1242" w:type="dxa"/>
            <w:vMerge w:val="restart"/>
            <w:shd w:val="clear" w:color="auto" w:fill="auto"/>
          </w:tcPr>
          <w:p w:rsidR="00F46772" w:rsidRPr="00F46772" w:rsidRDefault="00F46772" w:rsidP="00937266">
            <w:pPr>
              <w:keepNext/>
              <w:autoSpaceDE w:val="0"/>
              <w:autoSpaceDN w:val="0"/>
              <w:adjustRightInd w:val="0"/>
              <w:spacing w:after="60" w:line="240" w:lineRule="auto"/>
              <w:ind w:left="142"/>
              <w:rPr>
                <w:rFonts w:cs="Arial"/>
                <w:sz w:val="20"/>
                <w:szCs w:val="20"/>
                <w:highlight w:val="yellow"/>
                <w:lang w:val="en-US"/>
              </w:rPr>
            </w:pPr>
          </w:p>
        </w:tc>
        <w:tc>
          <w:tcPr>
            <w:tcW w:w="4486" w:type="dxa"/>
            <w:gridSpan w:val="4"/>
            <w:shd w:val="clear" w:color="auto" w:fill="auto"/>
          </w:tcPr>
          <w:p w:rsidR="00F46772" w:rsidRPr="00F46772" w:rsidRDefault="00F46772" w:rsidP="00937266">
            <w:pPr>
              <w:keepNext/>
              <w:autoSpaceDE w:val="0"/>
              <w:autoSpaceDN w:val="0"/>
              <w:adjustRightInd w:val="0"/>
              <w:spacing w:after="60" w:line="240" w:lineRule="auto"/>
              <w:ind w:left="32"/>
              <w:jc w:val="center"/>
              <w:rPr>
                <w:rFonts w:cs="Arial"/>
                <w:b/>
                <w:bCs/>
                <w:color w:val="000000"/>
                <w:sz w:val="18"/>
                <w:szCs w:val="18"/>
                <w:lang w:val="en-US"/>
              </w:rPr>
            </w:pPr>
            <w:r w:rsidRPr="00F46772">
              <w:rPr>
                <w:rFonts w:cs="Arial"/>
                <w:b/>
                <w:bCs/>
                <w:color w:val="000000"/>
                <w:sz w:val="18"/>
                <w:szCs w:val="18"/>
                <w:lang w:val="en-US"/>
              </w:rPr>
              <w:t>UNCOVER-2</w:t>
            </w:r>
          </w:p>
          <w:p w:rsidR="00F46772" w:rsidRPr="00F46772" w:rsidRDefault="00F46772" w:rsidP="00937266">
            <w:pPr>
              <w:keepNext/>
              <w:autoSpaceDE w:val="0"/>
              <w:autoSpaceDN w:val="0"/>
              <w:adjustRightInd w:val="0"/>
              <w:spacing w:after="60" w:line="240" w:lineRule="auto"/>
              <w:ind w:left="32"/>
              <w:jc w:val="center"/>
              <w:rPr>
                <w:rFonts w:cs="Arial"/>
                <w:color w:val="000000"/>
                <w:sz w:val="18"/>
                <w:szCs w:val="18"/>
                <w:lang w:val="en-US"/>
              </w:rPr>
            </w:pPr>
            <w:r w:rsidRPr="00F46772">
              <w:rPr>
                <w:rFonts w:cs="Arial"/>
                <w:b/>
                <w:bCs/>
                <w:color w:val="000000"/>
                <w:sz w:val="18"/>
                <w:szCs w:val="18"/>
                <w:lang w:val="en-US"/>
              </w:rPr>
              <w:t>Number of Patients (%), NRI</w:t>
            </w:r>
          </w:p>
        </w:tc>
        <w:tc>
          <w:tcPr>
            <w:tcW w:w="4331" w:type="dxa"/>
            <w:gridSpan w:val="4"/>
            <w:shd w:val="clear" w:color="auto" w:fill="auto"/>
          </w:tcPr>
          <w:p w:rsidR="00F46772" w:rsidRPr="00F46772" w:rsidRDefault="00F46772" w:rsidP="00937266">
            <w:pPr>
              <w:keepNext/>
              <w:autoSpaceDE w:val="0"/>
              <w:autoSpaceDN w:val="0"/>
              <w:adjustRightInd w:val="0"/>
              <w:spacing w:after="60" w:line="240" w:lineRule="auto"/>
              <w:ind w:left="36"/>
              <w:jc w:val="center"/>
              <w:rPr>
                <w:rFonts w:cs="Arial"/>
                <w:b/>
                <w:bCs/>
                <w:color w:val="000000"/>
                <w:sz w:val="18"/>
                <w:szCs w:val="18"/>
                <w:lang w:val="en-US"/>
              </w:rPr>
            </w:pPr>
            <w:r w:rsidRPr="00F46772">
              <w:rPr>
                <w:rFonts w:cs="Arial"/>
                <w:b/>
                <w:bCs/>
                <w:color w:val="000000"/>
                <w:sz w:val="18"/>
                <w:szCs w:val="18"/>
                <w:lang w:val="en-US"/>
              </w:rPr>
              <w:t>UNCOVER-3</w:t>
            </w:r>
          </w:p>
          <w:p w:rsidR="00F46772" w:rsidRPr="00F46772" w:rsidRDefault="00F46772" w:rsidP="00937266">
            <w:pPr>
              <w:keepNext/>
              <w:autoSpaceDE w:val="0"/>
              <w:autoSpaceDN w:val="0"/>
              <w:adjustRightInd w:val="0"/>
              <w:spacing w:after="60" w:line="240" w:lineRule="auto"/>
              <w:ind w:left="36"/>
              <w:jc w:val="center"/>
              <w:rPr>
                <w:rFonts w:cs="Arial"/>
                <w:color w:val="000000"/>
                <w:sz w:val="18"/>
                <w:szCs w:val="18"/>
                <w:lang w:val="en-US"/>
              </w:rPr>
            </w:pPr>
            <w:r w:rsidRPr="00F46772">
              <w:rPr>
                <w:rFonts w:cs="Arial"/>
                <w:b/>
                <w:bCs/>
                <w:color w:val="000000"/>
                <w:sz w:val="18"/>
                <w:szCs w:val="18"/>
                <w:lang w:val="en-US"/>
              </w:rPr>
              <w:t>Number of Patients (%), NRI</w:t>
            </w:r>
          </w:p>
        </w:tc>
      </w:tr>
      <w:tr w:rsidR="00F46772" w:rsidRPr="00F46772" w:rsidTr="00937266">
        <w:trPr>
          <w:trHeight w:val="233"/>
        </w:trPr>
        <w:tc>
          <w:tcPr>
            <w:tcW w:w="1242" w:type="dxa"/>
            <w:vMerge/>
            <w:shd w:val="clear" w:color="auto" w:fill="auto"/>
          </w:tcPr>
          <w:p w:rsidR="00F46772" w:rsidRPr="00F46772" w:rsidRDefault="00F46772" w:rsidP="00937266">
            <w:pPr>
              <w:keepNext/>
              <w:autoSpaceDE w:val="0"/>
              <w:autoSpaceDN w:val="0"/>
              <w:adjustRightInd w:val="0"/>
              <w:spacing w:after="60" w:line="240" w:lineRule="auto"/>
              <w:ind w:left="142"/>
              <w:rPr>
                <w:rFonts w:cs="Arial"/>
                <w:sz w:val="18"/>
                <w:szCs w:val="18"/>
                <w:highlight w:val="yellow"/>
                <w:lang w:val="en-US"/>
              </w:rPr>
            </w:pPr>
          </w:p>
        </w:tc>
        <w:tc>
          <w:tcPr>
            <w:tcW w:w="2268" w:type="dxa"/>
            <w:gridSpan w:val="2"/>
            <w:shd w:val="clear" w:color="auto" w:fill="auto"/>
          </w:tcPr>
          <w:p w:rsidR="00F46772" w:rsidRPr="00F46772" w:rsidRDefault="00F46772" w:rsidP="00937266">
            <w:pPr>
              <w:keepNext/>
              <w:autoSpaceDE w:val="0"/>
              <w:autoSpaceDN w:val="0"/>
              <w:adjustRightInd w:val="0"/>
              <w:spacing w:after="60" w:line="240" w:lineRule="auto"/>
              <w:ind w:left="32"/>
              <w:jc w:val="center"/>
              <w:rPr>
                <w:rFonts w:cs="Arial"/>
                <w:color w:val="000000"/>
                <w:sz w:val="18"/>
                <w:szCs w:val="18"/>
                <w:lang w:val="en-US"/>
              </w:rPr>
            </w:pPr>
            <w:r w:rsidRPr="00F46772">
              <w:rPr>
                <w:rFonts w:cs="Arial"/>
                <w:b/>
                <w:bCs/>
                <w:color w:val="000000"/>
                <w:sz w:val="18"/>
                <w:szCs w:val="18"/>
                <w:lang w:val="en-US"/>
              </w:rPr>
              <w:t>TALTZ</w:t>
            </w:r>
          </w:p>
        </w:tc>
        <w:tc>
          <w:tcPr>
            <w:tcW w:w="1134" w:type="dxa"/>
            <w:shd w:val="clear" w:color="auto" w:fill="auto"/>
          </w:tcPr>
          <w:p w:rsidR="00F46772" w:rsidRPr="00F46772" w:rsidRDefault="00F46772" w:rsidP="00937266">
            <w:pPr>
              <w:keepNext/>
              <w:autoSpaceDE w:val="0"/>
              <w:autoSpaceDN w:val="0"/>
              <w:adjustRightInd w:val="0"/>
              <w:spacing w:after="60" w:line="240" w:lineRule="auto"/>
              <w:ind w:left="32"/>
              <w:rPr>
                <w:rFonts w:cs="Arial"/>
                <w:color w:val="000000"/>
                <w:sz w:val="18"/>
                <w:szCs w:val="18"/>
                <w:lang w:val="en-US"/>
              </w:rPr>
            </w:pPr>
            <w:r w:rsidRPr="00F46772">
              <w:rPr>
                <w:rFonts w:cs="Arial"/>
                <w:b/>
                <w:bCs/>
                <w:color w:val="000000"/>
                <w:sz w:val="18"/>
                <w:szCs w:val="18"/>
                <w:lang w:val="en-US"/>
              </w:rPr>
              <w:t>Etanercept</w:t>
            </w:r>
          </w:p>
        </w:tc>
        <w:tc>
          <w:tcPr>
            <w:tcW w:w="1084" w:type="dxa"/>
            <w:shd w:val="clear" w:color="auto" w:fill="auto"/>
          </w:tcPr>
          <w:p w:rsidR="00F46772" w:rsidRPr="00F46772" w:rsidRDefault="00F46772" w:rsidP="00937266">
            <w:pPr>
              <w:keepNext/>
              <w:autoSpaceDE w:val="0"/>
              <w:autoSpaceDN w:val="0"/>
              <w:adjustRightInd w:val="0"/>
              <w:spacing w:after="60" w:line="240" w:lineRule="auto"/>
              <w:ind w:left="32"/>
              <w:jc w:val="center"/>
              <w:rPr>
                <w:rFonts w:cs="Arial"/>
                <w:color w:val="000000"/>
                <w:sz w:val="18"/>
                <w:szCs w:val="18"/>
                <w:lang w:val="en-US"/>
              </w:rPr>
            </w:pPr>
            <w:r w:rsidRPr="00F46772">
              <w:rPr>
                <w:rFonts w:cs="Arial"/>
                <w:b/>
                <w:bCs/>
                <w:color w:val="000000"/>
                <w:sz w:val="18"/>
                <w:szCs w:val="18"/>
                <w:lang w:val="en-US"/>
              </w:rPr>
              <w:t>Placebo</w:t>
            </w:r>
          </w:p>
        </w:tc>
        <w:tc>
          <w:tcPr>
            <w:tcW w:w="2177" w:type="dxa"/>
            <w:gridSpan w:val="2"/>
            <w:shd w:val="clear" w:color="auto" w:fill="auto"/>
          </w:tcPr>
          <w:p w:rsidR="00F46772" w:rsidRPr="00F46772" w:rsidRDefault="00F46772" w:rsidP="00937266">
            <w:pPr>
              <w:keepNext/>
              <w:autoSpaceDE w:val="0"/>
              <w:autoSpaceDN w:val="0"/>
              <w:adjustRightInd w:val="0"/>
              <w:spacing w:after="60" w:line="240" w:lineRule="auto"/>
              <w:ind w:left="36"/>
              <w:jc w:val="center"/>
              <w:rPr>
                <w:rFonts w:cs="Arial"/>
                <w:color w:val="000000"/>
                <w:sz w:val="18"/>
                <w:szCs w:val="18"/>
                <w:lang w:val="en-US"/>
              </w:rPr>
            </w:pPr>
            <w:r w:rsidRPr="00F46772">
              <w:rPr>
                <w:rFonts w:cs="Arial"/>
                <w:b/>
                <w:bCs/>
                <w:color w:val="000000"/>
                <w:sz w:val="18"/>
                <w:szCs w:val="18"/>
                <w:lang w:val="en-US"/>
              </w:rPr>
              <w:t>TALTZ</w:t>
            </w:r>
          </w:p>
        </w:tc>
        <w:tc>
          <w:tcPr>
            <w:tcW w:w="1188" w:type="dxa"/>
            <w:shd w:val="clear" w:color="auto" w:fill="auto"/>
          </w:tcPr>
          <w:p w:rsidR="00F46772" w:rsidRPr="00F46772" w:rsidRDefault="00F46772" w:rsidP="00937266">
            <w:pPr>
              <w:keepNext/>
              <w:autoSpaceDE w:val="0"/>
              <w:autoSpaceDN w:val="0"/>
              <w:adjustRightInd w:val="0"/>
              <w:spacing w:after="60" w:line="240" w:lineRule="auto"/>
              <w:ind w:left="36"/>
              <w:jc w:val="center"/>
              <w:rPr>
                <w:rFonts w:cs="Arial"/>
                <w:color w:val="000000"/>
                <w:sz w:val="18"/>
                <w:szCs w:val="18"/>
                <w:lang w:val="en-US"/>
              </w:rPr>
            </w:pPr>
            <w:r w:rsidRPr="00F46772">
              <w:rPr>
                <w:rFonts w:cs="Arial"/>
                <w:b/>
                <w:bCs/>
                <w:color w:val="000000"/>
                <w:sz w:val="18"/>
                <w:szCs w:val="18"/>
                <w:lang w:val="en-US"/>
              </w:rPr>
              <w:t>Etanercept</w:t>
            </w:r>
          </w:p>
        </w:tc>
        <w:tc>
          <w:tcPr>
            <w:tcW w:w="966" w:type="dxa"/>
            <w:shd w:val="clear" w:color="auto" w:fill="auto"/>
          </w:tcPr>
          <w:p w:rsidR="00F46772" w:rsidRPr="00F46772" w:rsidRDefault="00F46772" w:rsidP="00937266">
            <w:pPr>
              <w:keepNext/>
              <w:autoSpaceDE w:val="0"/>
              <w:autoSpaceDN w:val="0"/>
              <w:adjustRightInd w:val="0"/>
              <w:spacing w:after="60" w:line="240" w:lineRule="auto"/>
              <w:ind w:left="36"/>
              <w:jc w:val="center"/>
              <w:rPr>
                <w:rFonts w:cs="Arial"/>
                <w:color w:val="000000"/>
                <w:sz w:val="18"/>
                <w:szCs w:val="18"/>
                <w:lang w:val="en-US"/>
              </w:rPr>
            </w:pPr>
            <w:r w:rsidRPr="00F46772">
              <w:rPr>
                <w:rFonts w:cs="Arial"/>
                <w:b/>
                <w:bCs/>
                <w:color w:val="000000"/>
                <w:sz w:val="18"/>
                <w:szCs w:val="18"/>
                <w:lang w:val="en-US"/>
              </w:rPr>
              <w:t>Placebo</w:t>
            </w:r>
          </w:p>
        </w:tc>
      </w:tr>
      <w:tr w:rsidR="00F46772" w:rsidRPr="00F46772" w:rsidTr="00937266">
        <w:tc>
          <w:tcPr>
            <w:tcW w:w="1242" w:type="dxa"/>
            <w:vMerge/>
            <w:shd w:val="clear" w:color="auto" w:fill="auto"/>
          </w:tcPr>
          <w:p w:rsidR="00F46772" w:rsidRPr="00F46772" w:rsidRDefault="00F46772" w:rsidP="00937266">
            <w:pPr>
              <w:keepNext/>
              <w:autoSpaceDE w:val="0"/>
              <w:autoSpaceDN w:val="0"/>
              <w:adjustRightInd w:val="0"/>
              <w:spacing w:after="60" w:line="240" w:lineRule="auto"/>
              <w:ind w:left="142"/>
              <w:rPr>
                <w:rFonts w:cs="Arial"/>
                <w:sz w:val="18"/>
                <w:szCs w:val="18"/>
                <w:highlight w:val="yellow"/>
                <w:lang w:val="en-US"/>
              </w:rPr>
            </w:pPr>
          </w:p>
        </w:tc>
        <w:tc>
          <w:tcPr>
            <w:tcW w:w="1134" w:type="dxa"/>
            <w:shd w:val="clear" w:color="auto" w:fill="auto"/>
          </w:tcPr>
          <w:p w:rsidR="00F46772" w:rsidRPr="00F46772" w:rsidRDefault="00F46772" w:rsidP="00937266">
            <w:pPr>
              <w:keepNext/>
              <w:autoSpaceDE w:val="0"/>
              <w:autoSpaceDN w:val="0"/>
              <w:adjustRightInd w:val="0"/>
              <w:spacing w:after="0" w:line="240" w:lineRule="auto"/>
              <w:ind w:left="32"/>
              <w:jc w:val="center"/>
              <w:rPr>
                <w:rFonts w:cs="Arial"/>
                <w:color w:val="000000"/>
                <w:sz w:val="18"/>
                <w:szCs w:val="18"/>
                <w:lang w:val="en-US"/>
              </w:rPr>
            </w:pPr>
            <w:r w:rsidRPr="00F46772">
              <w:rPr>
                <w:rFonts w:cs="Arial"/>
                <w:b/>
                <w:bCs/>
                <w:color w:val="000000"/>
                <w:sz w:val="18"/>
                <w:szCs w:val="18"/>
                <w:lang w:val="en-US"/>
              </w:rPr>
              <w:t>80 mg</w:t>
            </w:r>
          </w:p>
          <w:p w:rsidR="00F46772" w:rsidRPr="00F46772" w:rsidRDefault="00F46772" w:rsidP="00937266">
            <w:pPr>
              <w:keepNext/>
              <w:autoSpaceDE w:val="0"/>
              <w:autoSpaceDN w:val="0"/>
              <w:adjustRightInd w:val="0"/>
              <w:spacing w:after="0" w:line="240" w:lineRule="auto"/>
              <w:ind w:left="32"/>
              <w:jc w:val="center"/>
              <w:rPr>
                <w:rFonts w:cs="Arial"/>
                <w:sz w:val="18"/>
                <w:szCs w:val="18"/>
                <w:lang w:val="en-US"/>
              </w:rPr>
            </w:pPr>
            <w:r w:rsidRPr="00F46772">
              <w:rPr>
                <w:rFonts w:cs="Arial"/>
                <w:b/>
                <w:bCs/>
                <w:sz w:val="18"/>
                <w:szCs w:val="18"/>
              </w:rPr>
              <w:t>Q2W (N=351)</w:t>
            </w:r>
          </w:p>
        </w:tc>
        <w:tc>
          <w:tcPr>
            <w:tcW w:w="1134" w:type="dxa"/>
            <w:shd w:val="clear" w:color="auto" w:fill="auto"/>
          </w:tcPr>
          <w:p w:rsidR="00F46772" w:rsidRPr="00F46772" w:rsidRDefault="00F46772" w:rsidP="00937266">
            <w:pPr>
              <w:keepNext/>
              <w:autoSpaceDE w:val="0"/>
              <w:autoSpaceDN w:val="0"/>
              <w:adjustRightInd w:val="0"/>
              <w:spacing w:after="0" w:line="240" w:lineRule="auto"/>
              <w:ind w:left="32"/>
              <w:jc w:val="center"/>
              <w:rPr>
                <w:rFonts w:cs="Arial"/>
                <w:color w:val="000000"/>
                <w:sz w:val="18"/>
                <w:szCs w:val="18"/>
                <w:lang w:val="en-US"/>
              </w:rPr>
            </w:pPr>
            <w:r w:rsidRPr="00F46772">
              <w:rPr>
                <w:rFonts w:cs="Arial"/>
                <w:b/>
                <w:bCs/>
                <w:color w:val="000000"/>
                <w:sz w:val="18"/>
                <w:szCs w:val="18"/>
                <w:lang w:val="en-US"/>
              </w:rPr>
              <w:t>80 mg</w:t>
            </w:r>
          </w:p>
          <w:p w:rsidR="00F46772" w:rsidRPr="00F46772" w:rsidRDefault="00F46772" w:rsidP="00937266">
            <w:pPr>
              <w:keepNext/>
              <w:autoSpaceDE w:val="0"/>
              <w:autoSpaceDN w:val="0"/>
              <w:adjustRightInd w:val="0"/>
              <w:spacing w:after="0" w:line="240" w:lineRule="auto"/>
              <w:ind w:left="32"/>
              <w:jc w:val="center"/>
              <w:rPr>
                <w:rFonts w:cs="Arial"/>
                <w:sz w:val="18"/>
                <w:szCs w:val="18"/>
                <w:lang w:val="en-US"/>
              </w:rPr>
            </w:pPr>
            <w:r w:rsidRPr="00F46772">
              <w:rPr>
                <w:rFonts w:cs="Arial"/>
                <w:b/>
                <w:bCs/>
                <w:sz w:val="18"/>
                <w:szCs w:val="18"/>
              </w:rPr>
              <w:t>Q4W (N=347)</w:t>
            </w:r>
          </w:p>
        </w:tc>
        <w:tc>
          <w:tcPr>
            <w:tcW w:w="1134" w:type="dxa"/>
            <w:shd w:val="clear" w:color="auto" w:fill="auto"/>
          </w:tcPr>
          <w:p w:rsidR="00F46772" w:rsidRPr="00F46772" w:rsidRDefault="00F46772" w:rsidP="00937266">
            <w:pPr>
              <w:keepNext/>
              <w:autoSpaceDE w:val="0"/>
              <w:autoSpaceDN w:val="0"/>
              <w:adjustRightInd w:val="0"/>
              <w:spacing w:after="0" w:line="240" w:lineRule="auto"/>
              <w:ind w:left="32"/>
              <w:jc w:val="center"/>
              <w:rPr>
                <w:rFonts w:cs="Arial"/>
                <w:b/>
                <w:bCs/>
                <w:color w:val="000000"/>
                <w:sz w:val="18"/>
                <w:szCs w:val="18"/>
                <w:lang w:val="en-US"/>
              </w:rPr>
            </w:pPr>
            <w:r w:rsidRPr="00F46772">
              <w:rPr>
                <w:rFonts w:cs="Arial"/>
                <w:b/>
                <w:bCs/>
                <w:color w:val="000000"/>
                <w:sz w:val="18"/>
                <w:szCs w:val="18"/>
                <w:lang w:val="en-US"/>
              </w:rPr>
              <w:t>50 mg twice/week</w:t>
            </w:r>
          </w:p>
          <w:p w:rsidR="00F46772" w:rsidRPr="00F46772" w:rsidRDefault="00F46772" w:rsidP="00937266">
            <w:pPr>
              <w:keepNext/>
              <w:autoSpaceDE w:val="0"/>
              <w:autoSpaceDN w:val="0"/>
              <w:adjustRightInd w:val="0"/>
              <w:spacing w:after="0" w:line="240" w:lineRule="auto"/>
              <w:ind w:left="32"/>
              <w:jc w:val="center"/>
              <w:rPr>
                <w:rFonts w:cs="Arial"/>
                <w:color w:val="000000"/>
                <w:sz w:val="18"/>
                <w:szCs w:val="18"/>
                <w:lang w:val="en-US"/>
              </w:rPr>
            </w:pPr>
            <w:r w:rsidRPr="00F46772">
              <w:rPr>
                <w:rFonts w:cs="Arial"/>
                <w:b/>
                <w:bCs/>
                <w:color w:val="000000"/>
                <w:sz w:val="18"/>
                <w:szCs w:val="18"/>
                <w:lang w:val="en-US"/>
              </w:rPr>
              <w:t>(N=358)</w:t>
            </w:r>
          </w:p>
        </w:tc>
        <w:tc>
          <w:tcPr>
            <w:tcW w:w="1084" w:type="dxa"/>
            <w:shd w:val="clear" w:color="auto" w:fill="auto"/>
          </w:tcPr>
          <w:p w:rsidR="00F46772" w:rsidRPr="00F46772" w:rsidRDefault="00F46772" w:rsidP="00937266">
            <w:pPr>
              <w:keepNext/>
              <w:autoSpaceDE w:val="0"/>
              <w:autoSpaceDN w:val="0"/>
              <w:adjustRightInd w:val="0"/>
              <w:spacing w:after="0" w:line="240" w:lineRule="auto"/>
              <w:ind w:left="32"/>
              <w:jc w:val="center"/>
              <w:rPr>
                <w:rFonts w:cs="Arial"/>
                <w:b/>
                <w:bCs/>
                <w:color w:val="000000"/>
                <w:sz w:val="18"/>
                <w:szCs w:val="18"/>
                <w:lang w:val="en-US"/>
              </w:rPr>
            </w:pPr>
          </w:p>
          <w:p w:rsidR="00F46772" w:rsidRPr="00F46772" w:rsidRDefault="00F46772" w:rsidP="00937266">
            <w:pPr>
              <w:keepNext/>
              <w:autoSpaceDE w:val="0"/>
              <w:autoSpaceDN w:val="0"/>
              <w:adjustRightInd w:val="0"/>
              <w:spacing w:after="0" w:line="240" w:lineRule="auto"/>
              <w:ind w:left="32"/>
              <w:jc w:val="center"/>
              <w:rPr>
                <w:rFonts w:cs="Arial"/>
                <w:b/>
                <w:bCs/>
                <w:color w:val="000000"/>
                <w:sz w:val="18"/>
                <w:szCs w:val="18"/>
                <w:lang w:val="en-US"/>
              </w:rPr>
            </w:pPr>
          </w:p>
          <w:p w:rsidR="00F46772" w:rsidRPr="00F46772" w:rsidRDefault="00F46772" w:rsidP="00937266">
            <w:pPr>
              <w:keepNext/>
              <w:autoSpaceDE w:val="0"/>
              <w:autoSpaceDN w:val="0"/>
              <w:adjustRightInd w:val="0"/>
              <w:spacing w:after="0" w:line="240" w:lineRule="auto"/>
              <w:ind w:left="32"/>
              <w:jc w:val="center"/>
              <w:rPr>
                <w:rFonts w:cs="Arial"/>
                <w:color w:val="000000"/>
                <w:sz w:val="18"/>
                <w:szCs w:val="18"/>
                <w:lang w:val="en-US"/>
              </w:rPr>
            </w:pPr>
            <w:r w:rsidRPr="00F46772">
              <w:rPr>
                <w:rFonts w:cs="Arial"/>
                <w:b/>
                <w:bCs/>
                <w:color w:val="000000"/>
                <w:sz w:val="18"/>
                <w:szCs w:val="18"/>
                <w:lang w:val="en-US"/>
              </w:rPr>
              <w:t>(N=168)</w:t>
            </w:r>
          </w:p>
        </w:tc>
        <w:tc>
          <w:tcPr>
            <w:tcW w:w="1097" w:type="dxa"/>
            <w:shd w:val="clear" w:color="auto" w:fill="auto"/>
          </w:tcPr>
          <w:p w:rsidR="00F46772" w:rsidRPr="00F46772" w:rsidRDefault="00F46772" w:rsidP="00937266">
            <w:pPr>
              <w:keepNext/>
              <w:autoSpaceDE w:val="0"/>
              <w:autoSpaceDN w:val="0"/>
              <w:adjustRightInd w:val="0"/>
              <w:spacing w:after="0" w:line="240" w:lineRule="auto"/>
              <w:ind w:left="36"/>
              <w:jc w:val="center"/>
              <w:rPr>
                <w:rFonts w:cs="Arial"/>
                <w:color w:val="000000"/>
                <w:sz w:val="18"/>
                <w:szCs w:val="18"/>
                <w:lang w:val="en-US"/>
              </w:rPr>
            </w:pPr>
            <w:r w:rsidRPr="00F46772">
              <w:rPr>
                <w:rFonts w:cs="Arial"/>
                <w:b/>
                <w:bCs/>
                <w:color w:val="000000"/>
                <w:sz w:val="18"/>
                <w:szCs w:val="18"/>
                <w:lang w:val="en-US"/>
              </w:rPr>
              <w:t>80 mg</w:t>
            </w:r>
          </w:p>
          <w:p w:rsidR="00F46772" w:rsidRPr="00F46772" w:rsidRDefault="00F46772" w:rsidP="00937266">
            <w:pPr>
              <w:keepNext/>
              <w:autoSpaceDE w:val="0"/>
              <w:autoSpaceDN w:val="0"/>
              <w:adjustRightInd w:val="0"/>
              <w:spacing w:after="0" w:line="240" w:lineRule="auto"/>
              <w:ind w:left="36"/>
              <w:jc w:val="center"/>
              <w:rPr>
                <w:rFonts w:cs="Arial"/>
                <w:sz w:val="18"/>
                <w:szCs w:val="18"/>
                <w:lang w:val="en-US"/>
              </w:rPr>
            </w:pPr>
            <w:r w:rsidRPr="00F46772">
              <w:rPr>
                <w:rFonts w:cs="Arial"/>
                <w:b/>
                <w:bCs/>
                <w:sz w:val="18"/>
                <w:szCs w:val="18"/>
              </w:rPr>
              <w:t>Q2W  (N=385)</w:t>
            </w:r>
          </w:p>
        </w:tc>
        <w:tc>
          <w:tcPr>
            <w:tcW w:w="1080" w:type="dxa"/>
            <w:shd w:val="clear" w:color="auto" w:fill="auto"/>
          </w:tcPr>
          <w:p w:rsidR="00F46772" w:rsidRPr="00F46772" w:rsidRDefault="00F46772" w:rsidP="00937266">
            <w:pPr>
              <w:keepNext/>
              <w:autoSpaceDE w:val="0"/>
              <w:autoSpaceDN w:val="0"/>
              <w:adjustRightInd w:val="0"/>
              <w:spacing w:after="0" w:line="240" w:lineRule="auto"/>
              <w:ind w:left="36"/>
              <w:jc w:val="center"/>
              <w:rPr>
                <w:rFonts w:cs="Arial"/>
                <w:b/>
                <w:bCs/>
                <w:color w:val="000000"/>
                <w:sz w:val="18"/>
                <w:szCs w:val="18"/>
                <w:lang w:val="en-US"/>
              </w:rPr>
            </w:pPr>
            <w:r w:rsidRPr="00F46772">
              <w:rPr>
                <w:rFonts w:cs="Arial"/>
                <w:b/>
                <w:bCs/>
                <w:color w:val="000000"/>
                <w:sz w:val="18"/>
                <w:szCs w:val="18"/>
                <w:lang w:val="en-US"/>
              </w:rPr>
              <w:t>80 mg              Q4W</w:t>
            </w:r>
          </w:p>
          <w:p w:rsidR="00F46772" w:rsidRPr="00F46772" w:rsidRDefault="00F46772" w:rsidP="00937266">
            <w:pPr>
              <w:keepNext/>
              <w:autoSpaceDE w:val="0"/>
              <w:autoSpaceDN w:val="0"/>
              <w:adjustRightInd w:val="0"/>
              <w:spacing w:after="0" w:line="240" w:lineRule="auto"/>
              <w:ind w:left="36"/>
              <w:jc w:val="center"/>
              <w:rPr>
                <w:rFonts w:cs="Arial"/>
                <w:color w:val="000000"/>
                <w:sz w:val="18"/>
                <w:szCs w:val="18"/>
                <w:lang w:val="en-US"/>
              </w:rPr>
            </w:pPr>
            <w:r w:rsidRPr="00F46772">
              <w:rPr>
                <w:rFonts w:cs="Arial"/>
                <w:b/>
                <w:bCs/>
                <w:color w:val="000000"/>
                <w:sz w:val="18"/>
                <w:szCs w:val="18"/>
                <w:lang w:val="en-US"/>
              </w:rPr>
              <w:t>(N=386)</w:t>
            </w:r>
          </w:p>
        </w:tc>
        <w:tc>
          <w:tcPr>
            <w:tcW w:w="1188" w:type="dxa"/>
            <w:shd w:val="clear" w:color="auto" w:fill="auto"/>
          </w:tcPr>
          <w:p w:rsidR="00F46772" w:rsidRPr="00F46772" w:rsidRDefault="00F46772" w:rsidP="00937266">
            <w:pPr>
              <w:keepNext/>
              <w:autoSpaceDE w:val="0"/>
              <w:autoSpaceDN w:val="0"/>
              <w:adjustRightInd w:val="0"/>
              <w:spacing w:after="0" w:line="240" w:lineRule="auto"/>
              <w:ind w:left="36"/>
              <w:jc w:val="center"/>
              <w:rPr>
                <w:rFonts w:cs="Arial"/>
                <w:b/>
                <w:bCs/>
                <w:color w:val="000000"/>
                <w:sz w:val="18"/>
                <w:szCs w:val="18"/>
                <w:lang w:val="en-US"/>
              </w:rPr>
            </w:pPr>
            <w:r w:rsidRPr="00F46772">
              <w:rPr>
                <w:rFonts w:cs="Arial"/>
                <w:b/>
                <w:bCs/>
                <w:color w:val="000000"/>
                <w:sz w:val="18"/>
                <w:szCs w:val="18"/>
                <w:lang w:val="en-US"/>
              </w:rPr>
              <w:t>50 mg twice/week</w:t>
            </w:r>
          </w:p>
          <w:p w:rsidR="00F46772" w:rsidRPr="00F46772" w:rsidRDefault="00F46772" w:rsidP="00937266">
            <w:pPr>
              <w:keepNext/>
              <w:autoSpaceDE w:val="0"/>
              <w:autoSpaceDN w:val="0"/>
              <w:adjustRightInd w:val="0"/>
              <w:spacing w:after="0" w:line="240" w:lineRule="auto"/>
              <w:ind w:left="36"/>
              <w:jc w:val="center"/>
              <w:rPr>
                <w:rFonts w:cs="Arial"/>
                <w:color w:val="000000"/>
                <w:sz w:val="18"/>
                <w:szCs w:val="18"/>
                <w:lang w:val="en-US"/>
              </w:rPr>
            </w:pPr>
            <w:r w:rsidRPr="00F46772">
              <w:rPr>
                <w:rFonts w:cs="Arial"/>
                <w:b/>
                <w:bCs/>
                <w:color w:val="000000"/>
                <w:sz w:val="18"/>
                <w:szCs w:val="18"/>
                <w:lang w:val="en-US"/>
              </w:rPr>
              <w:t>(N=382)</w:t>
            </w:r>
          </w:p>
        </w:tc>
        <w:tc>
          <w:tcPr>
            <w:tcW w:w="966" w:type="dxa"/>
            <w:shd w:val="clear" w:color="auto" w:fill="auto"/>
          </w:tcPr>
          <w:p w:rsidR="00F46772" w:rsidRPr="00F46772" w:rsidRDefault="00F46772" w:rsidP="00937266">
            <w:pPr>
              <w:keepNext/>
              <w:autoSpaceDE w:val="0"/>
              <w:autoSpaceDN w:val="0"/>
              <w:adjustRightInd w:val="0"/>
              <w:spacing w:after="0" w:line="240" w:lineRule="auto"/>
              <w:ind w:left="36"/>
              <w:jc w:val="center"/>
              <w:rPr>
                <w:rFonts w:cs="Arial"/>
                <w:b/>
                <w:bCs/>
                <w:color w:val="000000"/>
                <w:sz w:val="18"/>
                <w:szCs w:val="18"/>
                <w:lang w:val="en-US"/>
              </w:rPr>
            </w:pPr>
          </w:p>
          <w:p w:rsidR="00F46772" w:rsidRPr="00F46772" w:rsidRDefault="00F46772" w:rsidP="00937266">
            <w:pPr>
              <w:keepNext/>
              <w:autoSpaceDE w:val="0"/>
              <w:autoSpaceDN w:val="0"/>
              <w:adjustRightInd w:val="0"/>
              <w:spacing w:after="0" w:line="240" w:lineRule="auto"/>
              <w:ind w:left="36"/>
              <w:jc w:val="center"/>
              <w:rPr>
                <w:rFonts w:cs="Arial"/>
                <w:b/>
                <w:bCs/>
                <w:color w:val="000000"/>
                <w:sz w:val="18"/>
                <w:szCs w:val="18"/>
                <w:lang w:val="en-US"/>
              </w:rPr>
            </w:pPr>
          </w:p>
          <w:p w:rsidR="00F46772" w:rsidRPr="00F46772" w:rsidRDefault="00F46772" w:rsidP="00937266">
            <w:pPr>
              <w:keepNext/>
              <w:autoSpaceDE w:val="0"/>
              <w:autoSpaceDN w:val="0"/>
              <w:adjustRightInd w:val="0"/>
              <w:spacing w:after="0" w:line="240" w:lineRule="auto"/>
              <w:ind w:left="36"/>
              <w:jc w:val="center"/>
              <w:rPr>
                <w:rFonts w:cs="Arial"/>
                <w:color w:val="000000"/>
                <w:sz w:val="18"/>
                <w:szCs w:val="18"/>
                <w:lang w:val="en-US"/>
              </w:rPr>
            </w:pPr>
            <w:r w:rsidRPr="00F46772">
              <w:rPr>
                <w:rFonts w:cs="Arial"/>
                <w:b/>
                <w:bCs/>
                <w:color w:val="000000"/>
                <w:sz w:val="18"/>
                <w:szCs w:val="18"/>
                <w:lang w:val="en-US"/>
              </w:rPr>
              <w:t>(N=193)</w:t>
            </w:r>
          </w:p>
        </w:tc>
      </w:tr>
      <w:tr w:rsidR="00F46772" w:rsidRPr="00F46772" w:rsidTr="00937266">
        <w:tc>
          <w:tcPr>
            <w:tcW w:w="1242" w:type="dxa"/>
            <w:shd w:val="clear" w:color="auto" w:fill="auto"/>
          </w:tcPr>
          <w:p w:rsidR="00F46772" w:rsidRPr="00F46772" w:rsidRDefault="00F46772" w:rsidP="00937266">
            <w:pPr>
              <w:keepNext/>
              <w:autoSpaceDE w:val="0"/>
              <w:autoSpaceDN w:val="0"/>
              <w:adjustRightInd w:val="0"/>
              <w:spacing w:after="60" w:line="240" w:lineRule="auto"/>
              <w:ind w:left="142"/>
              <w:rPr>
                <w:rFonts w:cs="Arial"/>
                <w:color w:val="000000"/>
                <w:sz w:val="18"/>
                <w:szCs w:val="18"/>
                <w:lang w:val="en-US"/>
              </w:rPr>
            </w:pPr>
            <w:r w:rsidRPr="00F46772">
              <w:rPr>
                <w:rFonts w:cs="Arial"/>
                <w:b/>
                <w:bCs/>
                <w:color w:val="000000"/>
                <w:sz w:val="18"/>
                <w:szCs w:val="18"/>
                <w:lang w:val="en-US"/>
              </w:rPr>
              <w:t xml:space="preserve">sPGA (0,1) </w:t>
            </w:r>
          </w:p>
        </w:tc>
        <w:tc>
          <w:tcPr>
            <w:tcW w:w="1134" w:type="dxa"/>
            <w:shd w:val="clear" w:color="auto" w:fill="auto"/>
          </w:tcPr>
          <w:p w:rsidR="00F46772" w:rsidRPr="00F46772" w:rsidRDefault="00F46772" w:rsidP="00937266">
            <w:pPr>
              <w:keepNext/>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292 (83.2%)</w:t>
            </w:r>
            <w:r w:rsidRPr="00F46772">
              <w:rPr>
                <w:rFonts w:cs="Arial"/>
                <w:color w:val="000000"/>
                <w:sz w:val="18"/>
                <w:szCs w:val="18"/>
                <w:vertAlign w:val="superscript"/>
                <w:lang w:val="en-US"/>
              </w:rPr>
              <w:t>a,b</w:t>
            </w:r>
          </w:p>
        </w:tc>
        <w:tc>
          <w:tcPr>
            <w:tcW w:w="1134" w:type="dxa"/>
            <w:shd w:val="clear" w:color="auto" w:fill="auto"/>
          </w:tcPr>
          <w:p w:rsidR="00F46772" w:rsidRPr="00F46772" w:rsidRDefault="00F46772" w:rsidP="00937266">
            <w:pPr>
              <w:keepNext/>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253 (72.9%)</w:t>
            </w:r>
            <w:r w:rsidRPr="00F46772">
              <w:rPr>
                <w:rFonts w:cs="Arial"/>
                <w:color w:val="000000"/>
                <w:sz w:val="18"/>
                <w:szCs w:val="18"/>
                <w:vertAlign w:val="superscript"/>
                <w:lang w:val="en-US"/>
              </w:rPr>
              <w:t>a,b</w:t>
            </w:r>
          </w:p>
        </w:tc>
        <w:tc>
          <w:tcPr>
            <w:tcW w:w="1134" w:type="dxa"/>
            <w:shd w:val="clear" w:color="auto" w:fill="auto"/>
          </w:tcPr>
          <w:p w:rsidR="00F46772" w:rsidRPr="00F46772" w:rsidRDefault="00F46772" w:rsidP="00937266">
            <w:pPr>
              <w:keepNext/>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129 (36.0%)</w:t>
            </w:r>
          </w:p>
        </w:tc>
        <w:tc>
          <w:tcPr>
            <w:tcW w:w="1084" w:type="dxa"/>
            <w:shd w:val="clear" w:color="auto" w:fill="auto"/>
          </w:tcPr>
          <w:p w:rsidR="00F46772" w:rsidRPr="00F46772" w:rsidRDefault="00F46772" w:rsidP="00937266">
            <w:pPr>
              <w:keepNext/>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4   (2.4%)</w:t>
            </w:r>
          </w:p>
        </w:tc>
        <w:tc>
          <w:tcPr>
            <w:tcW w:w="1097" w:type="dxa"/>
            <w:shd w:val="clear" w:color="auto" w:fill="auto"/>
          </w:tcPr>
          <w:p w:rsidR="00F46772" w:rsidRPr="00F46772" w:rsidRDefault="00F46772" w:rsidP="00937266">
            <w:pPr>
              <w:keepNext/>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310 (80.5%)</w:t>
            </w:r>
            <w:r w:rsidRPr="00F46772">
              <w:rPr>
                <w:rFonts w:cs="Arial"/>
                <w:color w:val="000000"/>
                <w:sz w:val="18"/>
                <w:szCs w:val="18"/>
                <w:vertAlign w:val="superscript"/>
                <w:lang w:val="en-US"/>
              </w:rPr>
              <w:t>a,b</w:t>
            </w:r>
          </w:p>
        </w:tc>
        <w:tc>
          <w:tcPr>
            <w:tcW w:w="1080" w:type="dxa"/>
            <w:shd w:val="clear" w:color="auto" w:fill="auto"/>
          </w:tcPr>
          <w:p w:rsidR="00F46772" w:rsidRPr="00F46772" w:rsidRDefault="00F46772" w:rsidP="00937266">
            <w:pPr>
              <w:keepNext/>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291 (75.4%)</w:t>
            </w:r>
            <w:r w:rsidRPr="00F46772">
              <w:rPr>
                <w:rFonts w:cs="Arial"/>
                <w:color w:val="000000"/>
                <w:sz w:val="18"/>
                <w:szCs w:val="18"/>
                <w:vertAlign w:val="superscript"/>
                <w:lang w:val="en-US"/>
              </w:rPr>
              <w:t>a,b</w:t>
            </w:r>
          </w:p>
        </w:tc>
        <w:tc>
          <w:tcPr>
            <w:tcW w:w="1188" w:type="dxa"/>
            <w:shd w:val="clear" w:color="auto" w:fill="auto"/>
          </w:tcPr>
          <w:p w:rsidR="00F46772" w:rsidRPr="00F46772" w:rsidRDefault="00F46772" w:rsidP="00937266">
            <w:pPr>
              <w:keepNext/>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159 (41.6%)</w:t>
            </w:r>
            <w:r w:rsidRPr="00F46772">
              <w:rPr>
                <w:rFonts w:cs="Arial"/>
                <w:color w:val="000000"/>
                <w:sz w:val="18"/>
                <w:szCs w:val="18"/>
                <w:vertAlign w:val="superscript"/>
                <w:lang w:val="en-US"/>
              </w:rPr>
              <w:t>a</w:t>
            </w:r>
          </w:p>
        </w:tc>
        <w:tc>
          <w:tcPr>
            <w:tcW w:w="966" w:type="dxa"/>
            <w:shd w:val="clear" w:color="auto" w:fill="auto"/>
          </w:tcPr>
          <w:p w:rsidR="00F46772" w:rsidRPr="00F46772" w:rsidRDefault="00F46772" w:rsidP="00937266">
            <w:pPr>
              <w:keepNext/>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13 (6.7%)</w:t>
            </w:r>
          </w:p>
        </w:tc>
      </w:tr>
      <w:tr w:rsidR="00F46772" w:rsidRPr="00F46772" w:rsidTr="00937266">
        <w:tc>
          <w:tcPr>
            <w:tcW w:w="1242" w:type="dxa"/>
            <w:tcBorders>
              <w:top w:val="single" w:sz="4" w:space="0" w:color="auto"/>
              <w:left w:val="single" w:sz="4" w:space="0" w:color="auto"/>
              <w:bottom w:val="single" w:sz="4" w:space="0" w:color="auto"/>
              <w:right w:val="single" w:sz="4" w:space="0" w:color="auto"/>
            </w:tcBorders>
            <w:shd w:val="clear" w:color="auto" w:fill="auto"/>
          </w:tcPr>
          <w:p w:rsidR="00F46772" w:rsidRPr="00F46772" w:rsidRDefault="00F46772" w:rsidP="00937266">
            <w:pPr>
              <w:keepNext/>
              <w:autoSpaceDE w:val="0"/>
              <w:autoSpaceDN w:val="0"/>
              <w:adjustRightInd w:val="0"/>
              <w:spacing w:after="60" w:line="240" w:lineRule="auto"/>
              <w:ind w:left="142"/>
              <w:rPr>
                <w:rFonts w:cs="Arial"/>
                <w:b/>
                <w:bCs/>
                <w:color w:val="000000"/>
                <w:sz w:val="18"/>
                <w:szCs w:val="18"/>
                <w:lang w:val="en-US"/>
              </w:rPr>
            </w:pPr>
            <w:r w:rsidRPr="00F46772">
              <w:rPr>
                <w:rFonts w:cs="Arial"/>
                <w:b/>
                <w:bCs/>
                <w:color w:val="000000"/>
                <w:sz w:val="18"/>
                <w:szCs w:val="18"/>
                <w:lang w:val="en-US"/>
              </w:rPr>
              <w:t xml:space="preserve">PASI 75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6772" w:rsidRPr="00F46772" w:rsidRDefault="00F46772" w:rsidP="00937266">
            <w:pPr>
              <w:keepNext/>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315 (89.7%)</w:t>
            </w:r>
            <w:r w:rsidRPr="00F46772">
              <w:rPr>
                <w:rFonts w:cs="Arial"/>
                <w:color w:val="000000"/>
                <w:sz w:val="18"/>
                <w:szCs w:val="18"/>
                <w:vertAlign w:val="superscript"/>
                <w:lang w:val="en-US"/>
              </w:rPr>
              <w:t>a,b</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6772" w:rsidRPr="00F46772" w:rsidRDefault="00F46772" w:rsidP="00937266">
            <w:pPr>
              <w:keepNext/>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269 (77.5%)</w:t>
            </w:r>
            <w:r w:rsidRPr="00F46772">
              <w:rPr>
                <w:rFonts w:cs="Arial"/>
                <w:color w:val="000000"/>
                <w:sz w:val="18"/>
                <w:szCs w:val="18"/>
                <w:vertAlign w:val="superscript"/>
                <w:lang w:val="en-US"/>
              </w:rPr>
              <w:t>a,b</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6772" w:rsidRPr="00F46772" w:rsidRDefault="00F46772" w:rsidP="00937266">
            <w:pPr>
              <w:keepNext/>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149 (41.6%)</w:t>
            </w:r>
            <w:r w:rsidRPr="00F46772">
              <w:rPr>
                <w:rFonts w:cs="Arial"/>
                <w:color w:val="000000"/>
                <w:sz w:val="18"/>
                <w:szCs w:val="18"/>
                <w:vertAlign w:val="superscript"/>
                <w:lang w:val="en-US"/>
              </w:rPr>
              <w:t>a</w:t>
            </w:r>
            <w:r w:rsidRPr="00F46772">
              <w:rPr>
                <w:rFonts w:cs="Arial"/>
                <w:color w:val="000000"/>
                <w:sz w:val="18"/>
                <w:szCs w:val="18"/>
                <w:lang w:val="en-US"/>
              </w:rPr>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F46772" w:rsidRPr="00F46772" w:rsidRDefault="00F46772" w:rsidP="00937266">
            <w:pPr>
              <w:keepNext/>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4    (2.4%)</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F46772" w:rsidRPr="00F46772" w:rsidRDefault="00F46772" w:rsidP="00937266">
            <w:pPr>
              <w:keepNext/>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336 (87.3%)</w:t>
            </w:r>
            <w:r w:rsidRPr="00F46772">
              <w:rPr>
                <w:rFonts w:cs="Arial"/>
                <w:color w:val="000000"/>
                <w:sz w:val="18"/>
                <w:szCs w:val="18"/>
                <w:vertAlign w:val="superscript"/>
                <w:lang w:val="en-US"/>
              </w:rPr>
              <w:t>a,b</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46772" w:rsidRPr="00F46772" w:rsidRDefault="00F46772" w:rsidP="00937266">
            <w:pPr>
              <w:keepNext/>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325 (84.2%)</w:t>
            </w:r>
            <w:r w:rsidRPr="00F46772">
              <w:rPr>
                <w:rFonts w:cs="Arial"/>
                <w:color w:val="000000"/>
                <w:sz w:val="18"/>
                <w:szCs w:val="18"/>
                <w:vertAlign w:val="superscript"/>
                <w:lang w:val="en-US"/>
              </w:rPr>
              <w:t>a,b</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F46772" w:rsidRPr="00F46772" w:rsidRDefault="00F46772" w:rsidP="00937266">
            <w:pPr>
              <w:keepNext/>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204 (53.4%)</w:t>
            </w:r>
            <w:r w:rsidRPr="00F46772">
              <w:rPr>
                <w:rFonts w:cs="Arial"/>
                <w:color w:val="000000"/>
                <w:sz w:val="18"/>
                <w:szCs w:val="18"/>
                <w:vertAlign w:val="superscript"/>
                <w:lang w:val="en-US"/>
              </w:rPr>
              <w:t>a</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F46772" w:rsidRPr="00F46772" w:rsidRDefault="00F46772" w:rsidP="00937266">
            <w:pPr>
              <w:keepNext/>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14 (7.3%)</w:t>
            </w:r>
          </w:p>
        </w:tc>
      </w:tr>
      <w:tr w:rsidR="00F46772" w:rsidRPr="00F46772" w:rsidTr="00937266">
        <w:trPr>
          <w:cantSplit/>
        </w:trPr>
        <w:tc>
          <w:tcPr>
            <w:tcW w:w="1242" w:type="dxa"/>
            <w:shd w:val="clear" w:color="auto" w:fill="auto"/>
          </w:tcPr>
          <w:p w:rsidR="00F46772" w:rsidRPr="00F46772" w:rsidRDefault="00F46772" w:rsidP="00937266">
            <w:pPr>
              <w:autoSpaceDE w:val="0"/>
              <w:autoSpaceDN w:val="0"/>
              <w:adjustRightInd w:val="0"/>
              <w:spacing w:after="60" w:line="240" w:lineRule="auto"/>
              <w:ind w:left="142"/>
              <w:rPr>
                <w:rFonts w:cs="Arial"/>
                <w:b/>
                <w:bCs/>
                <w:color w:val="000000"/>
                <w:sz w:val="18"/>
                <w:szCs w:val="18"/>
                <w:lang w:val="en-US"/>
              </w:rPr>
            </w:pPr>
            <w:r w:rsidRPr="00F46772">
              <w:rPr>
                <w:rFonts w:cs="Arial"/>
                <w:b/>
                <w:bCs/>
                <w:color w:val="000000"/>
                <w:sz w:val="18"/>
                <w:szCs w:val="18"/>
                <w:lang w:val="en-US"/>
              </w:rPr>
              <w:t xml:space="preserve">sPGA 0 </w:t>
            </w:r>
          </w:p>
        </w:tc>
        <w:tc>
          <w:tcPr>
            <w:tcW w:w="1134" w:type="dxa"/>
            <w:shd w:val="clear" w:color="auto" w:fill="auto"/>
          </w:tcPr>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147</w:t>
            </w:r>
          </w:p>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(41.9%)</w:t>
            </w:r>
            <w:r w:rsidRPr="00F46772">
              <w:rPr>
                <w:rFonts w:cs="Arial"/>
                <w:color w:val="000000"/>
                <w:sz w:val="18"/>
                <w:szCs w:val="18"/>
                <w:vertAlign w:val="superscript"/>
                <w:lang w:val="en-US"/>
              </w:rPr>
              <w:t>a,c</w:t>
            </w:r>
          </w:p>
        </w:tc>
        <w:tc>
          <w:tcPr>
            <w:tcW w:w="1134" w:type="dxa"/>
            <w:shd w:val="clear" w:color="auto" w:fill="auto"/>
          </w:tcPr>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112</w:t>
            </w:r>
          </w:p>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(32.3%)</w:t>
            </w:r>
            <w:r w:rsidRPr="00F46772">
              <w:rPr>
                <w:rFonts w:cs="Arial"/>
                <w:color w:val="000000"/>
                <w:sz w:val="18"/>
                <w:szCs w:val="18"/>
                <w:vertAlign w:val="superscript"/>
                <w:lang w:val="en-US"/>
              </w:rPr>
              <w:t>a,c</w:t>
            </w:r>
          </w:p>
        </w:tc>
        <w:tc>
          <w:tcPr>
            <w:tcW w:w="1134" w:type="dxa"/>
            <w:shd w:val="clear" w:color="auto" w:fill="auto"/>
          </w:tcPr>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21</w:t>
            </w:r>
          </w:p>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(5.9%)</w:t>
            </w:r>
            <w:r w:rsidRPr="00F46772">
              <w:rPr>
                <w:rFonts w:cs="Arial"/>
                <w:color w:val="000000"/>
                <w:sz w:val="18"/>
                <w:szCs w:val="18"/>
                <w:vertAlign w:val="superscript"/>
                <w:lang w:val="en-US"/>
              </w:rPr>
              <w:t>d</w:t>
            </w:r>
          </w:p>
        </w:tc>
        <w:tc>
          <w:tcPr>
            <w:tcW w:w="1084" w:type="dxa"/>
            <w:shd w:val="clear" w:color="auto" w:fill="auto"/>
          </w:tcPr>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1</w:t>
            </w:r>
          </w:p>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(0.6%)</w:t>
            </w:r>
          </w:p>
        </w:tc>
        <w:tc>
          <w:tcPr>
            <w:tcW w:w="1097" w:type="dxa"/>
            <w:shd w:val="clear" w:color="auto" w:fill="auto"/>
          </w:tcPr>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155</w:t>
            </w:r>
          </w:p>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(40.3%)</w:t>
            </w:r>
            <w:r w:rsidRPr="00F46772">
              <w:rPr>
                <w:rFonts w:cs="Arial"/>
                <w:color w:val="000000"/>
                <w:sz w:val="18"/>
                <w:szCs w:val="18"/>
                <w:vertAlign w:val="superscript"/>
                <w:lang w:val="en-US"/>
              </w:rPr>
              <w:t>a,c</w:t>
            </w:r>
          </w:p>
        </w:tc>
        <w:tc>
          <w:tcPr>
            <w:tcW w:w="1080" w:type="dxa"/>
            <w:shd w:val="clear" w:color="auto" w:fill="auto"/>
          </w:tcPr>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139</w:t>
            </w:r>
          </w:p>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(36.0%)</w:t>
            </w:r>
            <w:r w:rsidRPr="00F46772">
              <w:rPr>
                <w:rFonts w:cs="Arial"/>
                <w:color w:val="000000"/>
                <w:sz w:val="18"/>
                <w:szCs w:val="18"/>
                <w:vertAlign w:val="superscript"/>
                <w:lang w:val="en-US"/>
              </w:rPr>
              <w:t>a,c</w:t>
            </w:r>
          </w:p>
        </w:tc>
        <w:tc>
          <w:tcPr>
            <w:tcW w:w="1188" w:type="dxa"/>
            <w:shd w:val="clear" w:color="auto" w:fill="auto"/>
          </w:tcPr>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33</w:t>
            </w:r>
          </w:p>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(8.6%)</w:t>
            </w:r>
            <w:r w:rsidRPr="00F46772">
              <w:rPr>
                <w:rFonts w:cs="Arial"/>
                <w:color w:val="000000"/>
                <w:sz w:val="18"/>
                <w:szCs w:val="18"/>
                <w:vertAlign w:val="superscript"/>
                <w:lang w:val="en-US"/>
              </w:rPr>
              <w:t>a</w:t>
            </w:r>
          </w:p>
        </w:tc>
        <w:tc>
          <w:tcPr>
            <w:tcW w:w="966" w:type="dxa"/>
            <w:shd w:val="clear" w:color="auto" w:fill="auto"/>
          </w:tcPr>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0</w:t>
            </w:r>
          </w:p>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p>
        </w:tc>
      </w:tr>
      <w:tr w:rsidR="00F46772" w:rsidRPr="00F46772" w:rsidTr="00937266">
        <w:tc>
          <w:tcPr>
            <w:tcW w:w="1242" w:type="dxa"/>
            <w:shd w:val="clear" w:color="auto" w:fill="auto"/>
          </w:tcPr>
          <w:p w:rsidR="00F46772" w:rsidRPr="00F46772" w:rsidRDefault="00F46772" w:rsidP="00937266">
            <w:pPr>
              <w:autoSpaceDE w:val="0"/>
              <w:autoSpaceDN w:val="0"/>
              <w:adjustRightInd w:val="0"/>
              <w:spacing w:after="60" w:line="240" w:lineRule="auto"/>
              <w:ind w:left="142"/>
              <w:rPr>
                <w:rFonts w:cs="Arial"/>
                <w:b/>
                <w:bCs/>
                <w:color w:val="000000"/>
                <w:sz w:val="18"/>
                <w:szCs w:val="18"/>
                <w:lang w:val="en-US"/>
              </w:rPr>
            </w:pPr>
            <w:r w:rsidRPr="00F46772">
              <w:rPr>
                <w:rFonts w:cs="Arial"/>
                <w:b/>
                <w:bCs/>
                <w:color w:val="000000"/>
                <w:sz w:val="18"/>
                <w:szCs w:val="18"/>
                <w:lang w:val="en-US"/>
              </w:rPr>
              <w:t xml:space="preserve">PASI 90 </w:t>
            </w:r>
          </w:p>
        </w:tc>
        <w:tc>
          <w:tcPr>
            <w:tcW w:w="1134" w:type="dxa"/>
            <w:shd w:val="clear" w:color="auto" w:fill="auto"/>
          </w:tcPr>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248</w:t>
            </w:r>
          </w:p>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(70.7%)</w:t>
            </w:r>
            <w:r w:rsidRPr="00F46772">
              <w:rPr>
                <w:rFonts w:cs="Arial"/>
                <w:color w:val="000000"/>
                <w:sz w:val="18"/>
                <w:szCs w:val="18"/>
                <w:vertAlign w:val="superscript"/>
                <w:lang w:val="en-US"/>
              </w:rPr>
              <w:t>a,c</w:t>
            </w:r>
          </w:p>
        </w:tc>
        <w:tc>
          <w:tcPr>
            <w:tcW w:w="1134" w:type="dxa"/>
            <w:shd w:val="clear" w:color="auto" w:fill="auto"/>
          </w:tcPr>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207</w:t>
            </w:r>
          </w:p>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(59.7%)</w:t>
            </w:r>
            <w:r w:rsidRPr="00F46772">
              <w:rPr>
                <w:rFonts w:cs="Arial"/>
                <w:color w:val="000000"/>
                <w:sz w:val="18"/>
                <w:szCs w:val="18"/>
                <w:vertAlign w:val="superscript"/>
                <w:lang w:val="en-US"/>
              </w:rPr>
              <w:t>a,c</w:t>
            </w:r>
          </w:p>
        </w:tc>
        <w:tc>
          <w:tcPr>
            <w:tcW w:w="1134" w:type="dxa"/>
            <w:shd w:val="clear" w:color="auto" w:fill="auto"/>
          </w:tcPr>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67</w:t>
            </w:r>
          </w:p>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(18.7%)</w:t>
            </w:r>
            <w:r w:rsidRPr="00F46772">
              <w:rPr>
                <w:rFonts w:cs="Arial"/>
                <w:color w:val="000000"/>
                <w:sz w:val="18"/>
                <w:szCs w:val="18"/>
                <w:vertAlign w:val="superscript"/>
                <w:lang w:val="en-US"/>
              </w:rPr>
              <w:t xml:space="preserve">a </w:t>
            </w:r>
          </w:p>
        </w:tc>
        <w:tc>
          <w:tcPr>
            <w:tcW w:w="1084" w:type="dxa"/>
            <w:shd w:val="clear" w:color="auto" w:fill="auto"/>
          </w:tcPr>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1</w:t>
            </w:r>
          </w:p>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(0.6%)</w:t>
            </w:r>
          </w:p>
        </w:tc>
        <w:tc>
          <w:tcPr>
            <w:tcW w:w="1097" w:type="dxa"/>
            <w:shd w:val="clear" w:color="auto" w:fill="auto"/>
          </w:tcPr>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262</w:t>
            </w:r>
          </w:p>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(68.1%)</w:t>
            </w:r>
            <w:r w:rsidRPr="00F46772">
              <w:rPr>
                <w:rFonts w:cs="Arial"/>
                <w:color w:val="000000"/>
                <w:sz w:val="18"/>
                <w:szCs w:val="18"/>
                <w:vertAlign w:val="superscript"/>
                <w:lang w:val="en-US"/>
              </w:rPr>
              <w:t>a,c</w:t>
            </w:r>
          </w:p>
        </w:tc>
        <w:tc>
          <w:tcPr>
            <w:tcW w:w="1080" w:type="dxa"/>
            <w:shd w:val="clear" w:color="auto" w:fill="auto"/>
          </w:tcPr>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252</w:t>
            </w:r>
          </w:p>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(65.3%)</w:t>
            </w:r>
            <w:r w:rsidRPr="00F46772">
              <w:rPr>
                <w:rFonts w:cs="Arial"/>
                <w:color w:val="000000"/>
                <w:sz w:val="18"/>
                <w:szCs w:val="18"/>
                <w:vertAlign w:val="superscript"/>
                <w:lang w:val="en-US"/>
              </w:rPr>
              <w:t>a,c</w:t>
            </w:r>
          </w:p>
        </w:tc>
        <w:tc>
          <w:tcPr>
            <w:tcW w:w="1188" w:type="dxa"/>
            <w:shd w:val="clear" w:color="auto" w:fill="auto"/>
          </w:tcPr>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98</w:t>
            </w:r>
          </w:p>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(25.7%)</w:t>
            </w:r>
            <w:r w:rsidRPr="00F46772">
              <w:rPr>
                <w:rFonts w:cs="Arial"/>
                <w:color w:val="000000"/>
                <w:sz w:val="18"/>
                <w:szCs w:val="18"/>
                <w:vertAlign w:val="superscript"/>
                <w:lang w:val="en-US"/>
              </w:rPr>
              <w:t>a</w:t>
            </w:r>
          </w:p>
        </w:tc>
        <w:tc>
          <w:tcPr>
            <w:tcW w:w="966" w:type="dxa"/>
            <w:shd w:val="clear" w:color="auto" w:fill="auto"/>
          </w:tcPr>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6</w:t>
            </w:r>
          </w:p>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(3.1%)</w:t>
            </w:r>
          </w:p>
        </w:tc>
      </w:tr>
      <w:tr w:rsidR="00F46772" w:rsidRPr="00F46772" w:rsidTr="00937266">
        <w:tc>
          <w:tcPr>
            <w:tcW w:w="1242" w:type="dxa"/>
            <w:shd w:val="clear" w:color="auto" w:fill="auto"/>
          </w:tcPr>
          <w:p w:rsidR="00F46772" w:rsidRPr="00F46772" w:rsidRDefault="00F46772" w:rsidP="00937266">
            <w:pPr>
              <w:autoSpaceDE w:val="0"/>
              <w:autoSpaceDN w:val="0"/>
              <w:adjustRightInd w:val="0"/>
              <w:spacing w:after="60" w:line="240" w:lineRule="auto"/>
              <w:ind w:left="142"/>
              <w:rPr>
                <w:rFonts w:cs="Arial"/>
                <w:b/>
                <w:bCs/>
                <w:color w:val="000000"/>
                <w:sz w:val="18"/>
                <w:szCs w:val="18"/>
                <w:lang w:val="en-US"/>
              </w:rPr>
            </w:pPr>
            <w:r w:rsidRPr="00F46772">
              <w:rPr>
                <w:rFonts w:cs="Arial"/>
                <w:b/>
                <w:bCs/>
                <w:color w:val="000000"/>
                <w:sz w:val="18"/>
                <w:szCs w:val="18"/>
                <w:lang w:val="en-US"/>
              </w:rPr>
              <w:t xml:space="preserve">PASI 100 </w:t>
            </w:r>
          </w:p>
        </w:tc>
        <w:tc>
          <w:tcPr>
            <w:tcW w:w="1134" w:type="dxa"/>
            <w:shd w:val="clear" w:color="auto" w:fill="auto"/>
          </w:tcPr>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142</w:t>
            </w:r>
          </w:p>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(40.5%)</w:t>
            </w:r>
            <w:r w:rsidRPr="00F46772">
              <w:rPr>
                <w:rFonts w:cs="Arial"/>
                <w:color w:val="000000"/>
                <w:sz w:val="18"/>
                <w:szCs w:val="18"/>
                <w:vertAlign w:val="superscript"/>
                <w:lang w:val="en-US"/>
              </w:rPr>
              <w:t>a,c</w:t>
            </w:r>
          </w:p>
        </w:tc>
        <w:tc>
          <w:tcPr>
            <w:tcW w:w="1134" w:type="dxa"/>
            <w:shd w:val="clear" w:color="auto" w:fill="auto"/>
          </w:tcPr>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107</w:t>
            </w:r>
          </w:p>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(30.8%)</w:t>
            </w:r>
            <w:r w:rsidRPr="00F46772">
              <w:rPr>
                <w:rFonts w:cs="Arial"/>
                <w:color w:val="000000"/>
                <w:sz w:val="18"/>
                <w:szCs w:val="18"/>
                <w:vertAlign w:val="superscript"/>
                <w:lang w:val="en-US"/>
              </w:rPr>
              <w:t>a,c</w:t>
            </w:r>
          </w:p>
        </w:tc>
        <w:tc>
          <w:tcPr>
            <w:tcW w:w="1134" w:type="dxa"/>
            <w:shd w:val="clear" w:color="auto" w:fill="auto"/>
          </w:tcPr>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19</w:t>
            </w:r>
          </w:p>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(5.3%)</w:t>
            </w:r>
            <w:r w:rsidRPr="00F46772">
              <w:rPr>
                <w:rFonts w:cs="Arial"/>
                <w:color w:val="000000"/>
                <w:sz w:val="18"/>
                <w:szCs w:val="18"/>
                <w:vertAlign w:val="superscript"/>
                <w:lang w:val="en-US"/>
              </w:rPr>
              <w:t>d</w:t>
            </w:r>
          </w:p>
        </w:tc>
        <w:tc>
          <w:tcPr>
            <w:tcW w:w="1084" w:type="dxa"/>
            <w:shd w:val="clear" w:color="auto" w:fill="auto"/>
          </w:tcPr>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1</w:t>
            </w:r>
          </w:p>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(0.6%)</w:t>
            </w:r>
          </w:p>
        </w:tc>
        <w:tc>
          <w:tcPr>
            <w:tcW w:w="1097" w:type="dxa"/>
            <w:shd w:val="clear" w:color="auto" w:fill="auto"/>
          </w:tcPr>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145</w:t>
            </w:r>
          </w:p>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(37.7%)</w:t>
            </w:r>
            <w:r w:rsidRPr="00F46772">
              <w:rPr>
                <w:rFonts w:cs="Arial"/>
                <w:color w:val="000000"/>
                <w:sz w:val="18"/>
                <w:szCs w:val="18"/>
                <w:vertAlign w:val="superscript"/>
                <w:lang w:val="en-US"/>
              </w:rPr>
              <w:t>a,c</w:t>
            </w:r>
          </w:p>
        </w:tc>
        <w:tc>
          <w:tcPr>
            <w:tcW w:w="1080" w:type="dxa"/>
            <w:shd w:val="clear" w:color="auto" w:fill="auto"/>
          </w:tcPr>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135</w:t>
            </w:r>
          </w:p>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(35.0%)</w:t>
            </w:r>
            <w:r w:rsidRPr="00F46772">
              <w:rPr>
                <w:rFonts w:cs="Arial"/>
                <w:color w:val="000000"/>
                <w:sz w:val="18"/>
                <w:szCs w:val="18"/>
                <w:vertAlign w:val="superscript"/>
                <w:lang w:val="en-US"/>
              </w:rPr>
              <w:t>a,c</w:t>
            </w:r>
          </w:p>
        </w:tc>
        <w:tc>
          <w:tcPr>
            <w:tcW w:w="1188" w:type="dxa"/>
            <w:shd w:val="clear" w:color="auto" w:fill="auto"/>
          </w:tcPr>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28</w:t>
            </w:r>
          </w:p>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(7.3%)</w:t>
            </w:r>
            <w:r w:rsidRPr="00F46772">
              <w:rPr>
                <w:rFonts w:cs="Arial"/>
                <w:color w:val="000000"/>
                <w:sz w:val="18"/>
                <w:szCs w:val="18"/>
                <w:vertAlign w:val="superscript"/>
                <w:lang w:val="en-US"/>
              </w:rPr>
              <w:t>a</w:t>
            </w:r>
          </w:p>
        </w:tc>
        <w:tc>
          <w:tcPr>
            <w:tcW w:w="966" w:type="dxa"/>
            <w:shd w:val="clear" w:color="auto" w:fill="auto"/>
          </w:tcPr>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0</w:t>
            </w:r>
          </w:p>
        </w:tc>
      </w:tr>
      <w:tr w:rsidR="00F46772" w:rsidRPr="00F46772" w:rsidTr="00937266">
        <w:tc>
          <w:tcPr>
            <w:tcW w:w="1242" w:type="dxa"/>
            <w:shd w:val="clear" w:color="auto" w:fill="auto"/>
          </w:tcPr>
          <w:p w:rsidR="00F46772" w:rsidRPr="00F46772" w:rsidRDefault="00F46772" w:rsidP="00937266">
            <w:pPr>
              <w:autoSpaceDE w:val="0"/>
              <w:autoSpaceDN w:val="0"/>
              <w:adjustRightInd w:val="0"/>
              <w:spacing w:after="60" w:line="240" w:lineRule="auto"/>
              <w:ind w:left="142" w:right="-108"/>
              <w:rPr>
                <w:rFonts w:cs="Arial"/>
                <w:b/>
                <w:bCs/>
                <w:color w:val="000000"/>
                <w:sz w:val="18"/>
                <w:szCs w:val="18"/>
                <w:lang w:val="en-US"/>
              </w:rPr>
            </w:pPr>
            <w:r w:rsidRPr="00F46772">
              <w:rPr>
                <w:rFonts w:cs="Arial"/>
                <w:b/>
                <w:bCs/>
                <w:color w:val="000000"/>
                <w:sz w:val="18"/>
                <w:szCs w:val="18"/>
                <w:lang w:val="en-US"/>
              </w:rPr>
              <w:t>Itch NRS Reduction ≥4</w:t>
            </w:r>
            <w:r w:rsidRPr="00F46772">
              <w:rPr>
                <w:rFonts w:cs="Arial"/>
                <w:b/>
                <w:bCs/>
                <w:color w:val="000000"/>
                <w:sz w:val="18"/>
                <w:szCs w:val="18"/>
                <w:vertAlign w:val="superscript"/>
                <w:lang w:val="en-US"/>
              </w:rPr>
              <w:t>e</w:t>
            </w:r>
          </w:p>
        </w:tc>
        <w:tc>
          <w:tcPr>
            <w:tcW w:w="1134" w:type="dxa"/>
            <w:shd w:val="clear" w:color="auto" w:fill="auto"/>
          </w:tcPr>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258 (85.1%)</w:t>
            </w:r>
            <w:r w:rsidRPr="00F46772">
              <w:rPr>
                <w:rFonts w:cs="Arial"/>
                <w:color w:val="000000"/>
                <w:sz w:val="18"/>
                <w:szCs w:val="18"/>
                <w:vertAlign w:val="superscript"/>
                <w:lang w:val="en-US"/>
              </w:rPr>
              <w:t>f,c</w:t>
            </w:r>
          </w:p>
        </w:tc>
        <w:tc>
          <w:tcPr>
            <w:tcW w:w="1134" w:type="dxa"/>
            <w:shd w:val="clear" w:color="auto" w:fill="auto"/>
          </w:tcPr>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225 (76.8%)</w:t>
            </w:r>
            <w:r w:rsidRPr="00F46772">
              <w:rPr>
                <w:rFonts w:cs="Arial"/>
                <w:color w:val="000000"/>
                <w:sz w:val="18"/>
                <w:szCs w:val="18"/>
                <w:vertAlign w:val="superscript"/>
                <w:lang w:val="en-US"/>
              </w:rPr>
              <w:t>f.c</w:t>
            </w:r>
          </w:p>
        </w:tc>
        <w:tc>
          <w:tcPr>
            <w:tcW w:w="1134" w:type="dxa"/>
            <w:shd w:val="clear" w:color="auto" w:fill="auto"/>
          </w:tcPr>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177 (57.8%)</w:t>
            </w:r>
            <w:r w:rsidRPr="00F46772">
              <w:rPr>
                <w:rFonts w:cs="Arial"/>
                <w:color w:val="000000"/>
                <w:sz w:val="18"/>
                <w:szCs w:val="18"/>
                <w:vertAlign w:val="superscript"/>
                <w:lang w:val="en-US"/>
              </w:rPr>
              <w:t xml:space="preserve">f </w:t>
            </w:r>
          </w:p>
        </w:tc>
        <w:tc>
          <w:tcPr>
            <w:tcW w:w="1084" w:type="dxa"/>
            <w:shd w:val="clear" w:color="auto" w:fill="auto"/>
          </w:tcPr>
          <w:p w:rsidR="00F46772" w:rsidRPr="00F46772" w:rsidRDefault="00F46772" w:rsidP="00937266">
            <w:pPr>
              <w:autoSpaceDE w:val="0"/>
              <w:autoSpaceDN w:val="0"/>
              <w:adjustRightInd w:val="0"/>
              <w:spacing w:after="60" w:line="240" w:lineRule="auto"/>
              <w:ind w:left="32"/>
              <w:jc w:val="center"/>
              <w:rPr>
                <w:rFonts w:cs="Arial"/>
                <w:color w:val="000000"/>
                <w:sz w:val="18"/>
                <w:szCs w:val="18"/>
                <w:lang w:val="en-US"/>
              </w:rPr>
            </w:pPr>
            <w:r w:rsidRPr="00F46772">
              <w:rPr>
                <w:rFonts w:cs="Arial"/>
                <w:color w:val="000000"/>
                <w:sz w:val="18"/>
                <w:szCs w:val="18"/>
                <w:lang w:val="en-US"/>
              </w:rPr>
              <w:t>19 (14.1%)</w:t>
            </w:r>
          </w:p>
        </w:tc>
        <w:tc>
          <w:tcPr>
            <w:tcW w:w="1097" w:type="dxa"/>
            <w:shd w:val="clear" w:color="auto" w:fill="auto"/>
          </w:tcPr>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264    (82.5%)</w:t>
            </w:r>
            <w:r w:rsidRPr="00F46772">
              <w:rPr>
                <w:rFonts w:cs="Arial"/>
                <w:color w:val="000000"/>
                <w:sz w:val="18"/>
                <w:szCs w:val="18"/>
                <w:vertAlign w:val="superscript"/>
                <w:lang w:val="en-US"/>
              </w:rPr>
              <w:t>a,c</w:t>
            </w:r>
          </w:p>
        </w:tc>
        <w:tc>
          <w:tcPr>
            <w:tcW w:w="1080" w:type="dxa"/>
            <w:shd w:val="clear" w:color="auto" w:fill="auto"/>
          </w:tcPr>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250   (79.9%)</w:t>
            </w:r>
            <w:r w:rsidRPr="00F46772">
              <w:rPr>
                <w:rFonts w:cs="Arial"/>
                <w:color w:val="000000"/>
                <w:sz w:val="18"/>
                <w:szCs w:val="18"/>
                <w:vertAlign w:val="superscript"/>
                <w:lang w:val="en-US"/>
              </w:rPr>
              <w:t>a,c</w:t>
            </w:r>
          </w:p>
        </w:tc>
        <w:tc>
          <w:tcPr>
            <w:tcW w:w="1188" w:type="dxa"/>
            <w:shd w:val="clear" w:color="auto" w:fill="auto"/>
          </w:tcPr>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200 (64.1%)</w:t>
            </w:r>
            <w:r w:rsidRPr="00F46772">
              <w:rPr>
                <w:rFonts w:cs="Arial"/>
                <w:color w:val="000000"/>
                <w:sz w:val="18"/>
                <w:szCs w:val="18"/>
                <w:vertAlign w:val="superscript"/>
                <w:lang w:val="en-US"/>
              </w:rPr>
              <w:t>a</w:t>
            </w:r>
          </w:p>
        </w:tc>
        <w:tc>
          <w:tcPr>
            <w:tcW w:w="966" w:type="dxa"/>
            <w:shd w:val="clear" w:color="auto" w:fill="auto"/>
          </w:tcPr>
          <w:p w:rsidR="00F46772" w:rsidRPr="00F46772" w:rsidRDefault="00F46772" w:rsidP="00937266">
            <w:pPr>
              <w:autoSpaceDE w:val="0"/>
              <w:autoSpaceDN w:val="0"/>
              <w:adjustRightInd w:val="0"/>
              <w:spacing w:after="60" w:line="240" w:lineRule="auto"/>
              <w:ind w:left="36"/>
              <w:jc w:val="center"/>
              <w:rPr>
                <w:rFonts w:cs="Arial"/>
                <w:color w:val="000000"/>
                <w:sz w:val="18"/>
                <w:szCs w:val="18"/>
                <w:lang w:val="en-US"/>
              </w:rPr>
            </w:pPr>
            <w:r w:rsidRPr="00F46772">
              <w:rPr>
                <w:rFonts w:cs="Arial"/>
                <w:color w:val="000000"/>
                <w:sz w:val="18"/>
                <w:szCs w:val="18"/>
                <w:lang w:val="en-US"/>
              </w:rPr>
              <w:t>33 (20.9%)</w:t>
            </w:r>
          </w:p>
        </w:tc>
      </w:tr>
    </w:tbl>
    <w:p w:rsidR="00427E80" w:rsidRPr="00427E80" w:rsidRDefault="00427E80" w:rsidP="00937266">
      <w:pPr>
        <w:pStyle w:val="TblFootnote"/>
        <w:ind w:left="142"/>
      </w:pPr>
      <w:r w:rsidRPr="00427E80">
        <w:t xml:space="preserve">Abbreviations: N=number of patients in the intent-to-treat population; NRI=Non-Responder Imputation. </w:t>
      </w:r>
      <w:r>
        <w:br/>
      </w:r>
      <w:r w:rsidRPr="00427E80">
        <w:rPr>
          <w:vertAlign w:val="superscript"/>
        </w:rPr>
        <w:t xml:space="preserve">a </w:t>
      </w:r>
      <w:r w:rsidRPr="00427E80">
        <w:t xml:space="preserve">p&lt;0.001 compared with placebo, adjusted for multiplicity. </w:t>
      </w:r>
      <w:r>
        <w:br/>
      </w:r>
      <w:r w:rsidRPr="00427E80">
        <w:rPr>
          <w:vertAlign w:val="superscript"/>
        </w:rPr>
        <w:t xml:space="preserve">b </w:t>
      </w:r>
      <w:r w:rsidRPr="00427E80">
        <w:t xml:space="preserve">Superior to etanercept using retention rate approach. </w:t>
      </w:r>
      <w:r>
        <w:br/>
      </w:r>
      <w:r w:rsidRPr="00427E80">
        <w:rPr>
          <w:vertAlign w:val="superscript"/>
        </w:rPr>
        <w:t xml:space="preserve">c </w:t>
      </w:r>
      <w:r w:rsidRPr="00427E80">
        <w:t xml:space="preserve">p&lt;0.001 compared with etanercept. </w:t>
      </w:r>
      <w:r>
        <w:br/>
      </w:r>
      <w:r w:rsidRPr="00427E80">
        <w:rPr>
          <w:vertAlign w:val="superscript"/>
        </w:rPr>
        <w:t xml:space="preserve">d </w:t>
      </w:r>
      <w:r w:rsidRPr="00427E80">
        <w:t>p&lt;0.01 compared with placebo.</w:t>
      </w:r>
      <w:r>
        <w:br/>
      </w:r>
      <w:r w:rsidRPr="00427E80">
        <w:rPr>
          <w:vertAlign w:val="superscript"/>
        </w:rPr>
        <w:t xml:space="preserve">e </w:t>
      </w:r>
      <w:r w:rsidRPr="00427E80">
        <w:t>Patients with Itch NRS ≥ 4 at baseline: TALTZ 80 mg Q2W N=303, TALTZ 80 mg Q4W N=293, etanercept N=306, placebo N=135.</w:t>
      </w:r>
      <w:r>
        <w:br/>
      </w:r>
      <w:r w:rsidRPr="00427E80">
        <w:rPr>
          <w:vertAlign w:val="superscript"/>
        </w:rPr>
        <w:t>f</w:t>
      </w:r>
      <w:r w:rsidRPr="00427E80">
        <w:t xml:space="preserve"> p&lt;0.001 compared with placebo.</w:t>
      </w:r>
    </w:p>
    <w:p w:rsidR="00427E80" w:rsidRDefault="00427E80" w:rsidP="00937266">
      <w:pPr>
        <w:ind w:left="142"/>
      </w:pPr>
      <w:r>
        <w:t>The TALTZ 80 mg Q2W dose regimen provided superior efficacy (p&lt;0.001) at Week 12 across all endpoints for all three clinical trials. Further, all TALTZ treatment groups consistently demonstrated superiority to placebo and to etanercept in achieving high rates of response (PASI 90) and complete resolution of psoriatic plaque (PASI 100). Further, TALTZ treatment groups had significantly greater improvements in itch severity, as early as Week 1 compared to placebo and to etanercept (p&lt;0.001). The percentage of patients achieving a sPGA 0 (clear) or 1 (minimal) was statistically significant compared to placebo as early as Week 1 in all three clinical trials.</w:t>
      </w:r>
    </w:p>
    <w:p w:rsidR="00072F6C" w:rsidRDefault="00427E80" w:rsidP="00937266">
      <w:pPr>
        <w:ind w:left="142"/>
      </w:pPr>
      <w:r>
        <w:t>TALTZ was associated with a fast onset of efficacy with &gt;50% reduction in mean PASI by Week 2 (Figure 1). The percentage of patients achieving PASI 75 was significantly greater for TALTZ compared with placebo and etanercept as early as Week 1. Approximately 25% of patients treated with TALTZ achieved a PASI score &lt;5 by Week 2, more than 55% achieved the PASI score &lt;5 by Week 4 and increased to 85% by Week 12 (compared to 3%, 14% and 50% for etanercept).</w:t>
      </w:r>
    </w:p>
    <w:p w:rsidR="00427E80" w:rsidRDefault="00427E80" w:rsidP="00C91FEA">
      <w:pPr>
        <w:pStyle w:val="FigureTitle"/>
        <w:pageBreakBefore/>
        <w:ind w:left="0" w:firstLine="0"/>
      </w:pPr>
      <w:r w:rsidRPr="00427E80">
        <w:lastRenderedPageBreak/>
        <w:t>PASI Score (Mean), Percent Improvement at Each Post Baseline Visit (LOCF) in the Intent-to-Treat Population During the Induction Dosing Period – UNCOVER-2</w:t>
      </w:r>
    </w:p>
    <w:p w:rsidR="00427E80" w:rsidRDefault="00427E80" w:rsidP="00937266">
      <w:pPr>
        <w:ind w:left="142"/>
      </w:pPr>
      <w:r w:rsidRPr="00427E80">
        <w:rPr>
          <w:rFonts w:ascii="Arial" w:hAnsi="Arial"/>
          <w:noProof/>
          <w:sz w:val="24"/>
          <w:szCs w:val="24"/>
          <w:lang w:val="en-US"/>
        </w:rPr>
        <w:pict>
          <v:shape id="Picture 20" o:spid="_x0000_i1026" type="#_x0000_t75" style="width:342.15pt;height:208.5pt;visibility:visible" o:bordertopcolor="black" o:borderleftcolor="black" o:borderbottomcolor="black" o:borderrightcolor="black">
            <v:imagedata r:id="rId16" o:title=""/>
            <w10:bordertop type="single" width="6"/>
            <w10:borderleft type="single" width="6"/>
            <w10:borderbottom type="single" width="6"/>
            <w10:borderright type="single" width="6"/>
          </v:shape>
        </w:pict>
      </w:r>
    </w:p>
    <w:p w:rsidR="00427E80" w:rsidRPr="00427E80" w:rsidRDefault="00427E80" w:rsidP="00937266">
      <w:pPr>
        <w:pStyle w:val="TblFootnote"/>
        <w:ind w:left="142" w:firstLine="308"/>
      </w:pPr>
      <w:r w:rsidRPr="00427E80">
        <w:t>Note: Comparisons between each group were statistically significant (p&lt;0.001) at each visit.</w:t>
      </w:r>
    </w:p>
    <w:p w:rsidR="00427E80" w:rsidRDefault="00427E80" w:rsidP="00937266">
      <w:pPr>
        <w:ind w:left="142"/>
      </w:pPr>
      <w:r>
        <w:t>The efficacy and safety of TALTZ was demonstrated regardless of age, gender, race, body weight, PASI baseline severity and previous treatment with a biologic. Responses to TALTZ were consistent among patients who had nail psoriasis, facial psoriasis or scalp psoriasis at baseline.</w:t>
      </w:r>
    </w:p>
    <w:p w:rsidR="00C9158B" w:rsidRDefault="00427E80" w:rsidP="00937266">
      <w:pPr>
        <w:ind w:left="142"/>
      </w:pPr>
      <w:r>
        <w:t>TALTZ was efficacious in systemic treatment-naïve, biologic-naïve, biologic/anti-TNF-exposed and biologic/anti-TNF-failure patients. Improvements in sPGA and PASI endpoints in patients with concurrent psoriatic arthritis at baseline were similar to those in the overall moderate to severe plaque psoriasis population.   Approximately 45% of patients had baseline facial psoriasis.  Of these patients, 80.4% of patients treated with TALTZ had complete resolution of their facial psoriasis at Week 12.</w:t>
      </w:r>
    </w:p>
    <w:p w:rsidR="00427E80" w:rsidRDefault="00427E80" w:rsidP="00937266">
      <w:pPr>
        <w:pStyle w:val="Heading4"/>
        <w:ind w:left="142"/>
      </w:pPr>
      <w:r>
        <w:t>Maintenance of Response</w:t>
      </w:r>
    </w:p>
    <w:p w:rsidR="00427E80" w:rsidRDefault="00427E80" w:rsidP="00937266">
      <w:pPr>
        <w:ind w:left="142"/>
      </w:pPr>
      <w:r>
        <w:t>To evaluate the maintenance of response, patients originally randomised to TALTZ and who were responders at Week 12 (sPGA 0,1) in UNCOVER-1 and UNCOVER-2 trials, were re-randomised to an additional 48 weeks of one of the following treatment regimens: TALTZ 80 mg Q4W, TALTZ 80 mg Q12W or placebo. Patients who were non-responders (sPGA &gt;1) at Week 12 and who relapsed (sPGA ≥3) during the maintenance period were placed on TALTZ 80 mg Q4W.</w:t>
      </w:r>
    </w:p>
    <w:p w:rsidR="00427E80" w:rsidRDefault="00427E80" w:rsidP="00937266">
      <w:pPr>
        <w:ind w:left="142"/>
      </w:pPr>
      <w:r>
        <w:t>For responders at Week 12, the percentage of patients who maintained this response at Week 60 was higher for patients treated with TALTZ 80 mg Q4W (71%) compared to those treated with TALTZ 80 mg Q12W (35.5%) or placebo (7%). Further, of the responders at Week 12 who were treated with maintenance Q4W dosing, the proportion who maintained or achieved complete resolution of psoriatic plaques at Week 60 as measured by a sPGA (0) or PASI 100 was 52.0% and 51.4%, respectively. Additionally, 76.4% of patients achieved or maintained a PASI &lt;5 at Week 60.</w:t>
      </w:r>
    </w:p>
    <w:p w:rsidR="009B6A33" w:rsidRDefault="00427E80" w:rsidP="00937266">
      <w:pPr>
        <w:ind w:left="142"/>
      </w:pPr>
      <w:r>
        <w:t xml:space="preserve">The response rates for those patients re-randomised to the recommended maintenance dose </w:t>
      </w:r>
    </w:p>
    <w:p w:rsidR="009B6A33" w:rsidRPr="00427E80" w:rsidRDefault="00427E80" w:rsidP="00937266">
      <w:pPr>
        <w:ind w:left="142"/>
      </w:pPr>
      <w:r>
        <w:t xml:space="preserve">of TALTZ 80 mg Q4W based on induction dose are provided in Table </w:t>
      </w:r>
      <w:r w:rsidR="0003595F">
        <w:t>6</w:t>
      </w:r>
      <w:r>
        <w:t>.</w:t>
      </w:r>
    </w:p>
    <w:p w:rsidR="00427E80" w:rsidRDefault="00427E80" w:rsidP="00937266">
      <w:pPr>
        <w:pStyle w:val="TableTitle"/>
        <w:ind w:left="142"/>
      </w:pPr>
      <w:r w:rsidRPr="00427E80">
        <w:lastRenderedPageBreak/>
        <w:t>Maintenance of Response and Efficacy at Week 60 (Studies UNCOVER-1 and UNCOVER-2) for Patients Treated with 80 mg Q4W Maintenance Dosing Regimen Based on Induction Dosing Regimen; NRI</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75"/>
        <w:gridCol w:w="1438"/>
        <w:gridCol w:w="1439"/>
        <w:gridCol w:w="1439"/>
        <w:gridCol w:w="1439"/>
      </w:tblGrid>
      <w:tr w:rsidR="00F46772" w:rsidRPr="00F46772" w:rsidTr="00F46772">
        <w:trPr>
          <w:trHeight w:val="1012"/>
          <w:jc w:val="center"/>
        </w:trPr>
        <w:tc>
          <w:tcPr>
            <w:tcW w:w="3375" w:type="dxa"/>
            <w:shd w:val="clear" w:color="auto" w:fill="auto"/>
          </w:tcPr>
          <w:p w:rsidR="00F46772" w:rsidRPr="00F46772" w:rsidRDefault="00F46772" w:rsidP="00937266">
            <w:pPr>
              <w:keepNext/>
              <w:spacing w:after="0" w:line="240" w:lineRule="auto"/>
              <w:ind w:left="142"/>
              <w:rPr>
                <w:rFonts w:cs="Arial"/>
                <w:sz w:val="20"/>
                <w:szCs w:val="20"/>
              </w:rPr>
            </w:pPr>
            <w:r w:rsidRPr="00F46772">
              <w:rPr>
                <w:rFonts w:eastAsia="TimesNewRoman,Bold" w:cs="Arial"/>
                <w:b/>
                <w:bCs/>
                <w:sz w:val="20"/>
                <w:szCs w:val="20"/>
              </w:rPr>
              <w:t>Endpoints at Week 60</w:t>
            </w:r>
          </w:p>
        </w:tc>
        <w:tc>
          <w:tcPr>
            <w:tcW w:w="1438" w:type="dxa"/>
            <w:vAlign w:val="center"/>
          </w:tcPr>
          <w:p w:rsidR="00F46772" w:rsidRPr="00F46772" w:rsidRDefault="00F46772" w:rsidP="00937266">
            <w:pPr>
              <w:keepNext/>
              <w:spacing w:after="0" w:line="240" w:lineRule="auto"/>
              <w:ind w:left="142"/>
              <w:jc w:val="center"/>
              <w:rPr>
                <w:rFonts w:cs="Arial"/>
                <w:sz w:val="20"/>
                <w:szCs w:val="20"/>
              </w:rPr>
            </w:pPr>
            <w:r w:rsidRPr="00F46772">
              <w:rPr>
                <w:rFonts w:cs="Arial"/>
                <w:sz w:val="20"/>
                <w:szCs w:val="20"/>
              </w:rPr>
              <w:t>80 mg Q4W (induction) / Placebo (maintenance) (N=181)</w:t>
            </w:r>
          </w:p>
        </w:tc>
        <w:tc>
          <w:tcPr>
            <w:tcW w:w="1439" w:type="dxa"/>
            <w:vAlign w:val="center"/>
          </w:tcPr>
          <w:p w:rsidR="00F46772" w:rsidRPr="00F46772" w:rsidRDefault="00F46772" w:rsidP="00937266">
            <w:pPr>
              <w:keepNext/>
              <w:spacing w:after="0" w:line="240" w:lineRule="auto"/>
              <w:ind w:left="142"/>
              <w:jc w:val="center"/>
              <w:rPr>
                <w:rFonts w:cs="Arial"/>
                <w:sz w:val="20"/>
                <w:szCs w:val="20"/>
              </w:rPr>
            </w:pPr>
            <w:r w:rsidRPr="00F46772">
              <w:rPr>
                <w:rFonts w:cs="Arial"/>
                <w:sz w:val="20"/>
                <w:szCs w:val="20"/>
              </w:rPr>
              <w:t>80 mg Q2W (induction) / Placebo (maintenance) (N=203)</w:t>
            </w:r>
          </w:p>
        </w:tc>
        <w:tc>
          <w:tcPr>
            <w:tcW w:w="1439" w:type="dxa"/>
            <w:vAlign w:val="center"/>
          </w:tcPr>
          <w:p w:rsidR="00F46772" w:rsidRPr="00F46772" w:rsidRDefault="00F46772" w:rsidP="00937266">
            <w:pPr>
              <w:keepNext/>
              <w:spacing w:after="0" w:line="240" w:lineRule="auto"/>
              <w:ind w:left="142"/>
              <w:jc w:val="center"/>
              <w:rPr>
                <w:rFonts w:cs="Arial"/>
                <w:sz w:val="20"/>
                <w:szCs w:val="20"/>
              </w:rPr>
            </w:pPr>
            <w:r w:rsidRPr="00F46772">
              <w:rPr>
                <w:rFonts w:cs="Arial"/>
                <w:sz w:val="20"/>
                <w:szCs w:val="20"/>
              </w:rPr>
              <w:t>80 mg Q4W (induction) / 80 mg Q4W (maintenance) (N=167)</w:t>
            </w:r>
          </w:p>
        </w:tc>
        <w:tc>
          <w:tcPr>
            <w:tcW w:w="1439" w:type="dxa"/>
            <w:vAlign w:val="center"/>
          </w:tcPr>
          <w:p w:rsidR="00F46772" w:rsidRPr="00F46772" w:rsidRDefault="00F46772" w:rsidP="00937266">
            <w:pPr>
              <w:keepNext/>
              <w:spacing w:after="0" w:line="240" w:lineRule="auto"/>
              <w:ind w:left="142"/>
              <w:jc w:val="center"/>
              <w:rPr>
                <w:rFonts w:cs="Arial"/>
                <w:sz w:val="20"/>
                <w:szCs w:val="20"/>
              </w:rPr>
            </w:pPr>
            <w:r w:rsidRPr="00F46772">
              <w:rPr>
                <w:rFonts w:cs="Arial"/>
                <w:sz w:val="20"/>
                <w:szCs w:val="20"/>
              </w:rPr>
              <w:t>80 mg Q2W (induction) / 80 mg Q4W (maintenance) (N=181)</w:t>
            </w:r>
          </w:p>
        </w:tc>
      </w:tr>
      <w:tr w:rsidR="00F46772" w:rsidRPr="00F46772" w:rsidTr="00F46772">
        <w:trPr>
          <w:trHeight w:val="245"/>
          <w:jc w:val="center"/>
        </w:trPr>
        <w:tc>
          <w:tcPr>
            <w:tcW w:w="3375" w:type="dxa"/>
            <w:shd w:val="clear" w:color="auto" w:fill="auto"/>
          </w:tcPr>
          <w:p w:rsidR="00F46772" w:rsidRPr="00F46772" w:rsidRDefault="00F46772" w:rsidP="00937266">
            <w:pPr>
              <w:keepNext/>
              <w:spacing w:after="0" w:line="240" w:lineRule="auto"/>
              <w:ind w:left="142"/>
              <w:rPr>
                <w:rFonts w:cs="Arial"/>
                <w:sz w:val="20"/>
                <w:szCs w:val="20"/>
              </w:rPr>
            </w:pPr>
            <w:r w:rsidRPr="00F46772">
              <w:rPr>
                <w:rFonts w:cs="Arial"/>
                <w:b/>
                <w:bCs/>
                <w:color w:val="000000"/>
                <w:sz w:val="20"/>
                <w:szCs w:val="20"/>
              </w:rPr>
              <w:t>Maintained sPGA (0,1)</w:t>
            </w:r>
          </w:p>
        </w:tc>
        <w:tc>
          <w:tcPr>
            <w:tcW w:w="1438" w:type="dxa"/>
          </w:tcPr>
          <w:p w:rsidR="00F46772" w:rsidRPr="00F46772" w:rsidRDefault="00F46772" w:rsidP="00937266">
            <w:pPr>
              <w:keepNext/>
              <w:spacing w:after="0" w:line="240" w:lineRule="auto"/>
              <w:ind w:left="142"/>
              <w:jc w:val="center"/>
              <w:rPr>
                <w:rFonts w:cs="Arial"/>
                <w:sz w:val="20"/>
                <w:szCs w:val="20"/>
              </w:rPr>
            </w:pPr>
            <w:r w:rsidRPr="00F46772">
              <w:rPr>
                <w:rFonts w:cs="Arial"/>
                <w:sz w:val="20"/>
                <w:szCs w:val="20"/>
              </w:rPr>
              <w:t>6.1%</w:t>
            </w:r>
          </w:p>
        </w:tc>
        <w:tc>
          <w:tcPr>
            <w:tcW w:w="1439" w:type="dxa"/>
          </w:tcPr>
          <w:p w:rsidR="00F46772" w:rsidRPr="00F46772" w:rsidRDefault="00F46772" w:rsidP="00937266">
            <w:pPr>
              <w:keepNext/>
              <w:spacing w:after="0" w:line="240" w:lineRule="auto"/>
              <w:ind w:left="142"/>
              <w:jc w:val="center"/>
              <w:rPr>
                <w:rFonts w:cs="Arial"/>
                <w:sz w:val="20"/>
                <w:szCs w:val="20"/>
              </w:rPr>
            </w:pPr>
            <w:r w:rsidRPr="00F46772">
              <w:rPr>
                <w:rFonts w:cs="Arial"/>
                <w:sz w:val="20"/>
                <w:szCs w:val="20"/>
              </w:rPr>
              <w:t>7.4%</w:t>
            </w:r>
          </w:p>
        </w:tc>
        <w:tc>
          <w:tcPr>
            <w:tcW w:w="1439" w:type="dxa"/>
          </w:tcPr>
          <w:p w:rsidR="00F46772" w:rsidRPr="00F46772" w:rsidRDefault="00F46772" w:rsidP="00937266">
            <w:pPr>
              <w:keepNext/>
              <w:spacing w:after="0" w:line="240" w:lineRule="auto"/>
              <w:ind w:left="142"/>
              <w:jc w:val="center"/>
              <w:rPr>
                <w:rFonts w:cs="Arial"/>
                <w:sz w:val="20"/>
                <w:szCs w:val="20"/>
              </w:rPr>
            </w:pPr>
            <w:r w:rsidRPr="00F46772">
              <w:rPr>
                <w:rFonts w:cs="Arial"/>
                <w:color w:val="000000"/>
                <w:sz w:val="20"/>
                <w:szCs w:val="20"/>
              </w:rPr>
              <w:t>67.1%</w:t>
            </w:r>
          </w:p>
        </w:tc>
        <w:tc>
          <w:tcPr>
            <w:tcW w:w="1439" w:type="dxa"/>
          </w:tcPr>
          <w:p w:rsidR="00F46772" w:rsidRPr="00F46772" w:rsidRDefault="00F46772" w:rsidP="00937266">
            <w:pPr>
              <w:keepNext/>
              <w:spacing w:after="0" w:line="240" w:lineRule="auto"/>
              <w:ind w:left="142"/>
              <w:jc w:val="center"/>
              <w:rPr>
                <w:rFonts w:cs="Arial"/>
                <w:sz w:val="20"/>
                <w:szCs w:val="20"/>
              </w:rPr>
            </w:pPr>
            <w:r w:rsidRPr="00F46772">
              <w:rPr>
                <w:rFonts w:cs="Arial"/>
                <w:color w:val="000000"/>
                <w:sz w:val="20"/>
                <w:szCs w:val="20"/>
              </w:rPr>
              <w:t>74.6%</w:t>
            </w:r>
          </w:p>
        </w:tc>
      </w:tr>
      <w:tr w:rsidR="00F46772" w:rsidRPr="00F46772" w:rsidTr="00F46772">
        <w:trPr>
          <w:trHeight w:val="245"/>
          <w:jc w:val="center"/>
        </w:trPr>
        <w:tc>
          <w:tcPr>
            <w:tcW w:w="3375" w:type="dxa"/>
            <w:shd w:val="clear" w:color="auto" w:fill="auto"/>
          </w:tcPr>
          <w:p w:rsidR="00F46772" w:rsidRPr="00F46772" w:rsidRDefault="00F46772" w:rsidP="00937266">
            <w:pPr>
              <w:keepNext/>
              <w:spacing w:after="0" w:line="240" w:lineRule="auto"/>
              <w:ind w:left="142"/>
              <w:rPr>
                <w:rFonts w:cs="Arial"/>
                <w:sz w:val="20"/>
                <w:szCs w:val="20"/>
              </w:rPr>
            </w:pPr>
            <w:r w:rsidRPr="00F46772">
              <w:rPr>
                <w:rFonts w:cs="Arial"/>
                <w:b/>
                <w:bCs/>
                <w:color w:val="000000"/>
                <w:sz w:val="20"/>
                <w:szCs w:val="20"/>
              </w:rPr>
              <w:t xml:space="preserve">Maintained or Achieved sPGA 0 </w:t>
            </w:r>
          </w:p>
        </w:tc>
        <w:tc>
          <w:tcPr>
            <w:tcW w:w="1438" w:type="dxa"/>
          </w:tcPr>
          <w:p w:rsidR="00F46772" w:rsidRPr="00F46772" w:rsidRDefault="00F46772" w:rsidP="00937266">
            <w:pPr>
              <w:keepNext/>
              <w:spacing w:after="0" w:line="240" w:lineRule="auto"/>
              <w:ind w:left="142"/>
              <w:jc w:val="center"/>
              <w:rPr>
                <w:rFonts w:cs="Arial"/>
                <w:sz w:val="20"/>
                <w:szCs w:val="20"/>
              </w:rPr>
            </w:pPr>
            <w:r w:rsidRPr="00F46772">
              <w:rPr>
                <w:rFonts w:cs="Arial"/>
                <w:sz w:val="20"/>
                <w:szCs w:val="20"/>
              </w:rPr>
              <w:t>1.1%</w:t>
            </w:r>
          </w:p>
        </w:tc>
        <w:tc>
          <w:tcPr>
            <w:tcW w:w="1439" w:type="dxa"/>
          </w:tcPr>
          <w:p w:rsidR="00F46772" w:rsidRPr="00F46772" w:rsidRDefault="00F46772" w:rsidP="00937266">
            <w:pPr>
              <w:keepNext/>
              <w:spacing w:after="0" w:line="240" w:lineRule="auto"/>
              <w:ind w:left="142"/>
              <w:jc w:val="center"/>
              <w:rPr>
                <w:rFonts w:cs="Arial"/>
                <w:sz w:val="20"/>
                <w:szCs w:val="20"/>
              </w:rPr>
            </w:pPr>
            <w:r w:rsidRPr="00F46772">
              <w:rPr>
                <w:rFonts w:cs="Arial"/>
                <w:sz w:val="20"/>
                <w:szCs w:val="20"/>
              </w:rPr>
              <w:t>3.0%</w:t>
            </w:r>
          </w:p>
        </w:tc>
        <w:tc>
          <w:tcPr>
            <w:tcW w:w="1439" w:type="dxa"/>
          </w:tcPr>
          <w:p w:rsidR="00F46772" w:rsidRPr="00F46772" w:rsidRDefault="00F46772" w:rsidP="00937266">
            <w:pPr>
              <w:keepNext/>
              <w:spacing w:after="0" w:line="240" w:lineRule="auto"/>
              <w:ind w:left="142"/>
              <w:jc w:val="center"/>
              <w:rPr>
                <w:rFonts w:cs="Arial"/>
                <w:sz w:val="20"/>
                <w:szCs w:val="20"/>
              </w:rPr>
            </w:pPr>
            <w:r w:rsidRPr="00F46772">
              <w:rPr>
                <w:rFonts w:cs="Arial"/>
                <w:color w:val="000000"/>
                <w:sz w:val="20"/>
                <w:szCs w:val="20"/>
              </w:rPr>
              <w:t>48.5%</w:t>
            </w:r>
          </w:p>
        </w:tc>
        <w:tc>
          <w:tcPr>
            <w:tcW w:w="1439" w:type="dxa"/>
          </w:tcPr>
          <w:p w:rsidR="00F46772" w:rsidRPr="00F46772" w:rsidRDefault="00F46772" w:rsidP="00937266">
            <w:pPr>
              <w:keepNext/>
              <w:spacing w:after="0" w:line="240" w:lineRule="auto"/>
              <w:ind w:left="142"/>
              <w:jc w:val="center"/>
              <w:rPr>
                <w:rFonts w:cs="Arial"/>
                <w:sz w:val="20"/>
                <w:szCs w:val="20"/>
              </w:rPr>
            </w:pPr>
            <w:r w:rsidRPr="00F46772">
              <w:rPr>
                <w:rFonts w:cs="Arial"/>
                <w:color w:val="000000"/>
                <w:sz w:val="20"/>
                <w:szCs w:val="20"/>
              </w:rPr>
              <w:t>55.2%</w:t>
            </w:r>
          </w:p>
        </w:tc>
      </w:tr>
      <w:tr w:rsidR="00F46772" w:rsidRPr="00F46772" w:rsidTr="00F46772">
        <w:trPr>
          <w:trHeight w:val="245"/>
          <w:jc w:val="center"/>
        </w:trPr>
        <w:tc>
          <w:tcPr>
            <w:tcW w:w="3375" w:type="dxa"/>
            <w:shd w:val="clear" w:color="auto" w:fill="auto"/>
          </w:tcPr>
          <w:p w:rsidR="00F46772" w:rsidRPr="00F46772" w:rsidRDefault="00F46772" w:rsidP="00937266">
            <w:pPr>
              <w:keepNext/>
              <w:spacing w:after="0" w:line="240" w:lineRule="auto"/>
              <w:ind w:left="142"/>
              <w:rPr>
                <w:rFonts w:cs="Arial"/>
                <w:sz w:val="20"/>
                <w:szCs w:val="20"/>
              </w:rPr>
            </w:pPr>
            <w:r w:rsidRPr="00F46772">
              <w:rPr>
                <w:rFonts w:cs="Arial"/>
                <w:b/>
                <w:bCs/>
                <w:color w:val="000000"/>
                <w:sz w:val="20"/>
                <w:szCs w:val="20"/>
              </w:rPr>
              <w:t xml:space="preserve">Maintained or Achieved PASI 75 </w:t>
            </w:r>
          </w:p>
        </w:tc>
        <w:tc>
          <w:tcPr>
            <w:tcW w:w="1438" w:type="dxa"/>
          </w:tcPr>
          <w:p w:rsidR="00F46772" w:rsidRPr="00F46772" w:rsidRDefault="00F46772" w:rsidP="00937266">
            <w:pPr>
              <w:keepNext/>
              <w:spacing w:after="0" w:line="240" w:lineRule="auto"/>
              <w:ind w:left="142"/>
              <w:jc w:val="center"/>
              <w:rPr>
                <w:rFonts w:cs="Arial"/>
                <w:sz w:val="20"/>
                <w:szCs w:val="20"/>
              </w:rPr>
            </w:pPr>
            <w:r w:rsidRPr="00F46772">
              <w:rPr>
                <w:rFonts w:cs="Arial"/>
                <w:sz w:val="20"/>
                <w:szCs w:val="20"/>
              </w:rPr>
              <w:t>6.6%</w:t>
            </w:r>
          </w:p>
        </w:tc>
        <w:tc>
          <w:tcPr>
            <w:tcW w:w="1439" w:type="dxa"/>
          </w:tcPr>
          <w:p w:rsidR="00F46772" w:rsidRPr="00F46772" w:rsidRDefault="00F46772" w:rsidP="00937266">
            <w:pPr>
              <w:keepNext/>
              <w:spacing w:after="0" w:line="240" w:lineRule="auto"/>
              <w:ind w:left="142"/>
              <w:jc w:val="center"/>
              <w:rPr>
                <w:rFonts w:cs="Arial"/>
                <w:sz w:val="20"/>
                <w:szCs w:val="20"/>
              </w:rPr>
            </w:pPr>
            <w:r w:rsidRPr="00F46772">
              <w:rPr>
                <w:rFonts w:cs="Arial"/>
                <w:sz w:val="20"/>
                <w:szCs w:val="20"/>
              </w:rPr>
              <w:t>7.9%</w:t>
            </w:r>
          </w:p>
        </w:tc>
        <w:tc>
          <w:tcPr>
            <w:tcW w:w="1439" w:type="dxa"/>
          </w:tcPr>
          <w:p w:rsidR="00F46772" w:rsidRPr="00F46772" w:rsidRDefault="00F46772" w:rsidP="00937266">
            <w:pPr>
              <w:keepNext/>
              <w:spacing w:after="0" w:line="240" w:lineRule="auto"/>
              <w:ind w:left="142"/>
              <w:jc w:val="center"/>
              <w:rPr>
                <w:rFonts w:cs="Arial"/>
                <w:sz w:val="20"/>
                <w:szCs w:val="20"/>
              </w:rPr>
            </w:pPr>
            <w:r w:rsidRPr="00F46772">
              <w:rPr>
                <w:rFonts w:cs="Arial"/>
                <w:color w:val="000000"/>
                <w:sz w:val="20"/>
                <w:szCs w:val="20"/>
              </w:rPr>
              <w:t>73.1%</w:t>
            </w:r>
          </w:p>
        </w:tc>
        <w:tc>
          <w:tcPr>
            <w:tcW w:w="1439" w:type="dxa"/>
          </w:tcPr>
          <w:p w:rsidR="00F46772" w:rsidRPr="00F46772" w:rsidRDefault="00F46772" w:rsidP="00937266">
            <w:pPr>
              <w:keepNext/>
              <w:spacing w:after="0" w:line="240" w:lineRule="auto"/>
              <w:ind w:left="142"/>
              <w:jc w:val="center"/>
              <w:rPr>
                <w:rFonts w:cs="Arial"/>
                <w:sz w:val="20"/>
                <w:szCs w:val="20"/>
              </w:rPr>
            </w:pPr>
            <w:r w:rsidRPr="00F46772">
              <w:rPr>
                <w:rFonts w:cs="Arial"/>
                <w:color w:val="000000"/>
                <w:sz w:val="20"/>
                <w:szCs w:val="20"/>
              </w:rPr>
              <w:t>80.1%</w:t>
            </w:r>
          </w:p>
        </w:tc>
      </w:tr>
      <w:tr w:rsidR="00F46772" w:rsidRPr="00F46772" w:rsidTr="00F46772">
        <w:trPr>
          <w:trHeight w:val="245"/>
          <w:jc w:val="center"/>
        </w:trPr>
        <w:tc>
          <w:tcPr>
            <w:tcW w:w="3375" w:type="dxa"/>
            <w:shd w:val="clear" w:color="auto" w:fill="auto"/>
          </w:tcPr>
          <w:p w:rsidR="00F46772" w:rsidRPr="00F46772" w:rsidRDefault="00F46772" w:rsidP="00937266">
            <w:pPr>
              <w:keepNext/>
              <w:spacing w:after="0" w:line="240" w:lineRule="auto"/>
              <w:ind w:left="142"/>
              <w:rPr>
                <w:rFonts w:cs="Arial"/>
                <w:sz w:val="20"/>
                <w:szCs w:val="20"/>
              </w:rPr>
            </w:pPr>
            <w:r w:rsidRPr="00F46772">
              <w:rPr>
                <w:rFonts w:cs="Arial"/>
                <w:b/>
                <w:bCs/>
                <w:color w:val="000000"/>
                <w:sz w:val="20"/>
                <w:szCs w:val="20"/>
              </w:rPr>
              <w:t xml:space="preserve">Maintained or Achieved PASI 90 </w:t>
            </w:r>
          </w:p>
        </w:tc>
        <w:tc>
          <w:tcPr>
            <w:tcW w:w="1438" w:type="dxa"/>
          </w:tcPr>
          <w:p w:rsidR="00F46772" w:rsidRPr="00F46772" w:rsidRDefault="00F46772" w:rsidP="00937266">
            <w:pPr>
              <w:keepNext/>
              <w:spacing w:after="0" w:line="240" w:lineRule="auto"/>
              <w:ind w:left="142"/>
              <w:jc w:val="center"/>
              <w:rPr>
                <w:rFonts w:cs="Arial"/>
                <w:sz w:val="20"/>
                <w:szCs w:val="20"/>
              </w:rPr>
            </w:pPr>
            <w:r w:rsidRPr="00F46772">
              <w:rPr>
                <w:rFonts w:cs="Arial"/>
                <w:sz w:val="20"/>
                <w:szCs w:val="20"/>
              </w:rPr>
              <w:t>3.3%</w:t>
            </w:r>
          </w:p>
        </w:tc>
        <w:tc>
          <w:tcPr>
            <w:tcW w:w="1439" w:type="dxa"/>
          </w:tcPr>
          <w:p w:rsidR="00F46772" w:rsidRPr="00F46772" w:rsidRDefault="00F46772" w:rsidP="00937266">
            <w:pPr>
              <w:keepNext/>
              <w:spacing w:after="0" w:line="240" w:lineRule="auto"/>
              <w:ind w:left="142"/>
              <w:jc w:val="center"/>
              <w:rPr>
                <w:rFonts w:cs="Arial"/>
                <w:sz w:val="20"/>
                <w:szCs w:val="20"/>
              </w:rPr>
            </w:pPr>
            <w:r w:rsidRPr="00F46772">
              <w:rPr>
                <w:rFonts w:cs="Arial"/>
                <w:sz w:val="20"/>
                <w:szCs w:val="20"/>
              </w:rPr>
              <w:t>4.4%</w:t>
            </w:r>
          </w:p>
        </w:tc>
        <w:tc>
          <w:tcPr>
            <w:tcW w:w="1439" w:type="dxa"/>
          </w:tcPr>
          <w:p w:rsidR="00F46772" w:rsidRPr="00F46772" w:rsidRDefault="00F46772" w:rsidP="00937266">
            <w:pPr>
              <w:keepNext/>
              <w:spacing w:after="0" w:line="240" w:lineRule="auto"/>
              <w:ind w:left="142"/>
              <w:jc w:val="center"/>
              <w:rPr>
                <w:rFonts w:cs="Arial"/>
                <w:sz w:val="20"/>
                <w:szCs w:val="20"/>
              </w:rPr>
            </w:pPr>
            <w:r w:rsidRPr="00F46772">
              <w:rPr>
                <w:rFonts w:cs="Arial"/>
                <w:color w:val="000000"/>
                <w:sz w:val="20"/>
                <w:szCs w:val="20"/>
              </w:rPr>
              <w:t>65.9%</w:t>
            </w:r>
          </w:p>
        </w:tc>
        <w:tc>
          <w:tcPr>
            <w:tcW w:w="1439" w:type="dxa"/>
          </w:tcPr>
          <w:p w:rsidR="00F46772" w:rsidRPr="00F46772" w:rsidRDefault="00F46772" w:rsidP="00937266">
            <w:pPr>
              <w:keepNext/>
              <w:spacing w:after="0" w:line="240" w:lineRule="auto"/>
              <w:ind w:left="142"/>
              <w:jc w:val="center"/>
              <w:rPr>
                <w:rFonts w:cs="Arial"/>
                <w:sz w:val="20"/>
                <w:szCs w:val="20"/>
              </w:rPr>
            </w:pPr>
            <w:r w:rsidRPr="00F46772">
              <w:rPr>
                <w:rFonts w:cs="Arial"/>
                <w:color w:val="000000"/>
                <w:sz w:val="20"/>
                <w:szCs w:val="20"/>
              </w:rPr>
              <w:t>72.9%</w:t>
            </w:r>
          </w:p>
        </w:tc>
      </w:tr>
      <w:tr w:rsidR="00F46772" w:rsidRPr="00F46772" w:rsidTr="00F46772">
        <w:trPr>
          <w:trHeight w:val="257"/>
          <w:jc w:val="center"/>
        </w:trPr>
        <w:tc>
          <w:tcPr>
            <w:tcW w:w="3375" w:type="dxa"/>
            <w:shd w:val="clear" w:color="auto" w:fill="auto"/>
          </w:tcPr>
          <w:p w:rsidR="00F46772" w:rsidRPr="00F46772" w:rsidRDefault="00F46772" w:rsidP="00937266">
            <w:pPr>
              <w:keepNext/>
              <w:spacing w:after="0" w:line="240" w:lineRule="auto"/>
              <w:ind w:left="142"/>
              <w:rPr>
                <w:rFonts w:cs="Arial"/>
                <w:sz w:val="20"/>
                <w:szCs w:val="20"/>
              </w:rPr>
            </w:pPr>
            <w:r w:rsidRPr="00F46772">
              <w:rPr>
                <w:rFonts w:cs="Arial"/>
                <w:b/>
                <w:bCs/>
                <w:color w:val="000000"/>
                <w:sz w:val="20"/>
                <w:szCs w:val="20"/>
              </w:rPr>
              <w:t xml:space="preserve">Maintained or Achieved PASI 100 </w:t>
            </w:r>
          </w:p>
        </w:tc>
        <w:tc>
          <w:tcPr>
            <w:tcW w:w="1438" w:type="dxa"/>
          </w:tcPr>
          <w:p w:rsidR="00F46772" w:rsidRPr="00F46772" w:rsidRDefault="00F46772" w:rsidP="00937266">
            <w:pPr>
              <w:keepNext/>
              <w:spacing w:after="0" w:line="240" w:lineRule="auto"/>
              <w:ind w:left="142"/>
              <w:jc w:val="center"/>
              <w:rPr>
                <w:rFonts w:cs="Arial"/>
                <w:sz w:val="20"/>
                <w:szCs w:val="20"/>
              </w:rPr>
            </w:pPr>
            <w:r w:rsidRPr="00F46772">
              <w:rPr>
                <w:rFonts w:cs="Arial"/>
                <w:sz w:val="20"/>
                <w:szCs w:val="20"/>
              </w:rPr>
              <w:t>1.1%</w:t>
            </w:r>
          </w:p>
        </w:tc>
        <w:tc>
          <w:tcPr>
            <w:tcW w:w="1439" w:type="dxa"/>
          </w:tcPr>
          <w:p w:rsidR="00F46772" w:rsidRPr="00F46772" w:rsidRDefault="00F46772" w:rsidP="00937266">
            <w:pPr>
              <w:keepNext/>
              <w:spacing w:after="0" w:line="240" w:lineRule="auto"/>
              <w:ind w:left="142"/>
              <w:jc w:val="center"/>
              <w:rPr>
                <w:rFonts w:cs="Arial"/>
                <w:sz w:val="20"/>
                <w:szCs w:val="20"/>
              </w:rPr>
            </w:pPr>
            <w:r w:rsidRPr="00F46772">
              <w:rPr>
                <w:rFonts w:cs="Arial"/>
                <w:sz w:val="20"/>
                <w:szCs w:val="20"/>
              </w:rPr>
              <w:t>3.0%</w:t>
            </w:r>
          </w:p>
        </w:tc>
        <w:tc>
          <w:tcPr>
            <w:tcW w:w="1439" w:type="dxa"/>
          </w:tcPr>
          <w:p w:rsidR="00F46772" w:rsidRPr="00F46772" w:rsidRDefault="00F46772" w:rsidP="00937266">
            <w:pPr>
              <w:keepNext/>
              <w:spacing w:after="0" w:line="240" w:lineRule="auto"/>
              <w:ind w:left="142"/>
              <w:jc w:val="center"/>
              <w:rPr>
                <w:rFonts w:cs="Arial"/>
                <w:sz w:val="20"/>
                <w:szCs w:val="20"/>
              </w:rPr>
            </w:pPr>
            <w:r w:rsidRPr="00F46772">
              <w:rPr>
                <w:rFonts w:cs="Arial"/>
                <w:color w:val="000000"/>
                <w:sz w:val="20"/>
                <w:szCs w:val="20"/>
              </w:rPr>
              <w:t>49.1%</w:t>
            </w:r>
          </w:p>
        </w:tc>
        <w:tc>
          <w:tcPr>
            <w:tcW w:w="1439" w:type="dxa"/>
          </w:tcPr>
          <w:p w:rsidR="00F46772" w:rsidRPr="00F46772" w:rsidRDefault="00F46772" w:rsidP="00937266">
            <w:pPr>
              <w:keepNext/>
              <w:spacing w:after="0" w:line="240" w:lineRule="auto"/>
              <w:ind w:left="142"/>
              <w:jc w:val="center"/>
              <w:rPr>
                <w:rFonts w:cs="Arial"/>
                <w:sz w:val="20"/>
                <w:szCs w:val="20"/>
              </w:rPr>
            </w:pPr>
            <w:r w:rsidRPr="00F46772">
              <w:rPr>
                <w:rFonts w:cs="Arial"/>
                <w:color w:val="000000"/>
                <w:sz w:val="20"/>
                <w:szCs w:val="20"/>
              </w:rPr>
              <w:t>53.6%</w:t>
            </w:r>
          </w:p>
        </w:tc>
      </w:tr>
    </w:tbl>
    <w:p w:rsidR="00F46772" w:rsidRPr="00F46772" w:rsidRDefault="00F46772" w:rsidP="00937266">
      <w:pPr>
        <w:pStyle w:val="TblFootnote"/>
        <w:ind w:left="142" w:hanging="117"/>
      </w:pPr>
      <w:r w:rsidRPr="00F46772">
        <w:t>Abbreviations: N=number of patients in the integrated analysis population; NRI=Non-Responder Imputation</w:t>
      </w:r>
    </w:p>
    <w:p w:rsidR="00F46772" w:rsidRDefault="00F46772" w:rsidP="00937266">
      <w:pPr>
        <w:ind w:left="142"/>
      </w:pPr>
      <w:r>
        <w:t>The improvements in itch severity were sustained up to Week 60 in patients treated with TALTZ who were responders at Week 12. TALTZ was efficacious in the maintenance of response in systemic treatment-naïve, biologic-naïve, biologic/anti-TNF-exposed and biologic/anti-TNF-failure patients.</w:t>
      </w:r>
    </w:p>
    <w:p w:rsidR="00F46772" w:rsidRDefault="00F46772" w:rsidP="00937266">
      <w:pPr>
        <w:ind w:left="142"/>
      </w:pPr>
      <w:r>
        <w:t>For responders at Week 12 re-randomised to treatment withdrawal (i.e. placebo), the median time to relapse (sPGA ≥3) was 148 days in integrated UNCOVER-1 and UNCOVER-2 trials. Among these patients, 69.6% regained at least a sPGA (0,1) response within 12 weeks of restarting treatment with TALTZ 80 mg Q4W.</w:t>
      </w:r>
    </w:p>
    <w:p w:rsidR="00F46772" w:rsidRDefault="00F46772" w:rsidP="00937266">
      <w:pPr>
        <w:ind w:left="142"/>
      </w:pPr>
      <w:r>
        <w:t>Significantly greater improvements at Week 12 from baseline compared to placebo and etanercept were demonstrated in nail psoriasis (as measured by the Nail Psoriasis Severity Index [NAPSI]), in scalp psoriasis (as measured by Psoriasis Scalp Severity Index [PSSI]), in facial psoriasis (as measured by proportion who had complete resolution) and in palmoplantar psoriasis (as measured by Psoriasis Palmoplantar Severity Index [PPASI]). These improvements in nail, scalp and palmoplantar psoriasis were maintained at Week 60 in patients treated with TALTZ who were responders at Week 12.</w:t>
      </w:r>
    </w:p>
    <w:p w:rsidR="00F46772" w:rsidRDefault="00F46772" w:rsidP="00937266">
      <w:pPr>
        <w:pStyle w:val="Heading4"/>
        <w:ind w:left="142"/>
      </w:pPr>
      <w:r>
        <w:t>Efficacy in Non-Responders to Etanercept</w:t>
      </w:r>
    </w:p>
    <w:p w:rsidR="00F46772" w:rsidRDefault="00F46772" w:rsidP="00937266">
      <w:pPr>
        <w:ind w:left="142"/>
      </w:pPr>
      <w:r w:rsidRPr="00F46772">
        <w:t>In the UNCOVER-2 clinical trial, patients identified as non-responder to etanercept (sPGA &gt;1 at Week 12) were switched to TALTZ 80 mg Q4W after a 4-week washout period (N=200). Of these, 73% and 83.5% of patients were able to achieve sPGA (0,1) and PASI 75, respectively, after 12 weeks treatment with TALTZ. In the subset of etanercept non-responders who were biologic-naïve at baseline (N=154), the sPGA (0,1) and PASI 75 after 12 weeks of treatment with TALTZ were consistent (72.7% and 83.8%, respectively) with the overall etanercept non-responder population</w:t>
      </w:r>
      <w:r>
        <w:t>.</w:t>
      </w:r>
    </w:p>
    <w:p w:rsidR="00F46772" w:rsidRDefault="00F46772" w:rsidP="00937266">
      <w:pPr>
        <w:pStyle w:val="Heading4"/>
        <w:ind w:left="142"/>
      </w:pPr>
      <w:r>
        <w:t>Quality of Life</w:t>
      </w:r>
    </w:p>
    <w:p w:rsidR="00F46772" w:rsidRDefault="00F46772" w:rsidP="00937266">
      <w:pPr>
        <w:ind w:left="142"/>
      </w:pPr>
      <w:r>
        <w:t>Across all clinical trials at Week 12, TALTZ was associated with statistically significant improvement in Health-Related Quality of Life (HRQoL) as measured by the Dermatology Life Quality Index (DLQI). A DLQI (0,1) indicates no impact of psoriasis on quality of life. A significantly greater proportion of patients treated with TALTZ achieved a DLQI (0,1) compared with patients treated with placebo or etanercept, with higher response rates for the TALTZ Q2W group than for the Q4W group.</w:t>
      </w:r>
    </w:p>
    <w:p w:rsidR="00F46772" w:rsidRDefault="00F46772" w:rsidP="00937266">
      <w:pPr>
        <w:ind w:left="142"/>
      </w:pPr>
      <w:r>
        <w:lastRenderedPageBreak/>
        <w:t>Across all treatments, patients who achieved sPGA (0) at Week 12 reported higher rates of DLQI (0,1) than patients who achieved sPGA (0,1), who likewise had higher DLQI (0,1) response rates than patients who achieved sPGA (&gt;1). Similarly, each incremental increase in PASI was associated with greater responses of DLQI (0,1).  For patients who achieved complete resolution of their psoriasis at 12 weeks, 82% reported that their psoriasis no longer had impact on their HRQoL (see Figure 2).</w:t>
      </w:r>
    </w:p>
    <w:p w:rsidR="00F46772" w:rsidRDefault="00F46772" w:rsidP="00C91FEA">
      <w:pPr>
        <w:pStyle w:val="FigureTitle"/>
        <w:ind w:left="0" w:firstLine="0"/>
      </w:pPr>
      <w:r w:rsidRPr="00F46772">
        <w:t>DLQI (0,1) Status at Week 12 by Level of Clinical Response (PASI or sPGA) at Week 12 (NRI), Intent-to-Treat Population, Integrated Analysis (UNCOVER-1, UNCOVER-2 and UNCOVER-3)</w:t>
      </w:r>
    </w:p>
    <w:p w:rsidR="00F46772" w:rsidRDefault="00F46772" w:rsidP="00937266">
      <w:pPr>
        <w:ind w:left="142"/>
        <w:rPr>
          <w:noProof/>
          <w:lang w:val="en-US"/>
        </w:rPr>
      </w:pPr>
      <w:r w:rsidRPr="00F46772">
        <w:rPr>
          <w:noProof/>
          <w:lang w:val="en-US"/>
        </w:rPr>
        <w:pict>
          <v:shape id="Picture 1" o:spid="_x0000_i1027" type="#_x0000_t75" style="width:341.55pt;height:217.15pt;visibility:visible" o:bordertopcolor="black" o:borderleftcolor="black" o:borderbottomcolor="black" o:borderrightcolor="black">
            <v:imagedata r:id="rId17" o:title=""/>
            <w10:bordertop type="single" width="6"/>
            <w10:borderleft type="single" width="6"/>
            <w10:borderbottom type="single" width="6"/>
            <w10:borderright type="single" width="6"/>
          </v:shape>
        </w:pict>
      </w:r>
    </w:p>
    <w:p w:rsidR="00F46772" w:rsidRDefault="00F46772" w:rsidP="00937266">
      <w:pPr>
        <w:ind w:left="142"/>
        <w:rPr>
          <w:sz w:val="18"/>
        </w:rPr>
      </w:pPr>
      <w:r w:rsidRPr="00F46772">
        <w:rPr>
          <w:sz w:val="18"/>
        </w:rPr>
        <w:t>Abbreviations: NRI=Non-Responder Imputation</w:t>
      </w:r>
      <w:r>
        <w:rPr>
          <w:sz w:val="18"/>
        </w:rPr>
        <w:br/>
      </w:r>
      <w:r w:rsidRPr="00F46772">
        <w:rPr>
          <w:sz w:val="18"/>
        </w:rPr>
        <w:t>Note: For PASI and sPGA categories, comparisons between each group were statistically significant (p&lt;0.001).</w:t>
      </w:r>
    </w:p>
    <w:p w:rsidR="00F46772" w:rsidRDefault="00F46772" w:rsidP="00937266">
      <w:pPr>
        <w:ind w:left="142"/>
      </w:pPr>
      <w:r>
        <w:t>The statistically significant superior benefit of TALTZ over placebo and etanercept was seen as early as Week 2, increased over time to Week 12 and was sustained up to Week 60 in patients treated with TALTZ who were responders (sPGA 0,1) at Week 12. At Week 12 and in comparison with etanercept and placebo, TALTZ was associated with a significantly greater decrease in skin pain (measured by the Skin Pain Visual Analogue Scale), greater improvements in the physical and mental component summary scores of the SF-36; patients treated with TALTZ also reported feeling significantly less bothered by redness/discolouration, thickness and scaling/flaking of skin as measured by the PSAB (Psoriasis Skin Appearance and Bothersomeness).</w:t>
      </w:r>
    </w:p>
    <w:p w:rsidR="00F46772" w:rsidRDefault="00F46772" w:rsidP="00937266">
      <w:pPr>
        <w:ind w:left="142"/>
      </w:pPr>
      <w:r>
        <w:t>In patients treated with TALTZ who were responders at Week 12, these additional benefits were maintained up to Week 60. At Week 12 and in comparison with etanercept and placebo, TALTZ was associated with statistically significant improvement in depression as measured by the QIDS-SR16 and productivity as measured by the Work Productivity and Activity Impairment (WPAI).</w:t>
      </w:r>
    </w:p>
    <w:p w:rsidR="001E1684" w:rsidRDefault="00F46772" w:rsidP="00937266">
      <w:pPr>
        <w:ind w:left="142"/>
      </w:pPr>
      <w:r>
        <w:t>Some patients who did not respond to the initial 12 weeks of treatment with TALTZ showed improvement in psoriasis with continued treatment up to 20 weeks. Patients not responding to TALTZ within 20 weeks of initial treatment are unlikely to respond to continued treatment.</w:t>
      </w:r>
      <w:r w:rsidR="00BD0E75">
        <w:t xml:space="preserve">  </w:t>
      </w:r>
    </w:p>
    <w:p w:rsidR="00B67571" w:rsidRDefault="00B67571" w:rsidP="00937266">
      <w:pPr>
        <w:ind w:left="142"/>
      </w:pPr>
    </w:p>
    <w:p w:rsidR="001E56F1" w:rsidRPr="00506A7A" w:rsidRDefault="001E56F1" w:rsidP="00937266">
      <w:pPr>
        <w:pStyle w:val="Heading4"/>
        <w:ind w:left="142"/>
      </w:pPr>
      <w:r w:rsidRPr="00506A7A">
        <w:lastRenderedPageBreak/>
        <w:t>Postmarketing Phase 3b, direct comparative study</w:t>
      </w:r>
    </w:p>
    <w:p w:rsidR="001E56F1" w:rsidRDefault="001E56F1" w:rsidP="00937266">
      <w:pPr>
        <w:ind w:left="142"/>
        <w:rPr>
          <w:lang w:val="en-US"/>
        </w:rPr>
      </w:pPr>
      <w:r>
        <w:rPr>
          <w:lang w:val="en-US"/>
        </w:rPr>
        <w:t xml:space="preserve">Efficacy and safety of ixekizumab was also investigated in a double-blind study compared to ustekinumab with ixekizumab being superior on the primary study objective (PASI 90 response at week 12, Table </w:t>
      </w:r>
      <w:r w:rsidR="00F00FC4">
        <w:rPr>
          <w:lang w:val="en-US"/>
        </w:rPr>
        <w:t>7</w:t>
      </w:r>
      <w:r>
        <w:rPr>
          <w:lang w:val="en-US"/>
        </w:rPr>
        <w:t>). Onset of response was superior on PASI 75 as early as week 2 (p&lt;0.001) and on PASI 90 and PASI 100 by week 4 (p&lt;0.001). Superiority of ixekizumab versus ustekinumab was also demonstrated in the subgroups stratified by weight.</w:t>
      </w:r>
    </w:p>
    <w:p w:rsidR="001E56F1" w:rsidRPr="00B40C69" w:rsidRDefault="001E56F1" w:rsidP="00937266">
      <w:pPr>
        <w:pStyle w:val="TableTitle"/>
        <w:ind w:left="142"/>
      </w:pPr>
      <w:r w:rsidRPr="00B40C69">
        <w:t>PASI Response Rates from comparative</w:t>
      </w:r>
      <w:r>
        <w:t xml:space="preserve"> study ixekizumab versus ustekin</w:t>
      </w:r>
      <w:r w:rsidRPr="00B40C69">
        <w:t>umab</w:t>
      </w:r>
    </w:p>
    <w:tbl>
      <w:tblPr>
        <w:tblW w:w="9732" w:type="dxa"/>
        <w:jc w:val="center"/>
        <w:tblLayout w:type="fixed"/>
        <w:tblCellMar>
          <w:left w:w="0" w:type="dxa"/>
          <w:right w:w="0" w:type="dxa"/>
        </w:tblCellMar>
        <w:tblLook w:val="0000" w:firstRow="0" w:lastRow="0" w:firstColumn="0" w:lastColumn="0" w:noHBand="0" w:noVBand="0"/>
      </w:tblPr>
      <w:tblGrid>
        <w:gridCol w:w="1418"/>
        <w:gridCol w:w="1234"/>
        <w:gridCol w:w="1517"/>
        <w:gridCol w:w="1320"/>
        <w:gridCol w:w="1454"/>
        <w:gridCol w:w="1349"/>
        <w:gridCol w:w="1440"/>
      </w:tblGrid>
      <w:tr w:rsidR="001E56F1" w:rsidRPr="00CC61ED" w:rsidTr="00EE5F66">
        <w:tblPrEx>
          <w:tblCellMar>
            <w:top w:w="0" w:type="dxa"/>
            <w:left w:w="0" w:type="dxa"/>
            <w:bottom w:w="0" w:type="dxa"/>
            <w:right w:w="0" w:type="dxa"/>
          </w:tblCellMar>
        </w:tblPrEx>
        <w:trPr>
          <w:trHeight w:hRule="exact" w:val="466"/>
          <w:jc w:val="center"/>
        </w:trPr>
        <w:tc>
          <w:tcPr>
            <w:tcW w:w="1418" w:type="dxa"/>
            <w:tcBorders>
              <w:top w:val="single" w:sz="4" w:space="0" w:color="000000"/>
              <w:left w:val="single" w:sz="4" w:space="0" w:color="000000"/>
              <w:bottom w:val="single" w:sz="4" w:space="0" w:color="000000"/>
              <w:right w:val="single" w:sz="4" w:space="0" w:color="000000"/>
            </w:tcBorders>
          </w:tcPr>
          <w:p w:rsidR="001E56F1" w:rsidRPr="00CC61ED" w:rsidRDefault="001E56F1" w:rsidP="00937266">
            <w:pPr>
              <w:pStyle w:val="PLRTableDataCentered"/>
              <w:ind w:left="142"/>
              <w:rPr>
                <w:b/>
              </w:rPr>
            </w:pPr>
          </w:p>
        </w:tc>
        <w:tc>
          <w:tcPr>
            <w:tcW w:w="2751" w:type="dxa"/>
            <w:gridSpan w:val="2"/>
            <w:tcBorders>
              <w:top w:val="single" w:sz="4" w:space="0" w:color="000000"/>
              <w:left w:val="single" w:sz="4" w:space="0" w:color="000000"/>
              <w:bottom w:val="single" w:sz="4" w:space="0" w:color="000000"/>
              <w:right w:val="single" w:sz="4" w:space="0" w:color="000000"/>
            </w:tcBorders>
          </w:tcPr>
          <w:p w:rsidR="001E56F1" w:rsidRPr="00CC61ED" w:rsidRDefault="001E56F1" w:rsidP="00937266">
            <w:pPr>
              <w:pStyle w:val="PLRTableDataCentered"/>
              <w:ind w:left="142"/>
              <w:rPr>
                <w:b/>
              </w:rPr>
            </w:pPr>
            <w:r w:rsidRPr="00CC61ED">
              <w:rPr>
                <w:rFonts w:ascii="Calibri" w:hAnsi="Calibri" w:cs="Calibri"/>
                <w:b/>
                <w:sz w:val="20"/>
                <w:szCs w:val="20"/>
              </w:rPr>
              <w:t>Week 12</w:t>
            </w:r>
          </w:p>
        </w:tc>
        <w:tc>
          <w:tcPr>
            <w:tcW w:w="2774" w:type="dxa"/>
            <w:gridSpan w:val="2"/>
            <w:tcBorders>
              <w:top w:val="single" w:sz="4" w:space="0" w:color="000000"/>
              <w:left w:val="single" w:sz="4" w:space="0" w:color="000000"/>
              <w:bottom w:val="single" w:sz="4" w:space="0" w:color="000000"/>
              <w:right w:val="single" w:sz="4" w:space="0" w:color="000000"/>
            </w:tcBorders>
          </w:tcPr>
          <w:p w:rsidR="001E56F1" w:rsidRPr="00CC61ED" w:rsidRDefault="001E56F1" w:rsidP="00937266">
            <w:pPr>
              <w:pStyle w:val="PLRTableDataCentered"/>
              <w:ind w:left="142"/>
              <w:rPr>
                <w:b/>
              </w:rPr>
            </w:pPr>
            <w:r w:rsidRPr="00CC61ED">
              <w:rPr>
                <w:rFonts w:ascii="Calibri" w:hAnsi="Calibri" w:cs="Calibri"/>
                <w:b/>
                <w:sz w:val="20"/>
                <w:szCs w:val="20"/>
              </w:rPr>
              <w:t>Week 24</w:t>
            </w:r>
          </w:p>
        </w:tc>
        <w:tc>
          <w:tcPr>
            <w:tcW w:w="2789" w:type="dxa"/>
            <w:gridSpan w:val="2"/>
            <w:tcBorders>
              <w:top w:val="single" w:sz="4" w:space="0" w:color="000000"/>
              <w:left w:val="single" w:sz="4" w:space="0" w:color="000000"/>
              <w:bottom w:val="single" w:sz="4" w:space="0" w:color="000000"/>
              <w:right w:val="single" w:sz="4" w:space="0" w:color="000000"/>
            </w:tcBorders>
          </w:tcPr>
          <w:p w:rsidR="001E56F1" w:rsidRPr="00CC61ED" w:rsidRDefault="001E56F1" w:rsidP="00937266">
            <w:pPr>
              <w:pStyle w:val="PLRTableDataCentered"/>
              <w:ind w:left="142"/>
              <w:rPr>
                <w:b/>
              </w:rPr>
            </w:pPr>
            <w:r w:rsidRPr="00CC61ED">
              <w:rPr>
                <w:rFonts w:ascii="Calibri" w:hAnsi="Calibri" w:cs="Calibri"/>
                <w:b/>
                <w:sz w:val="20"/>
                <w:szCs w:val="20"/>
              </w:rPr>
              <w:t>Week 52</w:t>
            </w:r>
          </w:p>
        </w:tc>
      </w:tr>
      <w:tr w:rsidR="001E56F1" w:rsidRPr="00CC61ED" w:rsidTr="00EE5F66">
        <w:tblPrEx>
          <w:tblCellMar>
            <w:top w:w="0" w:type="dxa"/>
            <w:left w:w="0" w:type="dxa"/>
            <w:bottom w:w="0" w:type="dxa"/>
            <w:right w:w="0" w:type="dxa"/>
          </w:tblCellMar>
        </w:tblPrEx>
        <w:trPr>
          <w:trHeight w:hRule="exact" w:val="318"/>
          <w:jc w:val="center"/>
        </w:trPr>
        <w:tc>
          <w:tcPr>
            <w:tcW w:w="1418" w:type="dxa"/>
            <w:tcBorders>
              <w:top w:val="single" w:sz="4" w:space="0" w:color="000000"/>
              <w:left w:val="single" w:sz="4" w:space="0" w:color="000000"/>
              <w:bottom w:val="single" w:sz="4" w:space="0" w:color="000000"/>
              <w:right w:val="single" w:sz="4" w:space="0" w:color="000000"/>
            </w:tcBorders>
          </w:tcPr>
          <w:p w:rsidR="001E56F1" w:rsidRPr="00CC61ED" w:rsidRDefault="001E56F1" w:rsidP="00937266">
            <w:pPr>
              <w:pStyle w:val="PLRTableDataCentered"/>
              <w:ind w:left="142"/>
              <w:rPr>
                <w:b/>
              </w:rPr>
            </w:pPr>
          </w:p>
        </w:tc>
        <w:tc>
          <w:tcPr>
            <w:tcW w:w="1234" w:type="dxa"/>
            <w:tcBorders>
              <w:top w:val="single" w:sz="4" w:space="0" w:color="000000"/>
              <w:left w:val="single" w:sz="4" w:space="0" w:color="000000"/>
              <w:bottom w:val="single" w:sz="4" w:space="0" w:color="000000"/>
              <w:right w:val="single" w:sz="4" w:space="0" w:color="000000"/>
            </w:tcBorders>
          </w:tcPr>
          <w:p w:rsidR="001E56F1" w:rsidRPr="00CC61ED" w:rsidRDefault="001E56F1" w:rsidP="00937266">
            <w:pPr>
              <w:pStyle w:val="PLRTableDataCentered"/>
              <w:ind w:left="142"/>
              <w:rPr>
                <w:b/>
              </w:rPr>
            </w:pPr>
            <w:r w:rsidRPr="00CC61ED">
              <w:rPr>
                <w:rFonts w:ascii="Calibri" w:hAnsi="Calibri" w:cs="Calibri"/>
                <w:b/>
                <w:sz w:val="20"/>
                <w:szCs w:val="20"/>
              </w:rPr>
              <w:t>Ixekizumab*</w:t>
            </w:r>
          </w:p>
        </w:tc>
        <w:tc>
          <w:tcPr>
            <w:tcW w:w="1517" w:type="dxa"/>
            <w:tcBorders>
              <w:top w:val="single" w:sz="4" w:space="0" w:color="000000"/>
              <w:left w:val="single" w:sz="4" w:space="0" w:color="000000"/>
              <w:bottom w:val="single" w:sz="4" w:space="0" w:color="000000"/>
              <w:right w:val="single" w:sz="4" w:space="0" w:color="000000"/>
            </w:tcBorders>
          </w:tcPr>
          <w:p w:rsidR="001E56F1" w:rsidRPr="00CC61ED" w:rsidRDefault="001E56F1" w:rsidP="00937266">
            <w:pPr>
              <w:pStyle w:val="PLRTableDataCentered"/>
              <w:ind w:left="142"/>
              <w:rPr>
                <w:b/>
              </w:rPr>
            </w:pPr>
            <w:r w:rsidRPr="00CC61ED">
              <w:rPr>
                <w:rFonts w:ascii="Calibri" w:hAnsi="Calibri" w:cs="Calibri"/>
                <w:b/>
                <w:sz w:val="20"/>
                <w:szCs w:val="20"/>
              </w:rPr>
              <w:t>Ustekinumab**</w:t>
            </w:r>
          </w:p>
        </w:tc>
        <w:tc>
          <w:tcPr>
            <w:tcW w:w="1320" w:type="dxa"/>
            <w:tcBorders>
              <w:top w:val="single" w:sz="4" w:space="0" w:color="000000"/>
              <w:left w:val="single" w:sz="4" w:space="0" w:color="000000"/>
              <w:bottom w:val="single" w:sz="4" w:space="0" w:color="000000"/>
              <w:right w:val="single" w:sz="4" w:space="0" w:color="000000"/>
            </w:tcBorders>
          </w:tcPr>
          <w:p w:rsidR="001E56F1" w:rsidRPr="00CC61ED" w:rsidRDefault="001E56F1" w:rsidP="00937266">
            <w:pPr>
              <w:pStyle w:val="PLRTableDataCentered"/>
              <w:ind w:left="142"/>
              <w:rPr>
                <w:b/>
              </w:rPr>
            </w:pPr>
            <w:r w:rsidRPr="00CC61ED">
              <w:rPr>
                <w:rFonts w:ascii="Calibri" w:hAnsi="Calibri" w:cs="Calibri"/>
                <w:b/>
                <w:sz w:val="20"/>
                <w:szCs w:val="20"/>
              </w:rPr>
              <w:t>Ixekizumab*</w:t>
            </w:r>
          </w:p>
        </w:tc>
        <w:tc>
          <w:tcPr>
            <w:tcW w:w="1454" w:type="dxa"/>
            <w:tcBorders>
              <w:top w:val="single" w:sz="4" w:space="0" w:color="000000"/>
              <w:left w:val="single" w:sz="4" w:space="0" w:color="000000"/>
              <w:bottom w:val="single" w:sz="4" w:space="0" w:color="000000"/>
              <w:right w:val="single" w:sz="4" w:space="0" w:color="000000"/>
            </w:tcBorders>
          </w:tcPr>
          <w:p w:rsidR="001E56F1" w:rsidRPr="00CC61ED" w:rsidRDefault="001E56F1" w:rsidP="00937266">
            <w:pPr>
              <w:pStyle w:val="PLRTableDataCentered"/>
              <w:ind w:left="142"/>
              <w:rPr>
                <w:b/>
              </w:rPr>
            </w:pPr>
            <w:r w:rsidRPr="00CC61ED">
              <w:rPr>
                <w:rFonts w:ascii="Calibri" w:hAnsi="Calibri" w:cs="Calibri"/>
                <w:b/>
                <w:sz w:val="20"/>
                <w:szCs w:val="20"/>
              </w:rPr>
              <w:t>Ustekinumab**</w:t>
            </w:r>
          </w:p>
        </w:tc>
        <w:tc>
          <w:tcPr>
            <w:tcW w:w="1349" w:type="dxa"/>
            <w:tcBorders>
              <w:top w:val="single" w:sz="4" w:space="0" w:color="000000"/>
              <w:left w:val="single" w:sz="4" w:space="0" w:color="000000"/>
              <w:bottom w:val="single" w:sz="4" w:space="0" w:color="000000"/>
              <w:right w:val="single" w:sz="4" w:space="0" w:color="000000"/>
            </w:tcBorders>
          </w:tcPr>
          <w:p w:rsidR="001E56F1" w:rsidRPr="00CC61ED" w:rsidRDefault="001E56F1" w:rsidP="00937266">
            <w:pPr>
              <w:pStyle w:val="PLRTableDataCentered"/>
              <w:ind w:left="142"/>
              <w:rPr>
                <w:b/>
              </w:rPr>
            </w:pPr>
            <w:r w:rsidRPr="00CC61ED">
              <w:rPr>
                <w:rFonts w:ascii="Calibri" w:hAnsi="Calibri" w:cs="Calibri"/>
                <w:b/>
                <w:sz w:val="20"/>
                <w:szCs w:val="20"/>
              </w:rPr>
              <w:t>Ixekizumab*</w:t>
            </w:r>
          </w:p>
        </w:tc>
        <w:tc>
          <w:tcPr>
            <w:tcW w:w="1440" w:type="dxa"/>
            <w:tcBorders>
              <w:top w:val="single" w:sz="4" w:space="0" w:color="000000"/>
              <w:left w:val="single" w:sz="4" w:space="0" w:color="000000"/>
              <w:bottom w:val="single" w:sz="4" w:space="0" w:color="000000"/>
              <w:right w:val="single" w:sz="4" w:space="0" w:color="000000"/>
            </w:tcBorders>
          </w:tcPr>
          <w:p w:rsidR="001E56F1" w:rsidRPr="00CC61ED" w:rsidRDefault="001E56F1" w:rsidP="00937266">
            <w:pPr>
              <w:pStyle w:val="PLRTableDataCentered"/>
              <w:ind w:left="142"/>
              <w:rPr>
                <w:b/>
              </w:rPr>
            </w:pPr>
            <w:r w:rsidRPr="00CC61ED">
              <w:rPr>
                <w:rFonts w:ascii="Calibri" w:hAnsi="Calibri" w:cs="Calibri"/>
                <w:b/>
                <w:sz w:val="20"/>
                <w:szCs w:val="20"/>
              </w:rPr>
              <w:t>Ustekinumab**</w:t>
            </w:r>
          </w:p>
        </w:tc>
      </w:tr>
      <w:tr w:rsidR="001E56F1" w:rsidRPr="009070FD" w:rsidTr="00EE5F66">
        <w:tblPrEx>
          <w:tblCellMar>
            <w:top w:w="0" w:type="dxa"/>
            <w:left w:w="0" w:type="dxa"/>
            <w:bottom w:w="0" w:type="dxa"/>
            <w:right w:w="0" w:type="dxa"/>
          </w:tblCellMar>
        </w:tblPrEx>
        <w:trPr>
          <w:trHeight w:hRule="exact" w:val="423"/>
          <w:jc w:val="center"/>
        </w:trPr>
        <w:tc>
          <w:tcPr>
            <w:tcW w:w="1418"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Patients (n)</w:t>
            </w:r>
          </w:p>
        </w:tc>
        <w:tc>
          <w:tcPr>
            <w:tcW w:w="1234"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136</w:t>
            </w:r>
          </w:p>
        </w:tc>
        <w:tc>
          <w:tcPr>
            <w:tcW w:w="1517"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166</w:t>
            </w:r>
          </w:p>
        </w:tc>
        <w:tc>
          <w:tcPr>
            <w:tcW w:w="1320"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136</w:t>
            </w:r>
          </w:p>
        </w:tc>
        <w:tc>
          <w:tcPr>
            <w:tcW w:w="1454"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166</w:t>
            </w:r>
          </w:p>
        </w:tc>
        <w:tc>
          <w:tcPr>
            <w:tcW w:w="1349"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136</w:t>
            </w:r>
          </w:p>
        </w:tc>
        <w:tc>
          <w:tcPr>
            <w:tcW w:w="1440"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166</w:t>
            </w:r>
          </w:p>
        </w:tc>
      </w:tr>
      <w:tr w:rsidR="001E56F1" w:rsidRPr="009070FD" w:rsidTr="00EE5F66">
        <w:tblPrEx>
          <w:tblCellMar>
            <w:top w:w="0" w:type="dxa"/>
            <w:left w:w="0" w:type="dxa"/>
            <w:bottom w:w="0" w:type="dxa"/>
            <w:right w:w="0" w:type="dxa"/>
          </w:tblCellMar>
        </w:tblPrEx>
        <w:trPr>
          <w:trHeight w:hRule="exact" w:val="429"/>
          <w:jc w:val="center"/>
        </w:trPr>
        <w:tc>
          <w:tcPr>
            <w:tcW w:w="1418"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PASI 75, n (%)</w:t>
            </w:r>
          </w:p>
        </w:tc>
        <w:tc>
          <w:tcPr>
            <w:tcW w:w="1234"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120 (88.2 %)</w:t>
            </w:r>
          </w:p>
        </w:tc>
        <w:tc>
          <w:tcPr>
            <w:tcW w:w="1517"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114 (68.7 %)</w:t>
            </w:r>
          </w:p>
        </w:tc>
        <w:tc>
          <w:tcPr>
            <w:tcW w:w="1320"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124 (91.2 %)</w:t>
            </w:r>
          </w:p>
        </w:tc>
        <w:tc>
          <w:tcPr>
            <w:tcW w:w="1454"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136 (81.9)</w:t>
            </w:r>
          </w:p>
        </w:tc>
        <w:tc>
          <w:tcPr>
            <w:tcW w:w="1349"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120 (88.2%)</w:t>
            </w:r>
          </w:p>
        </w:tc>
        <w:tc>
          <w:tcPr>
            <w:tcW w:w="1440"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126 (75.9 %)</w:t>
            </w:r>
          </w:p>
        </w:tc>
      </w:tr>
      <w:tr w:rsidR="001E56F1" w:rsidRPr="009070FD" w:rsidTr="00EE5F66">
        <w:tblPrEx>
          <w:tblCellMar>
            <w:top w:w="0" w:type="dxa"/>
            <w:left w:w="0" w:type="dxa"/>
            <w:bottom w:w="0" w:type="dxa"/>
            <w:right w:w="0" w:type="dxa"/>
          </w:tblCellMar>
        </w:tblPrEx>
        <w:trPr>
          <w:trHeight w:hRule="exact" w:val="420"/>
          <w:jc w:val="center"/>
        </w:trPr>
        <w:tc>
          <w:tcPr>
            <w:tcW w:w="1418"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PASI 90, n (%)</w:t>
            </w:r>
          </w:p>
        </w:tc>
        <w:tc>
          <w:tcPr>
            <w:tcW w:w="1234"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99 (72.8%)</w:t>
            </w:r>
            <w:r w:rsidRPr="009070FD">
              <w:rPr>
                <w:rFonts w:ascii="Calibri" w:hAnsi="Calibri" w:cs="Calibri"/>
                <w:position w:val="10"/>
                <w:sz w:val="13"/>
                <w:szCs w:val="13"/>
              </w:rPr>
              <w:t>§</w:t>
            </w:r>
          </w:p>
        </w:tc>
        <w:tc>
          <w:tcPr>
            <w:tcW w:w="1517"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70 (42.2 %)</w:t>
            </w:r>
          </w:p>
        </w:tc>
        <w:tc>
          <w:tcPr>
            <w:tcW w:w="1320"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113 (83.1 %)</w:t>
            </w:r>
          </w:p>
        </w:tc>
        <w:tc>
          <w:tcPr>
            <w:tcW w:w="1454"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98 (59.0 %)</w:t>
            </w:r>
          </w:p>
        </w:tc>
        <w:tc>
          <w:tcPr>
            <w:tcW w:w="1349"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104 (76.5 %)</w:t>
            </w:r>
          </w:p>
        </w:tc>
        <w:tc>
          <w:tcPr>
            <w:tcW w:w="1440"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98 (59.0 %)</w:t>
            </w:r>
          </w:p>
        </w:tc>
      </w:tr>
      <w:tr w:rsidR="001E56F1" w:rsidRPr="009070FD" w:rsidTr="00EE5F66">
        <w:tblPrEx>
          <w:tblCellMar>
            <w:top w:w="0" w:type="dxa"/>
            <w:left w:w="0" w:type="dxa"/>
            <w:bottom w:w="0" w:type="dxa"/>
            <w:right w:w="0" w:type="dxa"/>
          </w:tblCellMar>
        </w:tblPrEx>
        <w:trPr>
          <w:trHeight w:hRule="exact" w:val="427"/>
          <w:jc w:val="center"/>
        </w:trPr>
        <w:tc>
          <w:tcPr>
            <w:tcW w:w="1418"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PASI 100, n (%)</w:t>
            </w:r>
          </w:p>
        </w:tc>
        <w:tc>
          <w:tcPr>
            <w:tcW w:w="1234"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49 (36.0 %)</w:t>
            </w:r>
          </w:p>
        </w:tc>
        <w:tc>
          <w:tcPr>
            <w:tcW w:w="1517"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24 (14.5 %)</w:t>
            </w:r>
          </w:p>
        </w:tc>
        <w:tc>
          <w:tcPr>
            <w:tcW w:w="1320"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67 (49.3%)</w:t>
            </w:r>
          </w:p>
        </w:tc>
        <w:tc>
          <w:tcPr>
            <w:tcW w:w="1454"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39 (23.5 %)</w:t>
            </w:r>
          </w:p>
        </w:tc>
        <w:tc>
          <w:tcPr>
            <w:tcW w:w="1349"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71 (52.2%)</w:t>
            </w:r>
          </w:p>
        </w:tc>
        <w:tc>
          <w:tcPr>
            <w:tcW w:w="1440" w:type="dxa"/>
            <w:tcBorders>
              <w:top w:val="single" w:sz="4" w:space="0" w:color="000000"/>
              <w:left w:val="single" w:sz="4" w:space="0" w:color="000000"/>
              <w:bottom w:val="single" w:sz="4" w:space="0" w:color="000000"/>
              <w:right w:val="single" w:sz="4" w:space="0" w:color="000000"/>
            </w:tcBorders>
          </w:tcPr>
          <w:p w:rsidR="001E56F1" w:rsidRPr="009070FD" w:rsidRDefault="001E56F1" w:rsidP="00937266">
            <w:pPr>
              <w:pStyle w:val="PLRTableDataCentered"/>
              <w:ind w:left="142"/>
            </w:pPr>
            <w:r w:rsidRPr="009070FD">
              <w:rPr>
                <w:rFonts w:ascii="Calibri" w:hAnsi="Calibri" w:cs="Calibri"/>
                <w:sz w:val="20"/>
                <w:szCs w:val="20"/>
              </w:rPr>
              <w:t>59 (35.5 %)</w:t>
            </w:r>
          </w:p>
        </w:tc>
      </w:tr>
    </w:tbl>
    <w:p w:rsidR="001E56F1" w:rsidRDefault="001E56F1" w:rsidP="00937266">
      <w:pPr>
        <w:pStyle w:val="PLRTable1stLevelIndent"/>
        <w:ind w:left="142"/>
        <w:rPr>
          <w:rFonts w:eastAsia="Times New Roman"/>
        </w:rPr>
      </w:pPr>
      <w:bookmarkStart w:id="10" w:name="2.5.1.3. Ixekizumab Clinical Development"/>
      <w:bookmarkStart w:id="11" w:name="2.5.1.3.1. Study I1F-MC-RHBS"/>
      <w:bookmarkStart w:id="12" w:name="bookmark1"/>
      <w:bookmarkStart w:id="13" w:name="bookmark0"/>
      <w:bookmarkEnd w:id="10"/>
      <w:bookmarkEnd w:id="11"/>
      <w:bookmarkEnd w:id="12"/>
      <w:bookmarkEnd w:id="13"/>
      <w:r w:rsidRPr="009070FD">
        <w:rPr>
          <w:rFonts w:eastAsia="Times New Roman"/>
        </w:rPr>
        <w:t>* Ixekizumab 160 mg was given as a loading dose followed by 80 mg at Week 2,4,6,8,10, and 12, and 80 mg Q4W thereafter.</w:t>
      </w:r>
      <w:r>
        <w:br/>
      </w:r>
      <w:r w:rsidRPr="009070FD">
        <w:rPr>
          <w:rFonts w:eastAsia="Times New Roman"/>
        </w:rPr>
        <w:t>** Weight-based dosing: Patients treated with ustekinumab received 45 mg or 90 mg at Weeks 0 and 4, then every 12 weeks</w:t>
      </w:r>
      <w:r>
        <w:t xml:space="preserve"> </w:t>
      </w:r>
      <w:r w:rsidRPr="009070FD">
        <w:rPr>
          <w:rFonts w:eastAsia="Times New Roman"/>
        </w:rPr>
        <w:t>until Week 52 (dosed by weight as per approved posology).</w:t>
      </w:r>
      <w:r>
        <w:br/>
      </w:r>
      <w:r w:rsidRPr="009070FD">
        <w:rPr>
          <w:rFonts w:eastAsia="Times New Roman" w:hint="eastAsia"/>
          <w:vertAlign w:val="superscript"/>
        </w:rPr>
        <w:t>§</w:t>
      </w:r>
      <w:r w:rsidRPr="009070FD">
        <w:rPr>
          <w:rFonts w:eastAsia="Times New Roman"/>
        </w:rPr>
        <w:t xml:space="preserve"> p</w:t>
      </w:r>
      <w:r>
        <w:rPr>
          <w:rFonts w:eastAsia="Times New Roman"/>
        </w:rPr>
        <w:t xml:space="preserve">&lt;0.001 versus </w:t>
      </w:r>
      <w:r w:rsidRPr="009070FD">
        <w:rPr>
          <w:rFonts w:eastAsia="Times New Roman"/>
        </w:rPr>
        <w:t>ustekinumab</w:t>
      </w:r>
      <w:r>
        <w:rPr>
          <w:rFonts w:eastAsia="Times New Roman"/>
        </w:rPr>
        <w:t xml:space="preserve"> (p value only provided for primary endpoint)</w:t>
      </w:r>
    </w:p>
    <w:p w:rsidR="001E56F1" w:rsidRDefault="001E56F1" w:rsidP="00937266">
      <w:pPr>
        <w:ind w:left="142"/>
      </w:pPr>
    </w:p>
    <w:p w:rsidR="001E56F1" w:rsidRPr="00D60B79" w:rsidRDefault="001E56F1" w:rsidP="00937266">
      <w:pPr>
        <w:pStyle w:val="Heading4"/>
        <w:ind w:left="142"/>
        <w:rPr>
          <w:b/>
        </w:rPr>
      </w:pPr>
      <w:r w:rsidRPr="00D60B79">
        <w:rPr>
          <w:b/>
        </w:rPr>
        <w:t>Genital Psoriasis</w:t>
      </w:r>
    </w:p>
    <w:p w:rsidR="001E56F1" w:rsidRDefault="001E56F1" w:rsidP="00937266">
      <w:pPr>
        <w:ind w:left="142"/>
      </w:pPr>
      <w:r w:rsidRPr="00D60B79">
        <w:t>A randomized, double-blind, placebo-controlled study (IXORA-Q) was conducted in</w:t>
      </w:r>
      <w:r>
        <w:t xml:space="preserve"> </w:t>
      </w:r>
      <w:r w:rsidRPr="00D60B79">
        <w:t xml:space="preserve">149 adult subjects </w:t>
      </w:r>
      <w:r>
        <w:t xml:space="preserve">(24% females) </w:t>
      </w:r>
      <w:r w:rsidRPr="00D60B79">
        <w:t xml:space="preserve">with moderate to severe genital psoriasis (sPGA of Genitalia score of </w:t>
      </w:r>
      <w:r w:rsidRPr="00D60B79">
        <w:rPr>
          <w:rFonts w:hint="eastAsia"/>
        </w:rPr>
        <w:t>≥</w:t>
      </w:r>
      <w:r w:rsidRPr="00D60B79">
        <w:t>3), a minimum body surface area (BSA) involvement of 1% (60.4%</w:t>
      </w:r>
      <w:r>
        <w:t xml:space="preserve"> </w:t>
      </w:r>
      <w:r w:rsidRPr="00D60B79">
        <w:t xml:space="preserve">had a BSA </w:t>
      </w:r>
      <w:r w:rsidRPr="00D60B79">
        <w:rPr>
          <w:rFonts w:hint="eastAsia"/>
        </w:rPr>
        <w:t>≥</w:t>
      </w:r>
      <w:r w:rsidRPr="00D60B79">
        <w:t xml:space="preserve"> 10%) and previous failure of or intolerance to at least one topical therap</w:t>
      </w:r>
      <w:r>
        <w:t xml:space="preserve">y </w:t>
      </w:r>
      <w:r w:rsidRPr="00D60B79">
        <w:t>for genital psoriasis.</w:t>
      </w:r>
      <w:r>
        <w:t xml:space="preserve"> Patients had at least moderate plaque psoriasis (defined as sPGA score of ≥ 3 and being candidates for phototherapy and/or systemic therapy) for at least 6 months.</w:t>
      </w:r>
    </w:p>
    <w:p w:rsidR="001E56F1" w:rsidRDefault="001E56F1" w:rsidP="00937266">
      <w:pPr>
        <w:ind w:left="142"/>
      </w:pPr>
      <w:r w:rsidRPr="00D60B79">
        <w:t>Subjects randomized to TALTZ received an initial dose of 160 mg followed by 80 mg</w:t>
      </w:r>
      <w:r>
        <w:t xml:space="preserve"> </w:t>
      </w:r>
      <w:r w:rsidRPr="00D60B79">
        <w:t xml:space="preserve">every 2 weeks for 12 weeks. The primary endpoint was the proportion of patients who </w:t>
      </w:r>
      <w:r>
        <w:t xml:space="preserve">achieved at least a "0" (clear) or "1" (minimal) response on the sPGA of Genitalia (sPGA of Genitalia 0/1). At Week 12, significantly more subjects in the TALTZ group than placebo group achieved a sPGA of Genitalia 0/1 and a sPGA 0/1 </w:t>
      </w:r>
      <w:r w:rsidRPr="001E56F1">
        <w:t>independent of baseline BSA (baseline BSA 1% - &lt;10% resp. ≥10%: sPGA of Genitalia “0” or “1”; Taltz 71%, resp. 75%; placebo:0%, resp. 13%).</w:t>
      </w:r>
    </w:p>
    <w:p w:rsidR="00CF210E" w:rsidRDefault="00CF210E" w:rsidP="00937266">
      <w:pPr>
        <w:ind w:left="142"/>
      </w:pPr>
      <w:r>
        <w:t xml:space="preserve">A significantly greater proportion of patients treated with TALTZ achieved a reduction in the PROs of severity of genital pain, genital itch, impact of genital psoriasis on sexual activity and a Dermatology Quality of Life Index (DLQI). </w:t>
      </w:r>
    </w:p>
    <w:p w:rsidR="00CF210E" w:rsidRPr="00EB1C6D" w:rsidRDefault="00CF210E" w:rsidP="00C91FEA">
      <w:pPr>
        <w:pStyle w:val="TableTitle"/>
        <w:pageBreakBefore/>
        <w:ind w:left="142"/>
      </w:pPr>
      <w:r>
        <w:lastRenderedPageBreak/>
        <w:t>Efficacy Results at Week 12 in Adults with Genital Psoriasis in Trial IXORA-Q; NRI</w:t>
      </w:r>
      <w:r w:rsidRPr="00506A7A">
        <w:rPr>
          <w:vertAlign w:val="superscript"/>
        </w:rPr>
        <w:t>a</w:t>
      </w:r>
    </w:p>
    <w:p w:rsidR="00CF210E" w:rsidRPr="00CC61ED" w:rsidRDefault="00CF210E" w:rsidP="00937266">
      <w:pPr>
        <w:ind w:left="142"/>
      </w:pPr>
      <w:r w:rsidRPr="00CC61ED">
        <w:pict>
          <v:shapetype id="_x0000_t202" coordsize="21600,21600" o:spt="202" path="m,l,21600r21600,l21600,xe">
            <v:stroke joinstyle="miter"/>
            <v:path gradientshapeok="t" o:connecttype="rect"/>
          </v:shapetype>
          <v:shape id="_x0000_s1047" type="#_x0000_t202" style="width:418.05pt;height:152.9pt;mso-position-horizontal-relative:char;mso-position-vertical-relative:line" o:allowincell="f" filled="f" stroked="f">
            <v:textbox style="mso-next-textbox:#_x0000_s1047"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3"/>
                    <w:gridCol w:w="691"/>
                    <w:gridCol w:w="835"/>
                    <w:gridCol w:w="2410"/>
                  </w:tblGrid>
                  <w:tr w:rsidR="00CF210E" w:rsidTr="005C7CD9">
                    <w:tblPrEx>
                      <w:tblCellMar>
                        <w:top w:w="0" w:type="dxa"/>
                        <w:left w:w="0" w:type="dxa"/>
                        <w:bottom w:w="0" w:type="dxa"/>
                        <w:right w:w="0" w:type="dxa"/>
                      </w:tblCellMar>
                    </w:tblPrEx>
                    <w:trPr>
                      <w:trHeight w:hRule="exact" w:val="528"/>
                    </w:trPr>
                    <w:tc>
                      <w:tcPr>
                        <w:tcW w:w="4433" w:type="dxa"/>
                      </w:tcPr>
                      <w:p w:rsidR="00CF210E" w:rsidRPr="00F00FC4" w:rsidRDefault="00CF210E" w:rsidP="005C7CD9">
                        <w:pPr>
                          <w:pStyle w:val="PLRTableDataCentered"/>
                          <w:ind w:left="10" w:hanging="10"/>
                          <w:rPr>
                            <w:b/>
                          </w:rPr>
                        </w:pPr>
                        <w:r w:rsidRPr="00F00FC4">
                          <w:rPr>
                            <w:b/>
                          </w:rPr>
                          <w:t>Endpoints</w:t>
                        </w:r>
                      </w:p>
                    </w:tc>
                    <w:tc>
                      <w:tcPr>
                        <w:tcW w:w="691" w:type="dxa"/>
                      </w:tcPr>
                      <w:p w:rsidR="00CF210E" w:rsidRPr="00F00FC4" w:rsidRDefault="00CF210E" w:rsidP="00FC13A4">
                        <w:pPr>
                          <w:pStyle w:val="PLRTableDataCentered"/>
                          <w:rPr>
                            <w:b/>
                          </w:rPr>
                        </w:pPr>
                        <w:r w:rsidRPr="00F00FC4">
                          <w:rPr>
                            <w:b/>
                          </w:rPr>
                          <w:t>TALTZ</w:t>
                        </w:r>
                      </w:p>
                    </w:tc>
                    <w:tc>
                      <w:tcPr>
                        <w:tcW w:w="835" w:type="dxa"/>
                      </w:tcPr>
                      <w:p w:rsidR="00CF210E" w:rsidRPr="00F00FC4" w:rsidRDefault="00CF210E" w:rsidP="00FC13A4">
                        <w:pPr>
                          <w:pStyle w:val="PLRTableDataCentered"/>
                          <w:rPr>
                            <w:b/>
                          </w:rPr>
                        </w:pPr>
                        <w:r w:rsidRPr="00F00FC4">
                          <w:rPr>
                            <w:b/>
                          </w:rPr>
                          <w:t>Placebo</w:t>
                        </w:r>
                      </w:p>
                    </w:tc>
                    <w:tc>
                      <w:tcPr>
                        <w:tcW w:w="2410" w:type="dxa"/>
                      </w:tcPr>
                      <w:p w:rsidR="00CF210E" w:rsidRPr="00F00FC4" w:rsidRDefault="00CF210E" w:rsidP="00FC13A4">
                        <w:pPr>
                          <w:pStyle w:val="PLRTableDataCentered"/>
                          <w:rPr>
                            <w:b/>
                          </w:rPr>
                        </w:pPr>
                        <w:r w:rsidRPr="00F00FC4">
                          <w:rPr>
                            <w:b/>
                          </w:rPr>
                          <w:t>Difference from placebo (95% CI)</w:t>
                        </w:r>
                      </w:p>
                    </w:tc>
                  </w:tr>
                  <w:tr w:rsidR="00CF210E" w:rsidTr="005C7CD9">
                    <w:tblPrEx>
                      <w:tblCellMar>
                        <w:top w:w="0" w:type="dxa"/>
                        <w:left w:w="0" w:type="dxa"/>
                        <w:bottom w:w="0" w:type="dxa"/>
                        <w:right w:w="0" w:type="dxa"/>
                      </w:tblCellMar>
                    </w:tblPrEx>
                    <w:trPr>
                      <w:trHeight w:hRule="exact" w:val="269"/>
                    </w:trPr>
                    <w:tc>
                      <w:tcPr>
                        <w:tcW w:w="4433" w:type="dxa"/>
                      </w:tcPr>
                      <w:p w:rsidR="00CF210E" w:rsidRPr="00CF210E" w:rsidRDefault="00CF210E" w:rsidP="00FC13A4">
                        <w:pPr>
                          <w:pStyle w:val="PLRTableDataCentered"/>
                          <w:rPr>
                            <w:b/>
                          </w:rPr>
                        </w:pPr>
                        <w:r w:rsidRPr="00CF210E">
                          <w:rPr>
                            <w:b/>
                          </w:rPr>
                          <w:t>Number of patients (N) randomized</w:t>
                        </w:r>
                      </w:p>
                    </w:tc>
                    <w:tc>
                      <w:tcPr>
                        <w:tcW w:w="691" w:type="dxa"/>
                      </w:tcPr>
                      <w:p w:rsidR="00CF210E" w:rsidRPr="00CF210E" w:rsidRDefault="00CF210E" w:rsidP="00FC13A4">
                        <w:pPr>
                          <w:pStyle w:val="PLRTableDataCentered"/>
                          <w:rPr>
                            <w:b/>
                          </w:rPr>
                        </w:pPr>
                        <w:r w:rsidRPr="00CF210E">
                          <w:rPr>
                            <w:b/>
                          </w:rPr>
                          <w:t>N=75</w:t>
                        </w:r>
                      </w:p>
                    </w:tc>
                    <w:tc>
                      <w:tcPr>
                        <w:tcW w:w="835" w:type="dxa"/>
                      </w:tcPr>
                      <w:p w:rsidR="00CF210E" w:rsidRPr="00CF210E" w:rsidRDefault="00CF210E" w:rsidP="00FC13A4">
                        <w:pPr>
                          <w:pStyle w:val="PLRTableDataCentered"/>
                          <w:rPr>
                            <w:b/>
                          </w:rPr>
                        </w:pPr>
                        <w:r w:rsidRPr="00CF210E">
                          <w:rPr>
                            <w:b/>
                          </w:rPr>
                          <w:t>N=74</w:t>
                        </w:r>
                      </w:p>
                    </w:tc>
                    <w:tc>
                      <w:tcPr>
                        <w:tcW w:w="2410" w:type="dxa"/>
                      </w:tcPr>
                      <w:p w:rsidR="00CF210E" w:rsidRPr="00CF210E" w:rsidRDefault="00CF210E" w:rsidP="00FC13A4">
                        <w:pPr>
                          <w:pStyle w:val="PLRTableDataCentered"/>
                          <w:rPr>
                            <w:b/>
                          </w:rPr>
                        </w:pPr>
                      </w:p>
                    </w:tc>
                  </w:tr>
                  <w:tr w:rsidR="00CF210E" w:rsidTr="005C7CD9">
                    <w:tblPrEx>
                      <w:tblCellMar>
                        <w:top w:w="0" w:type="dxa"/>
                        <w:left w:w="0" w:type="dxa"/>
                        <w:bottom w:w="0" w:type="dxa"/>
                        <w:right w:w="0" w:type="dxa"/>
                      </w:tblCellMar>
                    </w:tblPrEx>
                    <w:trPr>
                      <w:trHeight w:hRule="exact" w:val="269"/>
                    </w:trPr>
                    <w:tc>
                      <w:tcPr>
                        <w:tcW w:w="4433" w:type="dxa"/>
                      </w:tcPr>
                      <w:p w:rsidR="00CF210E" w:rsidRDefault="00CF210E" w:rsidP="00FC13A4">
                        <w:pPr>
                          <w:pStyle w:val="PLRTableDataCentered"/>
                        </w:pPr>
                        <w:r>
                          <w:t>sPGA of Genitalia “0” or “1”</w:t>
                        </w:r>
                      </w:p>
                    </w:tc>
                    <w:tc>
                      <w:tcPr>
                        <w:tcW w:w="691" w:type="dxa"/>
                      </w:tcPr>
                      <w:p w:rsidR="00CF210E" w:rsidRDefault="00CF210E" w:rsidP="00FC13A4">
                        <w:pPr>
                          <w:pStyle w:val="PLRTableDataCentered"/>
                        </w:pPr>
                        <w:r>
                          <w:t>73%</w:t>
                        </w:r>
                      </w:p>
                    </w:tc>
                    <w:tc>
                      <w:tcPr>
                        <w:tcW w:w="835" w:type="dxa"/>
                      </w:tcPr>
                      <w:p w:rsidR="00CF210E" w:rsidRDefault="00CF210E" w:rsidP="00FC13A4">
                        <w:pPr>
                          <w:pStyle w:val="PLRTableDataCentered"/>
                        </w:pPr>
                        <w:r>
                          <w:t>8%</w:t>
                        </w:r>
                      </w:p>
                    </w:tc>
                    <w:tc>
                      <w:tcPr>
                        <w:tcW w:w="2410" w:type="dxa"/>
                      </w:tcPr>
                      <w:p w:rsidR="00CF210E" w:rsidRDefault="00CF210E" w:rsidP="00FC13A4">
                        <w:pPr>
                          <w:pStyle w:val="PLRTableDataCentered"/>
                        </w:pPr>
                        <w:r>
                          <w:t>65% (53%, 77%)</w:t>
                        </w:r>
                      </w:p>
                    </w:tc>
                  </w:tr>
                  <w:tr w:rsidR="00CF210E" w:rsidTr="005C7CD9">
                    <w:tblPrEx>
                      <w:tblCellMar>
                        <w:top w:w="0" w:type="dxa"/>
                        <w:left w:w="0" w:type="dxa"/>
                        <w:bottom w:w="0" w:type="dxa"/>
                        <w:right w:w="0" w:type="dxa"/>
                      </w:tblCellMar>
                    </w:tblPrEx>
                    <w:trPr>
                      <w:trHeight w:hRule="exact" w:val="269"/>
                    </w:trPr>
                    <w:tc>
                      <w:tcPr>
                        <w:tcW w:w="4433" w:type="dxa"/>
                      </w:tcPr>
                      <w:p w:rsidR="00CF210E" w:rsidRDefault="00CF210E" w:rsidP="00FC13A4">
                        <w:pPr>
                          <w:pStyle w:val="PLRTableDataCentered"/>
                        </w:pPr>
                        <w:r>
                          <w:t>sPGA “0” or “1”</w:t>
                        </w:r>
                      </w:p>
                    </w:tc>
                    <w:tc>
                      <w:tcPr>
                        <w:tcW w:w="691" w:type="dxa"/>
                      </w:tcPr>
                      <w:p w:rsidR="00CF210E" w:rsidRDefault="00CF210E" w:rsidP="00FC13A4">
                        <w:pPr>
                          <w:pStyle w:val="PLRTableDataCentered"/>
                        </w:pPr>
                        <w:r>
                          <w:t>73%</w:t>
                        </w:r>
                      </w:p>
                    </w:tc>
                    <w:tc>
                      <w:tcPr>
                        <w:tcW w:w="835" w:type="dxa"/>
                      </w:tcPr>
                      <w:p w:rsidR="00CF210E" w:rsidRDefault="00CF210E" w:rsidP="00FC13A4">
                        <w:pPr>
                          <w:pStyle w:val="PLRTableDataCentered"/>
                        </w:pPr>
                        <w:r>
                          <w:t>3%</w:t>
                        </w:r>
                      </w:p>
                    </w:tc>
                    <w:tc>
                      <w:tcPr>
                        <w:tcW w:w="2410" w:type="dxa"/>
                      </w:tcPr>
                      <w:p w:rsidR="00CF210E" w:rsidRDefault="00CF210E" w:rsidP="00FC13A4">
                        <w:pPr>
                          <w:pStyle w:val="PLRTableDataCentered"/>
                        </w:pPr>
                        <w:r>
                          <w:t>71% (60%, 81%)</w:t>
                        </w:r>
                      </w:p>
                    </w:tc>
                  </w:tr>
                  <w:tr w:rsidR="00CF210E" w:rsidTr="005C7CD9">
                    <w:tblPrEx>
                      <w:tblCellMar>
                        <w:top w:w="0" w:type="dxa"/>
                        <w:left w:w="0" w:type="dxa"/>
                        <w:bottom w:w="0" w:type="dxa"/>
                        <w:right w:w="0" w:type="dxa"/>
                      </w:tblCellMar>
                    </w:tblPrEx>
                    <w:trPr>
                      <w:trHeight w:hRule="exact" w:val="375"/>
                    </w:trPr>
                    <w:tc>
                      <w:tcPr>
                        <w:tcW w:w="4433" w:type="dxa"/>
                      </w:tcPr>
                      <w:p w:rsidR="00CF210E" w:rsidRDefault="00CF210E" w:rsidP="00FC13A4">
                        <w:pPr>
                          <w:pStyle w:val="PLRTableDataCentered"/>
                        </w:pPr>
                        <w:r>
                          <w:t>DLQI 0,1</w:t>
                        </w:r>
                        <w:r>
                          <w:rPr>
                            <w:position w:val="9"/>
                            <w:sz w:val="13"/>
                            <w:szCs w:val="13"/>
                          </w:rPr>
                          <w:t>b</w:t>
                        </w:r>
                      </w:p>
                    </w:tc>
                    <w:tc>
                      <w:tcPr>
                        <w:tcW w:w="691" w:type="dxa"/>
                      </w:tcPr>
                      <w:p w:rsidR="00CF210E" w:rsidRDefault="00CF210E" w:rsidP="00FC13A4">
                        <w:pPr>
                          <w:pStyle w:val="PLRTableDataCentered"/>
                        </w:pPr>
                        <w:r>
                          <w:t>45%</w:t>
                        </w:r>
                      </w:p>
                    </w:tc>
                    <w:tc>
                      <w:tcPr>
                        <w:tcW w:w="835" w:type="dxa"/>
                      </w:tcPr>
                      <w:p w:rsidR="00CF210E" w:rsidRDefault="00CF210E" w:rsidP="00FC13A4">
                        <w:pPr>
                          <w:pStyle w:val="PLRTableDataCentered"/>
                        </w:pPr>
                        <w:r>
                          <w:t>3%</w:t>
                        </w:r>
                      </w:p>
                    </w:tc>
                    <w:tc>
                      <w:tcPr>
                        <w:tcW w:w="2410" w:type="dxa"/>
                      </w:tcPr>
                      <w:p w:rsidR="00CF210E" w:rsidRDefault="00CF210E" w:rsidP="00FC13A4">
                        <w:pPr>
                          <w:pStyle w:val="PLRTableDataCentered"/>
                        </w:pPr>
                        <w:r>
                          <w:t>43% (31%, 55%)</w:t>
                        </w:r>
                      </w:p>
                    </w:tc>
                  </w:tr>
                  <w:tr w:rsidR="00CF210E" w:rsidTr="005C7CD9">
                    <w:tblPrEx>
                      <w:tblCellMar>
                        <w:top w:w="0" w:type="dxa"/>
                        <w:left w:w="0" w:type="dxa"/>
                        <w:bottom w:w="0" w:type="dxa"/>
                        <w:right w:w="0" w:type="dxa"/>
                      </w:tblCellMar>
                    </w:tblPrEx>
                    <w:trPr>
                      <w:trHeight w:hRule="exact" w:val="269"/>
                    </w:trPr>
                    <w:tc>
                      <w:tcPr>
                        <w:tcW w:w="4433" w:type="dxa"/>
                      </w:tcPr>
                      <w:p w:rsidR="00CF210E" w:rsidRPr="00CF210E" w:rsidRDefault="00CF210E" w:rsidP="00FC13A4">
                        <w:pPr>
                          <w:pStyle w:val="PLRTableDataCentered"/>
                          <w:rPr>
                            <w:b/>
                          </w:rPr>
                        </w:pPr>
                        <w:r w:rsidRPr="00CF210E">
                          <w:rPr>
                            <w:b/>
                          </w:rPr>
                          <w:t>N with baseline GPSS Itch NRS Score ≥3</w:t>
                        </w:r>
                      </w:p>
                    </w:tc>
                    <w:tc>
                      <w:tcPr>
                        <w:tcW w:w="691" w:type="dxa"/>
                      </w:tcPr>
                      <w:p w:rsidR="00CF210E" w:rsidRPr="00CF210E" w:rsidRDefault="00CF210E" w:rsidP="00FC13A4">
                        <w:pPr>
                          <w:pStyle w:val="PLRTableDataCentered"/>
                          <w:rPr>
                            <w:b/>
                          </w:rPr>
                        </w:pPr>
                        <w:r w:rsidRPr="00CF210E">
                          <w:rPr>
                            <w:b/>
                          </w:rPr>
                          <w:t>N=62</w:t>
                        </w:r>
                      </w:p>
                    </w:tc>
                    <w:tc>
                      <w:tcPr>
                        <w:tcW w:w="835" w:type="dxa"/>
                      </w:tcPr>
                      <w:p w:rsidR="00CF210E" w:rsidRPr="00CF210E" w:rsidRDefault="00CF210E" w:rsidP="00FC13A4">
                        <w:pPr>
                          <w:pStyle w:val="PLRTableDataCentered"/>
                          <w:rPr>
                            <w:b/>
                          </w:rPr>
                        </w:pPr>
                        <w:r w:rsidRPr="00CF210E">
                          <w:rPr>
                            <w:b/>
                          </w:rPr>
                          <w:t>N=60</w:t>
                        </w:r>
                      </w:p>
                    </w:tc>
                    <w:tc>
                      <w:tcPr>
                        <w:tcW w:w="2410" w:type="dxa"/>
                      </w:tcPr>
                      <w:p w:rsidR="00CF210E" w:rsidRPr="00CF210E" w:rsidRDefault="00CF210E" w:rsidP="00FC13A4">
                        <w:pPr>
                          <w:pStyle w:val="PLRTableDataCentered"/>
                          <w:rPr>
                            <w:b/>
                          </w:rPr>
                        </w:pPr>
                      </w:p>
                    </w:tc>
                  </w:tr>
                  <w:tr w:rsidR="00CF210E" w:rsidTr="005C7CD9">
                    <w:tblPrEx>
                      <w:tblCellMar>
                        <w:top w:w="0" w:type="dxa"/>
                        <w:left w:w="0" w:type="dxa"/>
                        <w:bottom w:w="0" w:type="dxa"/>
                        <w:right w:w="0" w:type="dxa"/>
                      </w:tblCellMar>
                    </w:tblPrEx>
                    <w:trPr>
                      <w:trHeight w:hRule="exact" w:val="269"/>
                    </w:trPr>
                    <w:tc>
                      <w:tcPr>
                        <w:tcW w:w="4433" w:type="dxa"/>
                      </w:tcPr>
                      <w:p w:rsidR="00CF210E" w:rsidRDefault="00CF210E" w:rsidP="00FC13A4">
                        <w:pPr>
                          <w:pStyle w:val="PLRTableDataCentered"/>
                        </w:pPr>
                        <w:r>
                          <w:t>GPSS Genital Itch (≥3 point improvement)</w:t>
                        </w:r>
                      </w:p>
                    </w:tc>
                    <w:tc>
                      <w:tcPr>
                        <w:tcW w:w="691" w:type="dxa"/>
                      </w:tcPr>
                      <w:p w:rsidR="00CF210E" w:rsidRDefault="00CF210E" w:rsidP="00FC13A4">
                        <w:pPr>
                          <w:pStyle w:val="PLRTableDataCentered"/>
                        </w:pPr>
                        <w:r>
                          <w:t>60%</w:t>
                        </w:r>
                      </w:p>
                    </w:tc>
                    <w:tc>
                      <w:tcPr>
                        <w:tcW w:w="835" w:type="dxa"/>
                      </w:tcPr>
                      <w:p w:rsidR="00CF210E" w:rsidRDefault="00CF210E" w:rsidP="00FC13A4">
                        <w:pPr>
                          <w:pStyle w:val="PLRTableDataCentered"/>
                        </w:pPr>
                        <w:r>
                          <w:t>8%</w:t>
                        </w:r>
                      </w:p>
                    </w:tc>
                    <w:tc>
                      <w:tcPr>
                        <w:tcW w:w="2410" w:type="dxa"/>
                      </w:tcPr>
                      <w:p w:rsidR="00CF210E" w:rsidRDefault="00CF210E" w:rsidP="00FC13A4">
                        <w:pPr>
                          <w:pStyle w:val="PLRTableDataCentered"/>
                        </w:pPr>
                        <w:r>
                          <w:t>51% (37%, 65%)</w:t>
                        </w:r>
                      </w:p>
                    </w:tc>
                  </w:tr>
                  <w:tr w:rsidR="00CF210E" w:rsidTr="005C7CD9">
                    <w:tblPrEx>
                      <w:tblCellMar>
                        <w:top w:w="0" w:type="dxa"/>
                        <w:left w:w="0" w:type="dxa"/>
                        <w:bottom w:w="0" w:type="dxa"/>
                        <w:right w:w="0" w:type="dxa"/>
                      </w:tblCellMar>
                    </w:tblPrEx>
                    <w:trPr>
                      <w:trHeight w:hRule="exact" w:val="269"/>
                    </w:trPr>
                    <w:tc>
                      <w:tcPr>
                        <w:tcW w:w="4433" w:type="dxa"/>
                      </w:tcPr>
                      <w:p w:rsidR="00CF210E" w:rsidRPr="00CF210E" w:rsidRDefault="00CF210E" w:rsidP="00FC13A4">
                        <w:pPr>
                          <w:pStyle w:val="PLRTableDataCentered"/>
                          <w:rPr>
                            <w:b/>
                          </w:rPr>
                        </w:pPr>
                        <w:r w:rsidRPr="00CF210E">
                          <w:rPr>
                            <w:b/>
                          </w:rPr>
                          <w:t>N with baseline SFQ Item 2 Score ≥2</w:t>
                        </w:r>
                      </w:p>
                    </w:tc>
                    <w:tc>
                      <w:tcPr>
                        <w:tcW w:w="691" w:type="dxa"/>
                      </w:tcPr>
                      <w:p w:rsidR="00CF210E" w:rsidRPr="00CF210E" w:rsidRDefault="00CF210E" w:rsidP="00FC13A4">
                        <w:pPr>
                          <w:pStyle w:val="PLRTableDataCentered"/>
                          <w:rPr>
                            <w:b/>
                          </w:rPr>
                        </w:pPr>
                        <w:r w:rsidRPr="00CF210E">
                          <w:rPr>
                            <w:b/>
                          </w:rPr>
                          <w:t>N=37</w:t>
                        </w:r>
                      </w:p>
                    </w:tc>
                    <w:tc>
                      <w:tcPr>
                        <w:tcW w:w="835" w:type="dxa"/>
                      </w:tcPr>
                      <w:p w:rsidR="00CF210E" w:rsidRPr="00CF210E" w:rsidRDefault="00CF210E" w:rsidP="00FC13A4">
                        <w:pPr>
                          <w:pStyle w:val="PLRTableDataCentered"/>
                          <w:rPr>
                            <w:b/>
                          </w:rPr>
                        </w:pPr>
                        <w:r w:rsidRPr="00CF210E">
                          <w:rPr>
                            <w:b/>
                          </w:rPr>
                          <w:t>N=42</w:t>
                        </w:r>
                      </w:p>
                    </w:tc>
                    <w:tc>
                      <w:tcPr>
                        <w:tcW w:w="2410" w:type="dxa"/>
                      </w:tcPr>
                      <w:p w:rsidR="00CF210E" w:rsidRPr="00CF210E" w:rsidRDefault="00CF210E" w:rsidP="00FC13A4">
                        <w:pPr>
                          <w:pStyle w:val="PLRTableDataCentered"/>
                          <w:rPr>
                            <w:b/>
                          </w:rPr>
                        </w:pPr>
                      </w:p>
                    </w:tc>
                  </w:tr>
                  <w:tr w:rsidR="00CF210E" w:rsidTr="005C7CD9">
                    <w:tblPrEx>
                      <w:tblCellMar>
                        <w:top w:w="0" w:type="dxa"/>
                        <w:left w:w="0" w:type="dxa"/>
                        <w:bottom w:w="0" w:type="dxa"/>
                        <w:right w:w="0" w:type="dxa"/>
                      </w:tblCellMar>
                    </w:tblPrEx>
                    <w:trPr>
                      <w:trHeight w:hRule="exact" w:val="533"/>
                    </w:trPr>
                    <w:tc>
                      <w:tcPr>
                        <w:tcW w:w="4433" w:type="dxa"/>
                      </w:tcPr>
                      <w:p w:rsidR="00CF210E" w:rsidRDefault="00CF210E" w:rsidP="00FC13A4">
                        <w:pPr>
                          <w:pStyle w:val="PLRTableDataCentered"/>
                        </w:pPr>
                        <w:r>
                          <w:t>SFQ-item 2 score, “0” (never limited) or “1” (rarely limited)</w:t>
                        </w:r>
                      </w:p>
                    </w:tc>
                    <w:tc>
                      <w:tcPr>
                        <w:tcW w:w="691" w:type="dxa"/>
                      </w:tcPr>
                      <w:p w:rsidR="00CF210E" w:rsidRDefault="00CF210E" w:rsidP="00FC13A4">
                        <w:pPr>
                          <w:pStyle w:val="PLRTableDataCentered"/>
                        </w:pPr>
                        <w:r>
                          <w:t>78%</w:t>
                        </w:r>
                      </w:p>
                    </w:tc>
                    <w:tc>
                      <w:tcPr>
                        <w:tcW w:w="835" w:type="dxa"/>
                      </w:tcPr>
                      <w:p w:rsidR="00CF210E" w:rsidRDefault="00CF210E" w:rsidP="00FC13A4">
                        <w:pPr>
                          <w:pStyle w:val="PLRTableDataCentered"/>
                        </w:pPr>
                        <w:r>
                          <w:t>21%</w:t>
                        </w:r>
                      </w:p>
                    </w:tc>
                    <w:tc>
                      <w:tcPr>
                        <w:tcW w:w="2410" w:type="dxa"/>
                      </w:tcPr>
                      <w:p w:rsidR="00CF210E" w:rsidRDefault="00CF210E" w:rsidP="00FC13A4">
                        <w:pPr>
                          <w:pStyle w:val="PLRTableDataCentered"/>
                        </w:pPr>
                        <w:r>
                          <w:t>57% (39%, 75%)</w:t>
                        </w:r>
                      </w:p>
                    </w:tc>
                  </w:tr>
                </w:tbl>
                <w:p w:rsidR="00CF210E" w:rsidRDefault="00CF210E" w:rsidP="00CF210E">
                  <w:pPr>
                    <w:pStyle w:val="BodyText"/>
                    <w:kinsoku w:val="0"/>
                    <w:overflowPunct w:val="0"/>
                    <w:ind w:left="0"/>
                    <w:rPr>
                      <w:i/>
                      <w:iCs/>
                      <w:sz w:val="24"/>
                      <w:szCs w:val="24"/>
                    </w:rPr>
                  </w:pPr>
                </w:p>
              </w:txbxContent>
            </v:textbox>
            <w10:anchorlock/>
          </v:shape>
        </w:pict>
      </w:r>
    </w:p>
    <w:p w:rsidR="00F00FC4" w:rsidRDefault="00CF210E" w:rsidP="00937266">
      <w:pPr>
        <w:pStyle w:val="PLRTable1stLevelIndent"/>
        <w:ind w:left="142"/>
        <w:rPr>
          <w:rFonts w:eastAsia="Times New Roman"/>
          <w:iCs/>
        </w:rPr>
      </w:pPr>
      <w:r w:rsidRPr="00CC61ED">
        <w:rPr>
          <w:rFonts w:eastAsia="Times New Roman"/>
          <w:iCs/>
          <w:vertAlign w:val="superscript"/>
        </w:rPr>
        <w:t>a</w:t>
      </w:r>
      <w:r w:rsidRPr="00CC61ED">
        <w:rPr>
          <w:rFonts w:eastAsia="Times New Roman"/>
          <w:iCs/>
        </w:rPr>
        <w:t xml:space="preserve"> Abbreviations: NRI = Non-Responder Imputation; </w:t>
      </w:r>
      <w:r>
        <w:rPr>
          <w:rFonts w:eastAsia="Times New Roman"/>
          <w:iCs/>
        </w:rPr>
        <w:t>sPGA =</w:t>
      </w:r>
      <w:r w:rsidRPr="00F00FC4">
        <w:rPr>
          <w:rFonts w:eastAsia="Times New Roman"/>
          <w:iCs/>
        </w:rPr>
        <w:t>static Physician Global Assessment</w:t>
      </w:r>
      <w:r>
        <w:rPr>
          <w:rFonts w:eastAsia="Times New Roman"/>
          <w:iCs/>
        </w:rPr>
        <w:t xml:space="preserve">; </w:t>
      </w:r>
      <w:r w:rsidRPr="00CC61ED">
        <w:rPr>
          <w:rFonts w:eastAsia="Times New Roman"/>
          <w:iCs/>
        </w:rPr>
        <w:t>GPSS = Genital Psoriasis</w:t>
      </w:r>
      <w:r w:rsidRPr="00CC61ED">
        <w:rPr>
          <w:iCs/>
        </w:rPr>
        <w:t xml:space="preserve"> </w:t>
      </w:r>
      <w:r w:rsidRPr="00CC61ED">
        <w:rPr>
          <w:rFonts w:eastAsia="Times New Roman"/>
          <w:iCs/>
        </w:rPr>
        <w:t>Symptom Scale; SFQ = Sexual Frequency Questionnaire;</w:t>
      </w:r>
      <w:r w:rsidRPr="00F00FC4">
        <w:rPr>
          <w:rFonts w:eastAsia="Times New Roman"/>
          <w:iCs/>
        </w:rPr>
        <w:t xml:space="preserve">DLQI = Dermatology Quality of Life Index; </w:t>
      </w:r>
    </w:p>
    <w:p w:rsidR="00CF210E" w:rsidRPr="00EB1C6D" w:rsidRDefault="00CF210E" w:rsidP="00937266">
      <w:pPr>
        <w:pStyle w:val="PLRTable1stLevelIndent"/>
        <w:ind w:left="142"/>
      </w:pPr>
      <w:r w:rsidRPr="00F00FC4">
        <w:rPr>
          <w:rFonts w:eastAsia="Times New Roman"/>
          <w:iCs/>
          <w:vertAlign w:val="superscript"/>
        </w:rPr>
        <w:t>b</w:t>
      </w:r>
      <w:r w:rsidRPr="00F00FC4">
        <w:rPr>
          <w:rFonts w:eastAsia="Times New Roman"/>
          <w:iCs/>
        </w:rPr>
        <w:t xml:space="preserve"> Total</w:t>
      </w:r>
      <w:r w:rsidRPr="00CC61ED">
        <w:rPr>
          <w:rFonts w:eastAsia="Times New Roman"/>
          <w:iCs/>
        </w:rPr>
        <w:t xml:space="preserve"> DLQI score of 0,1 indicates skin condition has no effect at all on</w:t>
      </w:r>
      <w:r w:rsidRPr="00CC61ED">
        <w:rPr>
          <w:iCs/>
        </w:rPr>
        <w:t xml:space="preserve"> </w:t>
      </w:r>
      <w:r w:rsidRPr="00CC61ED">
        <w:rPr>
          <w:rFonts w:eastAsia="Times New Roman"/>
          <w:iCs/>
        </w:rPr>
        <w:t>patient</w:t>
      </w:r>
      <w:r w:rsidRPr="00CC61ED">
        <w:rPr>
          <w:rFonts w:eastAsia="Times New Roman" w:hint="eastAsia"/>
          <w:iCs/>
        </w:rPr>
        <w:t>’</w:t>
      </w:r>
      <w:r w:rsidRPr="00CC61ED">
        <w:rPr>
          <w:rFonts w:eastAsia="Times New Roman"/>
          <w:iCs/>
        </w:rPr>
        <w:t xml:space="preserve">s life. sPGA of </w:t>
      </w:r>
      <w:r w:rsidRPr="00CC61ED">
        <w:rPr>
          <w:rFonts w:eastAsia="Times New Roman" w:hint="eastAsia"/>
          <w:iCs/>
        </w:rPr>
        <w:t>“</w:t>
      </w:r>
      <w:r w:rsidRPr="00CC61ED">
        <w:rPr>
          <w:rFonts w:eastAsia="Times New Roman"/>
          <w:iCs/>
        </w:rPr>
        <w:t>0</w:t>
      </w:r>
      <w:r w:rsidRPr="00CC61ED">
        <w:rPr>
          <w:rFonts w:eastAsia="Times New Roman" w:hint="eastAsia"/>
          <w:iCs/>
        </w:rPr>
        <w:t>”</w:t>
      </w:r>
      <w:r w:rsidRPr="00CC61ED">
        <w:rPr>
          <w:rFonts w:eastAsia="Times New Roman"/>
          <w:iCs/>
        </w:rPr>
        <w:t xml:space="preserve"> or </w:t>
      </w:r>
      <w:r w:rsidRPr="00CC61ED">
        <w:rPr>
          <w:rFonts w:eastAsia="Times New Roman" w:hint="eastAsia"/>
          <w:iCs/>
        </w:rPr>
        <w:t>“</w:t>
      </w:r>
      <w:r w:rsidRPr="00CC61ED">
        <w:rPr>
          <w:rFonts w:eastAsia="Times New Roman"/>
          <w:iCs/>
        </w:rPr>
        <w:t>1</w:t>
      </w:r>
      <w:r w:rsidRPr="00CC61ED">
        <w:rPr>
          <w:rFonts w:eastAsia="Times New Roman" w:hint="eastAsia"/>
          <w:iCs/>
        </w:rPr>
        <w:t>”</w:t>
      </w:r>
      <w:r w:rsidRPr="00CC61ED">
        <w:rPr>
          <w:rFonts w:eastAsia="Times New Roman"/>
          <w:iCs/>
        </w:rPr>
        <w:t xml:space="preserve"> is equivalent to </w:t>
      </w:r>
      <w:r w:rsidRPr="00CC61ED">
        <w:rPr>
          <w:rFonts w:eastAsia="Times New Roman" w:hint="eastAsia"/>
          <w:iCs/>
        </w:rPr>
        <w:t>“</w:t>
      </w:r>
      <w:r w:rsidRPr="00CC61ED">
        <w:rPr>
          <w:rFonts w:eastAsia="Times New Roman"/>
          <w:iCs/>
        </w:rPr>
        <w:t>clear</w:t>
      </w:r>
      <w:r w:rsidRPr="00CC61ED">
        <w:rPr>
          <w:rFonts w:eastAsia="Times New Roman" w:hint="eastAsia"/>
          <w:iCs/>
        </w:rPr>
        <w:t>”</w:t>
      </w:r>
      <w:r w:rsidRPr="00CC61ED">
        <w:rPr>
          <w:rFonts w:eastAsia="Times New Roman"/>
          <w:iCs/>
        </w:rPr>
        <w:t xml:space="preserve"> or </w:t>
      </w:r>
      <w:r w:rsidRPr="00CC61ED">
        <w:rPr>
          <w:rFonts w:eastAsia="Times New Roman" w:hint="eastAsia"/>
          <w:iCs/>
        </w:rPr>
        <w:t>“</w:t>
      </w:r>
      <w:r w:rsidRPr="00CC61ED">
        <w:rPr>
          <w:rFonts w:eastAsia="Times New Roman"/>
          <w:iCs/>
        </w:rPr>
        <w:t>minimal</w:t>
      </w:r>
      <w:r w:rsidRPr="00CC61ED">
        <w:rPr>
          <w:rFonts w:eastAsia="Times New Roman" w:hint="eastAsia"/>
          <w:iCs/>
        </w:rPr>
        <w:t>”</w:t>
      </w:r>
      <w:r w:rsidRPr="00CC61ED">
        <w:rPr>
          <w:rFonts w:eastAsia="Times New Roman"/>
          <w:iCs/>
        </w:rPr>
        <w:t>; NRS =</w:t>
      </w:r>
      <w:r w:rsidRPr="00CC61ED">
        <w:rPr>
          <w:iCs/>
        </w:rPr>
        <w:t xml:space="preserve"> </w:t>
      </w:r>
      <w:r w:rsidRPr="00CC61ED">
        <w:rPr>
          <w:rFonts w:eastAsia="Times New Roman"/>
          <w:iCs/>
        </w:rPr>
        <w:t>Numeric Rating Scale</w:t>
      </w:r>
    </w:p>
    <w:p w:rsidR="00CF210E" w:rsidRDefault="00CF210E" w:rsidP="00937266">
      <w:pPr>
        <w:ind w:left="142"/>
      </w:pPr>
    </w:p>
    <w:p w:rsidR="00BD0E75" w:rsidRPr="00C9158B" w:rsidRDefault="00BD0E75" w:rsidP="00937266">
      <w:pPr>
        <w:pStyle w:val="Heading4"/>
        <w:ind w:left="142"/>
        <w:rPr>
          <w:b/>
        </w:rPr>
      </w:pPr>
      <w:r w:rsidRPr="00C9158B">
        <w:rPr>
          <w:b/>
        </w:rPr>
        <w:t xml:space="preserve">Psoriatic Arthritis </w:t>
      </w:r>
    </w:p>
    <w:p w:rsidR="00BD0E75" w:rsidRDefault="00BD0E75" w:rsidP="00937266">
      <w:pPr>
        <w:ind w:left="142"/>
      </w:pPr>
      <w:r>
        <w:t>The efficacy and safety of TALTZ were assessed in two randomised, double-blind, placebo-controlled phase III studies in 780 patients with active psoriatic arthritis (≥ 3 swollen and ≥ 3 tender joints). Patients in these studies had a diagnosis of psoriatic arthritis (Classification Criteria for Psoriatic Arthritis [CASPAR] criteria) for a median of 5.33 years. Randomised patients also had current plaque psoriasis skin lesions (94.0%) or a documented history of plaque psoriasis, with 12.1% of patients with moderate to severe plaque psoriasis at baseline. 58.9% and 22.3% of patients had dactylitis at baseline. For both studies, the primary endpoint was American College of Rheumatology (ACR) 20 response at Week 24.</w:t>
      </w:r>
    </w:p>
    <w:p w:rsidR="00BD0E75" w:rsidRDefault="00BD0E75" w:rsidP="00937266">
      <w:pPr>
        <w:ind w:left="142"/>
      </w:pPr>
      <w:r>
        <w:t>In Psoriatic Arthritis Study 1 (SPIRIT-P1), patients naïve to biologic therapy with active psoriatic arthritis were randomised to subcutaneous injections of placebo, adalimumab 40 mg once every 2 weeks (active control reference arm), TALTZ 80 mg once every 4 weeks (Q4W), or TALTZ 80 mg once every 2 weeks (Q2W). Both TALTZ regimens included a 160 mg starting dose. In this study, 53% of patients had concomitant use of MTX at a mean weekly dose of 15.8 mg, with 67% of these patients receiving an MTX dose of 15 mg or greater. Most patients (85.3%) in this study had received prior treatment with ≥ 1 conventional disease-modifying anti-rheumatic drug (cDMARD). Patients in all treatment groups with an inadequate response at week 16 received rescue therapy (modification to background therapy). Patients on TALTZ Q4W or Q2W remained on their originally assigned dose of TALTZ. Patients receiving adalimumab or placebo were re-randomised 1:1 to TALTZ Q4W or Q2W at week 16 or 24 based on responder status.</w:t>
      </w:r>
    </w:p>
    <w:p w:rsidR="00C9158B" w:rsidRDefault="00BD0E75" w:rsidP="00937266">
      <w:pPr>
        <w:ind w:left="142"/>
      </w:pPr>
      <w:r>
        <w:t xml:space="preserve">Psoriatic Arthritis Study 2 (SPIRIT-P2) enrolled patients who were previously treated with an anti-TNF agent and discontinued the anti-TNF agent for either lack of efficacy or intolerance (anti-TNF-IR patients): 56% and 35% of patients were inadequate responders to 1 TNF or 2 TNFs, respectively. SPIRIT-P2 evaluated 363 patients, of whom 41% had concomitant use of MTX at a mean weekly dose of 16.1 mg. Of the patients with concomitant MTX, 73.2% had a dose of 15 mg or greater. Patients in all treatment groups with an inadequate response at week 16 received rescue therapy (modification to background therapy). Patients in TALTZ Q4W or Q2W remained </w:t>
      </w:r>
      <w:r>
        <w:lastRenderedPageBreak/>
        <w:t>on their originally assigned dose of TALTZ. Patients receiving placebo were re-randomised 1:1 to TALTZ Q4W or Q2W at week 16 or 24 based on responder status.</w:t>
      </w:r>
    </w:p>
    <w:p w:rsidR="00BD0E75" w:rsidRPr="00C9158B" w:rsidRDefault="00BD0E75" w:rsidP="00937266">
      <w:pPr>
        <w:ind w:left="142"/>
        <w:rPr>
          <w:i/>
        </w:rPr>
      </w:pPr>
      <w:r w:rsidRPr="00C9158B">
        <w:rPr>
          <w:i/>
        </w:rPr>
        <w:t>Signs and symptoms</w:t>
      </w:r>
    </w:p>
    <w:p w:rsidR="00BD0E75" w:rsidRDefault="00BD0E75" w:rsidP="00937266">
      <w:pPr>
        <w:ind w:left="142"/>
      </w:pPr>
      <w:r>
        <w:t xml:space="preserve">Treatment with TALTZ resulted in significant improvement in measures of disease activity compared to placebo at Week 24 (see Table </w:t>
      </w:r>
      <w:r w:rsidR="00F00FC4">
        <w:t>9</w:t>
      </w:r>
      <w:r>
        <w:t>).</w:t>
      </w:r>
    </w:p>
    <w:p w:rsidR="00BD0E75" w:rsidRPr="00324AD4" w:rsidRDefault="00BD0E75" w:rsidP="00937266">
      <w:pPr>
        <w:pStyle w:val="TableTitle"/>
        <w:ind w:left="142"/>
      </w:pPr>
      <w:r w:rsidRPr="00324AD4">
        <w:t>Efficacy results in SPIRIT-P1 and SPIRIT-P2 at week 24</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740"/>
        <w:gridCol w:w="812"/>
        <w:gridCol w:w="784"/>
        <w:gridCol w:w="728"/>
        <w:gridCol w:w="728"/>
        <w:gridCol w:w="711"/>
        <w:gridCol w:w="744"/>
        <w:gridCol w:w="770"/>
        <w:gridCol w:w="784"/>
        <w:gridCol w:w="742"/>
        <w:gridCol w:w="770"/>
      </w:tblGrid>
      <w:tr w:rsidR="00B0181A" w:rsidRPr="00B0181A" w:rsidTr="006D6C64">
        <w:trPr>
          <w:tblHeader/>
        </w:trPr>
        <w:tc>
          <w:tcPr>
            <w:tcW w:w="879" w:type="dxa"/>
            <w:tcBorders>
              <w:bottom w:val="nil"/>
            </w:tcBorders>
            <w:shd w:val="clear" w:color="auto" w:fill="auto"/>
          </w:tcPr>
          <w:p w:rsidR="00B0181A" w:rsidRPr="00072F6C" w:rsidRDefault="00B0181A" w:rsidP="00937266">
            <w:pPr>
              <w:spacing w:after="0" w:line="240" w:lineRule="auto"/>
              <w:ind w:left="142"/>
              <w:rPr>
                <w:rFonts w:eastAsia="Calibri"/>
                <w:sz w:val="20"/>
                <w:szCs w:val="20"/>
                <w:lang w:val="en-GB" w:eastAsia="en-GB"/>
              </w:rPr>
            </w:pPr>
          </w:p>
        </w:tc>
        <w:tc>
          <w:tcPr>
            <w:tcW w:w="4503" w:type="dxa"/>
            <w:gridSpan w:val="6"/>
            <w:shd w:val="clear" w:color="auto" w:fill="auto"/>
          </w:tcPr>
          <w:p w:rsidR="00B0181A" w:rsidRPr="00072F6C" w:rsidRDefault="00B0181A" w:rsidP="00937266">
            <w:pPr>
              <w:spacing w:after="0" w:line="240" w:lineRule="auto"/>
              <w:ind w:left="142"/>
              <w:jc w:val="center"/>
              <w:rPr>
                <w:rFonts w:eastAsia="Calibri"/>
                <w:b/>
                <w:sz w:val="20"/>
                <w:szCs w:val="20"/>
                <w:lang w:val="en-GB" w:eastAsia="en-GB"/>
              </w:rPr>
            </w:pPr>
            <w:r w:rsidRPr="00072F6C">
              <w:rPr>
                <w:rFonts w:eastAsia="Calibri"/>
                <w:b/>
                <w:sz w:val="20"/>
                <w:szCs w:val="20"/>
                <w:lang w:val="en-GB" w:eastAsia="en-GB"/>
              </w:rPr>
              <w:t>SPIRIT-P1</w:t>
            </w:r>
          </w:p>
          <w:p w:rsidR="00B0181A" w:rsidRPr="00072F6C" w:rsidRDefault="00B0181A" w:rsidP="00937266">
            <w:pPr>
              <w:spacing w:after="0" w:line="240" w:lineRule="auto"/>
              <w:ind w:left="142"/>
              <w:jc w:val="center"/>
              <w:rPr>
                <w:rFonts w:eastAsia="Calibri"/>
                <w:b/>
                <w:sz w:val="20"/>
                <w:szCs w:val="20"/>
                <w:lang w:val="en-GB" w:eastAsia="en-GB"/>
              </w:rPr>
            </w:pPr>
            <w:r w:rsidRPr="00072F6C">
              <w:rPr>
                <w:rFonts w:eastAsia="Calibri"/>
                <w:b/>
                <w:sz w:val="20"/>
                <w:szCs w:val="20"/>
                <w:lang w:val="en-GB" w:eastAsia="en-GB"/>
              </w:rPr>
              <w:t>Anti-TNFα naive</w:t>
            </w:r>
          </w:p>
        </w:tc>
        <w:tc>
          <w:tcPr>
            <w:tcW w:w="3810" w:type="dxa"/>
            <w:gridSpan w:val="5"/>
            <w:shd w:val="clear" w:color="auto" w:fill="auto"/>
          </w:tcPr>
          <w:p w:rsidR="00B0181A" w:rsidRPr="00072F6C" w:rsidRDefault="00B0181A" w:rsidP="00937266">
            <w:pPr>
              <w:spacing w:after="0" w:line="240" w:lineRule="auto"/>
              <w:ind w:left="142"/>
              <w:jc w:val="center"/>
              <w:rPr>
                <w:rFonts w:eastAsia="Calibri"/>
                <w:b/>
                <w:sz w:val="20"/>
                <w:szCs w:val="20"/>
                <w:lang w:val="en-GB" w:eastAsia="en-GB"/>
              </w:rPr>
            </w:pPr>
            <w:r w:rsidRPr="00072F6C">
              <w:rPr>
                <w:rFonts w:eastAsia="Calibri"/>
                <w:b/>
                <w:sz w:val="20"/>
                <w:szCs w:val="20"/>
                <w:lang w:val="en-GB" w:eastAsia="en-GB"/>
              </w:rPr>
              <w:t>SPIRIT-P2</w:t>
            </w:r>
          </w:p>
          <w:p w:rsidR="00B0181A" w:rsidRPr="00072F6C" w:rsidRDefault="00B0181A" w:rsidP="00937266">
            <w:pPr>
              <w:spacing w:after="0" w:line="240" w:lineRule="auto"/>
              <w:ind w:left="142"/>
              <w:jc w:val="center"/>
              <w:rPr>
                <w:rFonts w:eastAsia="Calibri"/>
                <w:b/>
                <w:sz w:val="20"/>
                <w:szCs w:val="20"/>
                <w:lang w:val="en-GB" w:eastAsia="en-GB"/>
              </w:rPr>
            </w:pPr>
            <w:r w:rsidRPr="00072F6C">
              <w:rPr>
                <w:rFonts w:eastAsia="Calibri"/>
                <w:b/>
                <w:sz w:val="20"/>
                <w:szCs w:val="20"/>
                <w:lang w:val="en-GB" w:eastAsia="en-GB"/>
              </w:rPr>
              <w:t>Anti-TNFα - experienced</w:t>
            </w:r>
          </w:p>
        </w:tc>
      </w:tr>
      <w:tr w:rsidR="00B0181A" w:rsidRPr="00B0181A" w:rsidTr="006D6C64">
        <w:trPr>
          <w:tblHeader/>
        </w:trPr>
        <w:tc>
          <w:tcPr>
            <w:tcW w:w="879" w:type="dxa"/>
            <w:tcBorders>
              <w:top w:val="nil"/>
              <w:bottom w:val="nil"/>
              <w:right w:val="single" w:sz="4" w:space="0" w:color="auto"/>
            </w:tcBorders>
            <w:shd w:val="clear" w:color="auto" w:fill="auto"/>
          </w:tcPr>
          <w:p w:rsidR="00B0181A" w:rsidRPr="00072F6C" w:rsidRDefault="00B0181A" w:rsidP="00937266">
            <w:pPr>
              <w:spacing w:before="120"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Endpoints</w:t>
            </w:r>
          </w:p>
        </w:tc>
        <w:tc>
          <w:tcPr>
            <w:tcW w:w="740" w:type="dxa"/>
            <w:tcBorders>
              <w:left w:val="single" w:sz="4" w:space="0" w:color="auto"/>
              <w:right w:val="nil"/>
            </w:tcBorders>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p>
        </w:tc>
        <w:tc>
          <w:tcPr>
            <w:tcW w:w="812" w:type="dxa"/>
            <w:tcBorders>
              <w:left w:val="nil"/>
              <w:right w:val="nil"/>
            </w:tcBorders>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p>
        </w:tc>
        <w:tc>
          <w:tcPr>
            <w:tcW w:w="784" w:type="dxa"/>
            <w:tcBorders>
              <w:left w:val="nil"/>
              <w:right w:val="nil"/>
            </w:tcBorders>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p>
        </w:tc>
        <w:tc>
          <w:tcPr>
            <w:tcW w:w="728" w:type="dxa"/>
            <w:tcBorders>
              <w:left w:val="nil"/>
            </w:tcBorders>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p>
        </w:tc>
        <w:tc>
          <w:tcPr>
            <w:tcW w:w="1439" w:type="dxa"/>
            <w:gridSpan w:val="2"/>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Difference from Placebo in Response Rate (95% CI)</w:t>
            </w:r>
          </w:p>
        </w:tc>
        <w:tc>
          <w:tcPr>
            <w:tcW w:w="744" w:type="dxa"/>
            <w:tcBorders>
              <w:right w:val="nil"/>
            </w:tcBorders>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p>
        </w:tc>
        <w:tc>
          <w:tcPr>
            <w:tcW w:w="770" w:type="dxa"/>
            <w:tcBorders>
              <w:left w:val="nil"/>
              <w:right w:val="nil"/>
            </w:tcBorders>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p>
        </w:tc>
        <w:tc>
          <w:tcPr>
            <w:tcW w:w="784" w:type="dxa"/>
            <w:tcBorders>
              <w:left w:val="nil"/>
            </w:tcBorders>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p>
        </w:tc>
        <w:tc>
          <w:tcPr>
            <w:tcW w:w="1512" w:type="dxa"/>
            <w:gridSpan w:val="2"/>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Difference from Placebo in Response Rate (95% CI)</w:t>
            </w:r>
          </w:p>
        </w:tc>
      </w:tr>
      <w:tr w:rsidR="00B0181A" w:rsidRPr="00B0181A" w:rsidTr="006D6C64">
        <w:trPr>
          <w:tblHeader/>
        </w:trPr>
        <w:tc>
          <w:tcPr>
            <w:tcW w:w="879" w:type="dxa"/>
            <w:tcBorders>
              <w:top w:val="nil"/>
            </w:tcBorders>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p>
        </w:tc>
        <w:tc>
          <w:tcPr>
            <w:tcW w:w="740" w:type="dxa"/>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PBO</w:t>
            </w:r>
            <w:r w:rsidRPr="00072F6C">
              <w:rPr>
                <w:rFonts w:eastAsia="Calibri" w:cs="Arial"/>
                <w:sz w:val="18"/>
                <w:szCs w:val="18"/>
                <w:lang w:val="en-GB" w:eastAsia="en-GB"/>
              </w:rPr>
              <w:br/>
              <w:t>(N=106)</w:t>
            </w:r>
          </w:p>
          <w:p w:rsidR="00B0181A" w:rsidRPr="00072F6C" w:rsidRDefault="00B0181A" w:rsidP="00937266">
            <w:pPr>
              <w:spacing w:after="0" w:line="240" w:lineRule="auto"/>
              <w:ind w:left="142"/>
              <w:jc w:val="center"/>
              <w:rPr>
                <w:rFonts w:eastAsia="Calibri" w:cs="Arial"/>
                <w:sz w:val="18"/>
                <w:szCs w:val="18"/>
                <w:lang w:val="en-GB" w:eastAsia="en-GB"/>
              </w:rPr>
            </w:pPr>
          </w:p>
        </w:tc>
        <w:tc>
          <w:tcPr>
            <w:tcW w:w="812" w:type="dxa"/>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TALTZ</w:t>
            </w:r>
          </w:p>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Q4W</w:t>
            </w:r>
          </w:p>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(N=107)</w:t>
            </w:r>
          </w:p>
        </w:tc>
        <w:tc>
          <w:tcPr>
            <w:tcW w:w="784" w:type="dxa"/>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TALTZ Q2W</w:t>
            </w:r>
          </w:p>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(N=103)</w:t>
            </w:r>
          </w:p>
        </w:tc>
        <w:tc>
          <w:tcPr>
            <w:tcW w:w="728" w:type="dxa"/>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ADA</w:t>
            </w:r>
          </w:p>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(N=101)</w:t>
            </w:r>
          </w:p>
        </w:tc>
        <w:tc>
          <w:tcPr>
            <w:tcW w:w="728" w:type="dxa"/>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TALTZ Q4W</w:t>
            </w:r>
          </w:p>
        </w:tc>
        <w:tc>
          <w:tcPr>
            <w:tcW w:w="711" w:type="dxa"/>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TALTZ Q2W</w:t>
            </w:r>
          </w:p>
        </w:tc>
        <w:tc>
          <w:tcPr>
            <w:tcW w:w="744" w:type="dxa"/>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PBO</w:t>
            </w:r>
          </w:p>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(N=118)</w:t>
            </w:r>
          </w:p>
        </w:tc>
        <w:tc>
          <w:tcPr>
            <w:tcW w:w="770" w:type="dxa"/>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TALTZ Q4W</w:t>
            </w:r>
          </w:p>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(N=122)</w:t>
            </w:r>
          </w:p>
        </w:tc>
        <w:tc>
          <w:tcPr>
            <w:tcW w:w="784" w:type="dxa"/>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TALTZ Q2W</w:t>
            </w:r>
          </w:p>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(N=123)</w:t>
            </w:r>
          </w:p>
        </w:tc>
        <w:tc>
          <w:tcPr>
            <w:tcW w:w="742" w:type="dxa"/>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TALTZ Q4W</w:t>
            </w:r>
          </w:p>
        </w:tc>
        <w:tc>
          <w:tcPr>
            <w:tcW w:w="770" w:type="dxa"/>
            <w:shd w:val="clear" w:color="auto" w:fill="auto"/>
          </w:tcPr>
          <w:p w:rsidR="00B0181A" w:rsidRPr="00072F6C" w:rsidRDefault="00B0181A" w:rsidP="00937266">
            <w:pPr>
              <w:spacing w:after="0" w:line="240" w:lineRule="auto"/>
              <w:ind w:left="142"/>
              <w:jc w:val="center"/>
              <w:rPr>
                <w:rFonts w:eastAsia="Calibri" w:cs="Arial"/>
                <w:sz w:val="18"/>
                <w:szCs w:val="18"/>
                <w:lang w:val="en-GB" w:eastAsia="en-GB"/>
              </w:rPr>
            </w:pPr>
            <w:r w:rsidRPr="00072F6C">
              <w:rPr>
                <w:rFonts w:eastAsia="Calibri" w:cs="Arial"/>
                <w:sz w:val="18"/>
                <w:szCs w:val="18"/>
                <w:lang w:val="en-GB" w:eastAsia="en-GB"/>
              </w:rPr>
              <w:t>TALTZ Q2W</w:t>
            </w:r>
          </w:p>
        </w:tc>
      </w:tr>
      <w:tr w:rsidR="00B0181A" w:rsidRPr="00B0181A" w:rsidTr="006D6C64">
        <w:tc>
          <w:tcPr>
            <w:tcW w:w="9192" w:type="dxa"/>
            <w:gridSpan w:val="12"/>
            <w:shd w:val="clear" w:color="auto" w:fill="auto"/>
          </w:tcPr>
          <w:p w:rsidR="00B0181A" w:rsidRPr="00072F6C" w:rsidRDefault="00B0181A" w:rsidP="00937266">
            <w:pPr>
              <w:spacing w:before="40" w:after="40" w:line="240" w:lineRule="auto"/>
              <w:ind w:left="142"/>
              <w:rPr>
                <w:rFonts w:eastAsia="Calibri" w:cs="Arial"/>
                <w:sz w:val="20"/>
                <w:szCs w:val="20"/>
                <w:lang w:val="en-GB" w:eastAsia="en-GB"/>
              </w:rPr>
            </w:pPr>
            <w:r w:rsidRPr="00072F6C">
              <w:rPr>
                <w:rFonts w:eastAsia="Calibri" w:cs="Arial"/>
                <w:b/>
                <w:bCs/>
                <w:spacing w:val="-2"/>
                <w:sz w:val="20"/>
                <w:szCs w:val="20"/>
                <w:lang w:val="en-GB" w:eastAsia="en-GB"/>
              </w:rPr>
              <w:t>ACR20</w:t>
            </w:r>
            <w:r w:rsidRPr="00072F6C">
              <w:rPr>
                <w:rFonts w:eastAsia="Calibri" w:cs="Arial"/>
                <w:bCs/>
                <w:sz w:val="20"/>
                <w:szCs w:val="20"/>
                <w:lang w:val="en-GB" w:eastAsia="en-GB"/>
              </w:rPr>
              <w:t xml:space="preserve"> </w:t>
            </w:r>
            <w:r w:rsidRPr="00072F6C">
              <w:rPr>
                <w:rFonts w:eastAsia="Calibri" w:cs="Arial"/>
                <w:b/>
                <w:bCs/>
                <w:spacing w:val="-1"/>
                <w:sz w:val="20"/>
                <w:szCs w:val="20"/>
                <w:lang w:val="en-GB" w:eastAsia="en-GB"/>
              </w:rPr>
              <w:t>response,</w:t>
            </w:r>
            <w:r w:rsidRPr="00072F6C">
              <w:rPr>
                <w:rFonts w:eastAsia="Calibri" w:cs="Arial"/>
                <w:b/>
                <w:bCs/>
                <w:sz w:val="20"/>
                <w:szCs w:val="20"/>
                <w:lang w:val="en-GB" w:eastAsia="en-GB"/>
              </w:rPr>
              <w:t xml:space="preserve"> n (</w:t>
            </w:r>
            <w:r w:rsidRPr="00072F6C">
              <w:rPr>
                <w:rFonts w:eastAsia="Calibri" w:cs="Arial"/>
                <w:b/>
                <w:bCs/>
                <w:spacing w:val="-1"/>
                <w:sz w:val="20"/>
                <w:szCs w:val="20"/>
                <w:lang w:val="en-GB" w:eastAsia="en-GB"/>
              </w:rPr>
              <w:t>%)</w:t>
            </w:r>
            <w:r w:rsidRPr="00072F6C">
              <w:rPr>
                <w:rFonts w:eastAsia="Calibri" w:cs="Arial"/>
                <w:b/>
                <w:bCs/>
                <w:spacing w:val="-1"/>
                <w:sz w:val="20"/>
                <w:szCs w:val="20"/>
                <w:vertAlign w:val="superscript"/>
                <w:lang w:val="en-GB" w:eastAsia="en-GB"/>
              </w:rPr>
              <w:t>d</w:t>
            </w:r>
          </w:p>
        </w:tc>
      </w:tr>
      <w:tr w:rsidR="00B0181A" w:rsidRPr="00B0181A" w:rsidTr="006D6C64">
        <w:tc>
          <w:tcPr>
            <w:tcW w:w="879" w:type="dxa"/>
            <w:shd w:val="clear" w:color="auto" w:fill="auto"/>
          </w:tcPr>
          <w:p w:rsidR="00B0181A" w:rsidRPr="00072F6C" w:rsidRDefault="00B0181A" w:rsidP="00937266">
            <w:pPr>
              <w:spacing w:after="0" w:line="240" w:lineRule="auto"/>
              <w:ind w:left="142"/>
              <w:rPr>
                <w:rFonts w:eastAsia="Calibri" w:cs="Arial"/>
                <w:bCs/>
                <w:spacing w:val="-2"/>
                <w:sz w:val="20"/>
                <w:szCs w:val="20"/>
                <w:lang w:val="en-GB" w:eastAsia="en-GB"/>
              </w:rPr>
            </w:pPr>
            <w:r w:rsidRPr="00072F6C">
              <w:rPr>
                <w:rFonts w:eastAsia="Calibri" w:cs="Arial"/>
                <w:bCs/>
                <w:spacing w:val="-2"/>
                <w:sz w:val="20"/>
                <w:szCs w:val="20"/>
                <w:lang w:val="en-GB" w:eastAsia="en-GB"/>
              </w:rPr>
              <w:t>Week</w:t>
            </w:r>
            <w:r w:rsidRPr="00072F6C">
              <w:rPr>
                <w:rFonts w:eastAsia="Calibri" w:cs="Arial"/>
                <w:bCs/>
                <w:spacing w:val="-1"/>
                <w:sz w:val="20"/>
                <w:szCs w:val="20"/>
                <w:lang w:val="en-GB" w:eastAsia="en-GB"/>
              </w:rPr>
              <w:t xml:space="preserve"> 24</w:t>
            </w:r>
          </w:p>
        </w:tc>
        <w:tc>
          <w:tcPr>
            <w:tcW w:w="74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32</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(30.2)</w:t>
            </w:r>
          </w:p>
        </w:tc>
        <w:tc>
          <w:tcPr>
            <w:tcW w:w="812"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62</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(57.9)</w:t>
            </w:r>
          </w:p>
        </w:tc>
        <w:tc>
          <w:tcPr>
            <w:tcW w:w="78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64</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(62.1)</w:t>
            </w:r>
          </w:p>
        </w:tc>
        <w:tc>
          <w:tcPr>
            <w:tcW w:w="728"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58</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(57.4)</w:t>
            </w:r>
          </w:p>
        </w:tc>
        <w:tc>
          <w:tcPr>
            <w:tcW w:w="728"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27.8 (15.0, 40.6)</w:t>
            </w:r>
            <w:r w:rsidRPr="00072F6C">
              <w:rPr>
                <w:rFonts w:eastAsia="Calibri" w:cs="Arial"/>
                <w:sz w:val="20"/>
                <w:szCs w:val="20"/>
                <w:vertAlign w:val="superscript"/>
                <w:lang w:val="en-GB" w:eastAsia="en-GB"/>
              </w:rPr>
              <w:t>c</w:t>
            </w:r>
          </w:p>
        </w:tc>
        <w:tc>
          <w:tcPr>
            <w:tcW w:w="711"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31.9 (19.1, 44.8)</w:t>
            </w:r>
            <w:r w:rsidRPr="00072F6C">
              <w:rPr>
                <w:rFonts w:eastAsia="Calibri" w:cs="Arial"/>
                <w:sz w:val="20"/>
                <w:szCs w:val="20"/>
                <w:vertAlign w:val="superscript"/>
                <w:lang w:val="en-GB" w:eastAsia="en-GB"/>
              </w:rPr>
              <w:t>c</w:t>
            </w:r>
          </w:p>
        </w:tc>
        <w:tc>
          <w:tcPr>
            <w:tcW w:w="74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23</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(19.5)</w:t>
            </w:r>
          </w:p>
        </w:tc>
        <w:tc>
          <w:tcPr>
            <w:tcW w:w="77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65</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(53.3)</w:t>
            </w:r>
          </w:p>
        </w:tc>
        <w:tc>
          <w:tcPr>
            <w:tcW w:w="78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59</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(48.0)</w:t>
            </w:r>
          </w:p>
        </w:tc>
        <w:tc>
          <w:tcPr>
            <w:tcW w:w="742"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33.8 (22.4, 45.2)</w:t>
            </w:r>
            <w:r w:rsidRPr="00072F6C">
              <w:rPr>
                <w:rFonts w:eastAsia="Calibri" w:cs="Arial"/>
                <w:sz w:val="20"/>
                <w:szCs w:val="20"/>
                <w:vertAlign w:val="superscript"/>
                <w:lang w:val="en-GB" w:eastAsia="en-GB"/>
              </w:rPr>
              <w:t>c</w:t>
            </w:r>
          </w:p>
        </w:tc>
        <w:tc>
          <w:tcPr>
            <w:tcW w:w="77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28.5 (17.1, 39.8)</w:t>
            </w:r>
            <w:r w:rsidRPr="00072F6C">
              <w:rPr>
                <w:rFonts w:eastAsia="Calibri" w:cs="Arial"/>
                <w:sz w:val="20"/>
                <w:szCs w:val="20"/>
                <w:vertAlign w:val="superscript"/>
                <w:lang w:val="en-GB" w:eastAsia="en-GB"/>
              </w:rPr>
              <w:t>c</w:t>
            </w:r>
          </w:p>
        </w:tc>
      </w:tr>
      <w:tr w:rsidR="00B0181A" w:rsidRPr="00B0181A" w:rsidTr="006D6C64">
        <w:tc>
          <w:tcPr>
            <w:tcW w:w="9192" w:type="dxa"/>
            <w:gridSpan w:val="12"/>
            <w:shd w:val="clear" w:color="auto" w:fill="auto"/>
          </w:tcPr>
          <w:p w:rsidR="00B0181A" w:rsidRPr="00072F6C" w:rsidRDefault="00B0181A" w:rsidP="00937266">
            <w:pPr>
              <w:spacing w:before="40" w:after="40" w:line="240" w:lineRule="auto"/>
              <w:ind w:left="142"/>
              <w:rPr>
                <w:rFonts w:eastAsia="Calibri" w:cs="Arial"/>
                <w:sz w:val="20"/>
                <w:szCs w:val="20"/>
                <w:lang w:val="en-GB" w:eastAsia="en-GB"/>
              </w:rPr>
            </w:pPr>
            <w:r w:rsidRPr="00072F6C">
              <w:rPr>
                <w:rFonts w:eastAsia="Calibri" w:cs="Arial"/>
                <w:b/>
                <w:bCs/>
                <w:spacing w:val="-2"/>
                <w:sz w:val="20"/>
                <w:szCs w:val="20"/>
                <w:lang w:val="en-GB" w:eastAsia="en-GB"/>
              </w:rPr>
              <w:t>ACR50</w:t>
            </w:r>
            <w:r w:rsidRPr="00072F6C">
              <w:rPr>
                <w:rFonts w:eastAsia="Calibri" w:cs="Arial"/>
                <w:bCs/>
                <w:sz w:val="20"/>
                <w:szCs w:val="20"/>
                <w:lang w:val="en-GB" w:eastAsia="en-GB"/>
              </w:rPr>
              <w:t xml:space="preserve"> </w:t>
            </w:r>
            <w:r w:rsidRPr="00072F6C">
              <w:rPr>
                <w:rFonts w:eastAsia="Calibri" w:cs="Arial"/>
                <w:b/>
                <w:bCs/>
                <w:spacing w:val="-1"/>
                <w:sz w:val="20"/>
                <w:szCs w:val="20"/>
                <w:lang w:val="en-GB" w:eastAsia="en-GB"/>
              </w:rPr>
              <w:t>response,</w:t>
            </w:r>
            <w:r w:rsidRPr="00072F6C">
              <w:rPr>
                <w:rFonts w:eastAsia="Calibri" w:cs="Arial"/>
                <w:b/>
                <w:bCs/>
                <w:sz w:val="20"/>
                <w:szCs w:val="20"/>
                <w:lang w:val="en-GB" w:eastAsia="en-GB"/>
              </w:rPr>
              <w:t xml:space="preserve"> n (</w:t>
            </w:r>
            <w:r w:rsidRPr="00072F6C">
              <w:rPr>
                <w:rFonts w:eastAsia="Calibri" w:cs="Arial"/>
                <w:b/>
                <w:bCs/>
                <w:spacing w:val="-1"/>
                <w:sz w:val="20"/>
                <w:szCs w:val="20"/>
                <w:lang w:val="en-GB" w:eastAsia="en-GB"/>
              </w:rPr>
              <w:t>%)</w:t>
            </w:r>
            <w:r w:rsidRPr="00072F6C">
              <w:rPr>
                <w:rFonts w:eastAsia="Calibri" w:cs="Arial"/>
                <w:bCs/>
                <w:spacing w:val="-1"/>
                <w:sz w:val="20"/>
                <w:szCs w:val="20"/>
                <w:lang w:val="en-GB" w:eastAsia="en-GB"/>
              </w:rPr>
              <w:t xml:space="preserve"> </w:t>
            </w:r>
          </w:p>
        </w:tc>
      </w:tr>
      <w:tr w:rsidR="00B0181A" w:rsidRPr="00B0181A" w:rsidTr="006D6C64">
        <w:tc>
          <w:tcPr>
            <w:tcW w:w="879" w:type="dxa"/>
            <w:shd w:val="clear" w:color="auto" w:fill="auto"/>
          </w:tcPr>
          <w:p w:rsidR="00B0181A" w:rsidRPr="00072F6C" w:rsidRDefault="00B0181A" w:rsidP="00937266">
            <w:pPr>
              <w:spacing w:after="0" w:line="240" w:lineRule="auto"/>
              <w:ind w:left="142"/>
              <w:rPr>
                <w:rFonts w:eastAsia="Calibri" w:cs="Arial"/>
                <w:sz w:val="20"/>
                <w:szCs w:val="20"/>
                <w:lang w:val="en-GB" w:eastAsia="en-GB"/>
              </w:rPr>
            </w:pPr>
            <w:r w:rsidRPr="00072F6C">
              <w:rPr>
                <w:rFonts w:eastAsia="Calibri" w:cs="Arial"/>
                <w:bCs/>
                <w:spacing w:val="-2"/>
                <w:sz w:val="20"/>
                <w:szCs w:val="20"/>
                <w:lang w:val="en-GB" w:eastAsia="en-GB"/>
              </w:rPr>
              <w:t>Week</w:t>
            </w:r>
            <w:r w:rsidRPr="00072F6C">
              <w:rPr>
                <w:rFonts w:eastAsia="Calibri" w:cs="Arial"/>
                <w:bCs/>
                <w:spacing w:val="-1"/>
                <w:sz w:val="20"/>
                <w:szCs w:val="20"/>
                <w:lang w:val="en-GB" w:eastAsia="en-GB"/>
              </w:rPr>
              <w:t xml:space="preserve"> 24</w:t>
            </w:r>
          </w:p>
        </w:tc>
        <w:tc>
          <w:tcPr>
            <w:tcW w:w="74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16</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(15.1)</w:t>
            </w:r>
          </w:p>
        </w:tc>
        <w:tc>
          <w:tcPr>
            <w:tcW w:w="812"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43</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(40.2)</w:t>
            </w:r>
          </w:p>
        </w:tc>
        <w:tc>
          <w:tcPr>
            <w:tcW w:w="78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48</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(46.6)</w:t>
            </w:r>
          </w:p>
        </w:tc>
        <w:tc>
          <w:tcPr>
            <w:tcW w:w="728"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39</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(38.6)</w:t>
            </w:r>
          </w:p>
        </w:tc>
        <w:tc>
          <w:tcPr>
            <w:tcW w:w="728"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25.1 (13.6, 36.6)</w:t>
            </w:r>
            <w:r w:rsidRPr="00072F6C">
              <w:rPr>
                <w:rFonts w:eastAsia="Calibri" w:cs="Arial"/>
                <w:sz w:val="20"/>
                <w:szCs w:val="20"/>
                <w:vertAlign w:val="superscript"/>
                <w:lang w:val="en-GB" w:eastAsia="en-GB"/>
              </w:rPr>
              <w:t>c</w:t>
            </w:r>
          </w:p>
        </w:tc>
        <w:tc>
          <w:tcPr>
            <w:tcW w:w="711"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31.5 (19.7, 43.3)</w:t>
            </w:r>
            <w:r w:rsidRPr="00072F6C">
              <w:rPr>
                <w:rFonts w:eastAsia="Calibri" w:cs="Arial"/>
                <w:sz w:val="20"/>
                <w:szCs w:val="20"/>
                <w:vertAlign w:val="superscript"/>
                <w:lang w:val="en-GB" w:eastAsia="en-GB"/>
              </w:rPr>
              <w:t>c</w:t>
            </w:r>
          </w:p>
        </w:tc>
        <w:tc>
          <w:tcPr>
            <w:tcW w:w="74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6</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(5.1)</w:t>
            </w:r>
          </w:p>
        </w:tc>
        <w:tc>
          <w:tcPr>
            <w:tcW w:w="77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43</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(35.2)</w:t>
            </w:r>
          </w:p>
        </w:tc>
        <w:tc>
          <w:tcPr>
            <w:tcW w:w="78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41</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(33.3)</w:t>
            </w:r>
          </w:p>
        </w:tc>
        <w:tc>
          <w:tcPr>
            <w:tcW w:w="742"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30.2 (20.8, 39.5)</w:t>
            </w:r>
            <w:r w:rsidRPr="00072F6C">
              <w:rPr>
                <w:rFonts w:eastAsia="Calibri" w:cs="Arial"/>
                <w:sz w:val="20"/>
                <w:szCs w:val="20"/>
                <w:vertAlign w:val="superscript"/>
                <w:lang w:val="en-GB" w:eastAsia="en-GB"/>
              </w:rPr>
              <w:t>c</w:t>
            </w:r>
          </w:p>
        </w:tc>
        <w:tc>
          <w:tcPr>
            <w:tcW w:w="77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28.3 (19.0, 37.5)</w:t>
            </w:r>
            <w:r w:rsidRPr="00072F6C">
              <w:rPr>
                <w:rFonts w:eastAsia="Calibri" w:cs="Arial"/>
                <w:sz w:val="20"/>
                <w:szCs w:val="20"/>
                <w:vertAlign w:val="superscript"/>
                <w:lang w:val="en-GB" w:eastAsia="en-GB"/>
              </w:rPr>
              <w:t>c</w:t>
            </w:r>
          </w:p>
        </w:tc>
      </w:tr>
      <w:tr w:rsidR="00B0181A" w:rsidRPr="00B0181A" w:rsidTr="006D6C64">
        <w:tc>
          <w:tcPr>
            <w:tcW w:w="9192" w:type="dxa"/>
            <w:gridSpan w:val="12"/>
            <w:shd w:val="clear" w:color="auto" w:fill="auto"/>
          </w:tcPr>
          <w:p w:rsidR="00B0181A" w:rsidRPr="00072F6C" w:rsidRDefault="00B0181A" w:rsidP="00937266">
            <w:pPr>
              <w:spacing w:before="40" w:after="40" w:line="240" w:lineRule="auto"/>
              <w:ind w:left="142"/>
              <w:rPr>
                <w:rFonts w:eastAsia="Calibri" w:cs="Arial"/>
                <w:sz w:val="20"/>
                <w:szCs w:val="20"/>
                <w:lang w:val="en-GB" w:eastAsia="en-GB"/>
              </w:rPr>
            </w:pPr>
            <w:r w:rsidRPr="00072F6C">
              <w:rPr>
                <w:rFonts w:eastAsia="Calibri" w:cs="Arial"/>
                <w:b/>
                <w:bCs/>
                <w:spacing w:val="-2"/>
                <w:sz w:val="20"/>
                <w:szCs w:val="20"/>
                <w:lang w:val="en-GB" w:eastAsia="en-GB"/>
              </w:rPr>
              <w:t>ACR70</w:t>
            </w:r>
            <w:r w:rsidRPr="00072F6C">
              <w:rPr>
                <w:rFonts w:eastAsia="Calibri" w:cs="Arial"/>
                <w:bCs/>
                <w:sz w:val="20"/>
                <w:szCs w:val="20"/>
                <w:lang w:val="en-GB" w:eastAsia="en-GB"/>
              </w:rPr>
              <w:t xml:space="preserve"> </w:t>
            </w:r>
            <w:r w:rsidRPr="00072F6C">
              <w:rPr>
                <w:rFonts w:eastAsia="Calibri" w:cs="Arial"/>
                <w:b/>
                <w:bCs/>
                <w:spacing w:val="-1"/>
                <w:sz w:val="20"/>
                <w:szCs w:val="20"/>
                <w:lang w:val="en-GB" w:eastAsia="en-GB"/>
              </w:rPr>
              <w:t>response,</w:t>
            </w:r>
            <w:r w:rsidRPr="00072F6C">
              <w:rPr>
                <w:rFonts w:eastAsia="Calibri" w:cs="Arial"/>
                <w:b/>
                <w:bCs/>
                <w:sz w:val="20"/>
                <w:szCs w:val="20"/>
                <w:lang w:val="en-GB" w:eastAsia="en-GB"/>
              </w:rPr>
              <w:t xml:space="preserve"> n (</w:t>
            </w:r>
            <w:r w:rsidRPr="00072F6C">
              <w:rPr>
                <w:rFonts w:eastAsia="Calibri" w:cs="Arial"/>
                <w:b/>
                <w:bCs/>
                <w:spacing w:val="-1"/>
                <w:sz w:val="20"/>
                <w:szCs w:val="20"/>
                <w:lang w:val="en-GB" w:eastAsia="en-GB"/>
              </w:rPr>
              <w:t>%)</w:t>
            </w:r>
            <w:r w:rsidRPr="00072F6C">
              <w:rPr>
                <w:rFonts w:eastAsia="Calibri" w:cs="Arial"/>
                <w:bCs/>
                <w:spacing w:val="-1"/>
                <w:sz w:val="20"/>
                <w:szCs w:val="20"/>
                <w:lang w:val="en-GB" w:eastAsia="en-GB"/>
              </w:rPr>
              <w:t xml:space="preserve"> </w:t>
            </w:r>
          </w:p>
        </w:tc>
      </w:tr>
      <w:tr w:rsidR="00B0181A" w:rsidRPr="00B0181A" w:rsidTr="006D6C64">
        <w:tc>
          <w:tcPr>
            <w:tcW w:w="879" w:type="dxa"/>
            <w:shd w:val="clear" w:color="auto" w:fill="auto"/>
          </w:tcPr>
          <w:p w:rsidR="00B0181A" w:rsidRPr="00072F6C" w:rsidRDefault="00B0181A" w:rsidP="00937266">
            <w:pPr>
              <w:spacing w:after="0" w:line="240" w:lineRule="auto"/>
              <w:ind w:left="142"/>
              <w:rPr>
                <w:rFonts w:eastAsia="Calibri" w:cs="Arial"/>
                <w:color w:val="333333"/>
                <w:sz w:val="20"/>
                <w:szCs w:val="20"/>
                <w:lang w:val="en" w:eastAsia="en-GB"/>
              </w:rPr>
            </w:pPr>
            <w:r w:rsidRPr="00072F6C">
              <w:rPr>
                <w:rFonts w:eastAsia="Calibri" w:cs="Arial"/>
                <w:bCs/>
                <w:spacing w:val="-2"/>
                <w:sz w:val="20"/>
                <w:szCs w:val="20"/>
                <w:lang w:val="en-GB" w:eastAsia="en-GB"/>
              </w:rPr>
              <w:t>Week</w:t>
            </w:r>
            <w:r w:rsidRPr="00072F6C">
              <w:rPr>
                <w:rFonts w:eastAsia="Calibri" w:cs="Arial"/>
                <w:bCs/>
                <w:spacing w:val="-1"/>
                <w:sz w:val="20"/>
                <w:szCs w:val="20"/>
                <w:lang w:val="en-GB" w:eastAsia="en-GB"/>
              </w:rPr>
              <w:t xml:space="preserve"> 24</w:t>
            </w:r>
          </w:p>
        </w:tc>
        <w:tc>
          <w:tcPr>
            <w:tcW w:w="74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6</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(5.7)</w:t>
            </w:r>
          </w:p>
        </w:tc>
        <w:tc>
          <w:tcPr>
            <w:tcW w:w="812"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25</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(23.4)</w:t>
            </w:r>
          </w:p>
        </w:tc>
        <w:tc>
          <w:tcPr>
            <w:tcW w:w="78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35</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(34.0)</w:t>
            </w:r>
          </w:p>
        </w:tc>
        <w:tc>
          <w:tcPr>
            <w:tcW w:w="728"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26</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(25.7)</w:t>
            </w:r>
          </w:p>
        </w:tc>
        <w:tc>
          <w:tcPr>
            <w:tcW w:w="728"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17.7 (8.6, 26.8)</w:t>
            </w:r>
            <w:r w:rsidRPr="00072F6C">
              <w:rPr>
                <w:rFonts w:eastAsia="Calibri" w:cs="Arial"/>
                <w:sz w:val="20"/>
                <w:szCs w:val="20"/>
                <w:vertAlign w:val="superscript"/>
                <w:lang w:val="en-GB" w:eastAsia="en-GB"/>
              </w:rPr>
              <w:t>c</w:t>
            </w:r>
          </w:p>
        </w:tc>
        <w:tc>
          <w:tcPr>
            <w:tcW w:w="711"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28.3 (18.2, 38.5)</w:t>
            </w:r>
            <w:r w:rsidRPr="00072F6C">
              <w:rPr>
                <w:rFonts w:eastAsia="Calibri" w:cs="Arial"/>
                <w:sz w:val="20"/>
                <w:szCs w:val="20"/>
                <w:vertAlign w:val="superscript"/>
                <w:lang w:val="en-GB" w:eastAsia="en-GB"/>
              </w:rPr>
              <w:t>c</w:t>
            </w:r>
          </w:p>
        </w:tc>
        <w:tc>
          <w:tcPr>
            <w:tcW w:w="74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0</w:t>
            </w:r>
          </w:p>
        </w:tc>
        <w:tc>
          <w:tcPr>
            <w:tcW w:w="77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27</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(22.1)</w:t>
            </w:r>
          </w:p>
        </w:tc>
        <w:tc>
          <w:tcPr>
            <w:tcW w:w="78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15</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(12.2)</w:t>
            </w:r>
          </w:p>
        </w:tc>
        <w:tc>
          <w:tcPr>
            <w:tcW w:w="742"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22.1 (14.8, 29.5)</w:t>
            </w:r>
            <w:r w:rsidRPr="00072F6C">
              <w:rPr>
                <w:rFonts w:eastAsia="Calibri" w:cs="Arial"/>
                <w:sz w:val="20"/>
                <w:szCs w:val="20"/>
                <w:vertAlign w:val="superscript"/>
                <w:lang w:val="en-GB" w:eastAsia="en-GB"/>
              </w:rPr>
              <w:t>c</w:t>
            </w:r>
          </w:p>
        </w:tc>
        <w:tc>
          <w:tcPr>
            <w:tcW w:w="77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12.2 (6.4, 18.0)</w:t>
            </w:r>
            <w:r w:rsidRPr="00072F6C">
              <w:rPr>
                <w:rFonts w:eastAsia="Calibri" w:cs="Arial"/>
                <w:sz w:val="20"/>
                <w:szCs w:val="20"/>
                <w:vertAlign w:val="superscript"/>
                <w:lang w:val="en-GB" w:eastAsia="en-GB"/>
              </w:rPr>
              <w:t>c</w:t>
            </w:r>
          </w:p>
        </w:tc>
      </w:tr>
      <w:tr w:rsidR="00B0181A" w:rsidRPr="00B0181A" w:rsidTr="006D6C64">
        <w:tc>
          <w:tcPr>
            <w:tcW w:w="9192" w:type="dxa"/>
            <w:gridSpan w:val="12"/>
            <w:shd w:val="clear" w:color="auto" w:fill="auto"/>
          </w:tcPr>
          <w:p w:rsidR="00B0181A" w:rsidRPr="00072F6C" w:rsidRDefault="00B0181A" w:rsidP="00937266">
            <w:pPr>
              <w:spacing w:before="40" w:after="40" w:line="240" w:lineRule="auto"/>
              <w:ind w:left="142"/>
              <w:rPr>
                <w:rFonts w:eastAsia="Calibri" w:cs="Arial"/>
                <w:sz w:val="20"/>
                <w:szCs w:val="20"/>
                <w:lang w:val="en-GB" w:eastAsia="en-GB"/>
              </w:rPr>
            </w:pPr>
            <w:r w:rsidRPr="00072F6C">
              <w:rPr>
                <w:rFonts w:eastAsia="Calibri" w:cs="Arial"/>
                <w:b/>
                <w:bCs/>
                <w:sz w:val="20"/>
                <w:szCs w:val="20"/>
                <w:lang w:val="en-GB" w:eastAsia="en-GB"/>
              </w:rPr>
              <w:t>Minimal Disease Activity, n (</w:t>
            </w:r>
            <w:r w:rsidRPr="00072F6C">
              <w:rPr>
                <w:rFonts w:eastAsia="Calibri" w:cs="Arial"/>
                <w:b/>
                <w:bCs/>
                <w:spacing w:val="-1"/>
                <w:sz w:val="20"/>
                <w:szCs w:val="20"/>
                <w:lang w:val="en-GB" w:eastAsia="en-GB"/>
              </w:rPr>
              <w:t>%)</w:t>
            </w:r>
            <w:r w:rsidRPr="00072F6C">
              <w:rPr>
                <w:rFonts w:eastAsia="Calibri" w:cs="Arial"/>
                <w:b/>
                <w:bCs/>
                <w:spacing w:val="-1"/>
                <w:sz w:val="20"/>
                <w:szCs w:val="20"/>
                <w:vertAlign w:val="superscript"/>
                <w:lang w:val="en-GB" w:eastAsia="en-GB"/>
              </w:rPr>
              <w:t>e</w:t>
            </w:r>
            <w:r w:rsidRPr="00072F6C" w:rsidDel="00475E10">
              <w:rPr>
                <w:rFonts w:eastAsia="Calibri" w:cs="Arial"/>
                <w:bCs/>
                <w:spacing w:val="-1"/>
                <w:sz w:val="20"/>
                <w:szCs w:val="20"/>
                <w:lang w:val="en-GB" w:eastAsia="en-GB"/>
              </w:rPr>
              <w:t xml:space="preserve"> </w:t>
            </w:r>
          </w:p>
        </w:tc>
      </w:tr>
      <w:tr w:rsidR="00B0181A" w:rsidRPr="00B0181A" w:rsidTr="006D6C64">
        <w:tc>
          <w:tcPr>
            <w:tcW w:w="879" w:type="dxa"/>
            <w:shd w:val="clear" w:color="auto" w:fill="auto"/>
          </w:tcPr>
          <w:p w:rsidR="00B0181A" w:rsidRPr="00072F6C" w:rsidRDefault="00B0181A" w:rsidP="00937266">
            <w:pPr>
              <w:spacing w:after="0" w:line="240" w:lineRule="auto"/>
              <w:ind w:left="142"/>
              <w:rPr>
                <w:rFonts w:eastAsia="Calibri" w:cs="Arial"/>
                <w:color w:val="333333"/>
                <w:sz w:val="20"/>
                <w:szCs w:val="20"/>
                <w:lang w:val="en" w:eastAsia="en-GB"/>
              </w:rPr>
            </w:pPr>
            <w:r w:rsidRPr="00072F6C">
              <w:rPr>
                <w:rFonts w:eastAsia="Calibri" w:cs="Arial"/>
                <w:bCs/>
                <w:spacing w:val="-2"/>
                <w:sz w:val="20"/>
                <w:szCs w:val="20"/>
                <w:lang w:val="en-GB" w:eastAsia="en-GB"/>
              </w:rPr>
              <w:t>Week</w:t>
            </w:r>
            <w:r w:rsidRPr="00072F6C">
              <w:rPr>
                <w:rFonts w:eastAsia="Calibri" w:cs="Arial"/>
                <w:bCs/>
                <w:spacing w:val="-1"/>
                <w:sz w:val="20"/>
                <w:szCs w:val="20"/>
                <w:lang w:val="en-GB" w:eastAsia="en-GB"/>
              </w:rPr>
              <w:t xml:space="preserve"> 24</w:t>
            </w:r>
          </w:p>
        </w:tc>
        <w:tc>
          <w:tcPr>
            <w:tcW w:w="74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16</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(15.1)</w:t>
            </w:r>
          </w:p>
        </w:tc>
        <w:tc>
          <w:tcPr>
            <w:tcW w:w="812"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32</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(29.9)</w:t>
            </w:r>
          </w:p>
        </w:tc>
        <w:tc>
          <w:tcPr>
            <w:tcW w:w="78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42</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(40.8)</w:t>
            </w:r>
          </w:p>
        </w:tc>
        <w:tc>
          <w:tcPr>
            <w:tcW w:w="728"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32</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(31.7)</w:t>
            </w:r>
          </w:p>
        </w:tc>
        <w:tc>
          <w:tcPr>
            <w:tcW w:w="728"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14.8 (3.8, 25.8)</w:t>
            </w:r>
            <w:r w:rsidRPr="00072F6C">
              <w:rPr>
                <w:rFonts w:eastAsia="Calibri" w:cs="Arial"/>
                <w:sz w:val="20"/>
                <w:szCs w:val="20"/>
                <w:vertAlign w:val="superscript"/>
                <w:lang w:val="en-GB" w:eastAsia="en-GB"/>
              </w:rPr>
              <w:t>a</w:t>
            </w:r>
          </w:p>
        </w:tc>
        <w:tc>
          <w:tcPr>
            <w:tcW w:w="711"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25.7 (14.0, 37.4)</w:t>
            </w:r>
            <w:r w:rsidRPr="00072F6C">
              <w:rPr>
                <w:rFonts w:eastAsia="Calibri" w:cs="Arial"/>
                <w:sz w:val="20"/>
                <w:szCs w:val="20"/>
                <w:vertAlign w:val="superscript"/>
                <w:lang w:val="en-GB" w:eastAsia="en-GB"/>
              </w:rPr>
              <w:t>c</w:t>
            </w:r>
          </w:p>
        </w:tc>
        <w:tc>
          <w:tcPr>
            <w:tcW w:w="74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4</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(3.4)</w:t>
            </w:r>
          </w:p>
        </w:tc>
        <w:tc>
          <w:tcPr>
            <w:tcW w:w="77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34</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(27.9)</w:t>
            </w:r>
          </w:p>
        </w:tc>
        <w:tc>
          <w:tcPr>
            <w:tcW w:w="78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29</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(23.6)</w:t>
            </w:r>
          </w:p>
        </w:tc>
        <w:tc>
          <w:tcPr>
            <w:tcW w:w="742"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24.5 (15.9, 33.1)</w:t>
            </w:r>
            <w:r w:rsidRPr="00072F6C">
              <w:rPr>
                <w:rFonts w:eastAsia="Calibri" w:cs="Arial"/>
                <w:sz w:val="20"/>
                <w:szCs w:val="20"/>
                <w:vertAlign w:val="superscript"/>
                <w:lang w:val="en-GB" w:eastAsia="en-GB"/>
              </w:rPr>
              <w:t>c</w:t>
            </w:r>
          </w:p>
        </w:tc>
        <w:tc>
          <w:tcPr>
            <w:tcW w:w="77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20.2 (12.0, 28.4)</w:t>
            </w:r>
            <w:r w:rsidRPr="00072F6C">
              <w:rPr>
                <w:rFonts w:eastAsia="Calibri" w:cs="Arial"/>
                <w:sz w:val="20"/>
                <w:szCs w:val="20"/>
                <w:vertAlign w:val="superscript"/>
                <w:lang w:val="en-GB" w:eastAsia="en-GB"/>
              </w:rPr>
              <w:t>c</w:t>
            </w:r>
          </w:p>
        </w:tc>
      </w:tr>
      <w:tr w:rsidR="00B0181A" w:rsidRPr="00B0181A" w:rsidTr="006D6C64">
        <w:tc>
          <w:tcPr>
            <w:tcW w:w="9192" w:type="dxa"/>
            <w:gridSpan w:val="12"/>
            <w:shd w:val="clear" w:color="auto" w:fill="auto"/>
          </w:tcPr>
          <w:p w:rsidR="00B0181A" w:rsidRPr="00072F6C" w:rsidRDefault="00B0181A" w:rsidP="00937266">
            <w:pPr>
              <w:spacing w:before="40" w:after="40" w:line="240" w:lineRule="auto"/>
              <w:ind w:left="142"/>
              <w:rPr>
                <w:rFonts w:eastAsia="Calibri" w:cs="Arial"/>
                <w:b/>
                <w:sz w:val="20"/>
                <w:szCs w:val="20"/>
                <w:lang w:val="en-GB" w:eastAsia="en-GB"/>
              </w:rPr>
            </w:pPr>
            <w:r w:rsidRPr="00072F6C">
              <w:rPr>
                <w:rFonts w:eastAsia="Calibri" w:cs="Arial"/>
                <w:b/>
                <w:bCs/>
                <w:spacing w:val="-1"/>
                <w:sz w:val="20"/>
                <w:szCs w:val="20"/>
                <w:lang w:val="en-GB" w:eastAsia="en-GB"/>
              </w:rPr>
              <w:t>PASI</w:t>
            </w:r>
            <w:r w:rsidRPr="00072F6C">
              <w:rPr>
                <w:rFonts w:eastAsia="Calibri" w:cs="Arial"/>
                <w:b/>
                <w:bCs/>
                <w:sz w:val="20"/>
                <w:szCs w:val="20"/>
                <w:lang w:val="en-GB" w:eastAsia="en-GB"/>
              </w:rPr>
              <w:t xml:space="preserve"> </w:t>
            </w:r>
            <w:r w:rsidRPr="00072F6C">
              <w:rPr>
                <w:rFonts w:eastAsia="Calibri" w:cs="Arial"/>
                <w:b/>
                <w:bCs/>
                <w:spacing w:val="-2"/>
                <w:sz w:val="20"/>
                <w:szCs w:val="20"/>
                <w:lang w:val="en-GB" w:eastAsia="en-GB"/>
              </w:rPr>
              <w:t>75</w:t>
            </w:r>
            <w:r w:rsidRPr="00072F6C">
              <w:rPr>
                <w:rFonts w:eastAsia="Calibri" w:cs="Arial"/>
                <w:b/>
                <w:bCs/>
                <w:sz w:val="20"/>
                <w:szCs w:val="20"/>
                <w:lang w:val="en-GB" w:eastAsia="en-GB"/>
              </w:rPr>
              <w:t xml:space="preserve"> </w:t>
            </w:r>
            <w:r w:rsidRPr="00072F6C">
              <w:rPr>
                <w:rFonts w:eastAsia="Calibri" w:cs="Arial"/>
                <w:b/>
                <w:bCs/>
                <w:spacing w:val="-1"/>
                <w:sz w:val="20"/>
                <w:szCs w:val="20"/>
                <w:lang w:val="en-GB" w:eastAsia="en-GB"/>
              </w:rPr>
              <w:t>response, n (%) of patients with ≥3% BSA psoriasis skin involvement at baseline</w:t>
            </w:r>
            <w:r w:rsidRPr="00072F6C">
              <w:rPr>
                <w:rFonts w:eastAsia="Calibri" w:cs="Arial"/>
                <w:b/>
                <w:bCs/>
                <w:spacing w:val="-1"/>
                <w:sz w:val="20"/>
                <w:szCs w:val="20"/>
                <w:vertAlign w:val="superscript"/>
                <w:lang w:val="en-GB" w:eastAsia="en-GB"/>
              </w:rPr>
              <w:t>f</w:t>
            </w:r>
          </w:p>
        </w:tc>
      </w:tr>
      <w:tr w:rsidR="00B0181A" w:rsidRPr="00B0181A" w:rsidTr="006D6C64">
        <w:tc>
          <w:tcPr>
            <w:tcW w:w="879" w:type="dxa"/>
            <w:shd w:val="clear" w:color="auto" w:fill="auto"/>
          </w:tcPr>
          <w:p w:rsidR="00B0181A" w:rsidRPr="00072F6C" w:rsidRDefault="00B0181A" w:rsidP="00937266">
            <w:pPr>
              <w:spacing w:after="0" w:line="240" w:lineRule="auto"/>
              <w:ind w:left="142"/>
              <w:rPr>
                <w:rFonts w:eastAsia="Calibri" w:cs="Arial"/>
                <w:bCs/>
                <w:spacing w:val="-1"/>
                <w:sz w:val="20"/>
                <w:szCs w:val="20"/>
                <w:lang w:val="en-GB" w:eastAsia="en-GB"/>
              </w:rPr>
            </w:pPr>
            <w:r w:rsidRPr="00072F6C">
              <w:rPr>
                <w:rFonts w:eastAsia="Calibri" w:cs="Arial"/>
                <w:bCs/>
                <w:spacing w:val="-2"/>
                <w:sz w:val="20"/>
                <w:szCs w:val="20"/>
                <w:lang w:val="en-GB" w:eastAsia="en-GB"/>
              </w:rPr>
              <w:t>Week</w:t>
            </w:r>
            <w:r w:rsidRPr="00072F6C">
              <w:rPr>
                <w:rFonts w:eastAsia="Calibri" w:cs="Arial"/>
                <w:bCs/>
                <w:spacing w:val="-1"/>
                <w:sz w:val="20"/>
                <w:szCs w:val="20"/>
                <w:lang w:val="en-GB" w:eastAsia="en-GB"/>
              </w:rPr>
              <w:t xml:space="preserve"> 24</w:t>
            </w:r>
          </w:p>
        </w:tc>
        <w:tc>
          <w:tcPr>
            <w:tcW w:w="74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7</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(10.4)</w:t>
            </w:r>
          </w:p>
        </w:tc>
        <w:tc>
          <w:tcPr>
            <w:tcW w:w="812"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52</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(71.2)</w:t>
            </w:r>
          </w:p>
        </w:tc>
        <w:tc>
          <w:tcPr>
            <w:tcW w:w="78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47</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(79.7)</w:t>
            </w:r>
          </w:p>
        </w:tc>
        <w:tc>
          <w:tcPr>
            <w:tcW w:w="728"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37</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(54.4)</w:t>
            </w:r>
          </w:p>
        </w:tc>
        <w:tc>
          <w:tcPr>
            <w:tcW w:w="728"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60.8 (48.1, 73.5)</w:t>
            </w:r>
            <w:r w:rsidRPr="00072F6C">
              <w:rPr>
                <w:rFonts w:eastAsia="Calibri" w:cs="Arial"/>
                <w:sz w:val="20"/>
                <w:szCs w:val="20"/>
                <w:vertAlign w:val="superscript"/>
                <w:lang w:val="en-GB" w:eastAsia="en-GB"/>
              </w:rPr>
              <w:t>c</w:t>
            </w:r>
          </w:p>
        </w:tc>
        <w:tc>
          <w:tcPr>
            <w:tcW w:w="711"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69.2 (56.6, 81.8)</w:t>
            </w:r>
            <w:r w:rsidRPr="00072F6C">
              <w:rPr>
                <w:rFonts w:eastAsia="Calibri" w:cs="Arial"/>
                <w:sz w:val="20"/>
                <w:szCs w:val="20"/>
                <w:vertAlign w:val="superscript"/>
                <w:lang w:val="en-GB" w:eastAsia="en-GB"/>
              </w:rPr>
              <w:t>c</w:t>
            </w:r>
          </w:p>
        </w:tc>
        <w:tc>
          <w:tcPr>
            <w:tcW w:w="74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10</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(14.9)</w:t>
            </w:r>
          </w:p>
        </w:tc>
        <w:tc>
          <w:tcPr>
            <w:tcW w:w="77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38</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(55.9)</w:t>
            </w:r>
          </w:p>
        </w:tc>
        <w:tc>
          <w:tcPr>
            <w:tcW w:w="78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41</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(60.3)</w:t>
            </w:r>
          </w:p>
        </w:tc>
        <w:tc>
          <w:tcPr>
            <w:tcW w:w="742"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41.0 (26.4, 55.5)</w:t>
            </w:r>
            <w:r w:rsidRPr="00072F6C">
              <w:rPr>
                <w:rFonts w:eastAsia="Calibri" w:cs="Arial"/>
                <w:sz w:val="20"/>
                <w:szCs w:val="20"/>
                <w:vertAlign w:val="superscript"/>
                <w:lang w:val="en-GB" w:eastAsia="en-GB"/>
              </w:rPr>
              <w:t>c</w:t>
            </w:r>
          </w:p>
        </w:tc>
        <w:tc>
          <w:tcPr>
            <w:tcW w:w="77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45.4 (30.9, 59.8)</w:t>
            </w:r>
            <w:r w:rsidRPr="00072F6C">
              <w:rPr>
                <w:rFonts w:eastAsia="Calibri" w:cs="Arial"/>
                <w:sz w:val="20"/>
                <w:szCs w:val="20"/>
                <w:vertAlign w:val="superscript"/>
                <w:lang w:val="en-GB" w:eastAsia="en-GB"/>
              </w:rPr>
              <w:t>c</w:t>
            </w:r>
          </w:p>
        </w:tc>
      </w:tr>
      <w:tr w:rsidR="00B0181A" w:rsidRPr="00B0181A" w:rsidTr="006D6C64">
        <w:tc>
          <w:tcPr>
            <w:tcW w:w="9192" w:type="dxa"/>
            <w:gridSpan w:val="12"/>
            <w:shd w:val="clear" w:color="auto" w:fill="auto"/>
          </w:tcPr>
          <w:p w:rsidR="00B0181A" w:rsidRPr="00072F6C" w:rsidRDefault="00B0181A" w:rsidP="00937266">
            <w:pPr>
              <w:spacing w:before="40" w:after="40" w:line="240" w:lineRule="auto"/>
              <w:ind w:left="142"/>
              <w:rPr>
                <w:rFonts w:eastAsia="Calibri" w:cs="Arial"/>
                <w:sz w:val="20"/>
                <w:szCs w:val="20"/>
                <w:lang w:val="en-GB" w:eastAsia="en-GB"/>
              </w:rPr>
            </w:pPr>
            <w:r w:rsidRPr="00072F6C">
              <w:rPr>
                <w:rFonts w:eastAsia="Calibri" w:cs="Arial"/>
                <w:b/>
                <w:bCs/>
                <w:spacing w:val="-1"/>
                <w:sz w:val="20"/>
                <w:szCs w:val="20"/>
                <w:lang w:val="en-GB" w:eastAsia="en-GB"/>
              </w:rPr>
              <w:t>PASI</w:t>
            </w:r>
            <w:r w:rsidRPr="00072F6C">
              <w:rPr>
                <w:rFonts w:eastAsia="Calibri" w:cs="Arial"/>
                <w:b/>
                <w:bCs/>
                <w:sz w:val="20"/>
                <w:szCs w:val="20"/>
                <w:lang w:val="en-GB" w:eastAsia="en-GB"/>
              </w:rPr>
              <w:t xml:space="preserve"> </w:t>
            </w:r>
            <w:r w:rsidRPr="00072F6C">
              <w:rPr>
                <w:rFonts w:eastAsia="Calibri" w:cs="Arial"/>
                <w:b/>
                <w:bCs/>
                <w:spacing w:val="-2"/>
                <w:sz w:val="20"/>
                <w:szCs w:val="20"/>
                <w:lang w:val="en-GB" w:eastAsia="en-GB"/>
              </w:rPr>
              <w:t>90</w:t>
            </w:r>
            <w:r w:rsidRPr="00072F6C">
              <w:rPr>
                <w:rFonts w:eastAsia="Calibri" w:cs="Arial"/>
                <w:b/>
                <w:bCs/>
                <w:sz w:val="20"/>
                <w:szCs w:val="20"/>
                <w:lang w:val="en-GB" w:eastAsia="en-GB"/>
              </w:rPr>
              <w:t xml:space="preserve"> </w:t>
            </w:r>
            <w:r w:rsidRPr="00072F6C">
              <w:rPr>
                <w:rFonts w:eastAsia="Calibri" w:cs="Arial"/>
                <w:b/>
                <w:bCs/>
                <w:spacing w:val="-1"/>
                <w:sz w:val="20"/>
                <w:szCs w:val="20"/>
                <w:lang w:val="en-GB" w:eastAsia="en-GB"/>
              </w:rPr>
              <w:t>response, n (%) of patients with ≥3% BSA psoriasis skin involvement at baseline</w:t>
            </w:r>
            <w:r w:rsidRPr="00072F6C">
              <w:rPr>
                <w:rFonts w:eastAsia="Calibri" w:cs="Arial"/>
                <w:b/>
                <w:bCs/>
                <w:spacing w:val="-1"/>
                <w:sz w:val="20"/>
                <w:szCs w:val="20"/>
                <w:vertAlign w:val="superscript"/>
                <w:lang w:val="en-GB" w:eastAsia="en-GB"/>
              </w:rPr>
              <w:t>f</w:t>
            </w:r>
          </w:p>
        </w:tc>
      </w:tr>
      <w:tr w:rsidR="00B0181A" w:rsidRPr="00B0181A" w:rsidTr="006D6C64">
        <w:tc>
          <w:tcPr>
            <w:tcW w:w="879" w:type="dxa"/>
            <w:shd w:val="clear" w:color="auto" w:fill="auto"/>
          </w:tcPr>
          <w:p w:rsidR="00B0181A" w:rsidRPr="00072F6C" w:rsidRDefault="00B0181A" w:rsidP="00937266">
            <w:pPr>
              <w:spacing w:after="0" w:line="240" w:lineRule="auto"/>
              <w:ind w:left="142"/>
              <w:rPr>
                <w:rFonts w:eastAsia="Calibri" w:cs="Arial"/>
                <w:bCs/>
                <w:spacing w:val="-1"/>
                <w:sz w:val="20"/>
                <w:szCs w:val="20"/>
                <w:lang w:val="en-GB" w:eastAsia="en-GB"/>
              </w:rPr>
            </w:pPr>
            <w:r w:rsidRPr="00072F6C">
              <w:rPr>
                <w:rFonts w:eastAsia="Calibri" w:cs="Arial"/>
                <w:bCs/>
                <w:spacing w:val="-2"/>
                <w:sz w:val="20"/>
                <w:szCs w:val="20"/>
                <w:lang w:val="en-GB" w:eastAsia="en-GB"/>
              </w:rPr>
              <w:t>Week</w:t>
            </w:r>
            <w:r w:rsidRPr="00072F6C">
              <w:rPr>
                <w:rFonts w:eastAsia="Calibri" w:cs="Arial"/>
                <w:bCs/>
                <w:spacing w:val="-1"/>
                <w:sz w:val="20"/>
                <w:szCs w:val="20"/>
                <w:lang w:val="en-GB" w:eastAsia="en-GB"/>
              </w:rPr>
              <w:t xml:space="preserve"> 24</w:t>
            </w:r>
          </w:p>
        </w:tc>
        <w:tc>
          <w:tcPr>
            <w:tcW w:w="74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4</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(6.0)</w:t>
            </w:r>
          </w:p>
        </w:tc>
        <w:tc>
          <w:tcPr>
            <w:tcW w:w="812"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41</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(56.2)</w:t>
            </w:r>
          </w:p>
        </w:tc>
        <w:tc>
          <w:tcPr>
            <w:tcW w:w="78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40</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(67.8)</w:t>
            </w:r>
          </w:p>
        </w:tc>
        <w:tc>
          <w:tcPr>
            <w:tcW w:w="728"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25</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(36.8)</w:t>
            </w:r>
          </w:p>
        </w:tc>
        <w:tc>
          <w:tcPr>
            <w:tcW w:w="728"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50.2 (37.5, 62.9)</w:t>
            </w:r>
            <w:r w:rsidRPr="00072F6C">
              <w:rPr>
                <w:rFonts w:eastAsia="Calibri" w:cs="Arial"/>
                <w:sz w:val="20"/>
                <w:szCs w:val="20"/>
                <w:vertAlign w:val="superscript"/>
                <w:lang w:val="en-GB" w:eastAsia="en-GB"/>
              </w:rPr>
              <w:t>c</w:t>
            </w:r>
          </w:p>
        </w:tc>
        <w:tc>
          <w:tcPr>
            <w:tcW w:w="711"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61.8 (48.6, 75.0)</w:t>
            </w:r>
            <w:r w:rsidRPr="00072F6C">
              <w:rPr>
                <w:rFonts w:eastAsia="Calibri" w:cs="Arial"/>
                <w:sz w:val="20"/>
                <w:szCs w:val="20"/>
                <w:vertAlign w:val="superscript"/>
                <w:lang w:val="en-GB" w:eastAsia="en-GB"/>
              </w:rPr>
              <w:t>c</w:t>
            </w:r>
          </w:p>
        </w:tc>
        <w:tc>
          <w:tcPr>
            <w:tcW w:w="74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8</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(11.9)</w:t>
            </w:r>
          </w:p>
        </w:tc>
        <w:tc>
          <w:tcPr>
            <w:tcW w:w="77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30</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(44.1)</w:t>
            </w:r>
          </w:p>
        </w:tc>
        <w:tc>
          <w:tcPr>
            <w:tcW w:w="78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34</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(50.0)</w:t>
            </w:r>
          </w:p>
        </w:tc>
        <w:tc>
          <w:tcPr>
            <w:tcW w:w="742"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32.2 (18.1, 46.3)</w:t>
            </w:r>
            <w:r w:rsidRPr="00072F6C">
              <w:rPr>
                <w:rFonts w:eastAsia="Calibri" w:cs="Arial"/>
                <w:sz w:val="20"/>
                <w:szCs w:val="20"/>
                <w:vertAlign w:val="superscript"/>
                <w:lang w:val="en-GB" w:eastAsia="en-GB"/>
              </w:rPr>
              <w:t>c</w:t>
            </w:r>
          </w:p>
        </w:tc>
        <w:tc>
          <w:tcPr>
            <w:tcW w:w="77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38.1 (23.9, 52.3)</w:t>
            </w:r>
            <w:r w:rsidRPr="00072F6C">
              <w:rPr>
                <w:rFonts w:eastAsia="Calibri" w:cs="Arial"/>
                <w:sz w:val="20"/>
                <w:szCs w:val="20"/>
                <w:vertAlign w:val="superscript"/>
                <w:lang w:val="en-GB" w:eastAsia="en-GB"/>
              </w:rPr>
              <w:t>c</w:t>
            </w:r>
          </w:p>
        </w:tc>
      </w:tr>
      <w:tr w:rsidR="00B0181A" w:rsidRPr="00B0181A" w:rsidTr="006D6C64">
        <w:tc>
          <w:tcPr>
            <w:tcW w:w="9192" w:type="dxa"/>
            <w:gridSpan w:val="12"/>
            <w:shd w:val="clear" w:color="auto" w:fill="auto"/>
          </w:tcPr>
          <w:p w:rsidR="00B0181A" w:rsidRPr="00072F6C" w:rsidRDefault="00B0181A" w:rsidP="00937266">
            <w:pPr>
              <w:spacing w:before="40" w:after="40" w:line="240" w:lineRule="auto"/>
              <w:ind w:left="142"/>
              <w:rPr>
                <w:rFonts w:eastAsia="Calibri" w:cs="Arial"/>
                <w:sz w:val="20"/>
                <w:szCs w:val="20"/>
                <w:lang w:val="en-GB" w:eastAsia="en-GB"/>
              </w:rPr>
            </w:pPr>
            <w:r w:rsidRPr="00072F6C">
              <w:rPr>
                <w:rFonts w:eastAsia="Calibri" w:cs="Arial"/>
                <w:b/>
                <w:bCs/>
                <w:spacing w:val="-1"/>
                <w:sz w:val="20"/>
                <w:szCs w:val="20"/>
                <w:lang w:val="en-GB" w:eastAsia="en-GB"/>
              </w:rPr>
              <w:t>ACR50 and PASI</w:t>
            </w:r>
            <w:r w:rsidRPr="00072F6C">
              <w:rPr>
                <w:rFonts w:eastAsia="Calibri" w:cs="Arial"/>
                <w:b/>
                <w:bCs/>
                <w:sz w:val="20"/>
                <w:szCs w:val="20"/>
                <w:lang w:val="en-GB" w:eastAsia="en-GB"/>
              </w:rPr>
              <w:t xml:space="preserve"> 100</w:t>
            </w:r>
            <w:r w:rsidRPr="00072F6C">
              <w:rPr>
                <w:rFonts w:eastAsia="Calibri" w:cs="Arial"/>
                <w:b/>
                <w:bCs/>
                <w:spacing w:val="-1"/>
                <w:sz w:val="20"/>
                <w:szCs w:val="20"/>
                <w:lang w:val="en-GB" w:eastAsia="en-GB"/>
              </w:rPr>
              <w:t>, n (%) in patients with ≥3% BSA psoriasis skin involvement at baseline</w:t>
            </w:r>
            <w:r w:rsidRPr="00072F6C">
              <w:rPr>
                <w:rFonts w:eastAsia="Calibri" w:cs="Arial"/>
                <w:bCs/>
                <w:spacing w:val="-1"/>
                <w:sz w:val="20"/>
                <w:szCs w:val="20"/>
                <w:lang w:val="en-GB" w:eastAsia="en-GB"/>
              </w:rPr>
              <w:t xml:space="preserve"> </w:t>
            </w:r>
          </w:p>
        </w:tc>
      </w:tr>
      <w:tr w:rsidR="00B0181A" w:rsidRPr="00B0181A" w:rsidTr="006D6C64">
        <w:tc>
          <w:tcPr>
            <w:tcW w:w="879" w:type="dxa"/>
            <w:shd w:val="clear" w:color="auto" w:fill="auto"/>
          </w:tcPr>
          <w:p w:rsidR="00B0181A" w:rsidRPr="00072F6C" w:rsidRDefault="00B0181A" w:rsidP="00937266">
            <w:pPr>
              <w:spacing w:after="0" w:line="240" w:lineRule="auto"/>
              <w:ind w:left="142"/>
              <w:rPr>
                <w:rFonts w:eastAsia="Calibri" w:cs="Arial"/>
                <w:bCs/>
                <w:spacing w:val="-2"/>
                <w:sz w:val="20"/>
                <w:szCs w:val="20"/>
                <w:lang w:val="en-GB" w:eastAsia="en-GB"/>
              </w:rPr>
            </w:pPr>
            <w:r w:rsidRPr="00072F6C">
              <w:rPr>
                <w:rFonts w:eastAsia="Calibri" w:cs="Arial"/>
                <w:bCs/>
                <w:spacing w:val="-2"/>
                <w:sz w:val="20"/>
                <w:szCs w:val="20"/>
                <w:lang w:val="en-GB" w:eastAsia="en-GB"/>
              </w:rPr>
              <w:t>Week 24</w:t>
            </w:r>
          </w:p>
        </w:tc>
        <w:tc>
          <w:tcPr>
            <w:tcW w:w="74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(1.5)</w:t>
            </w:r>
          </w:p>
        </w:tc>
        <w:tc>
          <w:tcPr>
            <w:tcW w:w="812"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21</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(28.8)</w:t>
            </w:r>
          </w:p>
        </w:tc>
        <w:tc>
          <w:tcPr>
            <w:tcW w:w="78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19</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(32.2)</w:t>
            </w:r>
          </w:p>
        </w:tc>
        <w:tc>
          <w:tcPr>
            <w:tcW w:w="728"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9</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(13.2)</w:t>
            </w:r>
          </w:p>
        </w:tc>
        <w:tc>
          <w:tcPr>
            <w:tcW w:w="728"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27.3 (16.5, 38.1)</w:t>
            </w:r>
            <w:r w:rsidRPr="00072F6C">
              <w:rPr>
                <w:rFonts w:eastAsia="Calibri" w:cs="Arial"/>
                <w:sz w:val="20"/>
                <w:szCs w:val="20"/>
                <w:vertAlign w:val="superscript"/>
                <w:lang w:val="en-GB" w:eastAsia="en-GB"/>
              </w:rPr>
              <w:t>c</w:t>
            </w:r>
          </w:p>
        </w:tc>
        <w:tc>
          <w:tcPr>
            <w:tcW w:w="711"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30.7 (18.4, 43.0)</w:t>
            </w:r>
            <w:r w:rsidRPr="00072F6C">
              <w:rPr>
                <w:rFonts w:eastAsia="Calibri" w:cs="Arial"/>
                <w:sz w:val="20"/>
                <w:szCs w:val="20"/>
                <w:vertAlign w:val="superscript"/>
                <w:lang w:val="en-GB" w:eastAsia="en-GB"/>
              </w:rPr>
              <w:t>b</w:t>
            </w:r>
          </w:p>
        </w:tc>
        <w:tc>
          <w:tcPr>
            <w:tcW w:w="74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0</w:t>
            </w:r>
          </w:p>
        </w:tc>
        <w:tc>
          <w:tcPr>
            <w:tcW w:w="77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12</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(17.6)</w:t>
            </w:r>
          </w:p>
        </w:tc>
        <w:tc>
          <w:tcPr>
            <w:tcW w:w="784"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10</w:t>
            </w:r>
          </w:p>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(14.7)</w:t>
            </w:r>
          </w:p>
        </w:tc>
        <w:tc>
          <w:tcPr>
            <w:tcW w:w="742"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17.6 (8.6, 26.7)</w:t>
            </w:r>
            <w:r w:rsidRPr="00072F6C">
              <w:rPr>
                <w:rFonts w:eastAsia="Calibri" w:cs="Arial"/>
                <w:sz w:val="20"/>
                <w:szCs w:val="20"/>
                <w:vertAlign w:val="superscript"/>
                <w:lang w:val="en-GB" w:eastAsia="en-GB"/>
              </w:rPr>
              <w:t>c</w:t>
            </w:r>
          </w:p>
        </w:tc>
        <w:tc>
          <w:tcPr>
            <w:tcW w:w="770" w:type="dxa"/>
            <w:shd w:val="clear" w:color="auto" w:fill="auto"/>
            <w:vAlign w:val="center"/>
          </w:tcPr>
          <w:p w:rsidR="00B0181A" w:rsidRPr="00072F6C" w:rsidRDefault="00B0181A" w:rsidP="00937266">
            <w:pPr>
              <w:spacing w:after="0" w:line="240" w:lineRule="auto"/>
              <w:ind w:left="142"/>
              <w:jc w:val="center"/>
              <w:rPr>
                <w:rFonts w:eastAsia="Calibri" w:cs="Arial"/>
                <w:sz w:val="20"/>
                <w:szCs w:val="20"/>
                <w:lang w:val="en-GB" w:eastAsia="en-GB"/>
              </w:rPr>
            </w:pPr>
            <w:r w:rsidRPr="00072F6C">
              <w:rPr>
                <w:rFonts w:eastAsia="Calibri" w:cs="Arial"/>
                <w:sz w:val="20"/>
                <w:szCs w:val="20"/>
                <w:lang w:val="en-GB" w:eastAsia="en-GB"/>
              </w:rPr>
              <w:t>14.7 (6.3, 23.1)</w:t>
            </w:r>
            <w:r w:rsidRPr="00072F6C">
              <w:rPr>
                <w:rFonts w:eastAsia="Calibri" w:cs="Arial"/>
                <w:sz w:val="20"/>
                <w:szCs w:val="20"/>
                <w:vertAlign w:val="superscript"/>
                <w:lang w:val="en-GB" w:eastAsia="en-GB"/>
              </w:rPr>
              <w:t>c</w:t>
            </w:r>
          </w:p>
        </w:tc>
      </w:tr>
    </w:tbl>
    <w:p w:rsidR="00B0181A" w:rsidRPr="00B0181A" w:rsidRDefault="00B0181A" w:rsidP="00937266">
      <w:pPr>
        <w:pStyle w:val="TblFootnote"/>
        <w:tabs>
          <w:tab w:val="clear" w:pos="259"/>
        </w:tabs>
        <w:ind w:left="142" w:firstLine="0"/>
      </w:pPr>
      <w:r w:rsidRPr="00B0181A">
        <w:t xml:space="preserve">Abbreviations: ACR 20/50/70 = American College of Rheumatology 20%/50%/70% response rate; ADA = adalimumab; BSA = body surface area; CI = confidence interval; Q4W = TALTZ 80 mg every 4 weeks; Q2W = TALTZ 80 mg every 2 weeks; N = number of patients in the analysis population; n = number of patients in the specified category; NRI = non-responder imputation; PASI 75/90/100 = psoriasis area and severity index </w:t>
      </w:r>
      <w:r w:rsidRPr="00B0181A">
        <w:lastRenderedPageBreak/>
        <w:t>75%/90%/100% improvement; PBO = placebo.</w:t>
      </w:r>
      <w:r>
        <w:br/>
      </w:r>
      <w:r w:rsidRPr="00B0181A">
        <w:t>Note: patients who were rescued at week 16 or discontinued or with missing data were imputed as non-responders for week 24 analyses.</w:t>
      </w:r>
      <w:r>
        <w:br/>
      </w:r>
      <w:r w:rsidRPr="00B0181A">
        <w:t>Concomitant cDMARDs included MTX, leflunomide and sulfasalazine.</w:t>
      </w:r>
      <w:r>
        <w:br/>
      </w:r>
      <w:r w:rsidRPr="00B0181A">
        <w:t>a p &lt; 0.05;    b p &lt; 0.01;    c p &lt; 0.001 compared with placebo</w:t>
      </w:r>
      <w:r>
        <w:br/>
      </w:r>
      <w:r w:rsidRPr="00B0181A">
        <w:t>d Primary endpoint for both SPIRIT-P1 and SPIRIT-P2</w:t>
      </w:r>
      <w:r>
        <w:br/>
      </w:r>
      <w:r w:rsidRPr="00B0181A">
        <w:t>e Multiplicity-controlled secondary endpoint for SPIRIT-P2</w:t>
      </w:r>
      <w:r>
        <w:br/>
      </w:r>
      <w:r w:rsidRPr="00B0181A">
        <w:t>f In patients with psoriasis ≥3% BSA at baseline (SPIRIT-P1; n=67, 73, 59, 68, respectively; SPIRIT-P2; n=67, 68, 68, respectively)</w:t>
      </w:r>
    </w:p>
    <w:p w:rsidR="001F2883" w:rsidRDefault="001F2883" w:rsidP="00937266">
      <w:pPr>
        <w:ind w:left="142"/>
      </w:pPr>
      <w:r>
        <w:t>In patients with pre-existing dactylitis or enthesitis, treatment with TALTZ Q4W resulted in improvement in dactylitis and enthesitis at Week 24 compared to placebo (resolution: 78% vs. 24%; p&lt;0.001, and 39% vs. 21%; p&lt;0.01, respectively).</w:t>
      </w:r>
    </w:p>
    <w:p w:rsidR="001F2883" w:rsidRPr="00141076" w:rsidRDefault="001F2883" w:rsidP="00937266">
      <w:pPr>
        <w:ind w:left="142"/>
      </w:pPr>
      <w:r>
        <w:t>In patients with ≥3% BSA, the improvement in skin clearance at Week 12 as measured by 75% improvement in Psoriasis Area Severity Index (PASI 75), was 67% (94/141) for those treated with the Q4W dosing regimen, and 9% (12/134) for those treated with placebo (p&lt;0.001). The proportion of patients achieving a PASI 75, PASI 90, and PASI 100 response at Week 24 was greater with TALTZ Q4W compared to placebo (p&lt;0.001).</w:t>
      </w:r>
    </w:p>
    <w:p w:rsidR="00BD0E75" w:rsidRDefault="00BD0E75" w:rsidP="00937266">
      <w:pPr>
        <w:ind w:left="142"/>
      </w:pPr>
      <w:r>
        <w:t>In patients with concomitant moderate to severe psoriasis and psoriatic arthritis, TALTZ Q2W dose regimen showed significantly higher response rate for PASI 90 and PASI 100 compared to placebo (p &lt; 0.001) and demonstrated clinical meaningful benefit over the Q4W dose regimen.</w:t>
      </w:r>
    </w:p>
    <w:p w:rsidR="00BD0E75" w:rsidRDefault="00BD0E75" w:rsidP="00937266">
      <w:pPr>
        <w:ind w:left="142"/>
      </w:pPr>
      <w:r>
        <w:t>The onset of action of TALTZ occurred as early as Week 1, with significantly higher responses (p ≤ 0.01) in ACR 20 (20.6% and 22.3% for Q4W and Q2W, respectively) compared to placebo (6.6%). The differences were maintained throughout the 24-week period (p ≤ 0.01). The treatment responses on TALTZ were significantly greater than those on placebo as early as week 4 for ACR 50 and week 8 for ACR 70 and persisted through week 24 (p &lt; 0.05).</w:t>
      </w:r>
    </w:p>
    <w:p w:rsidR="00BD0E75" w:rsidRDefault="00BD0E75" w:rsidP="00937266">
      <w:pPr>
        <w:pStyle w:val="FigureTitle"/>
        <w:ind w:left="142"/>
      </w:pPr>
      <w:r>
        <w:t xml:space="preserve">ACR20 response in SPIRIT-P1 over time up to Week 24 </w:t>
      </w:r>
    </w:p>
    <w:p w:rsidR="00BD0E75" w:rsidRDefault="004855EF" w:rsidP="00937266">
      <w:pPr>
        <w:ind w:left="142"/>
      </w:pPr>
      <w:r>
        <w:rPr>
          <w:noProof/>
          <w:lang w:val="en-US"/>
        </w:rPr>
      </w:r>
      <w:r w:rsidR="002B3E32">
        <w:pict>
          <v:shape id="_x0000_s1046" type="#_x0000_t75" style="width:412.35pt;height:265.45pt;mso-position-horizontal-relative:char;mso-position-vertical-relative:line">
            <v:imagedata r:id="rId18" o:title=""/>
            <w10:anchorlock/>
          </v:shape>
        </w:pict>
      </w:r>
      <w:r w:rsidR="00BD0E75">
        <w:t xml:space="preserve"> </w:t>
      </w:r>
    </w:p>
    <w:p w:rsidR="00BD0E75" w:rsidRPr="004855EF" w:rsidRDefault="00BD0E75" w:rsidP="00937266">
      <w:pPr>
        <w:ind w:left="142"/>
        <w:rPr>
          <w:sz w:val="18"/>
        </w:rPr>
      </w:pPr>
      <w:r w:rsidRPr="004855EF">
        <w:rPr>
          <w:sz w:val="18"/>
        </w:rPr>
        <w:t xml:space="preserve">For both TALTZ Q4W and Q2W:   </w:t>
      </w:r>
      <w:r w:rsidRPr="000B1E3B">
        <w:rPr>
          <w:sz w:val="18"/>
          <w:vertAlign w:val="superscript"/>
        </w:rPr>
        <w:t>b</w:t>
      </w:r>
      <w:r w:rsidRPr="004855EF">
        <w:rPr>
          <w:sz w:val="18"/>
        </w:rPr>
        <w:t xml:space="preserve">  p &lt; 0.01 and   </w:t>
      </w:r>
      <w:r w:rsidRPr="000B1E3B">
        <w:rPr>
          <w:sz w:val="18"/>
          <w:vertAlign w:val="superscript"/>
        </w:rPr>
        <w:t>c</w:t>
      </w:r>
      <w:r w:rsidRPr="004855EF">
        <w:rPr>
          <w:sz w:val="18"/>
        </w:rPr>
        <w:t xml:space="preserve">  p &lt; 0.001 compared with placebo.</w:t>
      </w:r>
    </w:p>
    <w:p w:rsidR="00BD0E75" w:rsidRDefault="00BD0E75" w:rsidP="00937266">
      <w:pPr>
        <w:ind w:left="142"/>
      </w:pPr>
    </w:p>
    <w:p w:rsidR="00BD0E75" w:rsidRDefault="00BD0E75" w:rsidP="00937266">
      <w:pPr>
        <w:ind w:left="142"/>
      </w:pPr>
      <w:r>
        <w:lastRenderedPageBreak/>
        <w:t>In SPIRIT-P1 and SPIRIT-P2, similar responses were seen in patients with psoriatic arthritis regardless of whether they were on concomitant MTX treatment or not. At Week 24, TALTZ-treated patients with concomitant MTX use had a higher ACR 20 response (52.4% for Q4W and 56.1% for Q2W), compared to placebo (25.3%) and ACR 50 response (33.3% for Q4W and 39.5% for Q2W), compared to placebo (14.1%). TALTZ-treated patients without concomitant MTX use had a higher ACR 20 response (58.1% for Q4W and 51.8% for Q2W), compared to placebo (24.0%) and ACR 50 response (41.1% for Q4W and 39.3% for Q2W), compared to placebo (6.4%).</w:t>
      </w:r>
    </w:p>
    <w:p w:rsidR="00BD0E75" w:rsidRDefault="00BD0E75" w:rsidP="00937266">
      <w:pPr>
        <w:ind w:left="142"/>
      </w:pPr>
      <w:r>
        <w:t>In SPIRIT-P1and SPIRIT-P2, improvements were shown in all components of the ACR scores, including patient assessment of pain. The proportion of patients achieving a modified Psoriatic Arthritis Response Criteria (PsARC) response was greater in the TALTZ-treated patients (55.9% for Q4W and 54.9% for Q2W) compared to placebo (25.9%) at Week 24.</w:t>
      </w:r>
    </w:p>
    <w:p w:rsidR="00BD0E75" w:rsidRDefault="00BD0E75" w:rsidP="00937266">
      <w:pPr>
        <w:ind w:left="142"/>
      </w:pPr>
      <w:r>
        <w:t>In SPIRIT-P1, efficacy was maintained up to Week 52. Among patients who had achieved an ACR 20, 50 or 70 response at Week 24, 80.6%, 81.4% and 80.0% respectively of responders on Q4W and 81.5%, 77.1% and 80.0% respectively of responders on Q2W maintained their ACR response at Week 52.</w:t>
      </w:r>
    </w:p>
    <w:p w:rsidR="00BD0E75" w:rsidRDefault="00BD0E75" w:rsidP="00937266">
      <w:pPr>
        <w:ind w:left="142"/>
      </w:pPr>
      <w:r>
        <w:t>Among patients with baseline psoriatic lesions involving ≥ 3% who achieved a PASI 75, 90 or 100 response at Week 24, 90.4%, 87.8% and 80.6% respectively of responders on Q4W and 91.5%, 92.5% and 90.3% respectively of responders on Q2W maintained their PASI response at Week 52.</w:t>
      </w:r>
    </w:p>
    <w:p w:rsidR="00BD0E75" w:rsidRDefault="00BD0E75" w:rsidP="00937266">
      <w:pPr>
        <w:ind w:left="142"/>
      </w:pPr>
      <w:r>
        <w:t>The majority of patients achieving HAQ-DI ≥ 0.35, MDA response, resolution of dactylitis or of enthesitis at Week 24 maintained that response at Week 52.</w:t>
      </w:r>
    </w:p>
    <w:p w:rsidR="00BD0E75" w:rsidRDefault="00BD0E75" w:rsidP="00937266">
      <w:pPr>
        <w:ind w:left="142"/>
      </w:pPr>
      <w:r>
        <w:t>The efficacy and safety of TALTZ was demonstrated regardless of age, gender, race, disease duration, baseline body weight, baseline psoriasis involvement, baseline CRP, baseline DAS28-CRP, concomitant corticosteroid use, and previous treatment with a biologic. TALTZ was efficacious in biologic-naïve and biologic-exposed patients.</w:t>
      </w:r>
    </w:p>
    <w:p w:rsidR="00BD0E75" w:rsidRDefault="00BD0E75" w:rsidP="00937266">
      <w:pPr>
        <w:pStyle w:val="Heading4"/>
        <w:ind w:left="142"/>
      </w:pPr>
      <w:r>
        <w:t>Radiographic response</w:t>
      </w:r>
    </w:p>
    <w:p w:rsidR="00BD0E75" w:rsidRDefault="00BD0E75" w:rsidP="00937266">
      <w:pPr>
        <w:ind w:left="142"/>
      </w:pPr>
      <w:r>
        <w:t xml:space="preserve">In SPIRIT-P1, inhibition of progression of structural damage was assessed radiographically and expressed as the change in modified total Sharp Score (mTSS) at Weeks 24 and 52, compared to baseline. Week 24 data are presented in Table </w:t>
      </w:r>
      <w:r w:rsidR="00345D04">
        <w:t>10</w:t>
      </w:r>
      <w:r>
        <w:t>.</w:t>
      </w:r>
    </w:p>
    <w:p w:rsidR="00BD0E75" w:rsidRDefault="004855EF" w:rsidP="00937266">
      <w:pPr>
        <w:pStyle w:val="TableTitle"/>
        <w:ind w:left="142"/>
      </w:pPr>
      <w:r w:rsidRPr="004855EF">
        <w:t>Change in modified Total Sharp Score in SPIRIT-P1</w:t>
      </w:r>
    </w:p>
    <w:tbl>
      <w:tblPr>
        <w:tblW w:w="9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5"/>
        <w:gridCol w:w="1134"/>
        <w:gridCol w:w="1134"/>
        <w:gridCol w:w="1134"/>
        <w:gridCol w:w="1134"/>
        <w:gridCol w:w="1196"/>
        <w:gridCol w:w="1418"/>
      </w:tblGrid>
      <w:tr w:rsidR="00930782" w:rsidRPr="00B328F9" w:rsidTr="00664085">
        <w:tc>
          <w:tcPr>
            <w:tcW w:w="2155" w:type="dxa"/>
            <w:vMerge w:val="restart"/>
            <w:shd w:val="clear" w:color="auto" w:fill="auto"/>
          </w:tcPr>
          <w:p w:rsidR="00930782" w:rsidRPr="00B328F9" w:rsidRDefault="00930782" w:rsidP="00937266">
            <w:pPr>
              <w:spacing w:after="0" w:line="240" w:lineRule="auto"/>
              <w:ind w:left="142"/>
              <w:rPr>
                <w:rFonts w:eastAsia="Calibri" w:cs="Arial"/>
                <w:sz w:val="18"/>
                <w:szCs w:val="20"/>
                <w:lang w:val="en-GB" w:eastAsia="en-GB"/>
              </w:rPr>
            </w:pPr>
          </w:p>
        </w:tc>
        <w:tc>
          <w:tcPr>
            <w:tcW w:w="4536" w:type="dxa"/>
            <w:gridSpan w:val="4"/>
            <w:shd w:val="clear" w:color="auto" w:fill="auto"/>
            <w:vAlign w:val="center"/>
          </w:tcPr>
          <w:p w:rsidR="00930782" w:rsidRPr="00B328F9" w:rsidRDefault="00930782" w:rsidP="00937266">
            <w:pPr>
              <w:spacing w:after="0" w:line="240" w:lineRule="auto"/>
              <w:ind w:left="142"/>
              <w:jc w:val="center"/>
              <w:rPr>
                <w:rFonts w:eastAsia="Calibri" w:cs="Arial"/>
                <w:sz w:val="18"/>
                <w:szCs w:val="20"/>
                <w:lang w:val="en-GB" w:eastAsia="en-GB"/>
              </w:rPr>
            </w:pPr>
          </w:p>
        </w:tc>
        <w:tc>
          <w:tcPr>
            <w:tcW w:w="2614" w:type="dxa"/>
            <w:gridSpan w:val="2"/>
            <w:shd w:val="clear" w:color="auto" w:fill="auto"/>
            <w:vAlign w:val="center"/>
          </w:tcPr>
          <w:p w:rsidR="00930782" w:rsidRPr="00B328F9" w:rsidRDefault="00930782" w:rsidP="00937266">
            <w:pPr>
              <w:spacing w:after="0" w:line="240" w:lineRule="auto"/>
              <w:ind w:left="142"/>
              <w:jc w:val="center"/>
              <w:rPr>
                <w:rFonts w:eastAsia="Calibri" w:cs="Arial"/>
                <w:sz w:val="18"/>
                <w:szCs w:val="20"/>
                <w:lang w:val="en-GB" w:eastAsia="en-GB"/>
              </w:rPr>
            </w:pPr>
            <w:r w:rsidRPr="00B328F9">
              <w:rPr>
                <w:rFonts w:eastAsia="Calibri" w:cs="Arial"/>
                <w:sz w:val="18"/>
                <w:szCs w:val="20"/>
                <w:lang w:val="en-GB" w:eastAsia="en-GB"/>
              </w:rPr>
              <w:t xml:space="preserve">Difference from Placebo </w:t>
            </w:r>
          </w:p>
          <w:p w:rsidR="00930782" w:rsidRPr="00B328F9" w:rsidRDefault="00930782" w:rsidP="00937266">
            <w:pPr>
              <w:spacing w:after="0" w:line="240" w:lineRule="auto"/>
              <w:ind w:left="142"/>
              <w:jc w:val="center"/>
              <w:rPr>
                <w:rFonts w:eastAsia="Calibri" w:cs="Arial"/>
                <w:sz w:val="18"/>
                <w:szCs w:val="20"/>
                <w:lang w:val="en-GB" w:eastAsia="en-GB"/>
              </w:rPr>
            </w:pPr>
            <w:r w:rsidRPr="00B328F9">
              <w:rPr>
                <w:rFonts w:eastAsia="Calibri" w:cs="Arial"/>
                <w:sz w:val="18"/>
                <w:szCs w:val="20"/>
                <w:lang w:val="en-GB" w:eastAsia="en-GB"/>
              </w:rPr>
              <w:t>(95% CI)</w:t>
            </w:r>
          </w:p>
        </w:tc>
      </w:tr>
      <w:tr w:rsidR="00930782" w:rsidRPr="00B328F9" w:rsidTr="00664085">
        <w:tc>
          <w:tcPr>
            <w:tcW w:w="2155" w:type="dxa"/>
            <w:vMerge/>
            <w:shd w:val="clear" w:color="auto" w:fill="auto"/>
          </w:tcPr>
          <w:p w:rsidR="00930782" w:rsidRPr="00B328F9" w:rsidRDefault="00930782" w:rsidP="00937266">
            <w:pPr>
              <w:keepNext/>
              <w:keepLines/>
              <w:numPr>
                <w:ilvl w:val="0"/>
                <w:numId w:val="37"/>
              </w:numPr>
              <w:tabs>
                <w:tab w:val="left" w:pos="259"/>
              </w:tabs>
              <w:spacing w:after="0" w:line="259" w:lineRule="atLeast"/>
              <w:ind w:left="142" w:hanging="259"/>
              <w:rPr>
                <w:rFonts w:eastAsia="Calibri" w:cs="Arial"/>
                <w:sz w:val="18"/>
                <w:szCs w:val="20"/>
                <w:lang w:val="en-GB" w:eastAsia="en-GB"/>
              </w:rPr>
            </w:pPr>
          </w:p>
        </w:tc>
        <w:tc>
          <w:tcPr>
            <w:tcW w:w="1134" w:type="dxa"/>
            <w:shd w:val="clear" w:color="auto" w:fill="auto"/>
          </w:tcPr>
          <w:p w:rsidR="00930782" w:rsidRPr="00B328F9" w:rsidRDefault="00930782" w:rsidP="00937266">
            <w:pPr>
              <w:spacing w:after="0" w:line="240" w:lineRule="auto"/>
              <w:ind w:left="142"/>
              <w:jc w:val="center"/>
              <w:rPr>
                <w:rFonts w:eastAsia="Calibri" w:cs="Arial"/>
                <w:sz w:val="18"/>
                <w:szCs w:val="20"/>
                <w:lang w:val="en-GB" w:eastAsia="en-GB"/>
              </w:rPr>
            </w:pPr>
            <w:r w:rsidRPr="00B328F9">
              <w:rPr>
                <w:rFonts w:eastAsia="Calibri" w:cs="Arial"/>
                <w:sz w:val="18"/>
                <w:szCs w:val="20"/>
                <w:lang w:val="en-GB" w:eastAsia="en-GB"/>
              </w:rPr>
              <w:t>PBO</w:t>
            </w:r>
            <w:r w:rsidRPr="00B328F9">
              <w:rPr>
                <w:rFonts w:eastAsia="Calibri" w:cs="Arial"/>
                <w:sz w:val="18"/>
                <w:szCs w:val="20"/>
                <w:lang w:val="en-GB" w:eastAsia="en-GB"/>
              </w:rPr>
              <w:br/>
              <w:t>(N = 106)</w:t>
            </w:r>
          </w:p>
        </w:tc>
        <w:tc>
          <w:tcPr>
            <w:tcW w:w="1134" w:type="dxa"/>
            <w:shd w:val="clear" w:color="auto" w:fill="auto"/>
          </w:tcPr>
          <w:p w:rsidR="00930782" w:rsidRPr="00B328F9" w:rsidRDefault="00930782" w:rsidP="00937266">
            <w:pPr>
              <w:spacing w:after="0" w:line="240" w:lineRule="auto"/>
              <w:ind w:left="142"/>
              <w:jc w:val="center"/>
              <w:rPr>
                <w:rFonts w:eastAsia="Calibri" w:cs="Arial"/>
                <w:sz w:val="18"/>
                <w:szCs w:val="20"/>
                <w:lang w:val="en-GB" w:eastAsia="en-GB"/>
              </w:rPr>
            </w:pPr>
            <w:r w:rsidRPr="00B328F9">
              <w:rPr>
                <w:rFonts w:eastAsia="Calibri" w:cs="Arial"/>
                <w:sz w:val="18"/>
                <w:szCs w:val="20"/>
                <w:lang w:val="en-GB" w:eastAsia="en-GB"/>
              </w:rPr>
              <w:t>TALTZ Q4W</w:t>
            </w:r>
            <w:r w:rsidRPr="00B328F9">
              <w:rPr>
                <w:rFonts w:eastAsia="Calibri" w:cs="Arial"/>
                <w:sz w:val="18"/>
                <w:szCs w:val="20"/>
                <w:lang w:val="en-GB" w:eastAsia="en-GB"/>
              </w:rPr>
              <w:br/>
              <w:t>(N = 107)</w:t>
            </w:r>
          </w:p>
        </w:tc>
        <w:tc>
          <w:tcPr>
            <w:tcW w:w="1134" w:type="dxa"/>
            <w:shd w:val="clear" w:color="auto" w:fill="auto"/>
          </w:tcPr>
          <w:p w:rsidR="00930782" w:rsidRPr="00B328F9" w:rsidRDefault="00930782" w:rsidP="00937266">
            <w:pPr>
              <w:spacing w:after="0" w:line="240" w:lineRule="auto"/>
              <w:ind w:left="142"/>
              <w:jc w:val="center"/>
              <w:rPr>
                <w:rFonts w:eastAsia="Calibri" w:cs="Arial"/>
                <w:sz w:val="18"/>
                <w:szCs w:val="20"/>
                <w:lang w:val="en-GB" w:eastAsia="en-GB"/>
              </w:rPr>
            </w:pPr>
            <w:r w:rsidRPr="00B328F9">
              <w:rPr>
                <w:rFonts w:eastAsia="Calibri" w:cs="Arial"/>
                <w:sz w:val="18"/>
                <w:szCs w:val="20"/>
                <w:lang w:val="en-GB" w:eastAsia="en-GB"/>
              </w:rPr>
              <w:t>TALTZ Q2W</w:t>
            </w:r>
            <w:r w:rsidRPr="00B328F9">
              <w:rPr>
                <w:rFonts w:eastAsia="Calibri" w:cs="Arial"/>
                <w:sz w:val="18"/>
                <w:szCs w:val="20"/>
                <w:lang w:val="en-GB" w:eastAsia="en-GB"/>
              </w:rPr>
              <w:br/>
              <w:t>(N = 103)</w:t>
            </w:r>
          </w:p>
        </w:tc>
        <w:tc>
          <w:tcPr>
            <w:tcW w:w="1134" w:type="dxa"/>
            <w:shd w:val="clear" w:color="auto" w:fill="auto"/>
          </w:tcPr>
          <w:p w:rsidR="00930782" w:rsidRPr="00B328F9" w:rsidRDefault="00930782" w:rsidP="00937266">
            <w:pPr>
              <w:spacing w:after="0" w:line="240" w:lineRule="auto"/>
              <w:ind w:left="142"/>
              <w:jc w:val="center"/>
              <w:rPr>
                <w:rFonts w:eastAsia="Calibri" w:cs="Arial"/>
                <w:sz w:val="18"/>
                <w:szCs w:val="20"/>
                <w:lang w:val="en-GB" w:eastAsia="en-GB"/>
              </w:rPr>
            </w:pPr>
            <w:r w:rsidRPr="00B328F9">
              <w:rPr>
                <w:rFonts w:eastAsia="Calibri" w:cs="Arial"/>
                <w:sz w:val="18"/>
                <w:szCs w:val="20"/>
                <w:lang w:val="en-GB" w:eastAsia="en-GB"/>
              </w:rPr>
              <w:t>ADA</w:t>
            </w:r>
            <w:r w:rsidRPr="00B328F9">
              <w:rPr>
                <w:rFonts w:eastAsia="Calibri" w:cs="Arial"/>
                <w:sz w:val="18"/>
                <w:szCs w:val="20"/>
                <w:lang w:val="en-GB" w:eastAsia="en-GB"/>
              </w:rPr>
              <w:br/>
              <w:t>(N = 101)</w:t>
            </w:r>
          </w:p>
        </w:tc>
        <w:tc>
          <w:tcPr>
            <w:tcW w:w="1196" w:type="dxa"/>
            <w:shd w:val="clear" w:color="auto" w:fill="auto"/>
          </w:tcPr>
          <w:p w:rsidR="00930782" w:rsidRPr="00B328F9" w:rsidRDefault="00930782" w:rsidP="00937266">
            <w:pPr>
              <w:spacing w:after="0" w:line="240" w:lineRule="auto"/>
              <w:ind w:left="142"/>
              <w:jc w:val="center"/>
              <w:rPr>
                <w:rFonts w:eastAsia="Calibri" w:cs="Arial"/>
                <w:sz w:val="18"/>
                <w:szCs w:val="20"/>
                <w:lang w:val="en-GB" w:eastAsia="en-GB"/>
              </w:rPr>
            </w:pPr>
            <w:r w:rsidRPr="00B328F9">
              <w:rPr>
                <w:rFonts w:eastAsia="Calibri" w:cs="Arial"/>
                <w:sz w:val="18"/>
                <w:szCs w:val="20"/>
                <w:lang w:val="en-GB" w:eastAsia="en-GB"/>
              </w:rPr>
              <w:t>TALTZ Q4W</w:t>
            </w:r>
          </w:p>
        </w:tc>
        <w:tc>
          <w:tcPr>
            <w:tcW w:w="1418" w:type="dxa"/>
            <w:shd w:val="clear" w:color="auto" w:fill="auto"/>
          </w:tcPr>
          <w:p w:rsidR="00930782" w:rsidRPr="00B328F9" w:rsidRDefault="00930782" w:rsidP="00937266">
            <w:pPr>
              <w:spacing w:after="0" w:line="240" w:lineRule="auto"/>
              <w:ind w:left="142"/>
              <w:jc w:val="center"/>
              <w:rPr>
                <w:rFonts w:eastAsia="Calibri" w:cs="Arial"/>
                <w:sz w:val="18"/>
                <w:szCs w:val="20"/>
                <w:lang w:val="en-GB" w:eastAsia="en-GB"/>
              </w:rPr>
            </w:pPr>
            <w:r w:rsidRPr="00B328F9">
              <w:rPr>
                <w:rFonts w:eastAsia="Calibri" w:cs="Arial"/>
                <w:sz w:val="18"/>
                <w:szCs w:val="20"/>
                <w:lang w:val="en-GB" w:eastAsia="en-GB"/>
              </w:rPr>
              <w:t>TALTZ Q2W</w:t>
            </w:r>
          </w:p>
        </w:tc>
      </w:tr>
      <w:tr w:rsidR="00930782" w:rsidRPr="00B328F9" w:rsidTr="00664085">
        <w:tc>
          <w:tcPr>
            <w:tcW w:w="2155" w:type="dxa"/>
            <w:shd w:val="clear" w:color="auto" w:fill="auto"/>
          </w:tcPr>
          <w:p w:rsidR="00930782" w:rsidRPr="00B328F9" w:rsidRDefault="00930782" w:rsidP="00937266">
            <w:pPr>
              <w:spacing w:before="40" w:after="40" w:line="240" w:lineRule="auto"/>
              <w:ind w:left="142"/>
              <w:rPr>
                <w:rFonts w:eastAsia="Calibri" w:cs="Arial"/>
                <w:sz w:val="18"/>
                <w:szCs w:val="20"/>
                <w:lang w:val="en-GB" w:eastAsia="en-GB"/>
              </w:rPr>
            </w:pPr>
            <w:r w:rsidRPr="00B328F9">
              <w:rPr>
                <w:rFonts w:eastAsia="Calibri" w:cs="Arial"/>
                <w:sz w:val="18"/>
                <w:szCs w:val="20"/>
                <w:lang w:val="en-GB" w:eastAsia="en-GB"/>
              </w:rPr>
              <w:t xml:space="preserve">Baseline score, mean (SD) </w:t>
            </w:r>
          </w:p>
        </w:tc>
        <w:tc>
          <w:tcPr>
            <w:tcW w:w="1134" w:type="dxa"/>
            <w:shd w:val="clear" w:color="auto" w:fill="auto"/>
            <w:vAlign w:val="center"/>
          </w:tcPr>
          <w:p w:rsidR="00930782" w:rsidRPr="00B328F9" w:rsidRDefault="00930782" w:rsidP="00937266">
            <w:pPr>
              <w:spacing w:before="40" w:after="40" w:line="240" w:lineRule="auto"/>
              <w:ind w:left="142"/>
              <w:jc w:val="center"/>
              <w:rPr>
                <w:rFonts w:eastAsia="Calibri" w:cs="Arial"/>
                <w:sz w:val="18"/>
                <w:szCs w:val="20"/>
                <w:lang w:val="en-GB" w:eastAsia="en-GB"/>
              </w:rPr>
            </w:pPr>
            <w:r w:rsidRPr="00B328F9">
              <w:rPr>
                <w:rFonts w:eastAsia="Calibri" w:cs="Arial"/>
                <w:sz w:val="18"/>
                <w:szCs w:val="20"/>
                <w:lang w:val="en-GB" w:eastAsia="en-GB"/>
              </w:rPr>
              <w:t>17.6 (28.62)</w:t>
            </w:r>
          </w:p>
        </w:tc>
        <w:tc>
          <w:tcPr>
            <w:tcW w:w="1134" w:type="dxa"/>
            <w:shd w:val="clear" w:color="auto" w:fill="auto"/>
            <w:vAlign w:val="center"/>
          </w:tcPr>
          <w:p w:rsidR="00930782" w:rsidRPr="00B328F9" w:rsidRDefault="00930782" w:rsidP="00937266">
            <w:pPr>
              <w:spacing w:before="40" w:after="40" w:line="240" w:lineRule="auto"/>
              <w:ind w:left="142"/>
              <w:jc w:val="center"/>
              <w:rPr>
                <w:rFonts w:eastAsia="Calibri" w:cs="Arial"/>
                <w:sz w:val="18"/>
                <w:szCs w:val="20"/>
                <w:lang w:val="en-GB" w:eastAsia="en-GB"/>
              </w:rPr>
            </w:pPr>
            <w:r w:rsidRPr="00B328F9">
              <w:rPr>
                <w:rFonts w:eastAsia="Calibri" w:cs="Arial"/>
                <w:sz w:val="18"/>
                <w:szCs w:val="20"/>
                <w:lang w:val="en-GB" w:eastAsia="en-GB"/>
              </w:rPr>
              <w:t>19.2 (32.68)</w:t>
            </w:r>
          </w:p>
        </w:tc>
        <w:tc>
          <w:tcPr>
            <w:tcW w:w="1134" w:type="dxa"/>
            <w:shd w:val="clear" w:color="auto" w:fill="auto"/>
            <w:vAlign w:val="center"/>
          </w:tcPr>
          <w:p w:rsidR="00930782" w:rsidRPr="00B328F9" w:rsidRDefault="00930782" w:rsidP="00937266">
            <w:pPr>
              <w:spacing w:before="40" w:after="40" w:line="240" w:lineRule="auto"/>
              <w:ind w:left="142"/>
              <w:jc w:val="center"/>
              <w:rPr>
                <w:rFonts w:eastAsia="Calibri" w:cs="Arial"/>
                <w:sz w:val="18"/>
                <w:szCs w:val="20"/>
                <w:lang w:val="en-GB" w:eastAsia="en-GB"/>
              </w:rPr>
            </w:pPr>
            <w:r w:rsidRPr="00B328F9">
              <w:rPr>
                <w:rFonts w:eastAsia="Calibri" w:cs="Arial"/>
                <w:sz w:val="18"/>
                <w:szCs w:val="20"/>
                <w:lang w:val="en-GB" w:eastAsia="en-GB"/>
              </w:rPr>
              <w:t>15.2 (28.86)</w:t>
            </w:r>
          </w:p>
        </w:tc>
        <w:tc>
          <w:tcPr>
            <w:tcW w:w="1134" w:type="dxa"/>
            <w:shd w:val="clear" w:color="auto" w:fill="auto"/>
            <w:vAlign w:val="center"/>
          </w:tcPr>
          <w:p w:rsidR="00930782" w:rsidRPr="00B328F9" w:rsidRDefault="00930782" w:rsidP="00937266">
            <w:pPr>
              <w:spacing w:before="40" w:after="40" w:line="240" w:lineRule="auto"/>
              <w:ind w:left="142"/>
              <w:jc w:val="center"/>
              <w:rPr>
                <w:rFonts w:eastAsia="Calibri" w:cs="Arial"/>
                <w:sz w:val="18"/>
                <w:szCs w:val="20"/>
                <w:lang w:val="en-GB" w:eastAsia="en-GB"/>
              </w:rPr>
            </w:pPr>
            <w:r w:rsidRPr="00B328F9">
              <w:rPr>
                <w:rFonts w:eastAsia="Calibri" w:cs="Arial"/>
                <w:sz w:val="18"/>
                <w:szCs w:val="20"/>
                <w:lang w:val="en-GB" w:eastAsia="en-GB"/>
              </w:rPr>
              <w:t>15.9 (27.37)</w:t>
            </w:r>
          </w:p>
        </w:tc>
        <w:tc>
          <w:tcPr>
            <w:tcW w:w="1196" w:type="dxa"/>
            <w:shd w:val="clear" w:color="auto" w:fill="auto"/>
            <w:vAlign w:val="center"/>
          </w:tcPr>
          <w:p w:rsidR="00930782" w:rsidRPr="00B328F9" w:rsidRDefault="00930782" w:rsidP="00937266">
            <w:pPr>
              <w:spacing w:before="40" w:after="40" w:line="240" w:lineRule="auto"/>
              <w:ind w:left="142"/>
              <w:jc w:val="center"/>
              <w:rPr>
                <w:rFonts w:eastAsia="Calibri" w:cs="Arial"/>
                <w:sz w:val="18"/>
                <w:szCs w:val="20"/>
                <w:lang w:val="en-GB" w:eastAsia="en-GB"/>
              </w:rPr>
            </w:pPr>
            <w:r w:rsidRPr="00B328F9">
              <w:rPr>
                <w:rFonts w:eastAsia="Calibri" w:cs="Arial"/>
                <w:sz w:val="18"/>
                <w:szCs w:val="20"/>
                <w:lang w:val="en-GB" w:eastAsia="en-GB"/>
              </w:rPr>
              <w:t>NA</w:t>
            </w:r>
          </w:p>
        </w:tc>
        <w:tc>
          <w:tcPr>
            <w:tcW w:w="1418" w:type="dxa"/>
            <w:shd w:val="clear" w:color="auto" w:fill="auto"/>
            <w:vAlign w:val="center"/>
          </w:tcPr>
          <w:p w:rsidR="00930782" w:rsidRPr="00B328F9" w:rsidRDefault="00930782" w:rsidP="00937266">
            <w:pPr>
              <w:spacing w:before="40" w:after="40" w:line="240" w:lineRule="auto"/>
              <w:ind w:left="142"/>
              <w:jc w:val="center"/>
              <w:rPr>
                <w:rFonts w:eastAsia="Calibri" w:cs="Arial"/>
                <w:sz w:val="18"/>
                <w:szCs w:val="20"/>
                <w:lang w:val="en-GB" w:eastAsia="en-GB"/>
              </w:rPr>
            </w:pPr>
            <w:r w:rsidRPr="00B328F9">
              <w:rPr>
                <w:rFonts w:eastAsia="Calibri" w:cs="Arial"/>
                <w:sz w:val="18"/>
                <w:szCs w:val="20"/>
                <w:lang w:val="en-GB" w:eastAsia="en-GB"/>
              </w:rPr>
              <w:t>NA</w:t>
            </w:r>
          </w:p>
        </w:tc>
      </w:tr>
      <w:tr w:rsidR="00930782" w:rsidRPr="00B328F9" w:rsidTr="00664085">
        <w:tc>
          <w:tcPr>
            <w:tcW w:w="2155" w:type="dxa"/>
            <w:shd w:val="clear" w:color="auto" w:fill="auto"/>
          </w:tcPr>
          <w:p w:rsidR="00930782" w:rsidRPr="00B328F9" w:rsidRDefault="00930782" w:rsidP="00937266">
            <w:pPr>
              <w:spacing w:before="40" w:after="40" w:line="240" w:lineRule="auto"/>
              <w:ind w:left="142"/>
              <w:rPr>
                <w:rFonts w:eastAsia="Calibri" w:cs="Arial"/>
                <w:sz w:val="18"/>
                <w:szCs w:val="20"/>
                <w:lang w:val="en-GB" w:eastAsia="en-GB"/>
              </w:rPr>
            </w:pPr>
            <w:r w:rsidRPr="00B328F9">
              <w:rPr>
                <w:rFonts w:eastAsia="Calibri" w:cs="Arial"/>
                <w:sz w:val="18"/>
                <w:szCs w:val="20"/>
                <w:lang w:val="en-GB" w:eastAsia="en-GB"/>
              </w:rPr>
              <w:t xml:space="preserve">Change from baseline at Week 24, LSM (SE) </w:t>
            </w:r>
          </w:p>
        </w:tc>
        <w:tc>
          <w:tcPr>
            <w:tcW w:w="1134" w:type="dxa"/>
            <w:shd w:val="clear" w:color="auto" w:fill="auto"/>
            <w:vAlign w:val="center"/>
          </w:tcPr>
          <w:p w:rsidR="00930782" w:rsidRPr="00B328F9" w:rsidRDefault="00930782" w:rsidP="00937266">
            <w:pPr>
              <w:spacing w:before="40" w:after="40" w:line="240" w:lineRule="auto"/>
              <w:ind w:left="142"/>
              <w:jc w:val="center"/>
              <w:rPr>
                <w:rFonts w:eastAsia="Calibri" w:cs="Arial"/>
                <w:sz w:val="18"/>
                <w:szCs w:val="20"/>
                <w:lang w:val="en-GB" w:eastAsia="en-GB"/>
              </w:rPr>
            </w:pPr>
            <w:r w:rsidRPr="00B328F9">
              <w:rPr>
                <w:rFonts w:eastAsia="Calibri" w:cs="Arial"/>
                <w:sz w:val="18"/>
                <w:szCs w:val="20"/>
                <w:lang w:val="en-GB" w:eastAsia="en-GB"/>
              </w:rPr>
              <w:t>0.51 (0.092)</w:t>
            </w:r>
          </w:p>
        </w:tc>
        <w:tc>
          <w:tcPr>
            <w:tcW w:w="1134" w:type="dxa"/>
            <w:shd w:val="clear" w:color="auto" w:fill="auto"/>
            <w:vAlign w:val="center"/>
          </w:tcPr>
          <w:p w:rsidR="00930782" w:rsidRPr="00B328F9" w:rsidRDefault="00930782" w:rsidP="00937266">
            <w:pPr>
              <w:spacing w:before="40" w:after="40" w:line="240" w:lineRule="auto"/>
              <w:ind w:left="142"/>
              <w:jc w:val="center"/>
              <w:rPr>
                <w:rFonts w:eastAsia="Calibri" w:cs="Arial"/>
                <w:sz w:val="18"/>
                <w:szCs w:val="20"/>
                <w:lang w:val="en-GB" w:eastAsia="en-GB"/>
              </w:rPr>
            </w:pPr>
            <w:r w:rsidRPr="00B328F9">
              <w:rPr>
                <w:rFonts w:eastAsia="Calibri" w:cs="Arial"/>
                <w:sz w:val="18"/>
                <w:szCs w:val="20"/>
                <w:lang w:val="en-GB" w:eastAsia="en-GB"/>
              </w:rPr>
              <w:t>0.18 (0.090)</w:t>
            </w:r>
          </w:p>
        </w:tc>
        <w:tc>
          <w:tcPr>
            <w:tcW w:w="1134" w:type="dxa"/>
            <w:shd w:val="clear" w:color="auto" w:fill="auto"/>
            <w:vAlign w:val="center"/>
          </w:tcPr>
          <w:p w:rsidR="00930782" w:rsidRPr="00B328F9" w:rsidRDefault="00930782" w:rsidP="00937266">
            <w:pPr>
              <w:spacing w:before="40" w:after="40" w:line="240" w:lineRule="auto"/>
              <w:ind w:left="142"/>
              <w:jc w:val="center"/>
              <w:rPr>
                <w:rFonts w:eastAsia="Calibri" w:cs="Arial"/>
                <w:sz w:val="18"/>
                <w:szCs w:val="20"/>
                <w:lang w:val="en-GB" w:eastAsia="en-GB"/>
              </w:rPr>
            </w:pPr>
            <w:r w:rsidRPr="00B328F9">
              <w:rPr>
                <w:rFonts w:eastAsia="Calibri" w:cs="Arial"/>
                <w:sz w:val="18"/>
                <w:szCs w:val="20"/>
                <w:lang w:val="en-GB" w:eastAsia="en-GB"/>
              </w:rPr>
              <w:t>0.09 (0.091)</w:t>
            </w:r>
          </w:p>
        </w:tc>
        <w:tc>
          <w:tcPr>
            <w:tcW w:w="1134" w:type="dxa"/>
            <w:shd w:val="clear" w:color="auto" w:fill="auto"/>
            <w:vAlign w:val="center"/>
          </w:tcPr>
          <w:p w:rsidR="00930782" w:rsidRPr="00B328F9" w:rsidRDefault="00930782" w:rsidP="00937266">
            <w:pPr>
              <w:spacing w:before="40" w:after="40" w:line="240" w:lineRule="auto"/>
              <w:ind w:left="142"/>
              <w:jc w:val="center"/>
              <w:rPr>
                <w:rFonts w:eastAsia="Calibri" w:cs="Arial"/>
                <w:sz w:val="18"/>
                <w:szCs w:val="20"/>
                <w:lang w:val="en-GB" w:eastAsia="en-GB"/>
              </w:rPr>
            </w:pPr>
            <w:r w:rsidRPr="00B328F9">
              <w:rPr>
                <w:rFonts w:eastAsia="Calibri" w:cs="Arial"/>
                <w:sz w:val="18"/>
                <w:szCs w:val="20"/>
                <w:lang w:val="en-GB" w:eastAsia="en-GB"/>
              </w:rPr>
              <w:t>0.13 (0.093)</w:t>
            </w:r>
          </w:p>
        </w:tc>
        <w:tc>
          <w:tcPr>
            <w:tcW w:w="1196" w:type="dxa"/>
            <w:shd w:val="clear" w:color="auto" w:fill="auto"/>
            <w:vAlign w:val="center"/>
          </w:tcPr>
          <w:p w:rsidR="00930782" w:rsidRPr="00B328F9" w:rsidRDefault="00930782" w:rsidP="00937266">
            <w:pPr>
              <w:spacing w:before="40" w:after="40" w:line="240" w:lineRule="auto"/>
              <w:ind w:left="142"/>
              <w:jc w:val="center"/>
              <w:rPr>
                <w:rFonts w:eastAsia="Calibri" w:cs="Arial"/>
                <w:sz w:val="18"/>
                <w:szCs w:val="20"/>
                <w:lang w:val="en-GB" w:eastAsia="en-GB"/>
              </w:rPr>
            </w:pPr>
            <w:r w:rsidRPr="00B328F9">
              <w:rPr>
                <w:rFonts w:eastAsia="Calibri" w:cs="Arial"/>
                <w:sz w:val="18"/>
                <w:szCs w:val="20"/>
                <w:lang w:val="en-GB" w:eastAsia="en-GB"/>
              </w:rPr>
              <w:t>-0.33</w:t>
            </w:r>
          </w:p>
          <w:p w:rsidR="00930782" w:rsidRPr="00B328F9" w:rsidRDefault="00930782" w:rsidP="00937266">
            <w:pPr>
              <w:spacing w:before="40" w:after="40" w:line="240" w:lineRule="auto"/>
              <w:ind w:left="142"/>
              <w:jc w:val="center"/>
              <w:rPr>
                <w:rFonts w:eastAsia="Calibri" w:cs="Arial"/>
                <w:sz w:val="18"/>
                <w:szCs w:val="20"/>
                <w:lang w:val="en-GB" w:eastAsia="en-GB"/>
              </w:rPr>
            </w:pPr>
            <w:r w:rsidRPr="00B328F9">
              <w:rPr>
                <w:rFonts w:eastAsia="Calibri" w:cs="Arial"/>
                <w:sz w:val="18"/>
                <w:szCs w:val="20"/>
                <w:lang w:val="en-GB" w:eastAsia="en-GB"/>
              </w:rPr>
              <w:t>(-0.57,</w:t>
            </w:r>
            <w:r w:rsidRPr="00B328F9">
              <w:rPr>
                <w:rFonts w:eastAsia="Calibri" w:cs="Arial"/>
                <w:sz w:val="18"/>
                <w:szCs w:val="20"/>
                <w:lang w:val="en-GB" w:eastAsia="en-GB"/>
              </w:rPr>
              <w:br/>
              <w:t>-0.09)</w:t>
            </w:r>
            <w:r w:rsidRPr="00B328F9">
              <w:rPr>
                <w:rFonts w:eastAsia="Calibri" w:cs="Arial"/>
                <w:sz w:val="18"/>
                <w:szCs w:val="20"/>
                <w:vertAlign w:val="superscript"/>
                <w:lang w:val="en-GB" w:eastAsia="en-GB"/>
              </w:rPr>
              <w:t>b</w:t>
            </w:r>
          </w:p>
        </w:tc>
        <w:tc>
          <w:tcPr>
            <w:tcW w:w="1418" w:type="dxa"/>
            <w:shd w:val="clear" w:color="auto" w:fill="auto"/>
            <w:vAlign w:val="center"/>
          </w:tcPr>
          <w:p w:rsidR="00930782" w:rsidRPr="00B328F9" w:rsidRDefault="00930782" w:rsidP="00937266">
            <w:pPr>
              <w:spacing w:before="40" w:after="40" w:line="240" w:lineRule="auto"/>
              <w:ind w:left="142"/>
              <w:jc w:val="center"/>
              <w:rPr>
                <w:rFonts w:eastAsia="Calibri" w:cs="Arial"/>
                <w:sz w:val="18"/>
                <w:szCs w:val="20"/>
                <w:lang w:val="en-GB" w:eastAsia="en-GB"/>
              </w:rPr>
            </w:pPr>
            <w:r w:rsidRPr="00B328F9">
              <w:rPr>
                <w:rFonts w:eastAsia="Calibri" w:cs="Arial"/>
                <w:sz w:val="18"/>
                <w:szCs w:val="20"/>
                <w:lang w:val="en-GB" w:eastAsia="en-GB"/>
              </w:rPr>
              <w:t>-0.42</w:t>
            </w:r>
          </w:p>
          <w:p w:rsidR="00930782" w:rsidRPr="00B328F9" w:rsidRDefault="00930782" w:rsidP="00937266">
            <w:pPr>
              <w:spacing w:before="40" w:after="40" w:line="240" w:lineRule="auto"/>
              <w:ind w:left="142"/>
              <w:jc w:val="center"/>
              <w:rPr>
                <w:rFonts w:eastAsia="Calibri" w:cs="Arial"/>
                <w:sz w:val="18"/>
                <w:szCs w:val="20"/>
                <w:lang w:val="en-GB" w:eastAsia="en-GB"/>
              </w:rPr>
            </w:pPr>
            <w:r w:rsidRPr="00B328F9">
              <w:rPr>
                <w:rFonts w:eastAsia="Calibri" w:cs="Arial"/>
                <w:sz w:val="18"/>
                <w:szCs w:val="20"/>
                <w:lang w:val="en-GB" w:eastAsia="en-GB"/>
              </w:rPr>
              <w:t>(-0.66,</w:t>
            </w:r>
            <w:r w:rsidRPr="00B328F9">
              <w:rPr>
                <w:rFonts w:eastAsia="Calibri" w:cs="Arial"/>
                <w:sz w:val="18"/>
                <w:szCs w:val="20"/>
                <w:lang w:val="en-GB" w:eastAsia="en-GB"/>
              </w:rPr>
              <w:br/>
              <w:t>-0.19)</w:t>
            </w:r>
            <w:r w:rsidRPr="00B328F9">
              <w:rPr>
                <w:rFonts w:eastAsia="Calibri" w:cs="Arial"/>
                <w:sz w:val="18"/>
                <w:szCs w:val="20"/>
                <w:vertAlign w:val="superscript"/>
                <w:lang w:val="en-GB" w:eastAsia="en-GB"/>
              </w:rPr>
              <w:t>c</w:t>
            </w:r>
          </w:p>
        </w:tc>
      </w:tr>
    </w:tbl>
    <w:p w:rsidR="00BD0E75" w:rsidRPr="00930782" w:rsidRDefault="004855EF" w:rsidP="00937266">
      <w:pPr>
        <w:pStyle w:val="TblFootnote"/>
        <w:ind w:left="142" w:firstLine="0"/>
      </w:pPr>
      <w:r w:rsidRPr="00930782">
        <w:t xml:space="preserve">Abbreviations:  ADA = adalimumab; CI = confidence interval; Q4W = TALTZ 80 mg every 4 weeks; Q2W = TALTZ 80 mg every 2 weeks; LSM = least squares mean; N = number of patients in the analysis population; PBO = placebo; SE = standard error. </w:t>
      </w:r>
      <w:r w:rsidRPr="00930782">
        <w:br/>
      </w:r>
      <w:r w:rsidRPr="00930782">
        <w:rPr>
          <w:vertAlign w:val="superscript"/>
        </w:rPr>
        <w:t>b</w:t>
      </w:r>
      <w:r w:rsidRPr="00930782">
        <w:t xml:space="preserve">  p&lt;0.01;    </w:t>
      </w:r>
      <w:r w:rsidRPr="00930782">
        <w:rPr>
          <w:vertAlign w:val="superscript"/>
        </w:rPr>
        <w:t>c</w:t>
      </w:r>
      <w:r w:rsidRPr="00930782">
        <w:t xml:space="preserve"> p&lt;0.001 compared with placebo.</w:t>
      </w:r>
    </w:p>
    <w:p w:rsidR="005C7CD9" w:rsidRDefault="004855EF" w:rsidP="00937266">
      <w:pPr>
        <w:ind w:left="142"/>
      </w:pPr>
      <w:r>
        <w:lastRenderedPageBreak/>
        <w:t xml:space="preserve">Inhibition of structural damage was maintained with TALTZ treatment up to Week 52. The percentage of patients with no radiographic joint damage progression (defined as a change from baseline in mTSS of ≤ 0.5) from randomisation to Week 24 was 89.0% for TALTZ Q4W, 94.8% for TALTZ Q2W, 95.8% for adalimumab, and 77.4% for placebo. The percentage of </w:t>
      </w:r>
    </w:p>
    <w:p w:rsidR="004855EF" w:rsidRDefault="004855EF" w:rsidP="00937266">
      <w:pPr>
        <w:ind w:left="142"/>
      </w:pPr>
      <w:r>
        <w:t xml:space="preserve">patients with no disease progression from Week 24 to Week 52 for TALTZ Q4W and TALTZ Q2W was 85.6% and 89.6% respectively; and it was 90.9% and 73.3% respectively for placebo patients who switched to TALTZ Q4W or TALTZ Q2W at Week 16 or Week 24. </w:t>
      </w:r>
    </w:p>
    <w:p w:rsidR="004855EF" w:rsidRDefault="004855EF" w:rsidP="00937266">
      <w:pPr>
        <w:pStyle w:val="Heading4"/>
        <w:ind w:left="142"/>
      </w:pPr>
      <w:r>
        <w:t>Physical function and health-related quality of life</w:t>
      </w:r>
    </w:p>
    <w:p w:rsidR="004855EF" w:rsidRDefault="004855EF" w:rsidP="00937266">
      <w:pPr>
        <w:ind w:left="142"/>
      </w:pPr>
      <w:r>
        <w:t>In both SPIRIT-P1 and SPIRIT-P2, patients treated with TALTZ Q2W (p &lt; 0.001) and Q4W (p &lt; 0.001) showed significant improvement in physical function compared to patients treated with placebo as assessed by Health Assessment Questionnaire-Disability Index (HAQ-DI) at Week 24, and maintained at Week 52 in SPIRIT-P1.</w:t>
      </w:r>
    </w:p>
    <w:p w:rsidR="00B0181A" w:rsidRDefault="00B0181A" w:rsidP="00937266">
      <w:pPr>
        <w:ind w:left="142"/>
      </w:pPr>
      <w:r w:rsidRPr="00B0181A">
        <w:t>TALTZ-treated patients in the TALTZ Q2W and TALTZ Q4W groups (SPIRIT-P1 and SPIRIT-P2 combined) reported significant improvements from baseline in health-related quality of life at Weeks 12 and 24 as measured by the Short Form-36 Health Survey Physical Component Summary (SF-36 PCS) score (p&lt;0.001). There were also statistically significant improvements demonstrated in fatigue from baseline at Weeks 12 and 24 in TALTZ-treated patients in the TALTZ Q2W and TALTZ Q4W groups (SPIRIT-P1 and SPIRIT-P2 combined), as measured by the Fatigue Numeric Rating Scale Worst Level (p&lt;0.001 ).</w:t>
      </w:r>
    </w:p>
    <w:p w:rsidR="003E4CFB" w:rsidRPr="00C9158B" w:rsidRDefault="009205CD" w:rsidP="00937266">
      <w:pPr>
        <w:pStyle w:val="Heading4"/>
        <w:ind w:left="142"/>
        <w:rPr>
          <w:b/>
        </w:rPr>
      </w:pPr>
      <w:r>
        <w:rPr>
          <w:b/>
        </w:rPr>
        <w:t>Ankylosing</w:t>
      </w:r>
      <w:r w:rsidR="003E4CFB" w:rsidRPr="00C9158B">
        <w:rPr>
          <w:b/>
        </w:rPr>
        <w:t xml:space="preserve"> </w:t>
      </w:r>
      <w:r>
        <w:rPr>
          <w:b/>
        </w:rPr>
        <w:t>Spondylitis</w:t>
      </w:r>
      <w:r w:rsidR="003E4CFB" w:rsidRPr="00C9158B">
        <w:rPr>
          <w:b/>
        </w:rPr>
        <w:t xml:space="preserve"> </w:t>
      </w:r>
    </w:p>
    <w:p w:rsidR="00487FE6" w:rsidRDefault="00C615F8" w:rsidP="00937266">
      <w:pPr>
        <w:pStyle w:val="PLRBodyTextIndented"/>
        <w:spacing w:after="200" w:line="259" w:lineRule="auto"/>
        <w:ind w:left="142" w:firstLine="0"/>
        <w:rPr>
          <w:rFonts w:ascii="Cambria" w:hAnsi="Cambria"/>
          <w:sz w:val="22"/>
          <w:szCs w:val="22"/>
          <w:lang w:val="en-AU"/>
        </w:rPr>
      </w:pPr>
      <w:r w:rsidRPr="00487FE6">
        <w:rPr>
          <w:rFonts w:ascii="Cambria" w:hAnsi="Cambria"/>
          <w:sz w:val="22"/>
          <w:szCs w:val="22"/>
          <w:lang w:val="en-AU"/>
        </w:rPr>
        <w:t>The safety and efficacy of TALTZ were assessed in 567 patients, in 2 randomi</w:t>
      </w:r>
      <w:r w:rsidR="00C364F8">
        <w:rPr>
          <w:rFonts w:ascii="Cambria" w:hAnsi="Cambria"/>
          <w:sz w:val="22"/>
          <w:szCs w:val="22"/>
          <w:lang w:val="en-AU"/>
        </w:rPr>
        <w:t>s</w:t>
      </w:r>
      <w:r w:rsidRPr="00487FE6">
        <w:rPr>
          <w:rFonts w:ascii="Cambria" w:hAnsi="Cambria"/>
          <w:sz w:val="22"/>
          <w:szCs w:val="22"/>
          <w:lang w:val="en-AU"/>
        </w:rPr>
        <w:t>ed, double-blind, placebo-controlled studies (</w:t>
      </w:r>
      <w:r w:rsidR="00C364F8">
        <w:rPr>
          <w:rFonts w:ascii="Cambria" w:hAnsi="Cambria"/>
          <w:sz w:val="22"/>
          <w:szCs w:val="22"/>
          <w:lang w:val="en-AU"/>
        </w:rPr>
        <w:t>COAST-V</w:t>
      </w:r>
      <w:r w:rsidRPr="00487FE6">
        <w:rPr>
          <w:rFonts w:ascii="Cambria" w:hAnsi="Cambria"/>
          <w:sz w:val="22"/>
          <w:szCs w:val="22"/>
          <w:lang w:val="en-AU"/>
        </w:rPr>
        <w:t xml:space="preserve"> and </w:t>
      </w:r>
      <w:r w:rsidR="00C364F8">
        <w:rPr>
          <w:rFonts w:ascii="Cambria" w:hAnsi="Cambria"/>
          <w:sz w:val="22"/>
          <w:szCs w:val="22"/>
          <w:lang w:val="en-AU"/>
        </w:rPr>
        <w:t>COAST-W</w:t>
      </w:r>
      <w:r w:rsidRPr="00487FE6">
        <w:rPr>
          <w:rFonts w:ascii="Cambria" w:hAnsi="Cambria"/>
          <w:sz w:val="22"/>
          <w:szCs w:val="22"/>
          <w:lang w:val="en-AU"/>
        </w:rPr>
        <w:t xml:space="preserve">) in adult patients, age 18 years and older with active ankylosing spondylitis. Patients had active disease as defined by the Bath Ankylosing Spondylitis Disease Activity Index (BASDAI) ≥4 despite non-steroidal anti-inflammatory drug (NSAID), corticosteroid, or disease modifying anti-rheumatic drug (DMARD) therapy. At baseline, patients had symptoms of </w:t>
      </w:r>
      <w:r w:rsidR="001C71F4">
        <w:rPr>
          <w:rFonts w:ascii="Cambria" w:hAnsi="Cambria"/>
          <w:sz w:val="22"/>
          <w:szCs w:val="22"/>
          <w:lang w:val="en-AU"/>
        </w:rPr>
        <w:t>a</w:t>
      </w:r>
      <w:r w:rsidR="00C364F8">
        <w:rPr>
          <w:rFonts w:ascii="Cambria" w:hAnsi="Cambria"/>
          <w:sz w:val="22"/>
          <w:szCs w:val="22"/>
          <w:lang w:val="en-AU"/>
        </w:rPr>
        <w:t xml:space="preserve">nkylosing </w:t>
      </w:r>
      <w:r w:rsidR="001C71F4">
        <w:rPr>
          <w:rFonts w:ascii="Cambria" w:hAnsi="Cambria"/>
          <w:sz w:val="22"/>
          <w:szCs w:val="22"/>
          <w:lang w:val="en-AU"/>
        </w:rPr>
        <w:t>s</w:t>
      </w:r>
      <w:r w:rsidR="00C364F8">
        <w:rPr>
          <w:rFonts w:ascii="Cambria" w:hAnsi="Cambria"/>
          <w:sz w:val="22"/>
          <w:szCs w:val="22"/>
          <w:lang w:val="en-AU"/>
        </w:rPr>
        <w:t xml:space="preserve">pondylitis </w:t>
      </w:r>
      <w:r w:rsidRPr="00487FE6">
        <w:rPr>
          <w:rFonts w:ascii="Cambria" w:hAnsi="Cambria"/>
          <w:sz w:val="22"/>
          <w:szCs w:val="22"/>
          <w:lang w:val="en-AU"/>
        </w:rPr>
        <w:t xml:space="preserve">for an average of 17 years across both studies. At baseline, approximately 32% of the patients were on a concomitant cDMARD. In </w:t>
      </w:r>
      <w:r w:rsidR="00C364F8">
        <w:rPr>
          <w:rFonts w:ascii="Cambria" w:hAnsi="Cambria"/>
          <w:sz w:val="22"/>
          <w:szCs w:val="22"/>
          <w:lang w:val="en-AU"/>
        </w:rPr>
        <w:t>COAST-W</w:t>
      </w:r>
      <w:r w:rsidRPr="00487FE6">
        <w:rPr>
          <w:rFonts w:ascii="Cambria" w:hAnsi="Cambria"/>
          <w:sz w:val="22"/>
          <w:szCs w:val="22"/>
          <w:lang w:val="en-AU"/>
        </w:rPr>
        <w:t>, all patients discontinued previous treatment with 1 or 2 TNF inhibitors due to either inadequate response or intolerance.</w:t>
      </w:r>
    </w:p>
    <w:p w:rsidR="00C615F8" w:rsidRPr="00487FE6" w:rsidRDefault="00C364F8" w:rsidP="00937266">
      <w:pPr>
        <w:pStyle w:val="PLRBodyTextIndented"/>
        <w:spacing w:after="200" w:line="259" w:lineRule="auto"/>
        <w:ind w:left="142" w:firstLine="0"/>
        <w:rPr>
          <w:rFonts w:ascii="Cambria" w:hAnsi="Cambria"/>
          <w:sz w:val="22"/>
          <w:szCs w:val="22"/>
          <w:lang w:val="en-AU"/>
        </w:rPr>
      </w:pPr>
      <w:r>
        <w:rPr>
          <w:rFonts w:ascii="Cambria" w:hAnsi="Cambria"/>
          <w:sz w:val="22"/>
        </w:rPr>
        <w:t>COAST-V</w:t>
      </w:r>
      <w:r w:rsidR="00C615F8" w:rsidRPr="00B61A39">
        <w:rPr>
          <w:rFonts w:ascii="Cambria" w:hAnsi="Cambria"/>
          <w:sz w:val="22"/>
        </w:rPr>
        <w:t xml:space="preserve"> evaluated 341 biologic-naive patients, who were treated with either TALTZ 80 mg or 160 mg at Week 0 followed by 80 mg every 2 weeks (Q2W) or 4 weeks (Q4W), adalimumab 40 mg every 2 weeks, or with placebo. Patients receiving placebo were re-</w:t>
      </w:r>
      <w:r>
        <w:rPr>
          <w:rFonts w:ascii="Cambria" w:hAnsi="Cambria"/>
          <w:sz w:val="22"/>
        </w:rPr>
        <w:t xml:space="preserve">randomised at </w:t>
      </w:r>
      <w:r w:rsidR="00C615F8" w:rsidRPr="00B61A39">
        <w:rPr>
          <w:rFonts w:ascii="Cambria" w:hAnsi="Cambria"/>
          <w:sz w:val="22"/>
        </w:rPr>
        <w:t>Week 16 to receive TALTZ (160 mg starting dose, followed by 80 mg Q2W or Q4W). Patients receiving adalimumab were re-</w:t>
      </w:r>
      <w:r>
        <w:rPr>
          <w:rFonts w:ascii="Cambria" w:hAnsi="Cambria"/>
          <w:sz w:val="22"/>
        </w:rPr>
        <w:t>randomised</w:t>
      </w:r>
      <w:r w:rsidR="00C615F8" w:rsidRPr="00B61A39">
        <w:rPr>
          <w:rFonts w:ascii="Cambria" w:hAnsi="Cambria"/>
          <w:sz w:val="22"/>
        </w:rPr>
        <w:t xml:space="preserve"> at Week 16 to receive TALTZ (80 mg Q2W or Q4W). </w:t>
      </w:r>
      <w:r>
        <w:rPr>
          <w:rFonts w:ascii="Cambria" w:hAnsi="Cambria"/>
          <w:sz w:val="22"/>
        </w:rPr>
        <w:t xml:space="preserve">COAST-W </w:t>
      </w:r>
      <w:r w:rsidR="00C615F8" w:rsidRPr="00B61A39">
        <w:rPr>
          <w:rFonts w:ascii="Cambria" w:hAnsi="Cambria"/>
          <w:sz w:val="22"/>
        </w:rPr>
        <w:t>evaluated 316 TNF-inhibitor experienced patients (90% were inadequate responders and 10% were intolerant to TNF inhibitors). All patients were treated with TALTZ 80 or 160 mg at Week 0 followed by 80 mg Q2W or Q4W, or with placebo. Patients receiving placebo were re-randomi</w:t>
      </w:r>
      <w:r w:rsidR="006E7862">
        <w:rPr>
          <w:rFonts w:ascii="Cambria" w:hAnsi="Cambria"/>
          <w:sz w:val="22"/>
        </w:rPr>
        <w:t>s</w:t>
      </w:r>
      <w:r w:rsidR="00C615F8" w:rsidRPr="00B61A39">
        <w:rPr>
          <w:rFonts w:ascii="Cambria" w:hAnsi="Cambria"/>
          <w:sz w:val="22"/>
        </w:rPr>
        <w:t>ed at Week 16 to receive TALTZ (160 mg initial dose, followed by 80 mg Q2W or Q4W). The primary endpoint in both studies was the percentage of patients achieving an Assessment of Spondyloarthritis International Society 40 (ASAS40) response at Week 16.</w:t>
      </w:r>
    </w:p>
    <w:p w:rsidR="00C615F8" w:rsidRPr="00487FE6" w:rsidRDefault="00C615F8" w:rsidP="00937266">
      <w:pPr>
        <w:pStyle w:val="Heading4"/>
        <w:ind w:left="142"/>
      </w:pPr>
      <w:r w:rsidRPr="00487FE6">
        <w:t>Clinical Response</w:t>
      </w:r>
    </w:p>
    <w:p w:rsidR="00C615F8" w:rsidRPr="00487FE6" w:rsidRDefault="00C615F8" w:rsidP="00937266">
      <w:pPr>
        <w:pStyle w:val="PLRBodyTextIndented"/>
        <w:spacing w:line="259" w:lineRule="auto"/>
        <w:ind w:left="142" w:firstLine="0"/>
        <w:rPr>
          <w:rFonts w:ascii="Cambria" w:hAnsi="Cambria"/>
          <w:sz w:val="22"/>
        </w:rPr>
      </w:pPr>
      <w:r w:rsidRPr="00487FE6">
        <w:rPr>
          <w:rFonts w:ascii="Cambria" w:hAnsi="Cambria"/>
          <w:sz w:val="22"/>
        </w:rPr>
        <w:t xml:space="preserve">In both studies, patients treated with TALTZ 80 mg Q2W and 80 mg Q4W demonstrated greater improvements in ASAS40 and ASAS20 responses compared to placebo at Week 16 (Table </w:t>
      </w:r>
      <w:r w:rsidR="00A5341B">
        <w:rPr>
          <w:rFonts w:ascii="Cambria" w:hAnsi="Cambria"/>
          <w:sz w:val="22"/>
        </w:rPr>
        <w:t>11</w:t>
      </w:r>
      <w:r w:rsidRPr="00487FE6">
        <w:rPr>
          <w:rFonts w:ascii="Cambria" w:hAnsi="Cambria"/>
          <w:sz w:val="22"/>
        </w:rPr>
        <w:t xml:space="preserve">). </w:t>
      </w:r>
      <w:r w:rsidRPr="00487FE6">
        <w:rPr>
          <w:rFonts w:ascii="Cambria" w:hAnsi="Cambria"/>
          <w:sz w:val="22"/>
        </w:rPr>
        <w:lastRenderedPageBreak/>
        <w:t xml:space="preserve">Responses were similar in patients regardless of concomitant therapies. In </w:t>
      </w:r>
      <w:r w:rsidR="006E7862">
        <w:rPr>
          <w:rFonts w:ascii="Cambria" w:hAnsi="Cambria"/>
          <w:sz w:val="22"/>
        </w:rPr>
        <w:t>COAST-W</w:t>
      </w:r>
      <w:r w:rsidRPr="00487FE6">
        <w:rPr>
          <w:rFonts w:ascii="Cambria" w:hAnsi="Cambria"/>
          <w:sz w:val="22"/>
        </w:rPr>
        <w:t>, responses were seen regardless of the number of prior TNF inhibitors.</w:t>
      </w:r>
    </w:p>
    <w:p w:rsidR="00F6516C" w:rsidRDefault="00F6516C" w:rsidP="00937266">
      <w:pPr>
        <w:pStyle w:val="PLRBodyTextIndented"/>
        <w:ind w:left="142"/>
      </w:pPr>
    </w:p>
    <w:p w:rsidR="00C615F8" w:rsidRPr="00D812EA" w:rsidRDefault="00C615F8" w:rsidP="00937266">
      <w:pPr>
        <w:pStyle w:val="TableTitle"/>
        <w:ind w:left="142"/>
      </w:pPr>
      <w:r>
        <w:t>ASAS20 and ASAS40 Responses</w:t>
      </w:r>
      <w:r w:rsidRPr="00D812EA">
        <w:t xml:space="preserve"> at Week </w:t>
      </w:r>
      <w:r>
        <w:t>16, NRI</w:t>
      </w:r>
      <w:r>
        <w:rPr>
          <w:vertAlign w:val="superscript"/>
        </w:rPr>
        <w:t>a,b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242"/>
        <w:gridCol w:w="1061"/>
        <w:gridCol w:w="1580"/>
        <w:gridCol w:w="1292"/>
        <w:gridCol w:w="1075"/>
        <w:gridCol w:w="1589"/>
      </w:tblGrid>
      <w:tr w:rsidR="00C615F8" w:rsidRPr="00D812EA" w:rsidTr="00A75306">
        <w:tc>
          <w:tcPr>
            <w:tcW w:w="1862" w:type="dxa"/>
            <w:vMerge w:val="restart"/>
            <w:shd w:val="clear" w:color="auto" w:fill="auto"/>
          </w:tcPr>
          <w:p w:rsidR="00C615F8" w:rsidRPr="00A75306" w:rsidRDefault="00C615F8" w:rsidP="00937266">
            <w:pPr>
              <w:pStyle w:val="PLRTable1stLevelIndent"/>
              <w:keepNext/>
              <w:ind w:left="142"/>
              <w:rPr>
                <w:color w:val="auto"/>
              </w:rPr>
            </w:pPr>
          </w:p>
        </w:tc>
        <w:tc>
          <w:tcPr>
            <w:tcW w:w="4402" w:type="dxa"/>
            <w:gridSpan w:val="3"/>
            <w:shd w:val="clear" w:color="auto" w:fill="auto"/>
          </w:tcPr>
          <w:p w:rsidR="00C615F8" w:rsidRPr="00A75306" w:rsidRDefault="006E7862" w:rsidP="00937266">
            <w:pPr>
              <w:pStyle w:val="PLRTableDataCentered"/>
              <w:keepNext/>
              <w:ind w:left="142"/>
              <w:rPr>
                <w:b/>
                <w:color w:val="auto"/>
              </w:rPr>
            </w:pPr>
            <w:r>
              <w:rPr>
                <w:b/>
                <w:color w:val="auto"/>
              </w:rPr>
              <w:t>COAST-V</w:t>
            </w:r>
            <w:r w:rsidR="00C615F8" w:rsidRPr="00A75306">
              <w:rPr>
                <w:b/>
                <w:color w:val="auto"/>
              </w:rPr>
              <w:t xml:space="preserve"> – biologic-naive</w:t>
            </w:r>
          </w:p>
        </w:tc>
        <w:tc>
          <w:tcPr>
            <w:tcW w:w="4418" w:type="dxa"/>
            <w:gridSpan w:val="3"/>
            <w:shd w:val="clear" w:color="auto" w:fill="auto"/>
          </w:tcPr>
          <w:p w:rsidR="00C615F8" w:rsidRPr="00A75306" w:rsidRDefault="006E7862" w:rsidP="00937266">
            <w:pPr>
              <w:pStyle w:val="PLRTableDataCentered"/>
              <w:keepNext/>
              <w:ind w:left="142"/>
              <w:rPr>
                <w:b/>
                <w:color w:val="auto"/>
              </w:rPr>
            </w:pPr>
            <w:r>
              <w:rPr>
                <w:b/>
                <w:color w:val="auto"/>
              </w:rPr>
              <w:t>COAST-W</w:t>
            </w:r>
            <w:r w:rsidR="00C615F8" w:rsidRPr="00A75306">
              <w:rPr>
                <w:b/>
                <w:color w:val="auto"/>
              </w:rPr>
              <w:t xml:space="preserve"> – TNF-inhibitor experienced</w:t>
            </w:r>
          </w:p>
        </w:tc>
      </w:tr>
      <w:tr w:rsidR="00C615F8" w:rsidRPr="00D812EA" w:rsidTr="00A75306">
        <w:tc>
          <w:tcPr>
            <w:tcW w:w="1862" w:type="dxa"/>
            <w:vMerge/>
            <w:shd w:val="clear" w:color="auto" w:fill="auto"/>
          </w:tcPr>
          <w:p w:rsidR="00C615F8" w:rsidRPr="00A75306" w:rsidRDefault="00C615F8" w:rsidP="00937266">
            <w:pPr>
              <w:pStyle w:val="PLRTable1stLevelIndent"/>
              <w:keepNext/>
              <w:ind w:left="142"/>
              <w:rPr>
                <w:color w:val="auto"/>
              </w:rPr>
            </w:pPr>
          </w:p>
        </w:tc>
        <w:tc>
          <w:tcPr>
            <w:tcW w:w="1459" w:type="dxa"/>
            <w:shd w:val="clear" w:color="auto" w:fill="auto"/>
          </w:tcPr>
          <w:p w:rsidR="00C615F8" w:rsidRPr="00A75306" w:rsidRDefault="00C615F8" w:rsidP="00937266">
            <w:pPr>
              <w:pStyle w:val="PLRTableDataCentered"/>
              <w:keepNext/>
              <w:ind w:left="142"/>
              <w:rPr>
                <w:b/>
                <w:color w:val="auto"/>
              </w:rPr>
            </w:pPr>
            <w:r w:rsidRPr="00A75306">
              <w:rPr>
                <w:b/>
                <w:color w:val="auto"/>
              </w:rPr>
              <w:t>TALTZ</w:t>
            </w:r>
          </w:p>
          <w:p w:rsidR="00C615F8" w:rsidRPr="00A75306" w:rsidRDefault="00C615F8" w:rsidP="00937266">
            <w:pPr>
              <w:pStyle w:val="PLRTableDataCentered"/>
              <w:keepNext/>
              <w:ind w:left="142"/>
              <w:rPr>
                <w:b/>
                <w:color w:val="auto"/>
              </w:rPr>
            </w:pPr>
            <w:r w:rsidRPr="00A75306">
              <w:rPr>
                <w:b/>
                <w:color w:val="auto"/>
              </w:rPr>
              <w:t>80 mg</w:t>
            </w:r>
          </w:p>
          <w:p w:rsidR="00C615F8" w:rsidRPr="00A75306" w:rsidRDefault="00C615F8" w:rsidP="00937266">
            <w:pPr>
              <w:pStyle w:val="PLRTableDataCentered"/>
              <w:keepNext/>
              <w:ind w:left="142"/>
              <w:rPr>
                <w:b/>
                <w:color w:val="auto"/>
              </w:rPr>
            </w:pPr>
            <w:r w:rsidRPr="00A75306">
              <w:rPr>
                <w:b/>
                <w:color w:val="auto"/>
              </w:rPr>
              <w:t>Q4W</w:t>
            </w:r>
            <w:r w:rsidRPr="00A75306">
              <w:rPr>
                <w:b/>
                <w:color w:val="auto"/>
                <w:vertAlign w:val="superscript"/>
              </w:rPr>
              <w:t>c</w:t>
            </w:r>
          </w:p>
          <w:p w:rsidR="00C615F8" w:rsidRPr="00A75306" w:rsidRDefault="00C615F8" w:rsidP="00937266">
            <w:pPr>
              <w:pStyle w:val="PLRTableDataCentered"/>
              <w:keepNext/>
              <w:ind w:left="142"/>
              <w:rPr>
                <w:b/>
                <w:color w:val="auto"/>
              </w:rPr>
            </w:pPr>
            <w:r w:rsidRPr="00A75306">
              <w:rPr>
                <w:b/>
                <w:color w:val="auto"/>
              </w:rPr>
              <w:t>(N=</w:t>
            </w:r>
            <w:r w:rsidRPr="00A75306">
              <w:rPr>
                <w:b/>
              </w:rPr>
              <w:t>81</w:t>
            </w:r>
            <w:r w:rsidRPr="00A75306">
              <w:rPr>
                <w:b/>
                <w:color w:val="auto"/>
              </w:rPr>
              <w:t>)</w:t>
            </w:r>
          </w:p>
        </w:tc>
        <w:tc>
          <w:tcPr>
            <w:tcW w:w="1099" w:type="dxa"/>
            <w:shd w:val="clear" w:color="auto" w:fill="auto"/>
            <w:vAlign w:val="center"/>
          </w:tcPr>
          <w:p w:rsidR="00C615F8" w:rsidRPr="00A75306" w:rsidRDefault="00C615F8" w:rsidP="00937266">
            <w:pPr>
              <w:pStyle w:val="PLRTableDataCentered"/>
              <w:keepNext/>
              <w:ind w:left="142"/>
              <w:rPr>
                <w:b/>
                <w:color w:val="auto"/>
              </w:rPr>
            </w:pPr>
            <w:r w:rsidRPr="00A75306">
              <w:rPr>
                <w:b/>
                <w:color w:val="auto"/>
              </w:rPr>
              <w:t>Placebo (N=</w:t>
            </w:r>
            <w:r w:rsidRPr="00A75306">
              <w:rPr>
                <w:b/>
              </w:rPr>
              <w:t>87</w:t>
            </w:r>
            <w:r w:rsidRPr="00A75306">
              <w:rPr>
                <w:b/>
                <w:color w:val="auto"/>
              </w:rPr>
              <w:t>)</w:t>
            </w:r>
          </w:p>
        </w:tc>
        <w:tc>
          <w:tcPr>
            <w:tcW w:w="1844" w:type="dxa"/>
            <w:shd w:val="clear" w:color="auto" w:fill="auto"/>
            <w:vAlign w:val="center"/>
          </w:tcPr>
          <w:p w:rsidR="00C615F8" w:rsidRPr="00A75306" w:rsidRDefault="00C615F8" w:rsidP="00937266">
            <w:pPr>
              <w:pStyle w:val="PLRTableDataCentered"/>
              <w:keepNext/>
              <w:ind w:left="142"/>
              <w:rPr>
                <w:b/>
                <w:color w:val="auto"/>
              </w:rPr>
            </w:pPr>
            <w:r w:rsidRPr="00A75306">
              <w:rPr>
                <w:b/>
                <w:color w:val="auto"/>
              </w:rPr>
              <w:t>Difference from placebo (95% CI)</w:t>
            </w:r>
          </w:p>
        </w:tc>
        <w:tc>
          <w:tcPr>
            <w:tcW w:w="1468" w:type="dxa"/>
            <w:shd w:val="clear" w:color="auto" w:fill="auto"/>
          </w:tcPr>
          <w:p w:rsidR="00C615F8" w:rsidRPr="00A75306" w:rsidRDefault="00C615F8" w:rsidP="00937266">
            <w:pPr>
              <w:pStyle w:val="PLRTableDataCentered"/>
              <w:keepNext/>
              <w:ind w:left="142"/>
              <w:rPr>
                <w:b/>
                <w:color w:val="auto"/>
              </w:rPr>
            </w:pPr>
            <w:r w:rsidRPr="00A75306">
              <w:rPr>
                <w:b/>
                <w:color w:val="auto"/>
              </w:rPr>
              <w:t>TALTZ</w:t>
            </w:r>
          </w:p>
          <w:p w:rsidR="00C615F8" w:rsidRPr="00A75306" w:rsidRDefault="00C615F8" w:rsidP="00937266">
            <w:pPr>
              <w:pStyle w:val="PLRTableDataCentered"/>
              <w:keepNext/>
              <w:ind w:left="142"/>
              <w:rPr>
                <w:b/>
                <w:color w:val="auto"/>
              </w:rPr>
            </w:pPr>
            <w:r w:rsidRPr="00A75306">
              <w:rPr>
                <w:b/>
                <w:color w:val="auto"/>
              </w:rPr>
              <w:t>80 mg</w:t>
            </w:r>
          </w:p>
          <w:p w:rsidR="00C615F8" w:rsidRPr="00A75306" w:rsidRDefault="00C615F8" w:rsidP="00937266">
            <w:pPr>
              <w:pStyle w:val="PLRTableDataCentered"/>
              <w:keepNext/>
              <w:ind w:left="142"/>
              <w:rPr>
                <w:b/>
                <w:color w:val="auto"/>
              </w:rPr>
            </w:pPr>
            <w:r w:rsidRPr="00A75306">
              <w:rPr>
                <w:b/>
                <w:color w:val="auto"/>
              </w:rPr>
              <w:t>Q</w:t>
            </w:r>
            <w:r w:rsidRPr="00A75306">
              <w:rPr>
                <w:b/>
              </w:rPr>
              <w:t>4</w:t>
            </w:r>
            <w:r w:rsidRPr="00A75306">
              <w:rPr>
                <w:b/>
                <w:color w:val="auto"/>
              </w:rPr>
              <w:t>W</w:t>
            </w:r>
            <w:r w:rsidRPr="00A75306">
              <w:rPr>
                <w:b/>
                <w:color w:val="auto"/>
                <w:vertAlign w:val="superscript"/>
              </w:rPr>
              <w:t>c</w:t>
            </w:r>
          </w:p>
          <w:p w:rsidR="00C615F8" w:rsidRPr="00A75306" w:rsidRDefault="00C615F8" w:rsidP="00937266">
            <w:pPr>
              <w:pStyle w:val="PLRTableDataCentered"/>
              <w:keepNext/>
              <w:ind w:left="142"/>
              <w:rPr>
                <w:b/>
                <w:color w:val="auto"/>
              </w:rPr>
            </w:pPr>
            <w:r w:rsidRPr="00A75306">
              <w:rPr>
                <w:b/>
                <w:color w:val="auto"/>
              </w:rPr>
              <w:t>(N=</w:t>
            </w:r>
            <w:r w:rsidRPr="00A75306">
              <w:rPr>
                <w:b/>
              </w:rPr>
              <w:t>114</w:t>
            </w:r>
            <w:r w:rsidRPr="00A75306">
              <w:rPr>
                <w:b/>
                <w:color w:val="auto"/>
              </w:rPr>
              <w:t>)</w:t>
            </w:r>
          </w:p>
        </w:tc>
        <w:tc>
          <w:tcPr>
            <w:tcW w:w="1090" w:type="dxa"/>
            <w:shd w:val="clear" w:color="auto" w:fill="auto"/>
            <w:vAlign w:val="center"/>
          </w:tcPr>
          <w:p w:rsidR="00C615F8" w:rsidRPr="00A75306" w:rsidRDefault="00C615F8" w:rsidP="00937266">
            <w:pPr>
              <w:pStyle w:val="PLRTableDataCentered"/>
              <w:keepNext/>
              <w:ind w:left="142"/>
              <w:rPr>
                <w:b/>
                <w:color w:val="auto"/>
              </w:rPr>
            </w:pPr>
            <w:r w:rsidRPr="00A75306">
              <w:rPr>
                <w:b/>
                <w:color w:val="auto"/>
              </w:rPr>
              <w:t>Placebo (N=</w:t>
            </w:r>
            <w:r w:rsidRPr="00A75306">
              <w:rPr>
                <w:b/>
              </w:rPr>
              <w:t>104</w:t>
            </w:r>
            <w:r w:rsidRPr="00A75306">
              <w:rPr>
                <w:b/>
                <w:color w:val="auto"/>
              </w:rPr>
              <w:t>)</w:t>
            </w:r>
          </w:p>
        </w:tc>
        <w:tc>
          <w:tcPr>
            <w:tcW w:w="1860" w:type="dxa"/>
            <w:shd w:val="clear" w:color="auto" w:fill="auto"/>
            <w:vAlign w:val="center"/>
          </w:tcPr>
          <w:p w:rsidR="00C615F8" w:rsidRPr="00A75306" w:rsidRDefault="00C615F8" w:rsidP="00937266">
            <w:pPr>
              <w:pStyle w:val="PLRTableDataCentered"/>
              <w:keepNext/>
              <w:ind w:left="142"/>
              <w:rPr>
                <w:b/>
                <w:color w:val="auto"/>
              </w:rPr>
            </w:pPr>
            <w:r w:rsidRPr="00A75306">
              <w:rPr>
                <w:b/>
                <w:color w:val="auto"/>
              </w:rPr>
              <w:t>Difference from placebo (95% CI)</w:t>
            </w:r>
          </w:p>
        </w:tc>
      </w:tr>
      <w:tr w:rsidR="00C615F8" w:rsidRPr="00D812EA" w:rsidTr="00A75306">
        <w:tc>
          <w:tcPr>
            <w:tcW w:w="1862" w:type="dxa"/>
            <w:shd w:val="clear" w:color="auto" w:fill="auto"/>
          </w:tcPr>
          <w:p w:rsidR="00C615F8" w:rsidRPr="00A75306" w:rsidRDefault="00C615F8" w:rsidP="00937266">
            <w:pPr>
              <w:pStyle w:val="PLRTable1stLevelIndent"/>
              <w:keepNext/>
              <w:ind w:left="142"/>
              <w:rPr>
                <w:color w:val="auto"/>
              </w:rPr>
            </w:pPr>
            <w:r w:rsidRPr="00A75306">
              <w:rPr>
                <w:color w:val="auto"/>
              </w:rPr>
              <w:t>ASAS20 response</w:t>
            </w:r>
            <w:r w:rsidRPr="00A75306">
              <w:rPr>
                <w:color w:val="auto"/>
                <w:vertAlign w:val="superscript"/>
              </w:rPr>
              <w:t>d</w:t>
            </w:r>
            <w:r w:rsidRPr="00A75306">
              <w:rPr>
                <w:color w:val="auto"/>
              </w:rPr>
              <w:t>, %</w:t>
            </w:r>
          </w:p>
        </w:tc>
        <w:tc>
          <w:tcPr>
            <w:tcW w:w="1459" w:type="dxa"/>
            <w:shd w:val="clear" w:color="auto" w:fill="auto"/>
          </w:tcPr>
          <w:p w:rsidR="00C615F8" w:rsidRPr="00A75306" w:rsidRDefault="00C615F8" w:rsidP="00937266">
            <w:pPr>
              <w:pStyle w:val="PLRTableDataCentered"/>
              <w:keepNext/>
              <w:ind w:left="142"/>
              <w:rPr>
                <w:color w:val="auto"/>
              </w:rPr>
            </w:pPr>
            <w:r w:rsidRPr="00A75306">
              <w:rPr>
                <w:color w:val="auto"/>
              </w:rPr>
              <w:t>64</w:t>
            </w:r>
          </w:p>
        </w:tc>
        <w:tc>
          <w:tcPr>
            <w:tcW w:w="1099" w:type="dxa"/>
            <w:shd w:val="clear" w:color="auto" w:fill="auto"/>
          </w:tcPr>
          <w:p w:rsidR="00C615F8" w:rsidRPr="00A75306" w:rsidRDefault="00C615F8" w:rsidP="00937266">
            <w:pPr>
              <w:pStyle w:val="PLRTableDataCentered"/>
              <w:keepNext/>
              <w:ind w:left="142"/>
              <w:rPr>
                <w:color w:val="auto"/>
              </w:rPr>
            </w:pPr>
            <w:r w:rsidRPr="00A75306">
              <w:rPr>
                <w:color w:val="auto"/>
              </w:rPr>
              <w:t>40</w:t>
            </w:r>
          </w:p>
        </w:tc>
        <w:tc>
          <w:tcPr>
            <w:tcW w:w="1844" w:type="dxa"/>
            <w:shd w:val="clear" w:color="auto" w:fill="auto"/>
          </w:tcPr>
          <w:p w:rsidR="00C615F8" w:rsidRPr="00A75306" w:rsidRDefault="00C615F8" w:rsidP="00937266">
            <w:pPr>
              <w:pStyle w:val="PLRTableDataCentered"/>
              <w:keepNext/>
              <w:ind w:left="142"/>
              <w:rPr>
                <w:color w:val="auto"/>
              </w:rPr>
            </w:pPr>
            <w:r w:rsidRPr="00A75306">
              <w:rPr>
                <w:color w:val="auto"/>
              </w:rPr>
              <w:t>24 (9, 39)</w:t>
            </w:r>
          </w:p>
        </w:tc>
        <w:tc>
          <w:tcPr>
            <w:tcW w:w="1468" w:type="dxa"/>
            <w:shd w:val="clear" w:color="auto" w:fill="auto"/>
          </w:tcPr>
          <w:p w:rsidR="00C615F8" w:rsidRPr="00A75306" w:rsidRDefault="00C615F8" w:rsidP="00937266">
            <w:pPr>
              <w:pStyle w:val="PLRTableDataCentered"/>
              <w:keepNext/>
              <w:ind w:left="142"/>
              <w:rPr>
                <w:color w:val="auto"/>
              </w:rPr>
            </w:pPr>
            <w:r>
              <w:t>48</w:t>
            </w:r>
          </w:p>
        </w:tc>
        <w:tc>
          <w:tcPr>
            <w:tcW w:w="1090" w:type="dxa"/>
            <w:shd w:val="clear" w:color="auto" w:fill="auto"/>
          </w:tcPr>
          <w:p w:rsidR="00C615F8" w:rsidRPr="00A75306" w:rsidRDefault="00C615F8" w:rsidP="00937266">
            <w:pPr>
              <w:pStyle w:val="PLRTableDataCentered"/>
              <w:keepNext/>
              <w:ind w:left="142"/>
              <w:rPr>
                <w:color w:val="auto"/>
              </w:rPr>
            </w:pPr>
            <w:r>
              <w:t>30</w:t>
            </w:r>
          </w:p>
        </w:tc>
        <w:tc>
          <w:tcPr>
            <w:tcW w:w="1860" w:type="dxa"/>
            <w:shd w:val="clear" w:color="auto" w:fill="auto"/>
          </w:tcPr>
          <w:p w:rsidR="00C615F8" w:rsidRPr="00A75306" w:rsidRDefault="00C615F8" w:rsidP="00937266">
            <w:pPr>
              <w:pStyle w:val="PLRTableDataCentered"/>
              <w:keepNext/>
              <w:ind w:left="142"/>
              <w:rPr>
                <w:color w:val="auto"/>
              </w:rPr>
            </w:pPr>
            <w:r>
              <w:t>18 (6, 31)</w:t>
            </w:r>
          </w:p>
        </w:tc>
      </w:tr>
      <w:tr w:rsidR="00C615F8" w:rsidRPr="00D812EA" w:rsidTr="00A75306">
        <w:tc>
          <w:tcPr>
            <w:tcW w:w="1862" w:type="dxa"/>
            <w:shd w:val="clear" w:color="auto" w:fill="auto"/>
          </w:tcPr>
          <w:p w:rsidR="00C615F8" w:rsidRPr="00664085" w:rsidRDefault="00C615F8" w:rsidP="00937266">
            <w:pPr>
              <w:pStyle w:val="PLRTable1stLevelIndent"/>
              <w:ind w:left="142"/>
              <w:rPr>
                <w:color w:val="auto"/>
              </w:rPr>
            </w:pPr>
            <w:r w:rsidRPr="00664085">
              <w:rPr>
                <w:color w:val="auto"/>
              </w:rPr>
              <w:t>ASAS40 response</w:t>
            </w:r>
            <w:r w:rsidRPr="00664085">
              <w:rPr>
                <w:color w:val="auto"/>
                <w:vertAlign w:val="superscript"/>
              </w:rPr>
              <w:t>d,e</w:t>
            </w:r>
            <w:r w:rsidRPr="00664085">
              <w:rPr>
                <w:color w:val="auto"/>
              </w:rPr>
              <w:t>, %</w:t>
            </w:r>
          </w:p>
        </w:tc>
        <w:tc>
          <w:tcPr>
            <w:tcW w:w="1459" w:type="dxa"/>
            <w:shd w:val="clear" w:color="auto" w:fill="auto"/>
          </w:tcPr>
          <w:p w:rsidR="00C615F8" w:rsidRPr="00664085" w:rsidRDefault="00C615F8" w:rsidP="00937266">
            <w:pPr>
              <w:pStyle w:val="PLRTableDataCentered"/>
              <w:ind w:left="142"/>
              <w:rPr>
                <w:color w:val="auto"/>
              </w:rPr>
            </w:pPr>
            <w:r w:rsidRPr="00664085">
              <w:rPr>
                <w:color w:val="auto"/>
              </w:rPr>
              <w:t>48</w:t>
            </w:r>
          </w:p>
        </w:tc>
        <w:tc>
          <w:tcPr>
            <w:tcW w:w="1099" w:type="dxa"/>
            <w:shd w:val="clear" w:color="auto" w:fill="auto"/>
          </w:tcPr>
          <w:p w:rsidR="00C615F8" w:rsidRPr="00664085" w:rsidRDefault="00C615F8" w:rsidP="00937266">
            <w:pPr>
              <w:pStyle w:val="PLRTableDataCentered"/>
              <w:ind w:left="142"/>
              <w:rPr>
                <w:color w:val="auto"/>
              </w:rPr>
            </w:pPr>
            <w:r w:rsidRPr="00664085">
              <w:rPr>
                <w:color w:val="auto"/>
              </w:rPr>
              <w:t>18</w:t>
            </w:r>
          </w:p>
        </w:tc>
        <w:tc>
          <w:tcPr>
            <w:tcW w:w="1844" w:type="dxa"/>
            <w:shd w:val="clear" w:color="auto" w:fill="auto"/>
          </w:tcPr>
          <w:p w:rsidR="00C615F8" w:rsidRPr="00664085" w:rsidRDefault="00C615F8" w:rsidP="00937266">
            <w:pPr>
              <w:pStyle w:val="PLRTableDataCentered"/>
              <w:ind w:left="142"/>
              <w:rPr>
                <w:color w:val="auto"/>
              </w:rPr>
            </w:pPr>
            <w:r w:rsidRPr="00664085">
              <w:rPr>
                <w:color w:val="auto"/>
              </w:rPr>
              <w:t>30 (16, 43)</w:t>
            </w:r>
          </w:p>
        </w:tc>
        <w:tc>
          <w:tcPr>
            <w:tcW w:w="1468" w:type="dxa"/>
            <w:shd w:val="clear" w:color="auto" w:fill="auto"/>
          </w:tcPr>
          <w:p w:rsidR="00C615F8" w:rsidRPr="00664085" w:rsidRDefault="00C615F8" w:rsidP="00937266">
            <w:pPr>
              <w:pStyle w:val="PLRTableDataCentered"/>
              <w:ind w:left="142"/>
              <w:rPr>
                <w:color w:val="auto"/>
              </w:rPr>
            </w:pPr>
            <w:r w:rsidRPr="00664085">
              <w:t>25</w:t>
            </w:r>
          </w:p>
        </w:tc>
        <w:tc>
          <w:tcPr>
            <w:tcW w:w="1090" w:type="dxa"/>
            <w:shd w:val="clear" w:color="auto" w:fill="auto"/>
          </w:tcPr>
          <w:p w:rsidR="00C615F8" w:rsidRPr="00664085" w:rsidRDefault="00C615F8" w:rsidP="00937266">
            <w:pPr>
              <w:pStyle w:val="PLRTableDataCentered"/>
              <w:ind w:left="142"/>
              <w:rPr>
                <w:color w:val="auto"/>
              </w:rPr>
            </w:pPr>
            <w:r w:rsidRPr="00664085">
              <w:t>13</w:t>
            </w:r>
          </w:p>
        </w:tc>
        <w:tc>
          <w:tcPr>
            <w:tcW w:w="1860" w:type="dxa"/>
            <w:shd w:val="clear" w:color="auto" w:fill="auto"/>
          </w:tcPr>
          <w:p w:rsidR="00C615F8" w:rsidRPr="00664085" w:rsidRDefault="00C615F8" w:rsidP="00937266">
            <w:pPr>
              <w:pStyle w:val="PLRTableDataCentered"/>
              <w:ind w:left="142"/>
              <w:rPr>
                <w:color w:val="auto"/>
              </w:rPr>
            </w:pPr>
            <w:r w:rsidRPr="00664085">
              <w:t>13 (3, 23)</w:t>
            </w:r>
          </w:p>
        </w:tc>
      </w:tr>
    </w:tbl>
    <w:p w:rsidR="00C615F8" w:rsidRPr="00487FE6" w:rsidRDefault="00C615F8" w:rsidP="00937266">
      <w:pPr>
        <w:pStyle w:val="TblFootnote"/>
        <w:spacing w:after="0" w:line="240" w:lineRule="auto"/>
        <w:ind w:left="142" w:hanging="261"/>
      </w:pPr>
      <w:r>
        <w:rPr>
          <w:vertAlign w:val="superscript"/>
        </w:rPr>
        <w:t>a</w:t>
      </w:r>
      <w:r w:rsidRPr="00D812EA">
        <w:tab/>
      </w:r>
      <w:r w:rsidRPr="00487FE6">
        <w:t>Abbreviations: N = number of patients in the intent-to-treat population; NRI = Non-responder Imputation.</w:t>
      </w:r>
    </w:p>
    <w:p w:rsidR="00C615F8" w:rsidRPr="00487FE6" w:rsidRDefault="00C615F8" w:rsidP="00937266">
      <w:pPr>
        <w:pStyle w:val="TblFootnote"/>
        <w:spacing w:after="0" w:line="240" w:lineRule="auto"/>
        <w:ind w:left="142" w:hanging="261"/>
      </w:pPr>
      <w:r w:rsidRPr="00487FE6">
        <w:rPr>
          <w:vertAlign w:val="superscript"/>
        </w:rPr>
        <w:t>b</w:t>
      </w:r>
      <w:r w:rsidRPr="00487FE6">
        <w:tab/>
        <w:t>Patients with missing data were counted as non-responders.</w:t>
      </w:r>
    </w:p>
    <w:p w:rsidR="00C615F8" w:rsidRPr="00487FE6" w:rsidRDefault="00C615F8" w:rsidP="00937266">
      <w:pPr>
        <w:pStyle w:val="TblFootnote"/>
        <w:spacing w:after="0" w:line="240" w:lineRule="auto"/>
        <w:ind w:left="142" w:hanging="261"/>
      </w:pPr>
      <w:r w:rsidRPr="00487FE6">
        <w:rPr>
          <w:vertAlign w:val="superscript"/>
        </w:rPr>
        <w:t>c</w:t>
      </w:r>
      <w:r w:rsidRPr="00487FE6">
        <w:tab/>
        <w:t>At Week 0, patients received 80 mg or 160 mg of TALTZ.</w:t>
      </w:r>
      <w:r w:rsidR="001E1684">
        <w:t xml:space="preserve"> For COAST-V 80 mg N=42, 160 mg N=39. For COAST-W 80 mg N=60, 160 mg N= 54</w:t>
      </w:r>
      <w:r w:rsidR="001900CC">
        <w:t>. The ixekizumab starting dose (160 mg vs. 80 mg at Week 0) did not appear to have an impact on treatment effect at Week 16, as assessed by ASAS20/40 response rates, the percentage of patients achieving ASDAS clinically important improvement, major improvement, or inactive disease, change from baseline in CRP, and change from baseline in BASFI.</w:t>
      </w:r>
    </w:p>
    <w:p w:rsidR="00C615F8" w:rsidRPr="00487FE6" w:rsidRDefault="00C615F8" w:rsidP="00937266">
      <w:pPr>
        <w:pStyle w:val="TblFootnote"/>
        <w:spacing w:after="0" w:line="240" w:lineRule="auto"/>
        <w:ind w:left="142" w:hanging="261"/>
      </w:pPr>
      <w:r w:rsidRPr="00487FE6">
        <w:rPr>
          <w:vertAlign w:val="superscript"/>
        </w:rPr>
        <w:t>d</w:t>
      </w:r>
      <w:r w:rsidRPr="00487FE6">
        <w:tab/>
        <w:t>An ASAS20 response is defined as a ≥20% improvement and an absolute improvement from baseline of ≥1 units (range 0 to 10) in ≥3 of 4 domains (Patient Global, Spinal Pain, Function, and Inflammation), and no worsening of ≥20% and ≥1 unit (range 0 to 10) in the remaining domain. An ASAS40 response is defined as a ≥40% improvement and an absolute improvement from baseline of ≥2 units in ≥3 of 4 domains without any worsening in the remaining domain.</w:t>
      </w:r>
    </w:p>
    <w:p w:rsidR="00C615F8" w:rsidRPr="00487FE6" w:rsidRDefault="00C615F8" w:rsidP="00937266">
      <w:pPr>
        <w:pStyle w:val="TblFootnote"/>
        <w:spacing w:after="0" w:line="240" w:lineRule="auto"/>
        <w:ind w:left="142" w:hanging="261"/>
      </w:pPr>
      <w:r w:rsidRPr="00487FE6">
        <w:rPr>
          <w:vertAlign w:val="superscript"/>
        </w:rPr>
        <w:t>e</w:t>
      </w:r>
      <w:r w:rsidRPr="00487FE6">
        <w:tab/>
        <w:t>Primary endpoint.</w:t>
      </w:r>
    </w:p>
    <w:p w:rsidR="00C615F8" w:rsidRPr="00487FE6" w:rsidRDefault="00C615F8" w:rsidP="00937266">
      <w:pPr>
        <w:pStyle w:val="PLRBodyTextIndented"/>
        <w:ind w:left="142"/>
        <w:rPr>
          <w:rFonts w:ascii="Cambria" w:hAnsi="Cambria"/>
          <w:sz w:val="22"/>
        </w:rPr>
      </w:pPr>
    </w:p>
    <w:p w:rsidR="00C615F8" w:rsidRPr="00487FE6" w:rsidRDefault="00C615F8" w:rsidP="00937266">
      <w:pPr>
        <w:pStyle w:val="PLRBodyTextIndented"/>
        <w:ind w:left="142" w:firstLine="0"/>
        <w:rPr>
          <w:rFonts w:ascii="Cambria" w:hAnsi="Cambria"/>
          <w:sz w:val="22"/>
        </w:rPr>
      </w:pPr>
      <w:r w:rsidRPr="00487FE6">
        <w:rPr>
          <w:rFonts w:ascii="Cambria" w:hAnsi="Cambria"/>
          <w:sz w:val="22"/>
        </w:rPr>
        <w:t xml:space="preserve">The percent of patients achieving ASAS20 and ASAS40 responses by visit in </w:t>
      </w:r>
      <w:r w:rsidR="006E7862">
        <w:rPr>
          <w:rFonts w:ascii="Cambria" w:hAnsi="Cambria"/>
          <w:sz w:val="22"/>
        </w:rPr>
        <w:t>COAST-V</w:t>
      </w:r>
      <w:r w:rsidRPr="00487FE6">
        <w:rPr>
          <w:rFonts w:ascii="Cambria" w:hAnsi="Cambria"/>
          <w:sz w:val="22"/>
        </w:rPr>
        <w:t xml:space="preserve"> is shown in Figure </w:t>
      </w:r>
      <w:r w:rsidR="00EF21CE">
        <w:rPr>
          <w:rFonts w:ascii="Cambria" w:hAnsi="Cambria"/>
          <w:sz w:val="22"/>
        </w:rPr>
        <w:t>4</w:t>
      </w:r>
      <w:r w:rsidRPr="00487FE6">
        <w:rPr>
          <w:rFonts w:ascii="Cambria" w:hAnsi="Cambria"/>
          <w:sz w:val="22"/>
        </w:rPr>
        <w:t>.</w:t>
      </w:r>
    </w:p>
    <w:p w:rsidR="00C615F8" w:rsidRPr="00D812EA" w:rsidRDefault="00C615F8" w:rsidP="00937266">
      <w:pPr>
        <w:pStyle w:val="PLRBodyTextIndented"/>
        <w:ind w:left="142"/>
      </w:pPr>
    </w:p>
    <w:p w:rsidR="00C615F8" w:rsidRPr="00D812EA" w:rsidRDefault="00C615F8" w:rsidP="00937266">
      <w:pPr>
        <w:pStyle w:val="FigureTitle"/>
        <w:ind w:left="142"/>
      </w:pPr>
      <w:r w:rsidRPr="00372EB5">
        <w:t>A</w:t>
      </w:r>
      <w:r>
        <w:t>SAS20 and ASAS40 Responses through Week 16, NRI</w:t>
      </w:r>
      <w:r w:rsidRPr="00AB0D19">
        <w:rPr>
          <w:vertAlign w:val="superscript"/>
        </w:rPr>
        <w:t>a</w:t>
      </w:r>
    </w:p>
    <w:p w:rsidR="00C615F8" w:rsidRPr="00D812EA" w:rsidRDefault="00F6516C" w:rsidP="00937266">
      <w:pPr>
        <w:pStyle w:val="PLRTextUnindented"/>
        <w:ind w:left="142"/>
      </w:pPr>
      <w:r w:rsidRPr="00FC1C41">
        <w:rPr>
          <w:noProof/>
        </w:rPr>
        <w:pict>
          <v:shape id="_x0000_i1030" type="#_x0000_t75" style="width:464.25pt;height:171.05pt;visibility:visible">
            <v:imagedata r:id="rId19" o:title="USPI ASAS20_40 Time Course - AS1 (003)"/>
          </v:shape>
        </w:pict>
      </w:r>
    </w:p>
    <w:p w:rsidR="00C615F8" w:rsidRDefault="00C615F8" w:rsidP="00937266">
      <w:pPr>
        <w:pStyle w:val="TblFootnote"/>
        <w:ind w:left="142"/>
      </w:pPr>
      <w:r w:rsidRPr="00F54EF9">
        <w:rPr>
          <w:vertAlign w:val="superscript"/>
        </w:rPr>
        <w:t>a</w:t>
      </w:r>
      <w:r w:rsidRPr="00F54EF9">
        <w:tab/>
      </w:r>
      <w:r w:rsidRPr="00487FE6">
        <w:t>Patients with missing data were counted as non-responders.</w:t>
      </w:r>
    </w:p>
    <w:p w:rsidR="00BF097C" w:rsidRPr="00BF097C" w:rsidRDefault="00BF097C" w:rsidP="00937266">
      <w:pPr>
        <w:ind w:left="142"/>
        <w:rPr>
          <w:rFonts w:ascii="Times New Roman" w:hAnsi="Times New Roman"/>
          <w:sz w:val="20"/>
          <w:szCs w:val="20"/>
          <w:lang w:val="en-US"/>
        </w:rPr>
      </w:pPr>
      <w:r>
        <w:rPr>
          <w:rFonts w:ascii="Times New Roman" w:hAnsi="Times New Roman"/>
          <w:sz w:val="20"/>
          <w:szCs w:val="20"/>
          <w:lang w:val="en-US"/>
        </w:rPr>
        <w:t>N = 81 (80 mg Q4W) and N = 87 (Placebo)</w:t>
      </w:r>
    </w:p>
    <w:p w:rsidR="00C615F8" w:rsidRDefault="00C615F8" w:rsidP="00937266">
      <w:pPr>
        <w:pStyle w:val="PLRBodyTextIndented"/>
        <w:ind w:left="142" w:firstLine="0"/>
        <w:rPr>
          <w:rFonts w:ascii="Cambria" w:hAnsi="Cambria"/>
          <w:sz w:val="22"/>
        </w:rPr>
      </w:pPr>
      <w:r w:rsidRPr="00487FE6">
        <w:rPr>
          <w:rFonts w:ascii="Cambria" w:hAnsi="Cambria"/>
          <w:sz w:val="22"/>
        </w:rPr>
        <w:t xml:space="preserve">The improvement in the main components of the ASAS40 response criteria and other measures of disease activity are shown in Table </w:t>
      </w:r>
      <w:r w:rsidR="00EF21CE">
        <w:rPr>
          <w:rFonts w:ascii="Cambria" w:hAnsi="Cambria"/>
          <w:sz w:val="22"/>
        </w:rPr>
        <w:t>1</w:t>
      </w:r>
      <w:r w:rsidR="00A5341B">
        <w:rPr>
          <w:rFonts w:ascii="Cambria" w:hAnsi="Cambria"/>
          <w:sz w:val="22"/>
        </w:rPr>
        <w:t>2</w:t>
      </w:r>
      <w:r w:rsidRPr="00487FE6">
        <w:rPr>
          <w:rFonts w:ascii="Cambria" w:hAnsi="Cambria"/>
          <w:sz w:val="22"/>
        </w:rPr>
        <w:t>.</w:t>
      </w:r>
    </w:p>
    <w:p w:rsidR="00F00FC4" w:rsidRPr="00487FE6" w:rsidRDefault="00F00FC4" w:rsidP="00937266">
      <w:pPr>
        <w:pStyle w:val="PLRBodyTextIndented"/>
        <w:ind w:left="142" w:firstLine="0"/>
        <w:rPr>
          <w:rFonts w:ascii="Cambria" w:hAnsi="Cambria"/>
          <w:sz w:val="22"/>
        </w:rPr>
      </w:pPr>
    </w:p>
    <w:p w:rsidR="00C615F8" w:rsidRPr="00D812EA" w:rsidRDefault="00C615F8" w:rsidP="00937266">
      <w:pPr>
        <w:pStyle w:val="PLRBodyTextIndented"/>
        <w:ind w:left="142"/>
      </w:pPr>
    </w:p>
    <w:p w:rsidR="00C615F8" w:rsidRPr="00D812EA" w:rsidRDefault="00C615F8" w:rsidP="00937266">
      <w:pPr>
        <w:pStyle w:val="TableTitle"/>
        <w:ind w:left="142"/>
      </w:pPr>
      <w:r>
        <w:t xml:space="preserve">ASAS Components and Other Measures of Disease Activity at Week </w:t>
      </w:r>
      <w:r w:rsidRPr="00D812EA">
        <w:t>16</w:t>
      </w:r>
      <w:r w:rsidRPr="00C25D7D">
        <w:rPr>
          <w:vertAlign w:val="superscript"/>
        </w:rPr>
        <w:t>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18"/>
        <w:gridCol w:w="1417"/>
        <w:gridCol w:w="1560"/>
        <w:gridCol w:w="1559"/>
      </w:tblGrid>
      <w:tr w:rsidR="00C615F8" w:rsidRPr="00D812EA" w:rsidTr="00F6516C">
        <w:tc>
          <w:tcPr>
            <w:tcW w:w="3402" w:type="dxa"/>
            <w:vMerge w:val="restart"/>
            <w:shd w:val="clear" w:color="auto" w:fill="auto"/>
          </w:tcPr>
          <w:p w:rsidR="00C615F8" w:rsidRPr="00A75306" w:rsidRDefault="00C615F8" w:rsidP="00937266">
            <w:pPr>
              <w:pStyle w:val="PLRTable1stLevelIndent"/>
              <w:ind w:left="142"/>
              <w:rPr>
                <w:b/>
                <w:color w:val="auto"/>
              </w:rPr>
            </w:pPr>
          </w:p>
        </w:tc>
        <w:tc>
          <w:tcPr>
            <w:tcW w:w="2835" w:type="dxa"/>
            <w:gridSpan w:val="2"/>
            <w:shd w:val="clear" w:color="auto" w:fill="auto"/>
          </w:tcPr>
          <w:p w:rsidR="00C615F8" w:rsidRPr="00A75306" w:rsidRDefault="006E7862" w:rsidP="00937266">
            <w:pPr>
              <w:pStyle w:val="PLRTableDataCentered"/>
              <w:ind w:left="142"/>
              <w:rPr>
                <w:b/>
                <w:color w:val="auto"/>
              </w:rPr>
            </w:pPr>
            <w:r>
              <w:rPr>
                <w:b/>
                <w:color w:val="auto"/>
              </w:rPr>
              <w:t>COAST-V</w:t>
            </w:r>
            <w:r w:rsidR="00C615F8" w:rsidRPr="00A75306">
              <w:rPr>
                <w:b/>
                <w:color w:val="auto"/>
              </w:rPr>
              <w:t xml:space="preserve"> – biologic-naive</w:t>
            </w:r>
          </w:p>
        </w:tc>
        <w:tc>
          <w:tcPr>
            <w:tcW w:w="3119" w:type="dxa"/>
            <w:gridSpan w:val="2"/>
            <w:shd w:val="clear" w:color="auto" w:fill="auto"/>
          </w:tcPr>
          <w:p w:rsidR="00C615F8" w:rsidRPr="00A75306" w:rsidRDefault="006E7862" w:rsidP="00937266">
            <w:pPr>
              <w:pStyle w:val="PLRTableDataCentered"/>
              <w:ind w:left="142"/>
              <w:rPr>
                <w:b/>
                <w:color w:val="auto"/>
              </w:rPr>
            </w:pPr>
            <w:r>
              <w:rPr>
                <w:b/>
                <w:color w:val="auto"/>
              </w:rPr>
              <w:t>COAST-W</w:t>
            </w:r>
            <w:r w:rsidR="00C615F8" w:rsidRPr="00A75306">
              <w:rPr>
                <w:b/>
                <w:color w:val="auto"/>
              </w:rPr>
              <w:t xml:space="preserve"> – TNF-inhibitor experienced</w:t>
            </w:r>
          </w:p>
        </w:tc>
      </w:tr>
      <w:tr w:rsidR="00C615F8" w:rsidRPr="00D812EA" w:rsidTr="00F6516C">
        <w:tc>
          <w:tcPr>
            <w:tcW w:w="3402" w:type="dxa"/>
            <w:vMerge/>
            <w:shd w:val="clear" w:color="auto" w:fill="auto"/>
          </w:tcPr>
          <w:p w:rsidR="00C615F8" w:rsidRPr="00A75306" w:rsidRDefault="00C615F8" w:rsidP="00937266">
            <w:pPr>
              <w:pStyle w:val="PLRTable1stLevelIndent"/>
              <w:ind w:left="142"/>
              <w:rPr>
                <w:b/>
                <w:color w:val="auto"/>
              </w:rPr>
            </w:pPr>
          </w:p>
        </w:tc>
        <w:tc>
          <w:tcPr>
            <w:tcW w:w="1418" w:type="dxa"/>
            <w:shd w:val="clear" w:color="auto" w:fill="auto"/>
          </w:tcPr>
          <w:p w:rsidR="00C615F8" w:rsidRPr="00A75306" w:rsidRDefault="00C615F8" w:rsidP="00937266">
            <w:pPr>
              <w:pStyle w:val="PLRTableDataCentered"/>
              <w:ind w:left="142"/>
              <w:rPr>
                <w:b/>
                <w:color w:val="auto"/>
              </w:rPr>
            </w:pPr>
            <w:r w:rsidRPr="00A75306">
              <w:rPr>
                <w:b/>
                <w:color w:val="auto"/>
              </w:rPr>
              <w:t>TALTZ 80 mg</w:t>
            </w:r>
          </w:p>
          <w:p w:rsidR="00C615F8" w:rsidRPr="00A75306" w:rsidRDefault="00C615F8" w:rsidP="00937266">
            <w:pPr>
              <w:pStyle w:val="PLRTableDataCentered"/>
              <w:ind w:left="142"/>
              <w:rPr>
                <w:b/>
                <w:color w:val="auto"/>
              </w:rPr>
            </w:pPr>
            <w:r w:rsidRPr="00A75306">
              <w:rPr>
                <w:b/>
                <w:color w:val="auto"/>
              </w:rPr>
              <w:t>Q4W</w:t>
            </w:r>
            <w:r w:rsidRPr="00A75306">
              <w:rPr>
                <w:b/>
                <w:color w:val="auto"/>
                <w:vertAlign w:val="superscript"/>
              </w:rPr>
              <w:t>b</w:t>
            </w:r>
            <w:r w:rsidRPr="00A75306">
              <w:rPr>
                <w:b/>
                <w:color w:val="auto"/>
              </w:rPr>
              <w:t xml:space="preserve"> (N=</w:t>
            </w:r>
            <w:r w:rsidRPr="00A75306">
              <w:rPr>
                <w:b/>
              </w:rPr>
              <w:t>81</w:t>
            </w:r>
            <w:r w:rsidRPr="00A75306">
              <w:rPr>
                <w:b/>
                <w:color w:val="auto"/>
              </w:rPr>
              <w:t>)</w:t>
            </w:r>
          </w:p>
        </w:tc>
        <w:tc>
          <w:tcPr>
            <w:tcW w:w="1417" w:type="dxa"/>
            <w:shd w:val="clear" w:color="auto" w:fill="auto"/>
          </w:tcPr>
          <w:p w:rsidR="00C615F8" w:rsidRPr="00A75306" w:rsidRDefault="00C615F8" w:rsidP="00937266">
            <w:pPr>
              <w:pStyle w:val="PLRTableDataCentered"/>
              <w:ind w:left="142"/>
              <w:rPr>
                <w:b/>
                <w:color w:val="auto"/>
              </w:rPr>
            </w:pPr>
            <w:r w:rsidRPr="00A75306">
              <w:rPr>
                <w:b/>
                <w:color w:val="auto"/>
              </w:rPr>
              <w:t>Placebo</w:t>
            </w:r>
          </w:p>
          <w:p w:rsidR="00C615F8" w:rsidRPr="00A75306" w:rsidRDefault="00C615F8" w:rsidP="00937266">
            <w:pPr>
              <w:pStyle w:val="PLRTableDataCentered"/>
              <w:ind w:left="142"/>
              <w:rPr>
                <w:b/>
                <w:color w:val="auto"/>
              </w:rPr>
            </w:pPr>
            <w:r w:rsidRPr="00A75306">
              <w:rPr>
                <w:b/>
                <w:color w:val="auto"/>
              </w:rPr>
              <w:t>(N=</w:t>
            </w:r>
            <w:r w:rsidRPr="00A75306">
              <w:rPr>
                <w:b/>
              </w:rPr>
              <w:t>87</w:t>
            </w:r>
            <w:r w:rsidRPr="00A75306">
              <w:rPr>
                <w:b/>
                <w:color w:val="auto"/>
              </w:rPr>
              <w:t>)</w:t>
            </w:r>
          </w:p>
        </w:tc>
        <w:tc>
          <w:tcPr>
            <w:tcW w:w="1560" w:type="dxa"/>
            <w:shd w:val="clear" w:color="auto" w:fill="auto"/>
          </w:tcPr>
          <w:p w:rsidR="00C615F8" w:rsidRPr="00A75306" w:rsidRDefault="00C615F8" w:rsidP="00937266">
            <w:pPr>
              <w:pStyle w:val="PLRTableDataCentered"/>
              <w:ind w:left="142"/>
              <w:rPr>
                <w:b/>
                <w:color w:val="auto"/>
              </w:rPr>
            </w:pPr>
            <w:r w:rsidRPr="00A75306">
              <w:rPr>
                <w:b/>
                <w:color w:val="auto"/>
              </w:rPr>
              <w:t>TALTZ 80 mg</w:t>
            </w:r>
          </w:p>
          <w:p w:rsidR="00C615F8" w:rsidRPr="00A75306" w:rsidRDefault="00C615F8" w:rsidP="00937266">
            <w:pPr>
              <w:pStyle w:val="PLRTableDataCentered"/>
              <w:ind w:left="142"/>
              <w:rPr>
                <w:b/>
                <w:color w:val="auto"/>
              </w:rPr>
            </w:pPr>
            <w:r w:rsidRPr="00A75306">
              <w:rPr>
                <w:b/>
                <w:color w:val="auto"/>
              </w:rPr>
              <w:t>Q</w:t>
            </w:r>
            <w:r w:rsidRPr="00A75306">
              <w:rPr>
                <w:b/>
              </w:rPr>
              <w:t>4</w:t>
            </w:r>
            <w:r w:rsidRPr="00A75306">
              <w:rPr>
                <w:b/>
                <w:color w:val="auto"/>
              </w:rPr>
              <w:t>W</w:t>
            </w:r>
            <w:r w:rsidRPr="00A75306">
              <w:rPr>
                <w:b/>
                <w:color w:val="auto"/>
                <w:vertAlign w:val="superscript"/>
              </w:rPr>
              <w:t>b</w:t>
            </w:r>
            <w:r w:rsidRPr="00A75306">
              <w:rPr>
                <w:b/>
                <w:color w:val="auto"/>
              </w:rPr>
              <w:t xml:space="preserve"> (N=</w:t>
            </w:r>
            <w:r w:rsidRPr="00A75306">
              <w:rPr>
                <w:b/>
              </w:rPr>
              <w:t>114</w:t>
            </w:r>
            <w:r w:rsidRPr="00A75306">
              <w:rPr>
                <w:b/>
                <w:color w:val="auto"/>
              </w:rPr>
              <w:t>)</w:t>
            </w:r>
          </w:p>
        </w:tc>
        <w:tc>
          <w:tcPr>
            <w:tcW w:w="1559" w:type="dxa"/>
            <w:shd w:val="clear" w:color="auto" w:fill="auto"/>
          </w:tcPr>
          <w:p w:rsidR="00C615F8" w:rsidRPr="00A75306" w:rsidRDefault="00C615F8" w:rsidP="00937266">
            <w:pPr>
              <w:pStyle w:val="PLRTableDataCentered"/>
              <w:ind w:left="142"/>
              <w:rPr>
                <w:b/>
                <w:color w:val="auto"/>
              </w:rPr>
            </w:pPr>
            <w:r w:rsidRPr="00A75306">
              <w:rPr>
                <w:b/>
                <w:color w:val="auto"/>
              </w:rPr>
              <w:t>Placebo</w:t>
            </w:r>
          </w:p>
          <w:p w:rsidR="00C615F8" w:rsidRPr="00A75306" w:rsidRDefault="00C615F8" w:rsidP="00937266">
            <w:pPr>
              <w:pStyle w:val="PLRTableDataCentered"/>
              <w:ind w:left="142"/>
              <w:rPr>
                <w:b/>
                <w:color w:val="auto"/>
              </w:rPr>
            </w:pPr>
            <w:r w:rsidRPr="00A75306">
              <w:rPr>
                <w:b/>
                <w:color w:val="auto"/>
              </w:rPr>
              <w:t>(N=</w:t>
            </w:r>
            <w:r w:rsidRPr="00A75306">
              <w:rPr>
                <w:b/>
              </w:rPr>
              <w:t>104</w:t>
            </w:r>
            <w:r w:rsidRPr="00A75306">
              <w:rPr>
                <w:b/>
                <w:color w:val="auto"/>
              </w:rPr>
              <w:t>)</w:t>
            </w:r>
          </w:p>
        </w:tc>
      </w:tr>
      <w:tr w:rsidR="00C615F8" w:rsidRPr="00A70068" w:rsidTr="00F6516C">
        <w:tc>
          <w:tcPr>
            <w:tcW w:w="9356" w:type="dxa"/>
            <w:gridSpan w:val="5"/>
            <w:shd w:val="clear" w:color="auto" w:fill="auto"/>
          </w:tcPr>
          <w:p w:rsidR="00C615F8" w:rsidRPr="00A75306" w:rsidRDefault="00C615F8" w:rsidP="00937266">
            <w:pPr>
              <w:pStyle w:val="PLRTable1stLevelIndent"/>
              <w:ind w:left="142"/>
              <w:rPr>
                <w:b/>
                <w:color w:val="auto"/>
              </w:rPr>
            </w:pPr>
            <w:r w:rsidRPr="00A75306">
              <w:rPr>
                <w:b/>
                <w:color w:val="auto"/>
              </w:rPr>
              <w:t>ASAS Components</w:t>
            </w:r>
          </w:p>
        </w:tc>
      </w:tr>
      <w:tr w:rsidR="00C615F8" w:rsidRPr="00495636" w:rsidTr="00F6516C">
        <w:tc>
          <w:tcPr>
            <w:tcW w:w="9356" w:type="dxa"/>
            <w:gridSpan w:val="5"/>
            <w:shd w:val="clear" w:color="auto" w:fill="auto"/>
          </w:tcPr>
          <w:p w:rsidR="00C615F8" w:rsidRPr="00EE5F66" w:rsidRDefault="00C615F8" w:rsidP="00937266">
            <w:pPr>
              <w:pStyle w:val="PLRTable1stLevelIndent"/>
              <w:ind w:left="142" w:hanging="134"/>
              <w:rPr>
                <w:color w:val="auto"/>
              </w:rPr>
            </w:pPr>
            <w:r w:rsidRPr="00EE5F66">
              <w:rPr>
                <w:color w:val="auto"/>
              </w:rPr>
              <w:t>Patient Global Assessment (0-10)</w:t>
            </w:r>
          </w:p>
        </w:tc>
      </w:tr>
      <w:tr w:rsidR="00C615F8" w:rsidRPr="00D812EA" w:rsidTr="00F6516C">
        <w:tc>
          <w:tcPr>
            <w:tcW w:w="3402" w:type="dxa"/>
            <w:shd w:val="clear" w:color="auto" w:fill="auto"/>
          </w:tcPr>
          <w:p w:rsidR="00C615F8" w:rsidRPr="000345C4" w:rsidRDefault="00C615F8" w:rsidP="00937266">
            <w:pPr>
              <w:pStyle w:val="PLRTable2ndLevelIndent"/>
              <w:ind w:left="142"/>
              <w:rPr>
                <w:rFonts w:ascii="Cambria" w:hAnsi="Cambria"/>
                <w:color w:val="auto"/>
              </w:rPr>
            </w:pPr>
            <w:r w:rsidRPr="000345C4">
              <w:rPr>
                <w:rFonts w:ascii="Cambria" w:hAnsi="Cambria"/>
                <w:color w:val="auto"/>
              </w:rPr>
              <w:t>Baseline</w:t>
            </w:r>
          </w:p>
        </w:tc>
        <w:tc>
          <w:tcPr>
            <w:tcW w:w="1418" w:type="dxa"/>
            <w:shd w:val="clear" w:color="auto" w:fill="auto"/>
          </w:tcPr>
          <w:p w:rsidR="00C615F8" w:rsidRPr="00EE5F66" w:rsidRDefault="00C615F8" w:rsidP="00937266">
            <w:pPr>
              <w:pStyle w:val="PLRTableDataCentered"/>
              <w:ind w:left="142"/>
              <w:rPr>
                <w:color w:val="auto"/>
              </w:rPr>
            </w:pPr>
            <w:r w:rsidRPr="00EE5F66">
              <w:rPr>
                <w:color w:val="auto"/>
              </w:rPr>
              <w:t>6.9</w:t>
            </w:r>
          </w:p>
        </w:tc>
        <w:tc>
          <w:tcPr>
            <w:tcW w:w="1417" w:type="dxa"/>
            <w:shd w:val="clear" w:color="auto" w:fill="auto"/>
          </w:tcPr>
          <w:p w:rsidR="00C615F8" w:rsidRPr="00D34DF5" w:rsidRDefault="00C615F8" w:rsidP="00937266">
            <w:pPr>
              <w:pStyle w:val="PLRTableDataCentered"/>
              <w:ind w:left="142"/>
              <w:rPr>
                <w:color w:val="auto"/>
              </w:rPr>
            </w:pPr>
            <w:r w:rsidRPr="00D34DF5">
              <w:rPr>
                <w:color w:val="auto"/>
              </w:rPr>
              <w:t>7.1</w:t>
            </w:r>
          </w:p>
        </w:tc>
        <w:tc>
          <w:tcPr>
            <w:tcW w:w="1560" w:type="dxa"/>
            <w:shd w:val="clear" w:color="auto" w:fill="auto"/>
          </w:tcPr>
          <w:p w:rsidR="00C615F8" w:rsidRPr="00D34DF5" w:rsidRDefault="00C615F8" w:rsidP="00937266">
            <w:pPr>
              <w:pStyle w:val="PLRTableDataCentered"/>
              <w:ind w:left="142"/>
              <w:rPr>
                <w:color w:val="auto"/>
              </w:rPr>
            </w:pPr>
            <w:r w:rsidRPr="00D34DF5">
              <w:t>8.0</w:t>
            </w:r>
          </w:p>
        </w:tc>
        <w:tc>
          <w:tcPr>
            <w:tcW w:w="1559" w:type="dxa"/>
            <w:shd w:val="clear" w:color="auto" w:fill="auto"/>
          </w:tcPr>
          <w:p w:rsidR="00C615F8" w:rsidRPr="00D34DF5" w:rsidRDefault="00C615F8" w:rsidP="00937266">
            <w:pPr>
              <w:pStyle w:val="PLRTableDataCentered"/>
              <w:ind w:left="142"/>
              <w:rPr>
                <w:color w:val="auto"/>
              </w:rPr>
            </w:pPr>
            <w:r w:rsidRPr="00D34DF5">
              <w:t>7.8</w:t>
            </w:r>
          </w:p>
        </w:tc>
      </w:tr>
      <w:tr w:rsidR="00C615F8" w:rsidRPr="00D812EA" w:rsidTr="00F6516C">
        <w:tc>
          <w:tcPr>
            <w:tcW w:w="3402" w:type="dxa"/>
            <w:shd w:val="clear" w:color="auto" w:fill="auto"/>
          </w:tcPr>
          <w:p w:rsidR="00C615F8" w:rsidRPr="000345C4" w:rsidRDefault="00C615F8" w:rsidP="00937266">
            <w:pPr>
              <w:pStyle w:val="PLRTable2ndLevelIndent"/>
              <w:ind w:left="142"/>
              <w:rPr>
                <w:rFonts w:ascii="Cambria" w:hAnsi="Cambria"/>
                <w:color w:val="auto"/>
              </w:rPr>
            </w:pPr>
            <w:r w:rsidRPr="000345C4">
              <w:rPr>
                <w:rFonts w:ascii="Cambria" w:hAnsi="Cambria"/>
                <w:color w:val="auto"/>
              </w:rPr>
              <w:t>Mean Change from Baseline</w:t>
            </w:r>
          </w:p>
        </w:tc>
        <w:tc>
          <w:tcPr>
            <w:tcW w:w="1418" w:type="dxa"/>
            <w:shd w:val="clear" w:color="auto" w:fill="auto"/>
          </w:tcPr>
          <w:p w:rsidR="00C615F8" w:rsidRPr="00EE5F66" w:rsidRDefault="00C615F8" w:rsidP="00937266">
            <w:pPr>
              <w:pStyle w:val="PLRTableDataCentered"/>
              <w:ind w:left="142"/>
              <w:rPr>
                <w:color w:val="auto"/>
              </w:rPr>
            </w:pPr>
            <w:r w:rsidRPr="00EE5F66">
              <w:rPr>
                <w:color w:val="auto"/>
              </w:rPr>
              <w:t>-2.5</w:t>
            </w:r>
          </w:p>
        </w:tc>
        <w:tc>
          <w:tcPr>
            <w:tcW w:w="1417" w:type="dxa"/>
            <w:shd w:val="clear" w:color="auto" w:fill="auto"/>
          </w:tcPr>
          <w:p w:rsidR="00C615F8" w:rsidRPr="00D34DF5" w:rsidRDefault="00C615F8" w:rsidP="00937266">
            <w:pPr>
              <w:pStyle w:val="PLRTableDataCentered"/>
              <w:ind w:left="142"/>
              <w:rPr>
                <w:color w:val="auto"/>
              </w:rPr>
            </w:pPr>
            <w:r w:rsidRPr="00D34DF5">
              <w:rPr>
                <w:color w:val="auto"/>
              </w:rPr>
              <w:t>-1.4</w:t>
            </w:r>
          </w:p>
        </w:tc>
        <w:tc>
          <w:tcPr>
            <w:tcW w:w="1560" w:type="dxa"/>
            <w:shd w:val="clear" w:color="auto" w:fill="auto"/>
          </w:tcPr>
          <w:p w:rsidR="00C615F8" w:rsidRPr="00D34DF5" w:rsidRDefault="00C615F8" w:rsidP="00937266">
            <w:pPr>
              <w:pStyle w:val="PLRTableDataCentered"/>
              <w:ind w:left="142"/>
              <w:rPr>
                <w:color w:val="auto"/>
              </w:rPr>
            </w:pPr>
            <w:r w:rsidRPr="00D34DF5">
              <w:t>-2.4</w:t>
            </w:r>
          </w:p>
        </w:tc>
        <w:tc>
          <w:tcPr>
            <w:tcW w:w="1559" w:type="dxa"/>
            <w:shd w:val="clear" w:color="auto" w:fill="auto"/>
          </w:tcPr>
          <w:p w:rsidR="00C615F8" w:rsidRPr="00D34DF5" w:rsidRDefault="00C615F8" w:rsidP="00937266">
            <w:pPr>
              <w:pStyle w:val="PLRTableDataCentered"/>
              <w:ind w:left="142"/>
              <w:rPr>
                <w:color w:val="auto"/>
              </w:rPr>
            </w:pPr>
            <w:r w:rsidRPr="00D34DF5">
              <w:t>-0.7</w:t>
            </w:r>
          </w:p>
        </w:tc>
      </w:tr>
      <w:tr w:rsidR="00C615F8" w:rsidRPr="00BD31F3" w:rsidTr="00F6516C">
        <w:tc>
          <w:tcPr>
            <w:tcW w:w="9356" w:type="dxa"/>
            <w:gridSpan w:val="5"/>
            <w:shd w:val="clear" w:color="auto" w:fill="auto"/>
          </w:tcPr>
          <w:p w:rsidR="00C615F8" w:rsidRPr="00EE5F66" w:rsidRDefault="00C615F8" w:rsidP="00937266">
            <w:pPr>
              <w:pStyle w:val="PLRTable1stLevelIndent"/>
              <w:ind w:left="142" w:hanging="134"/>
              <w:rPr>
                <w:color w:val="auto"/>
              </w:rPr>
            </w:pPr>
            <w:r w:rsidRPr="00EE5F66">
              <w:rPr>
                <w:color w:val="auto"/>
              </w:rPr>
              <w:t>Total Spinal Pain (0-10)</w:t>
            </w:r>
          </w:p>
        </w:tc>
      </w:tr>
      <w:tr w:rsidR="00C615F8" w:rsidRPr="00D812EA" w:rsidTr="00F6516C">
        <w:tc>
          <w:tcPr>
            <w:tcW w:w="3402" w:type="dxa"/>
            <w:shd w:val="clear" w:color="auto" w:fill="auto"/>
          </w:tcPr>
          <w:p w:rsidR="00C615F8" w:rsidRPr="000345C4" w:rsidRDefault="00C615F8" w:rsidP="00937266">
            <w:pPr>
              <w:pStyle w:val="PLRTable2ndLevelIndent"/>
              <w:ind w:left="142"/>
              <w:rPr>
                <w:rFonts w:ascii="Cambria" w:hAnsi="Cambria"/>
                <w:color w:val="auto"/>
              </w:rPr>
            </w:pPr>
            <w:r w:rsidRPr="000345C4">
              <w:rPr>
                <w:rFonts w:ascii="Cambria" w:hAnsi="Cambria"/>
                <w:color w:val="auto"/>
              </w:rPr>
              <w:t>Baseline</w:t>
            </w:r>
          </w:p>
        </w:tc>
        <w:tc>
          <w:tcPr>
            <w:tcW w:w="1418" w:type="dxa"/>
            <w:shd w:val="clear" w:color="auto" w:fill="auto"/>
          </w:tcPr>
          <w:p w:rsidR="00C615F8" w:rsidRPr="00EE5F66" w:rsidRDefault="00C615F8" w:rsidP="00937266">
            <w:pPr>
              <w:pStyle w:val="PLRTableDataCentered"/>
              <w:ind w:left="142"/>
              <w:rPr>
                <w:color w:val="auto"/>
              </w:rPr>
            </w:pPr>
            <w:r w:rsidRPr="00EE5F66">
              <w:rPr>
                <w:color w:val="auto"/>
              </w:rPr>
              <w:t>7.</w:t>
            </w:r>
            <w:r w:rsidRPr="00EE5F66">
              <w:t>2</w:t>
            </w:r>
          </w:p>
        </w:tc>
        <w:tc>
          <w:tcPr>
            <w:tcW w:w="1417" w:type="dxa"/>
            <w:shd w:val="clear" w:color="auto" w:fill="auto"/>
          </w:tcPr>
          <w:p w:rsidR="00C615F8" w:rsidRPr="00D34DF5" w:rsidRDefault="00C615F8" w:rsidP="00937266">
            <w:pPr>
              <w:pStyle w:val="PLRTableDataCentered"/>
              <w:ind w:left="142"/>
              <w:rPr>
                <w:color w:val="auto"/>
              </w:rPr>
            </w:pPr>
            <w:r w:rsidRPr="00D34DF5">
              <w:rPr>
                <w:color w:val="auto"/>
              </w:rPr>
              <w:t>7.4</w:t>
            </w:r>
          </w:p>
        </w:tc>
        <w:tc>
          <w:tcPr>
            <w:tcW w:w="1560" w:type="dxa"/>
            <w:shd w:val="clear" w:color="auto" w:fill="auto"/>
          </w:tcPr>
          <w:p w:rsidR="00C615F8" w:rsidRPr="00D34DF5" w:rsidRDefault="00C615F8" w:rsidP="00937266">
            <w:pPr>
              <w:pStyle w:val="PLRTableDataCentered"/>
              <w:ind w:left="142"/>
              <w:rPr>
                <w:color w:val="auto"/>
              </w:rPr>
            </w:pPr>
            <w:r w:rsidRPr="00D34DF5">
              <w:t>7.9</w:t>
            </w:r>
          </w:p>
        </w:tc>
        <w:tc>
          <w:tcPr>
            <w:tcW w:w="1559" w:type="dxa"/>
            <w:shd w:val="clear" w:color="auto" w:fill="auto"/>
          </w:tcPr>
          <w:p w:rsidR="00C615F8" w:rsidRPr="00D34DF5" w:rsidRDefault="00C615F8" w:rsidP="00937266">
            <w:pPr>
              <w:pStyle w:val="PLRTableDataCentered"/>
              <w:ind w:left="142"/>
              <w:rPr>
                <w:color w:val="auto"/>
              </w:rPr>
            </w:pPr>
            <w:r w:rsidRPr="00D34DF5">
              <w:t>7.8</w:t>
            </w:r>
          </w:p>
        </w:tc>
      </w:tr>
      <w:tr w:rsidR="00C615F8" w:rsidRPr="00D812EA" w:rsidTr="00F6516C">
        <w:tc>
          <w:tcPr>
            <w:tcW w:w="3402" w:type="dxa"/>
            <w:shd w:val="clear" w:color="auto" w:fill="auto"/>
          </w:tcPr>
          <w:p w:rsidR="00C615F8" w:rsidRPr="000345C4" w:rsidRDefault="00C615F8" w:rsidP="00937266">
            <w:pPr>
              <w:pStyle w:val="PLRTable2ndLevelIndent"/>
              <w:ind w:left="142"/>
              <w:rPr>
                <w:rFonts w:ascii="Cambria" w:hAnsi="Cambria"/>
                <w:color w:val="auto"/>
              </w:rPr>
            </w:pPr>
            <w:r w:rsidRPr="000345C4">
              <w:rPr>
                <w:rFonts w:ascii="Cambria" w:hAnsi="Cambria"/>
                <w:color w:val="auto"/>
              </w:rPr>
              <w:t>Mean Change from Baseline</w:t>
            </w:r>
          </w:p>
        </w:tc>
        <w:tc>
          <w:tcPr>
            <w:tcW w:w="1418" w:type="dxa"/>
            <w:shd w:val="clear" w:color="auto" w:fill="auto"/>
          </w:tcPr>
          <w:p w:rsidR="00C615F8" w:rsidRPr="00EE5F66" w:rsidRDefault="00C615F8" w:rsidP="00937266">
            <w:pPr>
              <w:pStyle w:val="PLRTableDataCentered"/>
              <w:ind w:left="142"/>
              <w:rPr>
                <w:color w:val="auto"/>
              </w:rPr>
            </w:pPr>
            <w:r w:rsidRPr="00EE5F66">
              <w:rPr>
                <w:color w:val="auto"/>
              </w:rPr>
              <w:t>-3.2</w:t>
            </w:r>
          </w:p>
        </w:tc>
        <w:tc>
          <w:tcPr>
            <w:tcW w:w="1417" w:type="dxa"/>
            <w:shd w:val="clear" w:color="auto" w:fill="auto"/>
          </w:tcPr>
          <w:p w:rsidR="00C615F8" w:rsidRPr="00D34DF5" w:rsidRDefault="00C615F8" w:rsidP="00937266">
            <w:pPr>
              <w:pStyle w:val="PLRTableDataCentered"/>
              <w:ind w:left="142"/>
              <w:rPr>
                <w:color w:val="auto"/>
              </w:rPr>
            </w:pPr>
            <w:r w:rsidRPr="00D34DF5">
              <w:rPr>
                <w:color w:val="auto"/>
              </w:rPr>
              <w:t>-1.7</w:t>
            </w:r>
          </w:p>
        </w:tc>
        <w:tc>
          <w:tcPr>
            <w:tcW w:w="1560" w:type="dxa"/>
            <w:shd w:val="clear" w:color="auto" w:fill="auto"/>
          </w:tcPr>
          <w:p w:rsidR="00C615F8" w:rsidRPr="00D34DF5" w:rsidRDefault="00C615F8" w:rsidP="00937266">
            <w:pPr>
              <w:pStyle w:val="PLRTableDataCentered"/>
              <w:ind w:left="142"/>
              <w:rPr>
                <w:color w:val="auto"/>
              </w:rPr>
            </w:pPr>
            <w:r w:rsidRPr="00D34DF5">
              <w:t>-2.4</w:t>
            </w:r>
          </w:p>
        </w:tc>
        <w:tc>
          <w:tcPr>
            <w:tcW w:w="1559" w:type="dxa"/>
            <w:shd w:val="clear" w:color="auto" w:fill="auto"/>
          </w:tcPr>
          <w:p w:rsidR="00C615F8" w:rsidRPr="00D34DF5" w:rsidRDefault="00C615F8" w:rsidP="00937266">
            <w:pPr>
              <w:pStyle w:val="PLRTableDataCentered"/>
              <w:ind w:left="142"/>
              <w:rPr>
                <w:color w:val="auto"/>
              </w:rPr>
            </w:pPr>
            <w:r w:rsidRPr="00D34DF5">
              <w:t>-1.0</w:t>
            </w:r>
          </w:p>
        </w:tc>
      </w:tr>
      <w:tr w:rsidR="00C615F8" w:rsidRPr="00BD31F3" w:rsidTr="00F6516C">
        <w:tc>
          <w:tcPr>
            <w:tcW w:w="9356" w:type="dxa"/>
            <w:gridSpan w:val="5"/>
            <w:shd w:val="clear" w:color="auto" w:fill="auto"/>
          </w:tcPr>
          <w:p w:rsidR="00C615F8" w:rsidRPr="00EE5F66" w:rsidRDefault="00C615F8" w:rsidP="00937266">
            <w:pPr>
              <w:pStyle w:val="PLRTable1stLevelIndent"/>
              <w:ind w:left="142" w:hanging="134"/>
              <w:rPr>
                <w:color w:val="auto"/>
              </w:rPr>
            </w:pPr>
            <w:r w:rsidRPr="00EE5F66">
              <w:rPr>
                <w:color w:val="auto"/>
              </w:rPr>
              <w:t>BASFI (0-10)</w:t>
            </w:r>
          </w:p>
        </w:tc>
      </w:tr>
      <w:tr w:rsidR="00C615F8" w:rsidRPr="00D812EA" w:rsidTr="00F6516C">
        <w:tc>
          <w:tcPr>
            <w:tcW w:w="3402" w:type="dxa"/>
            <w:shd w:val="clear" w:color="auto" w:fill="auto"/>
          </w:tcPr>
          <w:p w:rsidR="00C615F8" w:rsidRPr="000345C4" w:rsidRDefault="00C615F8" w:rsidP="00937266">
            <w:pPr>
              <w:pStyle w:val="PLRTable2ndLevelIndent"/>
              <w:ind w:left="142"/>
              <w:rPr>
                <w:rFonts w:ascii="Cambria" w:hAnsi="Cambria"/>
                <w:color w:val="auto"/>
              </w:rPr>
            </w:pPr>
            <w:r w:rsidRPr="000345C4">
              <w:rPr>
                <w:rFonts w:ascii="Cambria" w:hAnsi="Cambria"/>
                <w:color w:val="auto"/>
              </w:rPr>
              <w:t>Baseline</w:t>
            </w:r>
          </w:p>
        </w:tc>
        <w:tc>
          <w:tcPr>
            <w:tcW w:w="1418" w:type="dxa"/>
            <w:shd w:val="clear" w:color="auto" w:fill="auto"/>
          </w:tcPr>
          <w:p w:rsidR="00C615F8" w:rsidRPr="00EE5F66" w:rsidRDefault="00C615F8" w:rsidP="00937266">
            <w:pPr>
              <w:pStyle w:val="PLRTableDataCentered"/>
              <w:ind w:left="142"/>
              <w:rPr>
                <w:color w:val="auto"/>
              </w:rPr>
            </w:pPr>
            <w:r w:rsidRPr="00EE5F66">
              <w:rPr>
                <w:color w:val="auto"/>
              </w:rPr>
              <w:t>6.06</w:t>
            </w:r>
          </w:p>
        </w:tc>
        <w:tc>
          <w:tcPr>
            <w:tcW w:w="1417" w:type="dxa"/>
            <w:shd w:val="clear" w:color="auto" w:fill="auto"/>
          </w:tcPr>
          <w:p w:rsidR="00C615F8" w:rsidRPr="00D34DF5" w:rsidRDefault="00C615F8" w:rsidP="00937266">
            <w:pPr>
              <w:pStyle w:val="PLRTableDataCentered"/>
              <w:ind w:left="142"/>
              <w:rPr>
                <w:color w:val="auto"/>
              </w:rPr>
            </w:pPr>
            <w:r w:rsidRPr="00D34DF5">
              <w:rPr>
                <w:color w:val="auto"/>
              </w:rPr>
              <w:t>6.35</w:t>
            </w:r>
          </w:p>
        </w:tc>
        <w:tc>
          <w:tcPr>
            <w:tcW w:w="1560" w:type="dxa"/>
            <w:shd w:val="clear" w:color="auto" w:fill="auto"/>
          </w:tcPr>
          <w:p w:rsidR="00C615F8" w:rsidRPr="00D34DF5" w:rsidRDefault="00C615F8" w:rsidP="00937266">
            <w:pPr>
              <w:pStyle w:val="PLRTableDataCentered"/>
              <w:ind w:left="142"/>
              <w:rPr>
                <w:color w:val="auto"/>
              </w:rPr>
            </w:pPr>
            <w:r w:rsidRPr="00D34DF5">
              <w:t>7.35</w:t>
            </w:r>
          </w:p>
        </w:tc>
        <w:tc>
          <w:tcPr>
            <w:tcW w:w="1559" w:type="dxa"/>
            <w:shd w:val="clear" w:color="auto" w:fill="auto"/>
          </w:tcPr>
          <w:p w:rsidR="00C615F8" w:rsidRPr="00D34DF5" w:rsidRDefault="00C615F8" w:rsidP="00937266">
            <w:pPr>
              <w:pStyle w:val="PLRTableDataCentered"/>
              <w:ind w:left="142"/>
              <w:rPr>
                <w:color w:val="auto"/>
              </w:rPr>
            </w:pPr>
            <w:r w:rsidRPr="00D34DF5">
              <w:t>7.01</w:t>
            </w:r>
          </w:p>
        </w:tc>
      </w:tr>
      <w:tr w:rsidR="00C615F8" w:rsidRPr="00D812EA" w:rsidTr="00F6516C">
        <w:tc>
          <w:tcPr>
            <w:tcW w:w="3402" w:type="dxa"/>
            <w:shd w:val="clear" w:color="auto" w:fill="auto"/>
          </w:tcPr>
          <w:p w:rsidR="00C615F8" w:rsidRPr="000345C4" w:rsidRDefault="00C615F8" w:rsidP="00937266">
            <w:pPr>
              <w:pStyle w:val="PLRTable2ndLevelIndent"/>
              <w:ind w:left="142"/>
              <w:rPr>
                <w:rFonts w:ascii="Cambria" w:hAnsi="Cambria"/>
                <w:color w:val="auto"/>
              </w:rPr>
            </w:pPr>
            <w:r w:rsidRPr="000345C4">
              <w:rPr>
                <w:rFonts w:ascii="Cambria" w:hAnsi="Cambria"/>
                <w:color w:val="auto"/>
              </w:rPr>
              <w:t>Mean Change from Baseline</w:t>
            </w:r>
          </w:p>
        </w:tc>
        <w:tc>
          <w:tcPr>
            <w:tcW w:w="1418" w:type="dxa"/>
            <w:shd w:val="clear" w:color="auto" w:fill="auto"/>
          </w:tcPr>
          <w:p w:rsidR="00C615F8" w:rsidRPr="00EE5F66" w:rsidRDefault="00C615F8" w:rsidP="00937266">
            <w:pPr>
              <w:pStyle w:val="PLRTableDataCentered"/>
              <w:ind w:left="142"/>
              <w:rPr>
                <w:color w:val="auto"/>
              </w:rPr>
            </w:pPr>
            <w:r w:rsidRPr="00EE5F66">
              <w:rPr>
                <w:color w:val="auto"/>
              </w:rPr>
              <w:t>-2.39</w:t>
            </w:r>
          </w:p>
        </w:tc>
        <w:tc>
          <w:tcPr>
            <w:tcW w:w="1417" w:type="dxa"/>
            <w:shd w:val="clear" w:color="auto" w:fill="auto"/>
          </w:tcPr>
          <w:p w:rsidR="00C615F8" w:rsidRPr="00D34DF5" w:rsidRDefault="00C615F8" w:rsidP="00937266">
            <w:pPr>
              <w:pStyle w:val="PLRTableDataCentered"/>
              <w:ind w:left="142"/>
              <w:rPr>
                <w:color w:val="auto"/>
              </w:rPr>
            </w:pPr>
            <w:r w:rsidRPr="00D34DF5">
              <w:rPr>
                <w:color w:val="auto"/>
              </w:rPr>
              <w:t>-1.16</w:t>
            </w:r>
          </w:p>
        </w:tc>
        <w:tc>
          <w:tcPr>
            <w:tcW w:w="1560" w:type="dxa"/>
            <w:shd w:val="clear" w:color="auto" w:fill="auto"/>
          </w:tcPr>
          <w:p w:rsidR="00C615F8" w:rsidRPr="00D34DF5" w:rsidRDefault="00C615F8" w:rsidP="00937266">
            <w:pPr>
              <w:pStyle w:val="PLRTableDataCentered"/>
              <w:ind w:left="142"/>
              <w:rPr>
                <w:color w:val="auto"/>
              </w:rPr>
            </w:pPr>
            <w:r w:rsidRPr="00D34DF5">
              <w:t>-1.69</w:t>
            </w:r>
          </w:p>
        </w:tc>
        <w:tc>
          <w:tcPr>
            <w:tcW w:w="1559" w:type="dxa"/>
            <w:shd w:val="clear" w:color="auto" w:fill="auto"/>
          </w:tcPr>
          <w:p w:rsidR="00C615F8" w:rsidRPr="00D34DF5" w:rsidRDefault="00C615F8" w:rsidP="00937266">
            <w:pPr>
              <w:pStyle w:val="PLRTableDataCentered"/>
              <w:ind w:left="142"/>
              <w:rPr>
                <w:color w:val="auto"/>
              </w:rPr>
            </w:pPr>
            <w:r w:rsidRPr="00D34DF5">
              <w:t>-0.64</w:t>
            </w:r>
          </w:p>
        </w:tc>
      </w:tr>
      <w:tr w:rsidR="00C615F8" w:rsidRPr="00BD31F3" w:rsidTr="00F6516C">
        <w:tc>
          <w:tcPr>
            <w:tcW w:w="9356" w:type="dxa"/>
            <w:gridSpan w:val="5"/>
            <w:shd w:val="clear" w:color="auto" w:fill="auto"/>
          </w:tcPr>
          <w:p w:rsidR="00C615F8" w:rsidRPr="00EE5F66" w:rsidRDefault="00C615F8" w:rsidP="00937266">
            <w:pPr>
              <w:pStyle w:val="PLRTable1stLevelIndent"/>
              <w:ind w:left="142" w:hanging="134"/>
              <w:rPr>
                <w:color w:val="auto"/>
              </w:rPr>
            </w:pPr>
            <w:r w:rsidRPr="00EE5F66">
              <w:rPr>
                <w:color w:val="auto"/>
              </w:rPr>
              <w:t>Inflammation (0-10)</w:t>
            </w:r>
            <w:r w:rsidRPr="00EE5F66">
              <w:rPr>
                <w:color w:val="auto"/>
                <w:vertAlign w:val="superscript"/>
              </w:rPr>
              <w:t>c</w:t>
            </w:r>
          </w:p>
        </w:tc>
      </w:tr>
      <w:tr w:rsidR="00C615F8" w:rsidRPr="00D812EA" w:rsidTr="00F6516C">
        <w:tc>
          <w:tcPr>
            <w:tcW w:w="3402" w:type="dxa"/>
            <w:shd w:val="clear" w:color="auto" w:fill="auto"/>
          </w:tcPr>
          <w:p w:rsidR="00C615F8" w:rsidRPr="000345C4" w:rsidRDefault="00C615F8" w:rsidP="00937266">
            <w:pPr>
              <w:pStyle w:val="PLRTable2ndLevelIndent"/>
              <w:ind w:left="142"/>
              <w:rPr>
                <w:rFonts w:ascii="Cambria" w:hAnsi="Cambria"/>
                <w:color w:val="auto"/>
              </w:rPr>
            </w:pPr>
            <w:r w:rsidRPr="000345C4">
              <w:rPr>
                <w:rFonts w:ascii="Cambria" w:hAnsi="Cambria"/>
                <w:color w:val="auto"/>
              </w:rPr>
              <w:t>Baseline</w:t>
            </w:r>
          </w:p>
        </w:tc>
        <w:tc>
          <w:tcPr>
            <w:tcW w:w="1418" w:type="dxa"/>
            <w:shd w:val="clear" w:color="auto" w:fill="auto"/>
          </w:tcPr>
          <w:p w:rsidR="00C615F8" w:rsidRPr="00EE5F66" w:rsidRDefault="00C615F8" w:rsidP="00937266">
            <w:pPr>
              <w:pStyle w:val="PLRTableDataCentered"/>
              <w:ind w:left="142"/>
              <w:rPr>
                <w:color w:val="auto"/>
              </w:rPr>
            </w:pPr>
            <w:r w:rsidRPr="00EE5F66">
              <w:rPr>
                <w:color w:val="auto"/>
              </w:rPr>
              <w:t>6.51</w:t>
            </w:r>
          </w:p>
        </w:tc>
        <w:tc>
          <w:tcPr>
            <w:tcW w:w="1417" w:type="dxa"/>
            <w:shd w:val="clear" w:color="auto" w:fill="auto"/>
          </w:tcPr>
          <w:p w:rsidR="00C615F8" w:rsidRPr="00D34DF5" w:rsidRDefault="00C615F8" w:rsidP="00937266">
            <w:pPr>
              <w:pStyle w:val="PLRTableDataCentered"/>
              <w:ind w:left="142"/>
              <w:rPr>
                <w:color w:val="auto"/>
              </w:rPr>
            </w:pPr>
            <w:r w:rsidRPr="00D34DF5">
              <w:rPr>
                <w:color w:val="auto"/>
              </w:rPr>
              <w:t>6.76</w:t>
            </w:r>
          </w:p>
        </w:tc>
        <w:tc>
          <w:tcPr>
            <w:tcW w:w="1560" w:type="dxa"/>
            <w:shd w:val="clear" w:color="auto" w:fill="auto"/>
          </w:tcPr>
          <w:p w:rsidR="00C615F8" w:rsidRPr="00D34DF5" w:rsidRDefault="00C615F8" w:rsidP="00937266">
            <w:pPr>
              <w:pStyle w:val="PLRTableDataCentered"/>
              <w:ind w:left="142"/>
              <w:rPr>
                <w:color w:val="auto"/>
              </w:rPr>
            </w:pPr>
            <w:r w:rsidRPr="00D34DF5">
              <w:t>7.21</w:t>
            </w:r>
          </w:p>
        </w:tc>
        <w:tc>
          <w:tcPr>
            <w:tcW w:w="1559" w:type="dxa"/>
            <w:shd w:val="clear" w:color="auto" w:fill="auto"/>
          </w:tcPr>
          <w:p w:rsidR="00C615F8" w:rsidRPr="00D34DF5" w:rsidRDefault="00C615F8" w:rsidP="00937266">
            <w:pPr>
              <w:pStyle w:val="PLRTableDataCentered"/>
              <w:ind w:left="142"/>
              <w:rPr>
                <w:color w:val="auto"/>
              </w:rPr>
            </w:pPr>
            <w:r w:rsidRPr="00D34DF5">
              <w:t>7.20</w:t>
            </w:r>
          </w:p>
        </w:tc>
      </w:tr>
      <w:tr w:rsidR="00C615F8" w:rsidRPr="00D812EA" w:rsidTr="00F6516C">
        <w:tc>
          <w:tcPr>
            <w:tcW w:w="3402" w:type="dxa"/>
            <w:shd w:val="clear" w:color="auto" w:fill="auto"/>
          </w:tcPr>
          <w:p w:rsidR="00C615F8" w:rsidRPr="000345C4" w:rsidRDefault="00C615F8" w:rsidP="00937266">
            <w:pPr>
              <w:pStyle w:val="PLRTable2ndLevelIndent"/>
              <w:ind w:left="142"/>
              <w:rPr>
                <w:rFonts w:ascii="Cambria" w:hAnsi="Cambria"/>
                <w:color w:val="auto"/>
              </w:rPr>
            </w:pPr>
            <w:r w:rsidRPr="000345C4">
              <w:rPr>
                <w:rFonts w:ascii="Cambria" w:hAnsi="Cambria"/>
                <w:color w:val="auto"/>
              </w:rPr>
              <w:t>Mean Change from Baseline</w:t>
            </w:r>
          </w:p>
        </w:tc>
        <w:tc>
          <w:tcPr>
            <w:tcW w:w="1418" w:type="dxa"/>
            <w:shd w:val="clear" w:color="auto" w:fill="auto"/>
          </w:tcPr>
          <w:p w:rsidR="00C615F8" w:rsidRPr="00EE5F66" w:rsidRDefault="00C615F8" w:rsidP="00937266">
            <w:pPr>
              <w:pStyle w:val="PLRTableDataCentered"/>
              <w:ind w:left="142"/>
              <w:rPr>
                <w:color w:val="auto"/>
              </w:rPr>
            </w:pPr>
            <w:r w:rsidRPr="00EE5F66">
              <w:rPr>
                <w:color w:val="auto"/>
              </w:rPr>
              <w:t>-3.18</w:t>
            </w:r>
          </w:p>
        </w:tc>
        <w:tc>
          <w:tcPr>
            <w:tcW w:w="1417" w:type="dxa"/>
            <w:shd w:val="clear" w:color="auto" w:fill="auto"/>
          </w:tcPr>
          <w:p w:rsidR="00C615F8" w:rsidRPr="00D34DF5" w:rsidRDefault="00C615F8" w:rsidP="00937266">
            <w:pPr>
              <w:pStyle w:val="PLRTableDataCentered"/>
              <w:ind w:left="142"/>
              <w:rPr>
                <w:color w:val="auto"/>
              </w:rPr>
            </w:pPr>
            <w:r w:rsidRPr="00D34DF5">
              <w:rPr>
                <w:color w:val="auto"/>
              </w:rPr>
              <w:t>-1.27</w:t>
            </w:r>
          </w:p>
        </w:tc>
        <w:tc>
          <w:tcPr>
            <w:tcW w:w="1560" w:type="dxa"/>
            <w:shd w:val="clear" w:color="auto" w:fill="auto"/>
          </w:tcPr>
          <w:p w:rsidR="00C615F8" w:rsidRPr="00D34DF5" w:rsidRDefault="00C615F8" w:rsidP="00937266">
            <w:pPr>
              <w:pStyle w:val="PLRTableDataCentered"/>
              <w:ind w:left="142"/>
              <w:rPr>
                <w:color w:val="auto"/>
              </w:rPr>
            </w:pPr>
            <w:r w:rsidRPr="00D34DF5">
              <w:t>-2.42</w:t>
            </w:r>
          </w:p>
        </w:tc>
        <w:tc>
          <w:tcPr>
            <w:tcW w:w="1559" w:type="dxa"/>
            <w:shd w:val="clear" w:color="auto" w:fill="auto"/>
          </w:tcPr>
          <w:p w:rsidR="00C615F8" w:rsidRPr="00D34DF5" w:rsidRDefault="00C615F8" w:rsidP="00937266">
            <w:pPr>
              <w:pStyle w:val="PLRTableDataCentered"/>
              <w:ind w:left="142"/>
              <w:rPr>
                <w:color w:val="auto"/>
              </w:rPr>
            </w:pPr>
            <w:r w:rsidRPr="00D34DF5">
              <w:t>-0.70</w:t>
            </w:r>
          </w:p>
        </w:tc>
      </w:tr>
      <w:tr w:rsidR="00C615F8" w:rsidRPr="00B61C26" w:rsidTr="00F6516C">
        <w:tc>
          <w:tcPr>
            <w:tcW w:w="9356" w:type="dxa"/>
            <w:gridSpan w:val="5"/>
            <w:shd w:val="clear" w:color="auto" w:fill="auto"/>
          </w:tcPr>
          <w:p w:rsidR="00C615F8" w:rsidRPr="00EE5F66" w:rsidRDefault="00C615F8" w:rsidP="00937266">
            <w:pPr>
              <w:pStyle w:val="PLRTable1stLevelIndent"/>
              <w:ind w:left="142"/>
              <w:rPr>
                <w:color w:val="auto"/>
              </w:rPr>
            </w:pPr>
            <w:r w:rsidRPr="00EE5F66">
              <w:rPr>
                <w:color w:val="auto"/>
              </w:rPr>
              <w:t>ASDAS</w:t>
            </w:r>
          </w:p>
        </w:tc>
      </w:tr>
      <w:tr w:rsidR="00C615F8" w:rsidRPr="00D812EA" w:rsidTr="00F6516C">
        <w:tc>
          <w:tcPr>
            <w:tcW w:w="3402" w:type="dxa"/>
            <w:shd w:val="clear" w:color="auto" w:fill="auto"/>
          </w:tcPr>
          <w:p w:rsidR="00C615F8" w:rsidRPr="000345C4" w:rsidRDefault="00C615F8" w:rsidP="00937266">
            <w:pPr>
              <w:pStyle w:val="PLRTable2ndLevelIndent"/>
              <w:ind w:left="142"/>
              <w:rPr>
                <w:rFonts w:ascii="Cambria" w:hAnsi="Cambria"/>
                <w:color w:val="auto"/>
              </w:rPr>
            </w:pPr>
            <w:r w:rsidRPr="000345C4">
              <w:rPr>
                <w:rFonts w:ascii="Cambria" w:hAnsi="Cambria"/>
                <w:color w:val="auto"/>
              </w:rPr>
              <w:t>Baseline</w:t>
            </w:r>
          </w:p>
        </w:tc>
        <w:tc>
          <w:tcPr>
            <w:tcW w:w="1418" w:type="dxa"/>
            <w:shd w:val="clear" w:color="auto" w:fill="auto"/>
          </w:tcPr>
          <w:p w:rsidR="00C615F8" w:rsidRPr="00EE5F66" w:rsidRDefault="00C615F8" w:rsidP="00937266">
            <w:pPr>
              <w:pStyle w:val="PLRTableDataCentered"/>
              <w:ind w:left="142"/>
              <w:rPr>
                <w:color w:val="auto"/>
              </w:rPr>
            </w:pPr>
            <w:r w:rsidRPr="00EE5F66">
              <w:rPr>
                <w:color w:val="auto"/>
              </w:rPr>
              <w:t>3.71</w:t>
            </w:r>
          </w:p>
        </w:tc>
        <w:tc>
          <w:tcPr>
            <w:tcW w:w="1417" w:type="dxa"/>
            <w:shd w:val="clear" w:color="auto" w:fill="auto"/>
          </w:tcPr>
          <w:p w:rsidR="00C615F8" w:rsidRPr="00D34DF5" w:rsidRDefault="00C615F8" w:rsidP="00937266">
            <w:pPr>
              <w:pStyle w:val="PLRTableDataCentered"/>
              <w:ind w:left="142"/>
              <w:rPr>
                <w:color w:val="auto"/>
              </w:rPr>
            </w:pPr>
            <w:r w:rsidRPr="00D34DF5">
              <w:rPr>
                <w:color w:val="auto"/>
              </w:rPr>
              <w:t>3.89</w:t>
            </w:r>
          </w:p>
        </w:tc>
        <w:tc>
          <w:tcPr>
            <w:tcW w:w="1560" w:type="dxa"/>
            <w:shd w:val="clear" w:color="auto" w:fill="auto"/>
          </w:tcPr>
          <w:p w:rsidR="00C615F8" w:rsidRPr="00D34DF5" w:rsidRDefault="00C615F8" w:rsidP="00937266">
            <w:pPr>
              <w:pStyle w:val="PLRTableDataCentered"/>
              <w:ind w:left="142"/>
              <w:rPr>
                <w:color w:val="auto"/>
              </w:rPr>
            </w:pPr>
            <w:r w:rsidRPr="00D34DF5">
              <w:t>4.15</w:t>
            </w:r>
          </w:p>
        </w:tc>
        <w:tc>
          <w:tcPr>
            <w:tcW w:w="1559" w:type="dxa"/>
            <w:shd w:val="clear" w:color="auto" w:fill="auto"/>
          </w:tcPr>
          <w:p w:rsidR="00C615F8" w:rsidRPr="00D34DF5" w:rsidRDefault="00C615F8" w:rsidP="00937266">
            <w:pPr>
              <w:pStyle w:val="PLRTableDataCentered"/>
              <w:ind w:left="142"/>
              <w:rPr>
                <w:color w:val="auto"/>
              </w:rPr>
            </w:pPr>
            <w:r w:rsidRPr="00D34DF5">
              <w:t>4.05</w:t>
            </w:r>
          </w:p>
        </w:tc>
      </w:tr>
      <w:tr w:rsidR="00C615F8" w:rsidRPr="00D812EA" w:rsidTr="00F6516C">
        <w:tc>
          <w:tcPr>
            <w:tcW w:w="3402" w:type="dxa"/>
            <w:shd w:val="clear" w:color="auto" w:fill="auto"/>
          </w:tcPr>
          <w:p w:rsidR="00C615F8" w:rsidRPr="000345C4" w:rsidRDefault="00C615F8" w:rsidP="00937266">
            <w:pPr>
              <w:pStyle w:val="PLRTable2ndLevelIndent"/>
              <w:ind w:left="142"/>
              <w:rPr>
                <w:rFonts w:ascii="Cambria" w:hAnsi="Cambria"/>
              </w:rPr>
            </w:pPr>
            <w:r w:rsidRPr="000345C4">
              <w:rPr>
                <w:rFonts w:ascii="Cambria" w:hAnsi="Cambria"/>
              </w:rPr>
              <w:t>Mean Change from Baseline</w:t>
            </w:r>
          </w:p>
        </w:tc>
        <w:tc>
          <w:tcPr>
            <w:tcW w:w="1418" w:type="dxa"/>
            <w:shd w:val="clear" w:color="auto" w:fill="auto"/>
          </w:tcPr>
          <w:p w:rsidR="00C615F8" w:rsidRPr="00EE5F66" w:rsidRDefault="00C615F8" w:rsidP="00937266">
            <w:pPr>
              <w:pStyle w:val="PLRTableDataCentered"/>
              <w:ind w:left="142"/>
            </w:pPr>
            <w:r w:rsidRPr="00EE5F66">
              <w:t>-1.43</w:t>
            </w:r>
          </w:p>
        </w:tc>
        <w:tc>
          <w:tcPr>
            <w:tcW w:w="1417" w:type="dxa"/>
            <w:shd w:val="clear" w:color="auto" w:fill="auto"/>
          </w:tcPr>
          <w:p w:rsidR="00C615F8" w:rsidRPr="00D34DF5" w:rsidRDefault="00C615F8" w:rsidP="00937266">
            <w:pPr>
              <w:pStyle w:val="PLRTableDataCentered"/>
              <w:ind w:left="142"/>
            </w:pPr>
            <w:r w:rsidRPr="00D34DF5">
              <w:t>-0.46</w:t>
            </w:r>
          </w:p>
        </w:tc>
        <w:tc>
          <w:tcPr>
            <w:tcW w:w="1560" w:type="dxa"/>
            <w:shd w:val="clear" w:color="auto" w:fill="auto"/>
          </w:tcPr>
          <w:p w:rsidR="00C615F8" w:rsidRPr="00D34DF5" w:rsidRDefault="00C615F8" w:rsidP="00937266">
            <w:pPr>
              <w:pStyle w:val="PLRTableDataCentered"/>
              <w:ind w:left="142"/>
            </w:pPr>
            <w:r w:rsidRPr="00D34DF5">
              <w:t>-1.16</w:t>
            </w:r>
          </w:p>
        </w:tc>
        <w:tc>
          <w:tcPr>
            <w:tcW w:w="1559" w:type="dxa"/>
            <w:shd w:val="clear" w:color="auto" w:fill="auto"/>
          </w:tcPr>
          <w:p w:rsidR="00C615F8" w:rsidRPr="00D34DF5" w:rsidRDefault="00C615F8" w:rsidP="00937266">
            <w:pPr>
              <w:pStyle w:val="PLRTableDataCentered"/>
              <w:ind w:left="142"/>
            </w:pPr>
            <w:r w:rsidRPr="00D34DF5">
              <w:t>-0.11</w:t>
            </w:r>
          </w:p>
        </w:tc>
      </w:tr>
      <w:tr w:rsidR="00C615F8" w:rsidRPr="00B61C26" w:rsidTr="00F6516C">
        <w:tc>
          <w:tcPr>
            <w:tcW w:w="9356" w:type="dxa"/>
            <w:gridSpan w:val="5"/>
            <w:shd w:val="clear" w:color="auto" w:fill="auto"/>
          </w:tcPr>
          <w:p w:rsidR="00C615F8" w:rsidRPr="00EE5F66" w:rsidRDefault="00C615F8" w:rsidP="00937266">
            <w:pPr>
              <w:pStyle w:val="PLRTable1stLevelIndent"/>
              <w:ind w:left="142"/>
            </w:pPr>
            <w:r w:rsidRPr="00EE5F66">
              <w:t>BASDAI Score</w:t>
            </w:r>
          </w:p>
        </w:tc>
      </w:tr>
      <w:tr w:rsidR="00C615F8" w:rsidRPr="00D812EA" w:rsidTr="00F6516C">
        <w:tc>
          <w:tcPr>
            <w:tcW w:w="3402" w:type="dxa"/>
            <w:shd w:val="clear" w:color="auto" w:fill="auto"/>
          </w:tcPr>
          <w:p w:rsidR="00C615F8" w:rsidRPr="000345C4" w:rsidRDefault="00C615F8" w:rsidP="00937266">
            <w:pPr>
              <w:pStyle w:val="PLRTable2ndLevelIndent"/>
              <w:ind w:left="142"/>
              <w:rPr>
                <w:rFonts w:ascii="Cambria" w:hAnsi="Cambria"/>
              </w:rPr>
            </w:pPr>
            <w:r w:rsidRPr="000345C4">
              <w:rPr>
                <w:rFonts w:ascii="Cambria" w:hAnsi="Cambria"/>
              </w:rPr>
              <w:t>Baseline</w:t>
            </w:r>
          </w:p>
        </w:tc>
        <w:tc>
          <w:tcPr>
            <w:tcW w:w="1418" w:type="dxa"/>
            <w:shd w:val="clear" w:color="auto" w:fill="auto"/>
          </w:tcPr>
          <w:p w:rsidR="00C615F8" w:rsidRPr="00EE5F66" w:rsidRDefault="00C615F8" w:rsidP="00937266">
            <w:pPr>
              <w:pStyle w:val="PLRTableDataCentered"/>
              <w:ind w:left="142"/>
            </w:pPr>
            <w:r w:rsidRPr="00EE5F66">
              <w:t>6.75</w:t>
            </w:r>
          </w:p>
        </w:tc>
        <w:tc>
          <w:tcPr>
            <w:tcW w:w="1417" w:type="dxa"/>
            <w:shd w:val="clear" w:color="auto" w:fill="auto"/>
          </w:tcPr>
          <w:p w:rsidR="00C615F8" w:rsidRPr="00D34DF5" w:rsidRDefault="00C615F8" w:rsidP="00937266">
            <w:pPr>
              <w:pStyle w:val="PLRTableDataCentered"/>
              <w:ind w:left="142"/>
            </w:pPr>
            <w:r w:rsidRPr="00D34DF5">
              <w:t>6.81</w:t>
            </w:r>
          </w:p>
        </w:tc>
        <w:tc>
          <w:tcPr>
            <w:tcW w:w="1560" w:type="dxa"/>
            <w:shd w:val="clear" w:color="auto" w:fill="auto"/>
          </w:tcPr>
          <w:p w:rsidR="00C615F8" w:rsidRPr="00D34DF5" w:rsidRDefault="00C615F8" w:rsidP="00937266">
            <w:pPr>
              <w:pStyle w:val="PLRTableDataCentered"/>
              <w:ind w:left="142"/>
            </w:pPr>
            <w:r w:rsidRPr="00D34DF5">
              <w:t>7.54</w:t>
            </w:r>
          </w:p>
        </w:tc>
        <w:tc>
          <w:tcPr>
            <w:tcW w:w="1559" w:type="dxa"/>
            <w:shd w:val="clear" w:color="auto" w:fill="auto"/>
          </w:tcPr>
          <w:p w:rsidR="00C615F8" w:rsidRPr="00D34DF5" w:rsidRDefault="00C615F8" w:rsidP="00937266">
            <w:pPr>
              <w:pStyle w:val="PLRTableDataCentered"/>
              <w:ind w:left="142"/>
            </w:pPr>
            <w:r w:rsidRPr="00D34DF5">
              <w:t>7.32</w:t>
            </w:r>
          </w:p>
        </w:tc>
      </w:tr>
      <w:tr w:rsidR="00C615F8" w:rsidRPr="00D812EA" w:rsidTr="00F6516C">
        <w:trPr>
          <w:trHeight w:val="242"/>
        </w:trPr>
        <w:tc>
          <w:tcPr>
            <w:tcW w:w="3402" w:type="dxa"/>
            <w:shd w:val="clear" w:color="auto" w:fill="auto"/>
          </w:tcPr>
          <w:p w:rsidR="00C615F8" w:rsidRPr="000345C4" w:rsidRDefault="00C615F8" w:rsidP="00937266">
            <w:pPr>
              <w:pStyle w:val="PLRTable2ndLevelIndent"/>
              <w:ind w:left="142"/>
              <w:rPr>
                <w:rFonts w:ascii="Cambria" w:hAnsi="Cambria"/>
              </w:rPr>
            </w:pPr>
            <w:r w:rsidRPr="000345C4">
              <w:rPr>
                <w:rFonts w:ascii="Cambria" w:hAnsi="Cambria"/>
              </w:rPr>
              <w:t>Mean Change from Baseline</w:t>
            </w:r>
          </w:p>
        </w:tc>
        <w:tc>
          <w:tcPr>
            <w:tcW w:w="1418" w:type="dxa"/>
            <w:shd w:val="clear" w:color="auto" w:fill="auto"/>
          </w:tcPr>
          <w:p w:rsidR="00C615F8" w:rsidRPr="00EE5F66" w:rsidRDefault="00C615F8" w:rsidP="00937266">
            <w:pPr>
              <w:pStyle w:val="PLRTableDataCentered"/>
              <w:ind w:left="142"/>
            </w:pPr>
            <w:r w:rsidRPr="00EE5F66">
              <w:t>-2.92</w:t>
            </w:r>
          </w:p>
        </w:tc>
        <w:tc>
          <w:tcPr>
            <w:tcW w:w="1417" w:type="dxa"/>
            <w:shd w:val="clear" w:color="auto" w:fill="auto"/>
          </w:tcPr>
          <w:p w:rsidR="00C615F8" w:rsidRPr="00D34DF5" w:rsidRDefault="00C615F8" w:rsidP="00937266">
            <w:pPr>
              <w:pStyle w:val="PLRTableDataCentered"/>
              <w:ind w:left="142"/>
            </w:pPr>
            <w:r w:rsidRPr="00D34DF5">
              <w:t>-1.39</w:t>
            </w:r>
          </w:p>
        </w:tc>
        <w:tc>
          <w:tcPr>
            <w:tcW w:w="1560" w:type="dxa"/>
            <w:shd w:val="clear" w:color="auto" w:fill="auto"/>
          </w:tcPr>
          <w:p w:rsidR="00C615F8" w:rsidRPr="00D34DF5" w:rsidRDefault="00C615F8" w:rsidP="00937266">
            <w:pPr>
              <w:pStyle w:val="PLRTableDataCentered"/>
              <w:ind w:left="142"/>
            </w:pPr>
            <w:r w:rsidRPr="00D34DF5">
              <w:t>-2.17</w:t>
            </w:r>
          </w:p>
        </w:tc>
        <w:tc>
          <w:tcPr>
            <w:tcW w:w="1559" w:type="dxa"/>
            <w:shd w:val="clear" w:color="auto" w:fill="auto"/>
          </w:tcPr>
          <w:p w:rsidR="00C615F8" w:rsidRPr="00D34DF5" w:rsidRDefault="00C615F8" w:rsidP="00937266">
            <w:pPr>
              <w:pStyle w:val="PLRTableDataCentered"/>
              <w:ind w:left="142"/>
            </w:pPr>
            <w:r w:rsidRPr="00D34DF5">
              <w:t>-0.92</w:t>
            </w:r>
          </w:p>
        </w:tc>
      </w:tr>
      <w:tr w:rsidR="00C615F8" w:rsidRPr="00B61C26" w:rsidTr="00F6516C">
        <w:tc>
          <w:tcPr>
            <w:tcW w:w="9356" w:type="dxa"/>
            <w:gridSpan w:val="5"/>
            <w:shd w:val="clear" w:color="auto" w:fill="auto"/>
          </w:tcPr>
          <w:p w:rsidR="00C615F8" w:rsidRPr="00EE5F66" w:rsidRDefault="00C615F8" w:rsidP="00937266">
            <w:pPr>
              <w:pStyle w:val="PLRTable1stLevelIndent"/>
              <w:ind w:left="142"/>
            </w:pPr>
            <w:r w:rsidRPr="00EE5F66">
              <w:t>BASMI</w:t>
            </w:r>
          </w:p>
        </w:tc>
      </w:tr>
      <w:tr w:rsidR="00C615F8" w:rsidRPr="00D812EA" w:rsidTr="00F6516C">
        <w:tc>
          <w:tcPr>
            <w:tcW w:w="3402" w:type="dxa"/>
            <w:shd w:val="clear" w:color="auto" w:fill="auto"/>
          </w:tcPr>
          <w:p w:rsidR="00C615F8" w:rsidRPr="000345C4" w:rsidRDefault="00C615F8" w:rsidP="00937266">
            <w:pPr>
              <w:pStyle w:val="PLRTable2ndLevelIndent"/>
              <w:ind w:left="142"/>
              <w:rPr>
                <w:rFonts w:ascii="Cambria" w:hAnsi="Cambria"/>
              </w:rPr>
            </w:pPr>
            <w:r w:rsidRPr="000345C4">
              <w:rPr>
                <w:rFonts w:ascii="Cambria" w:hAnsi="Cambria"/>
              </w:rPr>
              <w:t>Baseline</w:t>
            </w:r>
          </w:p>
        </w:tc>
        <w:tc>
          <w:tcPr>
            <w:tcW w:w="1418" w:type="dxa"/>
            <w:shd w:val="clear" w:color="auto" w:fill="auto"/>
          </w:tcPr>
          <w:p w:rsidR="00C615F8" w:rsidRPr="00EE5F66" w:rsidRDefault="00C615F8" w:rsidP="00937266">
            <w:pPr>
              <w:pStyle w:val="PLRTableDataCentered"/>
              <w:ind w:left="142"/>
            </w:pPr>
            <w:r w:rsidRPr="00EE5F66">
              <w:t>3.87</w:t>
            </w:r>
          </w:p>
        </w:tc>
        <w:tc>
          <w:tcPr>
            <w:tcW w:w="1417" w:type="dxa"/>
            <w:shd w:val="clear" w:color="auto" w:fill="auto"/>
          </w:tcPr>
          <w:p w:rsidR="00C615F8" w:rsidRPr="00D34DF5" w:rsidRDefault="00C615F8" w:rsidP="00937266">
            <w:pPr>
              <w:pStyle w:val="PLRTableDataCentered"/>
              <w:ind w:left="142"/>
            </w:pPr>
            <w:r w:rsidRPr="00D34DF5">
              <w:t>4.51</w:t>
            </w:r>
          </w:p>
        </w:tc>
        <w:tc>
          <w:tcPr>
            <w:tcW w:w="1560" w:type="dxa"/>
            <w:shd w:val="clear" w:color="auto" w:fill="auto"/>
          </w:tcPr>
          <w:p w:rsidR="00C615F8" w:rsidRPr="00D34DF5" w:rsidRDefault="00C615F8" w:rsidP="00937266">
            <w:pPr>
              <w:pStyle w:val="PLRTableDataCentered"/>
              <w:ind w:left="142"/>
            </w:pPr>
            <w:r w:rsidRPr="00D34DF5">
              <w:t>4.68</w:t>
            </w:r>
          </w:p>
        </w:tc>
        <w:tc>
          <w:tcPr>
            <w:tcW w:w="1559" w:type="dxa"/>
            <w:shd w:val="clear" w:color="auto" w:fill="auto"/>
          </w:tcPr>
          <w:p w:rsidR="00C615F8" w:rsidRPr="00D34DF5" w:rsidRDefault="00C615F8" w:rsidP="00937266">
            <w:pPr>
              <w:pStyle w:val="PLRTableDataCentered"/>
              <w:ind w:left="142"/>
            </w:pPr>
            <w:r w:rsidRPr="00D34DF5">
              <w:t>4.88</w:t>
            </w:r>
          </w:p>
        </w:tc>
      </w:tr>
      <w:tr w:rsidR="00C615F8" w:rsidRPr="00D812EA" w:rsidTr="00F6516C">
        <w:tc>
          <w:tcPr>
            <w:tcW w:w="3402" w:type="dxa"/>
            <w:shd w:val="clear" w:color="auto" w:fill="auto"/>
          </w:tcPr>
          <w:p w:rsidR="00C615F8" w:rsidRPr="000345C4" w:rsidRDefault="00C615F8" w:rsidP="00937266">
            <w:pPr>
              <w:pStyle w:val="PLRTable2ndLevelIndent"/>
              <w:ind w:left="142"/>
              <w:rPr>
                <w:rFonts w:ascii="Cambria" w:hAnsi="Cambria"/>
              </w:rPr>
            </w:pPr>
            <w:r w:rsidRPr="000345C4">
              <w:rPr>
                <w:rFonts w:ascii="Cambria" w:hAnsi="Cambria"/>
              </w:rPr>
              <w:t>Mean Change from Baseline</w:t>
            </w:r>
          </w:p>
        </w:tc>
        <w:tc>
          <w:tcPr>
            <w:tcW w:w="1418" w:type="dxa"/>
            <w:shd w:val="clear" w:color="auto" w:fill="auto"/>
          </w:tcPr>
          <w:p w:rsidR="00C615F8" w:rsidRPr="00EE5F66" w:rsidRDefault="00C615F8" w:rsidP="00937266">
            <w:pPr>
              <w:pStyle w:val="PLRTableDataCentered"/>
              <w:ind w:left="142"/>
            </w:pPr>
            <w:r w:rsidRPr="00EE5F66">
              <w:t>-0.50</w:t>
            </w:r>
          </w:p>
        </w:tc>
        <w:tc>
          <w:tcPr>
            <w:tcW w:w="1417" w:type="dxa"/>
            <w:shd w:val="clear" w:color="auto" w:fill="auto"/>
          </w:tcPr>
          <w:p w:rsidR="00C615F8" w:rsidRPr="00D34DF5" w:rsidRDefault="00C615F8" w:rsidP="00937266">
            <w:pPr>
              <w:pStyle w:val="PLRTableDataCentered"/>
              <w:ind w:left="142"/>
            </w:pPr>
            <w:r w:rsidRPr="00D34DF5">
              <w:t>-0.08</w:t>
            </w:r>
          </w:p>
        </w:tc>
        <w:tc>
          <w:tcPr>
            <w:tcW w:w="1560" w:type="dxa"/>
            <w:shd w:val="clear" w:color="auto" w:fill="auto"/>
          </w:tcPr>
          <w:p w:rsidR="00C615F8" w:rsidRPr="00D34DF5" w:rsidRDefault="00C615F8" w:rsidP="00937266">
            <w:pPr>
              <w:pStyle w:val="PLRTableDataCentered"/>
              <w:ind w:left="142"/>
            </w:pPr>
            <w:r w:rsidRPr="00D34DF5">
              <w:t>-0.35</w:t>
            </w:r>
          </w:p>
        </w:tc>
        <w:tc>
          <w:tcPr>
            <w:tcW w:w="1559" w:type="dxa"/>
            <w:shd w:val="clear" w:color="auto" w:fill="auto"/>
          </w:tcPr>
          <w:p w:rsidR="00C615F8" w:rsidRPr="00D34DF5" w:rsidRDefault="00C615F8" w:rsidP="00937266">
            <w:pPr>
              <w:pStyle w:val="PLRTableDataCentered"/>
              <w:ind w:left="142"/>
            </w:pPr>
            <w:r w:rsidRPr="00D34DF5">
              <w:t>-0.05</w:t>
            </w:r>
          </w:p>
        </w:tc>
      </w:tr>
      <w:tr w:rsidR="00C615F8" w:rsidRPr="00B61C26" w:rsidTr="00F6516C">
        <w:tc>
          <w:tcPr>
            <w:tcW w:w="9356" w:type="dxa"/>
            <w:gridSpan w:val="5"/>
            <w:shd w:val="clear" w:color="auto" w:fill="auto"/>
          </w:tcPr>
          <w:p w:rsidR="00C615F8" w:rsidRPr="00EE5F66" w:rsidRDefault="00C615F8" w:rsidP="00937266">
            <w:pPr>
              <w:pStyle w:val="PLRTable1stLevelIndent"/>
              <w:ind w:left="142"/>
            </w:pPr>
            <w:r w:rsidRPr="00EE5F66">
              <w:t>hsCRP (mg/L)</w:t>
            </w:r>
          </w:p>
        </w:tc>
      </w:tr>
      <w:tr w:rsidR="00C615F8" w:rsidRPr="00D812EA" w:rsidTr="00F6516C">
        <w:tc>
          <w:tcPr>
            <w:tcW w:w="3402" w:type="dxa"/>
            <w:shd w:val="clear" w:color="auto" w:fill="auto"/>
          </w:tcPr>
          <w:p w:rsidR="00C615F8" w:rsidRPr="000345C4" w:rsidRDefault="00C615F8" w:rsidP="00937266">
            <w:pPr>
              <w:pStyle w:val="PLRTable2ndLevelIndent"/>
              <w:ind w:left="142"/>
              <w:rPr>
                <w:rFonts w:ascii="Cambria" w:hAnsi="Cambria"/>
              </w:rPr>
            </w:pPr>
            <w:r w:rsidRPr="000345C4">
              <w:rPr>
                <w:rFonts w:ascii="Cambria" w:hAnsi="Cambria"/>
              </w:rPr>
              <w:t>Baseline</w:t>
            </w:r>
          </w:p>
        </w:tc>
        <w:tc>
          <w:tcPr>
            <w:tcW w:w="1418" w:type="dxa"/>
            <w:shd w:val="clear" w:color="auto" w:fill="auto"/>
          </w:tcPr>
          <w:p w:rsidR="00C615F8" w:rsidRPr="00EE5F66" w:rsidRDefault="00C615F8" w:rsidP="00937266">
            <w:pPr>
              <w:pStyle w:val="PLRTableDataCentered"/>
              <w:ind w:left="142"/>
            </w:pPr>
            <w:r w:rsidRPr="00EE5F66">
              <w:t>12.19</w:t>
            </w:r>
          </w:p>
        </w:tc>
        <w:tc>
          <w:tcPr>
            <w:tcW w:w="1417" w:type="dxa"/>
            <w:shd w:val="clear" w:color="auto" w:fill="auto"/>
          </w:tcPr>
          <w:p w:rsidR="00C615F8" w:rsidRPr="00D34DF5" w:rsidRDefault="00C615F8" w:rsidP="00937266">
            <w:pPr>
              <w:pStyle w:val="PLRTableDataCentered"/>
              <w:ind w:left="142"/>
            </w:pPr>
            <w:r w:rsidRPr="00D34DF5">
              <w:t>15.97</w:t>
            </w:r>
          </w:p>
        </w:tc>
        <w:tc>
          <w:tcPr>
            <w:tcW w:w="1560" w:type="dxa"/>
            <w:shd w:val="clear" w:color="auto" w:fill="auto"/>
          </w:tcPr>
          <w:p w:rsidR="00C615F8" w:rsidRPr="00D34DF5" w:rsidRDefault="00C615F8" w:rsidP="00937266">
            <w:pPr>
              <w:pStyle w:val="PLRTableDataCentered"/>
              <w:ind w:left="142"/>
            </w:pPr>
            <w:r w:rsidRPr="00D34DF5">
              <w:t>20.16</w:t>
            </w:r>
          </w:p>
        </w:tc>
        <w:tc>
          <w:tcPr>
            <w:tcW w:w="1559" w:type="dxa"/>
            <w:shd w:val="clear" w:color="auto" w:fill="auto"/>
          </w:tcPr>
          <w:p w:rsidR="00C615F8" w:rsidRPr="00D34DF5" w:rsidRDefault="00C615F8" w:rsidP="00937266">
            <w:pPr>
              <w:pStyle w:val="PLRTableDataCentered"/>
              <w:ind w:left="142"/>
            </w:pPr>
            <w:r w:rsidRPr="00D34DF5">
              <w:t>16.02</w:t>
            </w:r>
          </w:p>
        </w:tc>
      </w:tr>
      <w:tr w:rsidR="00C615F8" w:rsidRPr="00D812EA" w:rsidTr="00F6516C">
        <w:tc>
          <w:tcPr>
            <w:tcW w:w="3402" w:type="dxa"/>
            <w:shd w:val="clear" w:color="auto" w:fill="auto"/>
          </w:tcPr>
          <w:p w:rsidR="00C615F8" w:rsidRPr="000345C4" w:rsidRDefault="00C615F8" w:rsidP="00937266">
            <w:pPr>
              <w:pStyle w:val="PLRTable2ndLevelIndent"/>
              <w:ind w:left="142"/>
              <w:rPr>
                <w:rFonts w:ascii="Cambria" w:hAnsi="Cambria"/>
              </w:rPr>
            </w:pPr>
            <w:r w:rsidRPr="000345C4">
              <w:rPr>
                <w:rFonts w:ascii="Cambria" w:hAnsi="Cambria"/>
              </w:rPr>
              <w:t>Mean Change from Baseline</w:t>
            </w:r>
          </w:p>
        </w:tc>
        <w:tc>
          <w:tcPr>
            <w:tcW w:w="1418" w:type="dxa"/>
            <w:shd w:val="clear" w:color="auto" w:fill="auto"/>
          </w:tcPr>
          <w:p w:rsidR="00C615F8" w:rsidRPr="00EE5F66" w:rsidRDefault="00C615F8" w:rsidP="00937266">
            <w:pPr>
              <w:pStyle w:val="PLRTableDataCentered"/>
              <w:ind w:left="142"/>
            </w:pPr>
            <w:r w:rsidRPr="00EE5F66">
              <w:t>-5.21</w:t>
            </w:r>
          </w:p>
        </w:tc>
        <w:tc>
          <w:tcPr>
            <w:tcW w:w="1417" w:type="dxa"/>
            <w:shd w:val="clear" w:color="auto" w:fill="auto"/>
          </w:tcPr>
          <w:p w:rsidR="00C615F8" w:rsidRPr="00D34DF5" w:rsidRDefault="00C615F8" w:rsidP="00937266">
            <w:pPr>
              <w:pStyle w:val="PLRTableDataCentered"/>
              <w:ind w:left="142"/>
            </w:pPr>
            <w:r w:rsidRPr="00D34DF5">
              <w:t>1.43</w:t>
            </w:r>
          </w:p>
        </w:tc>
        <w:tc>
          <w:tcPr>
            <w:tcW w:w="1560" w:type="dxa"/>
            <w:shd w:val="clear" w:color="auto" w:fill="auto"/>
          </w:tcPr>
          <w:p w:rsidR="00C615F8" w:rsidRPr="00D34DF5" w:rsidRDefault="00C615F8" w:rsidP="00937266">
            <w:pPr>
              <w:pStyle w:val="PLRTableDataCentered"/>
              <w:ind w:left="142"/>
            </w:pPr>
            <w:r w:rsidRPr="00D34DF5">
              <w:t>-11.10</w:t>
            </w:r>
          </w:p>
        </w:tc>
        <w:tc>
          <w:tcPr>
            <w:tcW w:w="1559" w:type="dxa"/>
            <w:shd w:val="clear" w:color="auto" w:fill="auto"/>
          </w:tcPr>
          <w:p w:rsidR="00C615F8" w:rsidRPr="00D34DF5" w:rsidRDefault="00C615F8" w:rsidP="00937266">
            <w:pPr>
              <w:pStyle w:val="PLRTableDataCentered"/>
              <w:ind w:left="142"/>
            </w:pPr>
            <w:r w:rsidRPr="00D34DF5">
              <w:t>9.72</w:t>
            </w:r>
          </w:p>
        </w:tc>
      </w:tr>
      <w:tr w:rsidR="00C615F8" w:rsidRPr="00B61C26" w:rsidTr="00F6516C">
        <w:tc>
          <w:tcPr>
            <w:tcW w:w="9356" w:type="dxa"/>
            <w:gridSpan w:val="5"/>
            <w:shd w:val="clear" w:color="auto" w:fill="auto"/>
          </w:tcPr>
          <w:p w:rsidR="00C615F8" w:rsidRPr="00EE5F66" w:rsidRDefault="00C615F8" w:rsidP="00937266">
            <w:pPr>
              <w:pStyle w:val="PLRTable1stLevelIndent"/>
              <w:ind w:left="142"/>
            </w:pPr>
            <w:r w:rsidRPr="00EE5F66">
              <w:t>MRI Spine SPARCC</w:t>
            </w:r>
            <w:r w:rsidRPr="00EE5F66">
              <w:rPr>
                <w:vertAlign w:val="superscript"/>
              </w:rPr>
              <w:t>d</w:t>
            </w:r>
          </w:p>
        </w:tc>
      </w:tr>
      <w:tr w:rsidR="00C615F8" w:rsidRPr="00D812EA" w:rsidTr="00F6516C">
        <w:tc>
          <w:tcPr>
            <w:tcW w:w="3402" w:type="dxa"/>
            <w:shd w:val="clear" w:color="auto" w:fill="auto"/>
          </w:tcPr>
          <w:p w:rsidR="00C615F8" w:rsidRPr="000345C4" w:rsidRDefault="00C615F8" w:rsidP="00937266">
            <w:pPr>
              <w:pStyle w:val="PLRTable2ndLevelIndent"/>
              <w:ind w:left="142"/>
              <w:rPr>
                <w:rFonts w:ascii="Cambria" w:hAnsi="Cambria"/>
              </w:rPr>
            </w:pPr>
            <w:r w:rsidRPr="000345C4">
              <w:rPr>
                <w:rFonts w:ascii="Cambria" w:hAnsi="Cambria"/>
              </w:rPr>
              <w:t>Baseline</w:t>
            </w:r>
          </w:p>
        </w:tc>
        <w:tc>
          <w:tcPr>
            <w:tcW w:w="1418" w:type="dxa"/>
            <w:shd w:val="clear" w:color="auto" w:fill="auto"/>
          </w:tcPr>
          <w:p w:rsidR="00C615F8" w:rsidRPr="00EE5F66" w:rsidRDefault="00C615F8" w:rsidP="00937266">
            <w:pPr>
              <w:pStyle w:val="PLRTableDataCentered"/>
              <w:ind w:left="142"/>
            </w:pPr>
            <w:r w:rsidRPr="00EE5F66">
              <w:t>14.53</w:t>
            </w:r>
          </w:p>
        </w:tc>
        <w:tc>
          <w:tcPr>
            <w:tcW w:w="1417" w:type="dxa"/>
            <w:shd w:val="clear" w:color="auto" w:fill="auto"/>
          </w:tcPr>
          <w:p w:rsidR="00C615F8" w:rsidRPr="00D34DF5" w:rsidRDefault="00C615F8" w:rsidP="00937266">
            <w:pPr>
              <w:pStyle w:val="PLRTableDataCentered"/>
              <w:ind w:left="142"/>
            </w:pPr>
            <w:r w:rsidRPr="00D34DF5">
              <w:t>15.80</w:t>
            </w:r>
          </w:p>
        </w:tc>
        <w:tc>
          <w:tcPr>
            <w:tcW w:w="1560" w:type="dxa"/>
            <w:shd w:val="clear" w:color="auto" w:fill="auto"/>
          </w:tcPr>
          <w:p w:rsidR="00C615F8" w:rsidRPr="00D34DF5" w:rsidRDefault="00C615F8" w:rsidP="00937266">
            <w:pPr>
              <w:pStyle w:val="PLRTableDataCentered"/>
              <w:ind w:left="142"/>
            </w:pPr>
            <w:r w:rsidRPr="00D34DF5">
              <w:t>8.30</w:t>
            </w:r>
          </w:p>
        </w:tc>
        <w:tc>
          <w:tcPr>
            <w:tcW w:w="1559" w:type="dxa"/>
            <w:shd w:val="clear" w:color="auto" w:fill="auto"/>
          </w:tcPr>
          <w:p w:rsidR="00C615F8" w:rsidRPr="00D34DF5" w:rsidRDefault="00C615F8" w:rsidP="00937266">
            <w:pPr>
              <w:pStyle w:val="PLRTableDataCentered"/>
              <w:ind w:left="142"/>
            </w:pPr>
            <w:r w:rsidRPr="00D34DF5">
              <w:t>6.37</w:t>
            </w:r>
          </w:p>
        </w:tc>
      </w:tr>
      <w:tr w:rsidR="00C615F8" w:rsidRPr="00D812EA" w:rsidTr="00F6516C">
        <w:tc>
          <w:tcPr>
            <w:tcW w:w="3402" w:type="dxa"/>
            <w:shd w:val="clear" w:color="auto" w:fill="auto"/>
          </w:tcPr>
          <w:p w:rsidR="00C615F8" w:rsidRPr="000345C4" w:rsidRDefault="00C615F8" w:rsidP="00937266">
            <w:pPr>
              <w:pStyle w:val="PLRTable2ndLevelIndent"/>
              <w:ind w:left="142"/>
              <w:rPr>
                <w:rFonts w:ascii="Cambria" w:hAnsi="Cambria"/>
              </w:rPr>
            </w:pPr>
            <w:r w:rsidRPr="000345C4">
              <w:rPr>
                <w:rFonts w:ascii="Cambria" w:hAnsi="Cambria"/>
              </w:rPr>
              <w:t>Mean Change from Baseline</w:t>
            </w:r>
          </w:p>
        </w:tc>
        <w:tc>
          <w:tcPr>
            <w:tcW w:w="1418" w:type="dxa"/>
            <w:shd w:val="clear" w:color="auto" w:fill="auto"/>
          </w:tcPr>
          <w:p w:rsidR="00C615F8" w:rsidRPr="00EE5F66" w:rsidRDefault="00C615F8" w:rsidP="00937266">
            <w:pPr>
              <w:pStyle w:val="PLRTableDataCentered"/>
              <w:ind w:left="142"/>
            </w:pPr>
            <w:r w:rsidRPr="00EE5F66">
              <w:t>-11.02</w:t>
            </w:r>
          </w:p>
        </w:tc>
        <w:tc>
          <w:tcPr>
            <w:tcW w:w="1417" w:type="dxa"/>
            <w:shd w:val="clear" w:color="auto" w:fill="auto"/>
          </w:tcPr>
          <w:p w:rsidR="00C615F8" w:rsidRPr="00D34DF5" w:rsidRDefault="00C615F8" w:rsidP="00937266">
            <w:pPr>
              <w:pStyle w:val="PLRTableDataCentered"/>
              <w:ind w:left="142"/>
            </w:pPr>
            <w:r w:rsidRPr="00D34DF5">
              <w:t>-1.51</w:t>
            </w:r>
          </w:p>
        </w:tc>
        <w:tc>
          <w:tcPr>
            <w:tcW w:w="1560" w:type="dxa"/>
            <w:shd w:val="clear" w:color="auto" w:fill="auto"/>
          </w:tcPr>
          <w:p w:rsidR="00C615F8" w:rsidRPr="00D34DF5" w:rsidRDefault="00C615F8" w:rsidP="00937266">
            <w:pPr>
              <w:pStyle w:val="PLRTableDataCentered"/>
              <w:ind w:left="142"/>
            </w:pPr>
            <w:r w:rsidRPr="00D34DF5">
              <w:t>-2.99</w:t>
            </w:r>
          </w:p>
        </w:tc>
        <w:tc>
          <w:tcPr>
            <w:tcW w:w="1559" w:type="dxa"/>
            <w:shd w:val="clear" w:color="auto" w:fill="auto"/>
          </w:tcPr>
          <w:p w:rsidR="00C615F8" w:rsidRPr="00D34DF5" w:rsidRDefault="00C615F8" w:rsidP="00937266">
            <w:pPr>
              <w:pStyle w:val="PLRTableDataCentered"/>
              <w:ind w:left="142"/>
            </w:pPr>
            <w:r w:rsidRPr="00D34DF5">
              <w:t>3.29</w:t>
            </w:r>
          </w:p>
        </w:tc>
      </w:tr>
      <w:tr w:rsidR="00C615F8" w:rsidRPr="00D812EA" w:rsidTr="00F6516C">
        <w:tc>
          <w:tcPr>
            <w:tcW w:w="3402" w:type="dxa"/>
            <w:shd w:val="clear" w:color="auto" w:fill="auto"/>
          </w:tcPr>
          <w:p w:rsidR="00C615F8" w:rsidRPr="00D34DF5" w:rsidRDefault="00C615F8" w:rsidP="00937266">
            <w:pPr>
              <w:pStyle w:val="PLRTable1stLevelIndent"/>
              <w:ind w:left="142"/>
            </w:pPr>
            <w:r w:rsidRPr="00EE5F66">
              <w:t>BASDAI50</w:t>
            </w:r>
            <w:r w:rsidRPr="00EE5F66">
              <w:rPr>
                <w:vertAlign w:val="superscript"/>
              </w:rPr>
              <w:t>e</w:t>
            </w:r>
            <w:r w:rsidRPr="00D34DF5">
              <w:t xml:space="preserve"> (%), NRI</w:t>
            </w:r>
            <w:r w:rsidRPr="00D34DF5">
              <w:rPr>
                <w:vertAlign w:val="superscript"/>
              </w:rPr>
              <w:t>f</w:t>
            </w:r>
          </w:p>
        </w:tc>
        <w:tc>
          <w:tcPr>
            <w:tcW w:w="1418" w:type="dxa"/>
            <w:shd w:val="clear" w:color="auto" w:fill="auto"/>
          </w:tcPr>
          <w:p w:rsidR="00C615F8" w:rsidRPr="00D34DF5" w:rsidRDefault="00C615F8" w:rsidP="00937266">
            <w:pPr>
              <w:pStyle w:val="PLRTableDataCentered"/>
              <w:ind w:left="142"/>
            </w:pPr>
            <w:r w:rsidRPr="00D34DF5">
              <w:t>42</w:t>
            </w:r>
          </w:p>
        </w:tc>
        <w:tc>
          <w:tcPr>
            <w:tcW w:w="1417" w:type="dxa"/>
            <w:shd w:val="clear" w:color="auto" w:fill="auto"/>
          </w:tcPr>
          <w:p w:rsidR="00C615F8" w:rsidRPr="00D34DF5" w:rsidRDefault="00C615F8" w:rsidP="00937266">
            <w:pPr>
              <w:pStyle w:val="PLRTableDataCentered"/>
              <w:ind w:left="142"/>
            </w:pPr>
            <w:r w:rsidRPr="00D34DF5">
              <w:t>17</w:t>
            </w:r>
          </w:p>
        </w:tc>
        <w:tc>
          <w:tcPr>
            <w:tcW w:w="1560" w:type="dxa"/>
            <w:shd w:val="clear" w:color="auto" w:fill="auto"/>
          </w:tcPr>
          <w:p w:rsidR="00C615F8" w:rsidRPr="00D34DF5" w:rsidRDefault="00C615F8" w:rsidP="00937266">
            <w:pPr>
              <w:pStyle w:val="PLRTableDataCentered"/>
              <w:ind w:left="142"/>
            </w:pPr>
            <w:r w:rsidRPr="00D34DF5">
              <w:t>22</w:t>
            </w:r>
          </w:p>
        </w:tc>
        <w:tc>
          <w:tcPr>
            <w:tcW w:w="1559" w:type="dxa"/>
            <w:shd w:val="clear" w:color="auto" w:fill="auto"/>
          </w:tcPr>
          <w:p w:rsidR="00C615F8" w:rsidRPr="00D34DF5" w:rsidRDefault="00C615F8" w:rsidP="00937266">
            <w:pPr>
              <w:pStyle w:val="PLRTableDataCentered"/>
              <w:ind w:left="142"/>
            </w:pPr>
            <w:r w:rsidRPr="00D34DF5">
              <w:t>10</w:t>
            </w:r>
          </w:p>
        </w:tc>
      </w:tr>
      <w:tr w:rsidR="00C615F8" w:rsidRPr="00D812EA" w:rsidTr="00F6516C">
        <w:tc>
          <w:tcPr>
            <w:tcW w:w="3402" w:type="dxa"/>
            <w:shd w:val="clear" w:color="auto" w:fill="auto"/>
          </w:tcPr>
          <w:p w:rsidR="00C615F8" w:rsidRPr="00D34DF5" w:rsidRDefault="00C615F8" w:rsidP="00937266">
            <w:pPr>
              <w:pStyle w:val="PLRTable1stLevelIndent"/>
              <w:ind w:left="142"/>
              <w:rPr>
                <w:highlight w:val="yellow"/>
                <w:vertAlign w:val="superscript"/>
              </w:rPr>
            </w:pPr>
            <w:r w:rsidRPr="00EE5F66">
              <w:t>ASDAS &lt;2.1</w:t>
            </w:r>
            <w:r w:rsidRPr="00D34DF5">
              <w:t xml:space="preserve"> (%) (Low Disease Activity), NRI</w:t>
            </w:r>
            <w:r w:rsidRPr="00D34DF5">
              <w:rPr>
                <w:vertAlign w:val="superscript"/>
              </w:rPr>
              <w:t>f</w:t>
            </w:r>
          </w:p>
        </w:tc>
        <w:tc>
          <w:tcPr>
            <w:tcW w:w="1418" w:type="dxa"/>
            <w:shd w:val="clear" w:color="auto" w:fill="auto"/>
          </w:tcPr>
          <w:p w:rsidR="00C615F8" w:rsidRPr="00D34DF5" w:rsidRDefault="00C615F8" w:rsidP="00937266">
            <w:pPr>
              <w:pStyle w:val="PLRTableDataCentered"/>
              <w:ind w:left="142"/>
              <w:rPr>
                <w:highlight w:val="yellow"/>
              </w:rPr>
            </w:pPr>
            <w:r w:rsidRPr="00D34DF5">
              <w:t>43</w:t>
            </w:r>
          </w:p>
        </w:tc>
        <w:tc>
          <w:tcPr>
            <w:tcW w:w="1417" w:type="dxa"/>
            <w:shd w:val="clear" w:color="auto" w:fill="auto"/>
          </w:tcPr>
          <w:p w:rsidR="00C615F8" w:rsidRPr="00D34DF5" w:rsidRDefault="00C615F8" w:rsidP="00937266">
            <w:pPr>
              <w:pStyle w:val="PLRTableDataCentered"/>
              <w:ind w:left="142"/>
              <w:rPr>
                <w:highlight w:val="yellow"/>
              </w:rPr>
            </w:pPr>
            <w:r w:rsidRPr="00D34DF5">
              <w:t>13</w:t>
            </w:r>
          </w:p>
        </w:tc>
        <w:tc>
          <w:tcPr>
            <w:tcW w:w="1560" w:type="dxa"/>
            <w:shd w:val="clear" w:color="auto" w:fill="auto"/>
          </w:tcPr>
          <w:p w:rsidR="00C615F8" w:rsidRPr="00D34DF5" w:rsidRDefault="00C615F8" w:rsidP="00937266">
            <w:pPr>
              <w:pStyle w:val="PLRTableDataCentered"/>
              <w:ind w:left="142"/>
            </w:pPr>
            <w:r w:rsidRPr="00D34DF5">
              <w:t>18</w:t>
            </w:r>
          </w:p>
        </w:tc>
        <w:tc>
          <w:tcPr>
            <w:tcW w:w="1559" w:type="dxa"/>
            <w:shd w:val="clear" w:color="auto" w:fill="auto"/>
          </w:tcPr>
          <w:p w:rsidR="00C615F8" w:rsidRPr="00D34DF5" w:rsidRDefault="00C615F8" w:rsidP="00937266">
            <w:pPr>
              <w:pStyle w:val="PLRTableDataCentered"/>
              <w:ind w:left="142"/>
            </w:pPr>
            <w:r w:rsidRPr="00D34DF5">
              <w:t>5</w:t>
            </w:r>
          </w:p>
        </w:tc>
      </w:tr>
    </w:tbl>
    <w:p w:rsidR="00C615F8" w:rsidRPr="00487FE6" w:rsidRDefault="00C615F8" w:rsidP="00937266">
      <w:pPr>
        <w:pStyle w:val="TblFootnote"/>
        <w:spacing w:after="0" w:line="240" w:lineRule="auto"/>
        <w:ind w:left="142" w:hanging="261"/>
      </w:pPr>
      <w:r w:rsidRPr="00C25D7D">
        <w:rPr>
          <w:vertAlign w:val="superscript"/>
        </w:rPr>
        <w:t>a</w:t>
      </w:r>
      <w:r w:rsidRPr="00D812EA">
        <w:tab/>
      </w:r>
      <w:r w:rsidRPr="00487FE6">
        <w:t>Abbreviations: ASDAS = Ankylosing Spondylitis Disease Activity Score; BASDAI</w:t>
      </w:r>
      <w:r w:rsidRPr="00487FE6" w:rsidDel="00F02ED3">
        <w:t xml:space="preserve"> = </w:t>
      </w:r>
      <w:r w:rsidRPr="00487FE6">
        <w:t>Bath Ankylosing Spondylitis Disease Activity Index; BASFI = Bath Ankylosing Spondylitis Functional Index; BASMI = Bath Ankylosing Spondylitis Metrology Index; hsCRP = High sensitivity C-reactive protein; MRI Spine SPARCC = Spondyloarthritis Research Consortium of Canada Magnetic Resonance Imaging Scoring of the Spine (23 discovertebral unit scale); NRI = Non-responder Imputation.</w:t>
      </w:r>
    </w:p>
    <w:p w:rsidR="00C615F8" w:rsidRPr="00487FE6" w:rsidRDefault="00C615F8" w:rsidP="00937266">
      <w:pPr>
        <w:pStyle w:val="TblFootnote"/>
        <w:spacing w:after="0" w:line="240" w:lineRule="auto"/>
        <w:ind w:left="142" w:hanging="261"/>
      </w:pPr>
      <w:r w:rsidRPr="00487FE6">
        <w:rPr>
          <w:vertAlign w:val="superscript"/>
        </w:rPr>
        <w:t>b</w:t>
      </w:r>
      <w:r w:rsidRPr="00487FE6">
        <w:tab/>
        <w:t>At Week 0, patients received 80 or 160 mg of TALTZ.</w:t>
      </w:r>
    </w:p>
    <w:p w:rsidR="00C615F8" w:rsidRPr="00487FE6" w:rsidDel="00B72FDE" w:rsidRDefault="00C615F8" w:rsidP="00937266">
      <w:pPr>
        <w:pStyle w:val="TblFootnote"/>
        <w:spacing w:after="0" w:line="240" w:lineRule="auto"/>
        <w:ind w:left="142" w:hanging="261"/>
      </w:pPr>
      <w:r w:rsidRPr="00487FE6">
        <w:rPr>
          <w:vertAlign w:val="superscript"/>
        </w:rPr>
        <w:t>c</w:t>
      </w:r>
      <w:r w:rsidRPr="00487FE6">
        <w:tab/>
        <w:t>Inflammation is the mean of patient-reported stiffness self-assessments (questions 5 and 6) in BASDAI.</w:t>
      </w:r>
    </w:p>
    <w:p w:rsidR="00C615F8" w:rsidRPr="00487FE6" w:rsidRDefault="00C615F8" w:rsidP="00937266">
      <w:pPr>
        <w:pStyle w:val="TblFootnote"/>
        <w:spacing w:after="0" w:line="240" w:lineRule="auto"/>
        <w:ind w:left="142" w:hanging="261"/>
      </w:pPr>
      <w:r w:rsidRPr="00487FE6">
        <w:rPr>
          <w:vertAlign w:val="superscript"/>
        </w:rPr>
        <w:lastRenderedPageBreak/>
        <w:t>d</w:t>
      </w:r>
      <w:r w:rsidRPr="00487FE6">
        <w:tab/>
        <w:t xml:space="preserve">The numbers of ITT patients with MRI data at baseline are as follows: </w:t>
      </w:r>
      <w:r w:rsidR="00F03334">
        <w:t>COAST</w:t>
      </w:r>
      <w:r w:rsidR="002359BA">
        <w:t>-</w:t>
      </w:r>
      <w:r w:rsidR="00F03334">
        <w:t>V</w:t>
      </w:r>
      <w:r w:rsidRPr="00487FE6">
        <w:t xml:space="preserve">: TALTZ, n = 81; PBO, n = 82. </w:t>
      </w:r>
      <w:r w:rsidR="00F03334">
        <w:t>COAST</w:t>
      </w:r>
      <w:r w:rsidR="002359BA">
        <w:t>-</w:t>
      </w:r>
      <w:r w:rsidR="00F03334">
        <w:t>W</w:t>
      </w:r>
      <w:r w:rsidRPr="00487FE6">
        <w:t>: TALTZ, n = 58; PBO, n = 51.</w:t>
      </w:r>
    </w:p>
    <w:p w:rsidR="00C615F8" w:rsidRPr="00487FE6" w:rsidRDefault="00C615F8" w:rsidP="00937266">
      <w:pPr>
        <w:pStyle w:val="TblFootnote"/>
        <w:spacing w:after="0" w:line="240" w:lineRule="auto"/>
        <w:ind w:left="142" w:hanging="261"/>
      </w:pPr>
      <w:r w:rsidRPr="00487FE6">
        <w:rPr>
          <w:vertAlign w:val="superscript"/>
        </w:rPr>
        <w:t>e</w:t>
      </w:r>
      <w:r w:rsidRPr="00487FE6">
        <w:tab/>
        <w:t>BASDAI50 response defined as an improvement of ≥50% of the BASDAI score from baseline.</w:t>
      </w:r>
    </w:p>
    <w:p w:rsidR="00C615F8" w:rsidRPr="00487FE6" w:rsidRDefault="00C615F8" w:rsidP="00937266">
      <w:pPr>
        <w:pStyle w:val="TblFootnote"/>
        <w:spacing w:after="0" w:line="240" w:lineRule="auto"/>
        <w:ind w:left="142" w:hanging="261"/>
      </w:pPr>
      <w:r w:rsidRPr="00487FE6">
        <w:rPr>
          <w:vertAlign w:val="superscript"/>
        </w:rPr>
        <w:t>f</w:t>
      </w:r>
      <w:r w:rsidRPr="00487FE6">
        <w:tab/>
        <w:t>Patients with missing data were counted as non-responders.</w:t>
      </w:r>
    </w:p>
    <w:p w:rsidR="00C615F8" w:rsidRPr="00487FE6" w:rsidRDefault="00C615F8" w:rsidP="00937266">
      <w:pPr>
        <w:pStyle w:val="PLRBodyTextIndented"/>
        <w:ind w:left="142"/>
        <w:rPr>
          <w:rFonts w:ascii="Cambria" w:hAnsi="Cambria"/>
          <w:sz w:val="22"/>
        </w:rPr>
      </w:pPr>
    </w:p>
    <w:p w:rsidR="00C615F8" w:rsidRPr="00487FE6" w:rsidRDefault="00C615F8" w:rsidP="00937266">
      <w:pPr>
        <w:pStyle w:val="Heading4"/>
        <w:ind w:left="142"/>
      </w:pPr>
      <w:r w:rsidRPr="00487FE6">
        <w:t>Health-Related Outcomes</w:t>
      </w:r>
    </w:p>
    <w:p w:rsidR="00C615F8" w:rsidRPr="00487FE6" w:rsidDel="00D97085" w:rsidRDefault="00C615F8" w:rsidP="00937266">
      <w:pPr>
        <w:pStyle w:val="PLRBodyTextIndented"/>
        <w:spacing w:line="259" w:lineRule="auto"/>
        <w:ind w:left="142" w:firstLine="0"/>
        <w:rPr>
          <w:rFonts w:ascii="Cambria" w:hAnsi="Cambria"/>
          <w:sz w:val="22"/>
        </w:rPr>
      </w:pPr>
      <w:r w:rsidRPr="00487FE6">
        <w:rPr>
          <w:rFonts w:ascii="Cambria" w:hAnsi="Cambria"/>
          <w:sz w:val="22"/>
        </w:rPr>
        <w:t xml:space="preserve">General health status and quality of life was assessed by the Short Form health survey (SF-36). At Week 16, in </w:t>
      </w:r>
      <w:r w:rsidR="00F03334">
        <w:rPr>
          <w:rFonts w:ascii="Cambria" w:hAnsi="Cambria"/>
          <w:sz w:val="22"/>
        </w:rPr>
        <w:t>COAST</w:t>
      </w:r>
      <w:r w:rsidR="002359BA">
        <w:rPr>
          <w:rFonts w:ascii="Cambria" w:hAnsi="Cambria"/>
          <w:sz w:val="22"/>
        </w:rPr>
        <w:t>-V</w:t>
      </w:r>
      <w:r w:rsidRPr="00487FE6">
        <w:rPr>
          <w:rFonts w:ascii="Cambria" w:hAnsi="Cambria"/>
          <w:sz w:val="22"/>
        </w:rPr>
        <w:t xml:space="preserve"> and </w:t>
      </w:r>
      <w:r w:rsidR="00F03334">
        <w:rPr>
          <w:rFonts w:ascii="Cambria" w:hAnsi="Cambria"/>
          <w:sz w:val="22"/>
        </w:rPr>
        <w:t>COAST</w:t>
      </w:r>
      <w:r w:rsidR="002359BA">
        <w:rPr>
          <w:rFonts w:ascii="Cambria" w:hAnsi="Cambria"/>
          <w:sz w:val="22"/>
        </w:rPr>
        <w:t>-</w:t>
      </w:r>
      <w:r w:rsidR="00F03334">
        <w:rPr>
          <w:rFonts w:ascii="Cambria" w:hAnsi="Cambria"/>
          <w:sz w:val="22"/>
        </w:rPr>
        <w:t>W</w:t>
      </w:r>
      <w:r w:rsidRPr="00487FE6">
        <w:rPr>
          <w:rFonts w:ascii="Cambria" w:hAnsi="Cambria"/>
          <w:sz w:val="22"/>
        </w:rPr>
        <w:t>, compared to placebo, patients treated with TALTZ showed greater improvement from baseline in the SF-36 physical component summary (PCS) score and the physical functioning, role physical, bodily pain, vitality, and general health domains, with no consistent improvements in the mental component summary (MCS), social functioning, role emotional, and mental health domains. At Week 16, patients treated with TALTZ showed improvement in overall functioning, and quality of life as assessed by the Assessment of SpondyloArthritis International Society Health Index (ASAS HI) compared to patients treated with placebo.</w:t>
      </w:r>
    </w:p>
    <w:p w:rsidR="009B6F0A" w:rsidRDefault="009B6F0A" w:rsidP="00937266">
      <w:pPr>
        <w:pStyle w:val="PLRBodyTextIndented"/>
        <w:spacing w:line="259" w:lineRule="auto"/>
        <w:ind w:left="142" w:firstLine="567"/>
        <w:rPr>
          <w:rFonts w:ascii="Cambria" w:hAnsi="Cambria"/>
          <w:sz w:val="22"/>
        </w:rPr>
      </w:pPr>
    </w:p>
    <w:p w:rsidR="00814C8B" w:rsidRPr="00814C8B" w:rsidRDefault="00814C8B" w:rsidP="00937266">
      <w:pPr>
        <w:pStyle w:val="PLRBodyTextIndented"/>
        <w:spacing w:line="259" w:lineRule="auto"/>
        <w:ind w:left="142" w:firstLine="567"/>
        <w:rPr>
          <w:rFonts w:ascii="Cambria" w:hAnsi="Cambria"/>
          <w:sz w:val="22"/>
        </w:rPr>
      </w:pPr>
      <w:r w:rsidRPr="00814C8B">
        <w:rPr>
          <w:rFonts w:ascii="Cambria" w:hAnsi="Cambria"/>
          <w:sz w:val="22"/>
        </w:rPr>
        <w:t>Data on withdrawal or rebound effects in the AS population has not been evaluated</w:t>
      </w:r>
      <w:r>
        <w:rPr>
          <w:rFonts w:ascii="Cambria" w:hAnsi="Cambria"/>
          <w:sz w:val="22"/>
        </w:rPr>
        <w:t>.</w:t>
      </w:r>
    </w:p>
    <w:p w:rsidR="00F57863" w:rsidRPr="00261202" w:rsidRDefault="00F57863" w:rsidP="00937266">
      <w:pPr>
        <w:pStyle w:val="Heading2"/>
        <w:ind w:left="142"/>
      </w:pPr>
      <w:r w:rsidRPr="00261202">
        <w:t>Pharmacokinetic properties</w:t>
      </w:r>
    </w:p>
    <w:p w:rsidR="00B064F0" w:rsidRDefault="008C3050" w:rsidP="00937266">
      <w:pPr>
        <w:pStyle w:val="Heading3"/>
        <w:ind w:left="142"/>
      </w:pPr>
      <w:r w:rsidRPr="00391B34">
        <w:t>Absorption</w:t>
      </w:r>
    </w:p>
    <w:p w:rsidR="00DB26F7" w:rsidRDefault="00DB26F7" w:rsidP="00937266">
      <w:pPr>
        <w:ind w:left="142"/>
        <w:rPr>
          <w:lang w:eastAsia="en-AU"/>
        </w:rPr>
      </w:pPr>
      <w:r>
        <w:rPr>
          <w:lang w:eastAsia="en-AU"/>
        </w:rPr>
        <w:t>Following a single SC dose of ixekizumab in patients with psoriasis, mean peak concentrations were achieved within 4 to 7 days across a dose range of 5 mg to 160 mg. The mean (SD) maximum plasma concentration (C</w:t>
      </w:r>
      <w:r w:rsidRPr="00DB26F7">
        <w:rPr>
          <w:vertAlign w:val="subscript"/>
          <w:lang w:eastAsia="en-AU"/>
        </w:rPr>
        <w:t>max</w:t>
      </w:r>
      <w:r>
        <w:rPr>
          <w:lang w:eastAsia="en-AU"/>
        </w:rPr>
        <w:t>) of ixekizumab, after the 160 mg starting dose, was 19.9 (8.15) microgram/mL.</w:t>
      </w:r>
    </w:p>
    <w:p w:rsidR="00DB26F7" w:rsidRDefault="00DB26F7" w:rsidP="00937266">
      <w:pPr>
        <w:ind w:left="142"/>
        <w:rPr>
          <w:lang w:eastAsia="en-AU"/>
        </w:rPr>
      </w:pPr>
      <w:r>
        <w:rPr>
          <w:lang w:eastAsia="en-AU"/>
        </w:rPr>
        <w:t>After the 160 mg starting dose, steady state was achieved by Week 8 with the ixekizumab 80 mg every 2 weeks (Q2W) dosing regimen. Mean (SD) C</w:t>
      </w:r>
      <w:r w:rsidRPr="00DB26F7">
        <w:rPr>
          <w:vertAlign w:val="subscript"/>
          <w:lang w:eastAsia="en-AU"/>
        </w:rPr>
        <w:t>max,ss</w:t>
      </w:r>
      <w:r>
        <w:rPr>
          <w:lang w:eastAsia="en-AU"/>
        </w:rPr>
        <w:t xml:space="preserve"> and C</w:t>
      </w:r>
      <w:r w:rsidRPr="00DB26F7">
        <w:rPr>
          <w:vertAlign w:val="subscript"/>
          <w:lang w:eastAsia="en-AU"/>
        </w:rPr>
        <w:t>trough,ss</w:t>
      </w:r>
      <w:r>
        <w:rPr>
          <w:lang w:eastAsia="en-AU"/>
        </w:rPr>
        <w:t xml:space="preserve"> estimates are 21.5 (9.16) microgram/mL and 5.23 (3.19) microgram/mL, respectively. After switching from the ixekizumab 80 mg Q2W dosing regimen to the ixekizumab 80 mg every 4 weeks (Q4W) dosing regimen at Week 12, steady state would be achieved after approximately 10 weeks. Mean (SD) C</w:t>
      </w:r>
      <w:r w:rsidRPr="00DB26F7">
        <w:rPr>
          <w:vertAlign w:val="subscript"/>
          <w:lang w:eastAsia="en-AU"/>
        </w:rPr>
        <w:t>max,ss</w:t>
      </w:r>
      <w:r>
        <w:rPr>
          <w:lang w:eastAsia="en-AU"/>
        </w:rPr>
        <w:t xml:space="preserve"> and C</w:t>
      </w:r>
      <w:r w:rsidRPr="00DB26F7">
        <w:rPr>
          <w:vertAlign w:val="subscript"/>
          <w:lang w:eastAsia="en-AU"/>
        </w:rPr>
        <w:t>trough,ss</w:t>
      </w:r>
      <w:r>
        <w:rPr>
          <w:lang w:eastAsia="en-AU"/>
        </w:rPr>
        <w:t xml:space="preserve"> estimates are 14.6 (6.04) microgram/mL and 1.87 (1.30) microgram/mL, respectively.</w:t>
      </w:r>
    </w:p>
    <w:p w:rsidR="00DB26F7" w:rsidRPr="00DB26F7" w:rsidRDefault="00DB26F7" w:rsidP="00937266">
      <w:pPr>
        <w:ind w:left="142"/>
        <w:rPr>
          <w:lang w:eastAsia="en-AU"/>
        </w:rPr>
      </w:pPr>
      <w:r>
        <w:rPr>
          <w:lang w:eastAsia="en-AU"/>
        </w:rPr>
        <w:t>The average SC bioavailability of ixekizumab was estimated in the range of 54% to 90% across analyses.</w:t>
      </w:r>
    </w:p>
    <w:p w:rsidR="001D55E5" w:rsidRDefault="008C3050" w:rsidP="00937266">
      <w:pPr>
        <w:pStyle w:val="Heading3"/>
        <w:ind w:left="142"/>
      </w:pPr>
      <w:r w:rsidRPr="00391B34">
        <w:t xml:space="preserve">Distribution </w:t>
      </w:r>
    </w:p>
    <w:p w:rsidR="00DB26F7" w:rsidRPr="00DB26F7" w:rsidRDefault="00DB26F7" w:rsidP="00937266">
      <w:pPr>
        <w:ind w:left="142"/>
        <w:rPr>
          <w:lang w:eastAsia="en-AU"/>
        </w:rPr>
      </w:pPr>
      <w:r w:rsidRPr="00DB26F7">
        <w:rPr>
          <w:lang w:eastAsia="en-AU"/>
        </w:rPr>
        <w:t>From population pharmacokinetic analyses, the mean total volume of distribution at steady-state was 7.11 L.</w:t>
      </w:r>
    </w:p>
    <w:p w:rsidR="006D592F" w:rsidRDefault="008C3050" w:rsidP="00937266">
      <w:pPr>
        <w:pStyle w:val="Heading3"/>
        <w:ind w:left="142"/>
      </w:pPr>
      <w:r w:rsidRPr="00391B34">
        <w:t>Metabolism</w:t>
      </w:r>
    </w:p>
    <w:p w:rsidR="00DB26F7" w:rsidRPr="00DB26F7" w:rsidRDefault="00DB26F7" w:rsidP="00937266">
      <w:pPr>
        <w:ind w:left="142"/>
      </w:pPr>
      <w:r w:rsidRPr="00DB26F7">
        <w:t>Ixekizumab is a monoclonal antibody and is expected to be degraded into small peptides and amino acids via catabolic pathways in the same manner as endogenous IgGs.</w:t>
      </w:r>
    </w:p>
    <w:p w:rsidR="00312EFE" w:rsidRDefault="008C3050" w:rsidP="00937266">
      <w:pPr>
        <w:pStyle w:val="Heading3"/>
        <w:ind w:left="142"/>
      </w:pPr>
      <w:r w:rsidRPr="00391B34">
        <w:t>Excretion</w:t>
      </w:r>
    </w:p>
    <w:p w:rsidR="00F00FC4" w:rsidRDefault="00DB26F7" w:rsidP="00937266">
      <w:pPr>
        <w:ind w:left="142"/>
        <w:rPr>
          <w:lang w:eastAsia="en-AU"/>
        </w:rPr>
      </w:pPr>
      <w:r w:rsidRPr="00DB26F7">
        <w:rPr>
          <w:lang w:eastAsia="en-AU"/>
        </w:rPr>
        <w:t>In the population pharmacokinetic analysis, mean serum clearance was 0.0161 L/hour. Clearance is independent of dose. The mean elimination half-life is 13 days in plaque psoriasis patients. Ixekizumab clearance increases as body weight increases.</w:t>
      </w:r>
    </w:p>
    <w:p w:rsidR="00141076" w:rsidRDefault="008C3050" w:rsidP="00937266">
      <w:pPr>
        <w:pStyle w:val="Heading3"/>
        <w:ind w:left="142"/>
      </w:pPr>
      <w:r>
        <w:lastRenderedPageBreak/>
        <w:t>Dose proportionality</w:t>
      </w:r>
    </w:p>
    <w:p w:rsidR="00141076" w:rsidRDefault="00141076" w:rsidP="00937266">
      <w:pPr>
        <w:ind w:left="142"/>
        <w:rPr>
          <w:lang w:eastAsia="en-AU"/>
        </w:rPr>
      </w:pPr>
      <w:r>
        <w:rPr>
          <w:lang w:eastAsia="en-AU"/>
        </w:rPr>
        <w:t>Exposure (AUC) increased proportionally over a dose range of 5 mg to 160 mg given as a SC injection.</w:t>
      </w:r>
    </w:p>
    <w:p w:rsidR="00141076" w:rsidRDefault="008C3050" w:rsidP="00937266">
      <w:pPr>
        <w:pStyle w:val="Heading3"/>
        <w:ind w:left="142"/>
      </w:pPr>
      <w:r>
        <w:t>Special populations</w:t>
      </w:r>
    </w:p>
    <w:p w:rsidR="00141076" w:rsidRDefault="00141076" w:rsidP="00937266">
      <w:pPr>
        <w:pStyle w:val="Heading4"/>
        <w:ind w:left="142"/>
        <w:rPr>
          <w:lang w:eastAsia="en-AU"/>
        </w:rPr>
      </w:pPr>
      <w:bookmarkStart w:id="14" w:name="_Elderly_Patients_(≥65"/>
      <w:bookmarkEnd w:id="14"/>
      <w:r>
        <w:rPr>
          <w:lang w:eastAsia="en-AU"/>
        </w:rPr>
        <w:t>Elderly Patients (≥65 years)</w:t>
      </w:r>
    </w:p>
    <w:p w:rsidR="00141076" w:rsidRDefault="00141076" w:rsidP="00937266">
      <w:pPr>
        <w:ind w:left="142"/>
        <w:rPr>
          <w:lang w:eastAsia="en-AU"/>
        </w:rPr>
      </w:pPr>
      <w:r>
        <w:rPr>
          <w:lang w:eastAsia="en-AU"/>
        </w:rPr>
        <w:t>Based on population pharmacokinetic analysis with limited number of elderly patients (N=82 for ≥65 years and N=7 for ≥75 years), clearance of ixekizumab in elderly patients was similar to patients aged less than 65 years.</w:t>
      </w:r>
    </w:p>
    <w:p w:rsidR="00141076" w:rsidRDefault="00141076" w:rsidP="00937266">
      <w:pPr>
        <w:pStyle w:val="Heading4"/>
        <w:ind w:left="142"/>
        <w:rPr>
          <w:lang w:eastAsia="en-AU"/>
        </w:rPr>
      </w:pPr>
      <w:r>
        <w:rPr>
          <w:lang w:eastAsia="en-AU"/>
        </w:rPr>
        <w:t>Renal Impairment or Hepatic Impairment</w:t>
      </w:r>
    </w:p>
    <w:p w:rsidR="00141076" w:rsidRDefault="00141076" w:rsidP="00937266">
      <w:pPr>
        <w:ind w:left="142"/>
        <w:rPr>
          <w:lang w:eastAsia="en-AU"/>
        </w:rPr>
      </w:pPr>
      <w:r>
        <w:rPr>
          <w:lang w:eastAsia="en-AU"/>
        </w:rPr>
        <w:t>Specific clinical pharmacology studies to evaluate the effects of renal impairment and hepatic impairment on the pharmacokinetics of ixekizumab have not been conducted.</w:t>
      </w:r>
    </w:p>
    <w:p w:rsidR="00BD0E75" w:rsidRDefault="009731EE" w:rsidP="00937266">
      <w:pPr>
        <w:ind w:left="142"/>
        <w:rPr>
          <w:lang w:eastAsia="en-AU"/>
        </w:rPr>
      </w:pPr>
      <w:r w:rsidRPr="009731EE">
        <w:rPr>
          <w:lang w:eastAsia="en-AU"/>
        </w:rPr>
        <w:t>The pharmacokinetic properties of ixekizumab were similar in the plaque psoriasis, psoriatic arthritis and ankylosing spondylitis indications.</w:t>
      </w:r>
    </w:p>
    <w:p w:rsidR="00FA7D01" w:rsidRPr="00391B34" w:rsidRDefault="00FA7D01" w:rsidP="00937266">
      <w:pPr>
        <w:pStyle w:val="Heading2"/>
        <w:ind w:left="142"/>
      </w:pPr>
      <w:r w:rsidRPr="00391B34">
        <w:t>Preclinical safety data</w:t>
      </w:r>
    </w:p>
    <w:p w:rsidR="00700755" w:rsidRDefault="008C3050" w:rsidP="00937266">
      <w:pPr>
        <w:pStyle w:val="Heading3"/>
        <w:ind w:left="142"/>
      </w:pPr>
      <w:r w:rsidRPr="00391B34">
        <w:t>Genotoxicity</w:t>
      </w:r>
    </w:p>
    <w:p w:rsidR="00141076" w:rsidRPr="00141076" w:rsidRDefault="00141076" w:rsidP="00937266">
      <w:pPr>
        <w:ind w:left="142"/>
        <w:rPr>
          <w:lang w:eastAsia="en-AU"/>
        </w:rPr>
      </w:pPr>
      <w:r w:rsidRPr="00141076">
        <w:rPr>
          <w:lang w:eastAsia="en-AU"/>
        </w:rPr>
        <w:t>The genotoxic potential of ixekizumab has not been studied.</w:t>
      </w:r>
    </w:p>
    <w:p w:rsidR="00700755" w:rsidRDefault="008C3050" w:rsidP="00937266">
      <w:pPr>
        <w:pStyle w:val="Heading3"/>
        <w:ind w:left="142"/>
      </w:pPr>
      <w:r w:rsidRPr="00391B34">
        <w:t>Carcinogenicity</w:t>
      </w:r>
    </w:p>
    <w:p w:rsidR="00141076" w:rsidRPr="00141076" w:rsidRDefault="00141076" w:rsidP="00937266">
      <w:pPr>
        <w:ind w:left="142"/>
        <w:rPr>
          <w:lang w:eastAsia="en-AU"/>
        </w:rPr>
      </w:pPr>
      <w:r w:rsidRPr="00141076">
        <w:rPr>
          <w:lang w:eastAsia="en-AU"/>
        </w:rPr>
        <w:t>Nonclinical studies have not been conducted to evaluate the carcinogenic potential of ixekizumab.</w:t>
      </w:r>
    </w:p>
    <w:p w:rsidR="00C628B4" w:rsidRPr="00D31DE2" w:rsidRDefault="00FA7D01" w:rsidP="00937266">
      <w:pPr>
        <w:pStyle w:val="Heading1"/>
        <w:ind w:left="142"/>
      </w:pPr>
      <w:bookmarkStart w:id="15" w:name="_Ref472070220"/>
      <w:r>
        <w:t>Pharmaceutical Particulars</w:t>
      </w:r>
      <w:bookmarkEnd w:id="15"/>
    </w:p>
    <w:p w:rsidR="00FA7D01" w:rsidRDefault="00FA7D01" w:rsidP="00937266">
      <w:pPr>
        <w:pStyle w:val="Heading2"/>
        <w:ind w:left="142"/>
      </w:pPr>
      <w:bookmarkStart w:id="16" w:name="_Ref487643005"/>
      <w:r w:rsidRPr="00391B34">
        <w:t>List of excipients</w:t>
      </w:r>
      <w:bookmarkEnd w:id="16"/>
    </w:p>
    <w:p w:rsidR="00F813B1" w:rsidRDefault="00DE6B41" w:rsidP="00937266">
      <w:pPr>
        <w:ind w:left="142"/>
      </w:pPr>
      <w:r w:rsidRPr="00DE6B41">
        <w:t>Each autoinjector or prefilled syringe is composed of ixekizumab (80 mg/mL) and the inactive ingredients</w:t>
      </w:r>
      <w:r w:rsidR="00F813B1">
        <w:t>:</w:t>
      </w:r>
    </w:p>
    <w:p w:rsidR="00F813B1" w:rsidRDefault="00D3387A" w:rsidP="00937266">
      <w:pPr>
        <w:ind w:left="142"/>
      </w:pPr>
      <w:r w:rsidRPr="00DE6B41">
        <w:t>sodium chloride 11.69 mg/mL</w:t>
      </w:r>
    </w:p>
    <w:p w:rsidR="00F813B1" w:rsidRDefault="00D3387A" w:rsidP="00937266">
      <w:pPr>
        <w:ind w:left="142"/>
      </w:pPr>
      <w:r w:rsidRPr="00DE6B41">
        <w:t>sodium citrate dihydrate 5.11 mg/mL</w:t>
      </w:r>
    </w:p>
    <w:p w:rsidR="00F813B1" w:rsidRDefault="00D3387A" w:rsidP="00937266">
      <w:pPr>
        <w:ind w:left="142"/>
      </w:pPr>
      <w:r w:rsidRPr="00DE6B41">
        <w:t>citric acid 0.51 mg/mL</w:t>
      </w:r>
    </w:p>
    <w:p w:rsidR="00F813B1" w:rsidRDefault="00D3387A" w:rsidP="00937266">
      <w:pPr>
        <w:ind w:left="142"/>
      </w:pPr>
      <w:r w:rsidRPr="00DE6B41">
        <w:t>polysorbate 80 0.30 mg/</w:t>
      </w:r>
      <w:r w:rsidR="00F813B1">
        <w:t>mL</w:t>
      </w:r>
    </w:p>
    <w:p w:rsidR="00F813B1" w:rsidRDefault="00F813B1" w:rsidP="00937266">
      <w:pPr>
        <w:ind w:left="142"/>
      </w:pPr>
      <w:r>
        <w:t>water for injections.</w:t>
      </w:r>
    </w:p>
    <w:p w:rsidR="00323118" w:rsidRPr="00D3387A" w:rsidRDefault="00D3387A" w:rsidP="00937266">
      <w:pPr>
        <w:ind w:left="142"/>
      </w:pPr>
      <w:r w:rsidRPr="00DE6B41">
        <w:t>TALTZ contains less than 1 mmoL sodium (23 mg) per 80 mg dose.</w:t>
      </w:r>
    </w:p>
    <w:p w:rsidR="008A3AAF" w:rsidRPr="00391B34" w:rsidRDefault="008A3AAF" w:rsidP="00937266">
      <w:pPr>
        <w:pStyle w:val="Heading2"/>
        <w:ind w:left="142"/>
      </w:pPr>
      <w:bookmarkStart w:id="17" w:name="_Ref509835769"/>
      <w:r w:rsidRPr="00391B34">
        <w:t>Incompatibilities</w:t>
      </w:r>
      <w:bookmarkEnd w:id="17"/>
    </w:p>
    <w:p w:rsidR="005C7CD9" w:rsidRPr="00E868AB" w:rsidRDefault="00700755" w:rsidP="00937266">
      <w:pPr>
        <w:ind w:left="142"/>
      </w:pPr>
      <w:r w:rsidRPr="00DF4892">
        <w:t>Incompatibilities were either not assessed or not identified as part of the registration of this medicine.</w:t>
      </w:r>
    </w:p>
    <w:p w:rsidR="008A3AAF" w:rsidRPr="00391B34" w:rsidRDefault="008A3AAF" w:rsidP="00937266">
      <w:pPr>
        <w:pStyle w:val="Heading2"/>
        <w:ind w:left="142"/>
      </w:pPr>
      <w:r w:rsidRPr="00391B34">
        <w:lastRenderedPageBreak/>
        <w:t>Shelf-life</w:t>
      </w:r>
    </w:p>
    <w:p w:rsidR="00700755" w:rsidRPr="00DF4892" w:rsidRDefault="00700755" w:rsidP="00937266">
      <w:pPr>
        <w:ind w:left="142"/>
      </w:pPr>
      <w:r w:rsidRPr="00DF4892">
        <w:t>In Australia, information on the shelf life can be found on the public summary of the Australian Register of Therapeutic Goods (ARTG). The expiry date</w:t>
      </w:r>
      <w:r w:rsidR="00DF4892">
        <w:t xml:space="preserve"> can be found on the packaging.</w:t>
      </w:r>
    </w:p>
    <w:p w:rsidR="000A2509" w:rsidRPr="00391B34" w:rsidRDefault="000A2509" w:rsidP="00937266">
      <w:pPr>
        <w:pStyle w:val="Heading2"/>
        <w:ind w:left="142"/>
      </w:pPr>
      <w:r w:rsidRPr="00391B34">
        <w:t>Special precautions for storage</w:t>
      </w:r>
    </w:p>
    <w:p w:rsidR="00F813B1" w:rsidRDefault="00DF4892" w:rsidP="00937266">
      <w:pPr>
        <w:ind w:left="142"/>
      </w:pPr>
      <w:r w:rsidRPr="00DF4892">
        <w:rPr>
          <w:lang w:eastAsia="en-AU"/>
        </w:rPr>
        <w:t>TALTZ single use autoinjector and prefilled syringe are to be stored at 2°C to 8°C. Refrigerate. Do not freeze. Protect from light. Do not shake.</w:t>
      </w:r>
      <w:r w:rsidRPr="00DF4892">
        <w:t xml:space="preserve"> </w:t>
      </w:r>
    </w:p>
    <w:p w:rsidR="00DF4892" w:rsidRDefault="00DF4892" w:rsidP="00937266">
      <w:pPr>
        <w:ind w:left="142"/>
      </w:pPr>
      <w:r w:rsidRPr="00DF4892">
        <w:t>If needed, for example while travelling or transporting the pens/syringes from the pharmacy, TALTZ may be exposed t</w:t>
      </w:r>
      <w:r>
        <w:t>o temperatures not exceeding 30°</w:t>
      </w:r>
      <w:r w:rsidRPr="00DF4892">
        <w:t>C for up to 5 days in total. After 5 days at temperatures not exceeding 30</w:t>
      </w:r>
      <w:r>
        <w:t>°</w:t>
      </w:r>
      <w:r w:rsidRPr="00DF4892">
        <w:t>C the product must be used within these 5 days or discarded.</w:t>
      </w:r>
    </w:p>
    <w:p w:rsidR="003E1D00" w:rsidRDefault="003E1D00" w:rsidP="00937266">
      <w:pPr>
        <w:pStyle w:val="Heading2"/>
        <w:ind w:left="142"/>
      </w:pPr>
      <w:r w:rsidRPr="00391B34">
        <w:t xml:space="preserve">Nature </w:t>
      </w:r>
      <w:r w:rsidR="00700755" w:rsidRPr="00391B34">
        <w:t>and</w:t>
      </w:r>
      <w:r w:rsidRPr="00391B34">
        <w:t xml:space="preserve"> contents of container</w:t>
      </w:r>
    </w:p>
    <w:p w:rsidR="00DF4892" w:rsidRPr="00F813B1" w:rsidRDefault="00DF4892" w:rsidP="00937266">
      <w:pPr>
        <w:ind w:left="142"/>
      </w:pPr>
      <w:r w:rsidRPr="00F813B1">
        <w:t>TALTZ is available as a 1 mL single-dose prefilled pen (autoinjector) or prefilled syringe</w:t>
      </w:r>
      <w:r w:rsidR="00F813B1" w:rsidRPr="00F813B1">
        <w:t xml:space="preserve"> containing 80 mg ixekizumab. The solution is contained in a clear glass syringe barrel with bromobutyl plunger.</w:t>
      </w:r>
    </w:p>
    <w:p w:rsidR="00177A5D" w:rsidRDefault="00DF4892" w:rsidP="00937266">
      <w:pPr>
        <w:ind w:left="142"/>
      </w:pPr>
      <w:r w:rsidRPr="00F813B1">
        <w:t>TALTZ is available in pack sizes of 1, 2 or 3 single-dose autoinjector or prefilled syringe</w:t>
      </w:r>
      <w:r w:rsidR="00C21AD5">
        <w:t>*</w:t>
      </w:r>
      <w:r w:rsidRPr="00F813B1">
        <w:t xml:space="preserve">. </w:t>
      </w:r>
      <w:r w:rsidR="00CE34E2">
        <w:t>*</w:t>
      </w:r>
      <w:r w:rsidR="00177A5D">
        <w:t xml:space="preserve">Not all pack </w:t>
      </w:r>
      <w:r w:rsidRPr="00F813B1">
        <w:t xml:space="preserve">sizes </w:t>
      </w:r>
      <w:r w:rsidR="00CE34E2">
        <w:t xml:space="preserve">or presentations </w:t>
      </w:r>
      <w:r w:rsidR="00177A5D">
        <w:t>may be marketed.</w:t>
      </w:r>
    </w:p>
    <w:p w:rsidR="003E1D00" w:rsidRPr="00391B34" w:rsidRDefault="003E1D00" w:rsidP="00937266">
      <w:pPr>
        <w:pStyle w:val="Heading2"/>
        <w:ind w:left="142"/>
      </w:pPr>
      <w:r w:rsidRPr="00391B34">
        <w:t xml:space="preserve">Special precautions for disposal </w:t>
      </w:r>
    </w:p>
    <w:p w:rsidR="00E00591" w:rsidRPr="00DF4892" w:rsidRDefault="009E731D" w:rsidP="00937266">
      <w:pPr>
        <w:ind w:left="142"/>
      </w:pPr>
      <w:r w:rsidRPr="009E731D">
        <w:t>TALTZ contains no antimicrobial preservative therefore discard any unused portion in accordance with local requirements.</w:t>
      </w:r>
      <w:r>
        <w:t xml:space="preserve"> </w:t>
      </w:r>
    </w:p>
    <w:p w:rsidR="00700755" w:rsidRPr="00B5098E" w:rsidRDefault="00B5098E" w:rsidP="00937266">
      <w:pPr>
        <w:pStyle w:val="Heading2"/>
        <w:ind w:left="142"/>
      </w:pPr>
      <w:r w:rsidRPr="00B5098E">
        <w:t xml:space="preserve">Physicochemical Properties </w:t>
      </w:r>
    </w:p>
    <w:p w:rsidR="00233961" w:rsidRDefault="008C3050" w:rsidP="00937266">
      <w:pPr>
        <w:pStyle w:val="Heading3"/>
        <w:ind w:left="142"/>
      </w:pPr>
      <w:r w:rsidRPr="00391B34">
        <w:t xml:space="preserve">Chemical structure </w:t>
      </w:r>
    </w:p>
    <w:p w:rsidR="00700755" w:rsidRPr="00233961" w:rsidRDefault="00233961" w:rsidP="00937266">
      <w:pPr>
        <w:pStyle w:val="Heading3"/>
        <w:ind w:left="142"/>
        <w:rPr>
          <w:b w:val="0"/>
        </w:rPr>
      </w:pPr>
      <w:r w:rsidRPr="00233961">
        <w:rPr>
          <w:b w:val="0"/>
        </w:rPr>
        <w:t>Ixekizumab has a molecular weight of 146,158 Daltons for the protein backbone of the molecule.</w:t>
      </w:r>
    </w:p>
    <w:p w:rsidR="005F3BE6" w:rsidRDefault="005F3BE6" w:rsidP="00937266">
      <w:pPr>
        <w:ind w:left="142"/>
      </w:pPr>
      <w:r>
        <w:rPr>
          <w:noProof/>
          <w:lang w:val="en-US"/>
        </w:rPr>
      </w:r>
      <w:r>
        <w:pict>
          <v:shape id="_x0000_s1045" type="#_x0000_t75" style="width:193.95pt;height:178.1pt;mso-position-horizontal-relative:char;mso-position-vertical-relative:line">
            <v:imagedata r:id="rId20" o:title=""/>
            <w10:anchorlock/>
          </v:shape>
        </w:pict>
      </w:r>
    </w:p>
    <w:p w:rsidR="00700755" w:rsidRPr="00391B34" w:rsidRDefault="00AD32EE" w:rsidP="00937266">
      <w:pPr>
        <w:pStyle w:val="Heading3"/>
        <w:ind w:left="142"/>
      </w:pPr>
      <w:r>
        <w:t>CAS</w:t>
      </w:r>
      <w:r w:rsidR="008C3050" w:rsidRPr="00391B34">
        <w:t xml:space="preserve"> number </w:t>
      </w:r>
    </w:p>
    <w:p w:rsidR="00C9158B" w:rsidRDefault="005F3BE6" w:rsidP="00937266">
      <w:pPr>
        <w:ind w:left="142"/>
      </w:pPr>
      <w:r w:rsidRPr="005F3BE6">
        <w:t>CAS registry number 1143503-69-8.</w:t>
      </w:r>
    </w:p>
    <w:p w:rsidR="00E02431" w:rsidRPr="00D31DE2" w:rsidRDefault="008A3AAF" w:rsidP="00937266">
      <w:pPr>
        <w:pStyle w:val="Heading1"/>
        <w:ind w:left="142"/>
      </w:pPr>
      <w:r>
        <w:lastRenderedPageBreak/>
        <w:t>Medicine Schedule</w:t>
      </w:r>
    </w:p>
    <w:p w:rsidR="00D656A7" w:rsidRPr="00D31DE2" w:rsidRDefault="003E1D00" w:rsidP="00937266">
      <w:pPr>
        <w:ind w:left="142"/>
      </w:pPr>
      <w:r>
        <w:t xml:space="preserve">Prescription Medicine </w:t>
      </w:r>
      <w:r w:rsidR="001E3D55">
        <w:t>– Schedule 4</w:t>
      </w:r>
    </w:p>
    <w:p w:rsidR="00E02431" w:rsidRPr="00D31DE2" w:rsidRDefault="008A3AAF" w:rsidP="00937266">
      <w:pPr>
        <w:pStyle w:val="Heading1"/>
        <w:ind w:left="142"/>
      </w:pPr>
      <w:r>
        <w:t>Sponsor</w:t>
      </w:r>
    </w:p>
    <w:p w:rsidR="00233961" w:rsidRDefault="006976FC" w:rsidP="00937266">
      <w:pPr>
        <w:ind w:left="142"/>
      </w:pPr>
      <w:r>
        <w:t xml:space="preserve">Eli Lilly Australia Pty. Limited </w:t>
      </w:r>
      <w:r>
        <w:br/>
        <w:t>112 Wharf Road</w:t>
      </w:r>
      <w:r w:rsidR="00C21AD5">
        <w:br/>
      </w:r>
      <w:r>
        <w:t xml:space="preserve">West Ryde, NSW 2114 </w:t>
      </w:r>
      <w:r>
        <w:br/>
        <w:t>AUSTRALIA</w:t>
      </w:r>
    </w:p>
    <w:p w:rsidR="00233961" w:rsidRDefault="00233961" w:rsidP="00937266">
      <w:pPr>
        <w:ind w:left="142"/>
      </w:pPr>
      <w:r>
        <w:t>1800 454 559</w:t>
      </w:r>
      <w:r>
        <w:br/>
        <w:t>www.lilly.com.au</w:t>
      </w:r>
    </w:p>
    <w:p w:rsidR="00E02431" w:rsidRDefault="008A3AAF" w:rsidP="00937266">
      <w:pPr>
        <w:pStyle w:val="Heading1"/>
        <w:ind w:left="142"/>
      </w:pPr>
      <w:bookmarkStart w:id="18" w:name="_Ref472070098"/>
      <w:r>
        <w:t>Date of First Approval</w:t>
      </w:r>
      <w:bookmarkEnd w:id="18"/>
    </w:p>
    <w:p w:rsidR="009E731D" w:rsidRPr="00D31DE2" w:rsidRDefault="009E731D" w:rsidP="00937266">
      <w:pPr>
        <w:ind w:left="142"/>
      </w:pPr>
      <w:r>
        <w:t>6 September 2016</w:t>
      </w:r>
    </w:p>
    <w:p w:rsidR="00FC1809" w:rsidRDefault="008A3AAF" w:rsidP="00937266">
      <w:pPr>
        <w:pStyle w:val="Heading1"/>
        <w:ind w:left="142"/>
      </w:pPr>
      <w:bookmarkStart w:id="19" w:name="_Ref472070337"/>
      <w:r>
        <w:t>Date of Revision</w:t>
      </w:r>
      <w:bookmarkEnd w:id="19"/>
    </w:p>
    <w:p w:rsidR="00B87A9F" w:rsidRDefault="00172B29" w:rsidP="00937266">
      <w:pPr>
        <w:ind w:left="142"/>
      </w:pPr>
      <w:r>
        <w:t>11 March 2020</w:t>
      </w:r>
    </w:p>
    <w:p w:rsidR="005C7CD9" w:rsidRPr="00D31DE2" w:rsidRDefault="005C7CD9" w:rsidP="00937266">
      <w:pPr>
        <w:ind w:left="142"/>
      </w:pPr>
    </w:p>
    <w:p w:rsidR="00D0763C" w:rsidRPr="00D31DE2" w:rsidRDefault="008A3AAF" w:rsidP="00937266">
      <w:pPr>
        <w:pStyle w:val="Heading2"/>
        <w:numPr>
          <w:ilvl w:val="0"/>
          <w:numId w:val="0"/>
        </w:numPr>
        <w:ind w:left="142" w:hanging="558"/>
      </w:pPr>
      <w:r>
        <w:t>Summary table of changes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330"/>
      </w:tblGrid>
      <w:tr w:rsidR="00552808" w:rsidRPr="00DA0B6B" w:rsidTr="00664085">
        <w:trPr>
          <w:trHeight w:val="351"/>
        </w:trPr>
        <w:tc>
          <w:tcPr>
            <w:tcW w:w="3260" w:type="dxa"/>
            <w:shd w:val="clear" w:color="auto" w:fill="auto"/>
          </w:tcPr>
          <w:p w:rsidR="00552808" w:rsidRPr="00DA0B6B" w:rsidRDefault="00552808" w:rsidP="00937266">
            <w:pPr>
              <w:spacing w:after="0"/>
              <w:ind w:left="142"/>
              <w:rPr>
                <w:b/>
              </w:rPr>
            </w:pPr>
            <w:r w:rsidRPr="00DA0B6B">
              <w:rPr>
                <w:b/>
              </w:rPr>
              <w:t>Section changed</w:t>
            </w:r>
          </w:p>
        </w:tc>
        <w:tc>
          <w:tcPr>
            <w:tcW w:w="5330" w:type="dxa"/>
            <w:shd w:val="clear" w:color="auto" w:fill="auto"/>
          </w:tcPr>
          <w:p w:rsidR="00552808" w:rsidRPr="00DA0B6B" w:rsidRDefault="00552808" w:rsidP="00937266">
            <w:pPr>
              <w:spacing w:after="0"/>
              <w:ind w:left="142"/>
              <w:rPr>
                <w:b/>
              </w:rPr>
            </w:pPr>
            <w:r w:rsidRPr="00DA0B6B">
              <w:rPr>
                <w:b/>
              </w:rPr>
              <w:t>Summary of new information</w:t>
            </w:r>
          </w:p>
        </w:tc>
      </w:tr>
      <w:tr w:rsidR="00866B5F" w:rsidTr="00664085">
        <w:tc>
          <w:tcPr>
            <w:tcW w:w="3260" w:type="dxa"/>
            <w:shd w:val="clear" w:color="auto" w:fill="auto"/>
          </w:tcPr>
          <w:p w:rsidR="00866B5F" w:rsidRDefault="00866B5F" w:rsidP="00937266">
            <w:pPr>
              <w:spacing w:after="0"/>
              <w:ind w:left="142"/>
            </w:pPr>
            <w:r>
              <w:t>4.1, 4.2, 4.4, 4.5, 4.8, 5.1, 5.2</w:t>
            </w:r>
          </w:p>
        </w:tc>
        <w:tc>
          <w:tcPr>
            <w:tcW w:w="5330" w:type="dxa"/>
            <w:shd w:val="clear" w:color="auto" w:fill="auto"/>
          </w:tcPr>
          <w:p w:rsidR="00866B5F" w:rsidRDefault="00866B5F" w:rsidP="00937266">
            <w:pPr>
              <w:spacing w:after="0"/>
              <w:ind w:left="142"/>
            </w:pPr>
            <w:r>
              <w:t>New Indication: ankylosing spondylitis</w:t>
            </w:r>
          </w:p>
        </w:tc>
      </w:tr>
      <w:tr w:rsidR="00CF210E" w:rsidTr="00664085">
        <w:tc>
          <w:tcPr>
            <w:tcW w:w="3260" w:type="dxa"/>
            <w:shd w:val="clear" w:color="auto" w:fill="auto"/>
          </w:tcPr>
          <w:p w:rsidR="00CF210E" w:rsidRDefault="00CF210E" w:rsidP="00937266">
            <w:pPr>
              <w:spacing w:after="0"/>
              <w:ind w:left="142"/>
            </w:pPr>
            <w:r>
              <w:t>4.5. 5.1</w:t>
            </w:r>
          </w:p>
        </w:tc>
        <w:tc>
          <w:tcPr>
            <w:tcW w:w="5330" w:type="dxa"/>
            <w:shd w:val="clear" w:color="auto" w:fill="auto"/>
          </w:tcPr>
          <w:p w:rsidR="00CF210E" w:rsidRDefault="00CF210E" w:rsidP="00937266">
            <w:pPr>
              <w:spacing w:after="0"/>
              <w:ind w:left="142"/>
            </w:pPr>
            <w:r>
              <w:t>Addition of Cytochrome P450 text; addition of clinical trial text regarding Plaque Psoriasis and Genital Psoriasis</w:t>
            </w:r>
          </w:p>
        </w:tc>
      </w:tr>
    </w:tbl>
    <w:p w:rsidR="00A96E09" w:rsidRDefault="00A96E09" w:rsidP="00937266">
      <w:pPr>
        <w:ind w:left="142"/>
      </w:pPr>
    </w:p>
    <w:p w:rsidR="00B87A9F" w:rsidRDefault="005F3BE6" w:rsidP="00937266">
      <w:pPr>
        <w:ind w:left="142"/>
      </w:pPr>
      <w:r>
        <w:t>TALTZ</w:t>
      </w:r>
      <w:r w:rsidR="005667B7" w:rsidRPr="00D31DE2">
        <w:rPr>
          <w:vertAlign w:val="superscript"/>
        </w:rPr>
        <w:t>®</w:t>
      </w:r>
      <w:r w:rsidR="005667B7" w:rsidRPr="00D31DE2">
        <w:t xml:space="preserve"> is a registered trademark of Eli Lilly </w:t>
      </w:r>
      <w:r w:rsidR="00C2332B" w:rsidRPr="00D31DE2">
        <w:t>and Company</w:t>
      </w:r>
    </w:p>
    <w:sectPr w:rsidR="00B87A9F" w:rsidSect="0003595F">
      <w:headerReference w:type="even" r:id="rId21"/>
      <w:headerReference w:type="default" r:id="rId22"/>
      <w:footerReference w:type="even" r:id="rId23"/>
      <w:footerReference w:type="default" r:id="rId24"/>
      <w:headerReference w:type="first" r:id="rId25"/>
      <w:footerReference w:type="first" r:id="rId26"/>
      <w:pgSz w:w="11907" w:h="16840" w:code="9"/>
      <w:pgMar w:top="1440" w:right="1134" w:bottom="1134" w:left="1440" w:header="720" w:footer="43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E4" w:rsidRDefault="001846E4" w:rsidP="00821BB2">
      <w:r>
        <w:separator/>
      </w:r>
    </w:p>
  </w:endnote>
  <w:endnote w:type="continuationSeparator" w:id="0">
    <w:p w:rsidR="001846E4" w:rsidRDefault="001846E4" w:rsidP="0082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A4B" w:rsidRDefault="00171A4B" w:rsidP="00D932E6">
    <w:pPr>
      <w:pStyle w:val="Footer"/>
      <w:ind w:right="969"/>
      <w:jc w:val="center"/>
    </w:pPr>
  </w:p>
  <w:p w:rsidR="00171A4B" w:rsidRDefault="00171A4B" w:rsidP="00D932E6">
    <w:pPr>
      <w:ind w:right="96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B3F" w:rsidRPr="00BC2B3F" w:rsidRDefault="00DE31DB" w:rsidP="00D11F5B">
    <w:pPr>
      <w:pBdr>
        <w:top w:val="single" w:sz="4" w:space="1" w:color="auto"/>
      </w:pBdr>
      <w:tabs>
        <w:tab w:val="right" w:pos="8931"/>
      </w:tabs>
      <w:spacing w:after="0"/>
      <w:ind w:left="0"/>
      <w:rPr>
        <w:rStyle w:val="FooterChar"/>
        <w:rFonts w:ascii="Cambria" w:hAnsi="Cambria" w:cs="Arial"/>
        <w:sz w:val="16"/>
        <w:szCs w:val="16"/>
      </w:rPr>
    </w:pPr>
    <w:r>
      <w:rPr>
        <w:rStyle w:val="FooterChar"/>
        <w:rFonts w:ascii="Cambria" w:hAnsi="Cambria" w:cs="Arial"/>
        <w:sz w:val="16"/>
        <w:szCs w:val="16"/>
      </w:rPr>
      <w:t>v</w:t>
    </w:r>
    <w:r w:rsidR="00172B29">
      <w:rPr>
        <w:rStyle w:val="FooterChar"/>
        <w:rFonts w:ascii="Cambria" w:hAnsi="Cambria" w:cs="Arial"/>
        <w:sz w:val="16"/>
        <w:szCs w:val="16"/>
      </w:rPr>
      <w:t>A</w:t>
    </w:r>
    <w:r>
      <w:rPr>
        <w:rStyle w:val="FooterChar"/>
        <w:rFonts w:ascii="Cambria" w:hAnsi="Cambria" w:cs="Arial"/>
        <w:sz w:val="16"/>
        <w:szCs w:val="16"/>
      </w:rPr>
      <w:t>0</w:t>
    </w:r>
    <w:r w:rsidR="00172B29">
      <w:rPr>
        <w:rStyle w:val="FooterChar"/>
        <w:rFonts w:ascii="Cambria" w:hAnsi="Cambria" w:cs="Arial"/>
        <w:sz w:val="16"/>
        <w:szCs w:val="16"/>
      </w:rPr>
      <w:t>8</w:t>
    </w:r>
    <w:r w:rsidR="00BB2688">
      <w:rPr>
        <w:rStyle w:val="FooterChar"/>
        <w:rFonts w:ascii="Cambria" w:hAnsi="Cambria" w:cs="Arial"/>
        <w:sz w:val="16"/>
        <w:szCs w:val="16"/>
      </w:rPr>
      <w:t>_Mar</w:t>
    </w:r>
    <w:r>
      <w:rPr>
        <w:rStyle w:val="FooterChar"/>
        <w:rFonts w:ascii="Cambria" w:hAnsi="Cambria" w:cs="Arial"/>
        <w:sz w:val="16"/>
        <w:szCs w:val="16"/>
      </w:rPr>
      <w:t>20</w:t>
    </w:r>
    <w:r w:rsidR="00664085" w:rsidRPr="00664085">
      <w:rPr>
        <w:rStyle w:val="FooterChar"/>
        <w:rFonts w:ascii="Cambria" w:hAnsi="Cambria" w:cs="Arial"/>
        <w:sz w:val="16"/>
        <w:szCs w:val="16"/>
      </w:rPr>
      <w:t>20</w:t>
    </w:r>
    <w:r w:rsidR="00FC2CA4" w:rsidRPr="00BC2B3F">
      <w:rPr>
        <w:rStyle w:val="FooterChar"/>
        <w:rFonts w:ascii="Cambria" w:hAnsi="Cambria" w:cs="Arial"/>
        <w:sz w:val="16"/>
        <w:szCs w:val="16"/>
      </w:rPr>
      <w:tab/>
      <w:t xml:space="preserve"> SUPERSEDES</w:t>
    </w:r>
    <w:r w:rsidR="00BC2B3F" w:rsidRPr="00BC2B3F">
      <w:rPr>
        <w:rStyle w:val="FooterChar"/>
        <w:rFonts w:ascii="Cambria" w:hAnsi="Cambria" w:cs="Arial"/>
        <w:sz w:val="16"/>
        <w:szCs w:val="16"/>
      </w:rPr>
      <w:t>: vA07_Jun2019</w:t>
    </w:r>
    <w:r w:rsidR="00FC2CA4" w:rsidRPr="00FC2CA4">
      <w:t xml:space="preserve"> </w:t>
    </w:r>
  </w:p>
  <w:p w:rsidR="00BC2B3F" w:rsidRPr="00BC2B3F" w:rsidRDefault="00BC2B3F" w:rsidP="00664085">
    <w:pPr>
      <w:tabs>
        <w:tab w:val="right" w:pos="8931"/>
      </w:tabs>
      <w:spacing w:after="0"/>
      <w:ind w:left="7659"/>
      <w:jc w:val="center"/>
      <w:rPr>
        <w:rStyle w:val="FooterChar"/>
        <w:rFonts w:ascii="Cambria" w:hAnsi="Cambria" w:cs="Arial"/>
        <w:sz w:val="16"/>
        <w:szCs w:val="16"/>
      </w:rPr>
    </w:pPr>
    <w:r w:rsidRPr="00BC2B3F">
      <w:rPr>
        <w:rStyle w:val="FooterChar"/>
        <w:rFonts w:ascii="Cambria" w:hAnsi="Cambria" w:cs="Arial"/>
        <w:sz w:val="16"/>
        <w:szCs w:val="16"/>
      </w:rPr>
      <w:t xml:space="preserve">Page </w:t>
    </w:r>
    <w:r w:rsidRPr="00BC2B3F">
      <w:rPr>
        <w:rStyle w:val="FooterChar"/>
        <w:rFonts w:ascii="Cambria" w:hAnsi="Cambria" w:cs="Arial"/>
        <w:sz w:val="16"/>
        <w:szCs w:val="16"/>
      </w:rPr>
      <w:fldChar w:fldCharType="begin"/>
    </w:r>
    <w:r w:rsidRPr="00BC2B3F">
      <w:rPr>
        <w:rStyle w:val="FooterChar"/>
        <w:rFonts w:ascii="Cambria" w:hAnsi="Cambria" w:cs="Arial"/>
        <w:sz w:val="16"/>
        <w:szCs w:val="16"/>
      </w:rPr>
      <w:instrText xml:space="preserve"> PAGE </w:instrText>
    </w:r>
    <w:r w:rsidRPr="00BC2B3F">
      <w:rPr>
        <w:rStyle w:val="FooterChar"/>
        <w:rFonts w:ascii="Cambria" w:hAnsi="Cambria" w:cs="Arial"/>
        <w:sz w:val="16"/>
        <w:szCs w:val="16"/>
      </w:rPr>
      <w:fldChar w:fldCharType="separate"/>
    </w:r>
    <w:r w:rsidR="00224D69">
      <w:rPr>
        <w:rStyle w:val="FooterChar"/>
        <w:rFonts w:ascii="Cambria" w:hAnsi="Cambria" w:cs="Arial"/>
        <w:noProof/>
        <w:sz w:val="16"/>
        <w:szCs w:val="16"/>
      </w:rPr>
      <w:t>1</w:t>
    </w:r>
    <w:r w:rsidRPr="00BC2B3F">
      <w:rPr>
        <w:rStyle w:val="FooterChar"/>
        <w:rFonts w:ascii="Cambria" w:hAnsi="Cambria" w:cs="Arial"/>
        <w:sz w:val="16"/>
        <w:szCs w:val="16"/>
      </w:rPr>
      <w:fldChar w:fldCharType="end"/>
    </w:r>
    <w:r w:rsidRPr="00BC2B3F">
      <w:rPr>
        <w:rStyle w:val="FooterChar"/>
        <w:rFonts w:ascii="Cambria" w:hAnsi="Cambria" w:cs="Arial"/>
        <w:sz w:val="16"/>
        <w:szCs w:val="16"/>
      </w:rPr>
      <w:t xml:space="preserve"> of </w:t>
    </w:r>
    <w:r w:rsidRPr="00BC2B3F">
      <w:rPr>
        <w:rStyle w:val="FooterChar"/>
        <w:rFonts w:ascii="Cambria" w:hAnsi="Cambria" w:cs="Arial"/>
        <w:sz w:val="16"/>
        <w:szCs w:val="16"/>
      </w:rPr>
      <w:fldChar w:fldCharType="begin"/>
    </w:r>
    <w:r w:rsidRPr="00BC2B3F">
      <w:rPr>
        <w:rStyle w:val="FooterChar"/>
        <w:rFonts w:ascii="Cambria" w:hAnsi="Cambria" w:cs="Arial"/>
        <w:sz w:val="16"/>
        <w:szCs w:val="16"/>
      </w:rPr>
      <w:instrText xml:space="preserve"> NUMPAGES </w:instrText>
    </w:r>
    <w:r w:rsidRPr="00BC2B3F">
      <w:rPr>
        <w:rStyle w:val="FooterChar"/>
        <w:rFonts w:ascii="Cambria" w:hAnsi="Cambria" w:cs="Arial"/>
        <w:sz w:val="16"/>
        <w:szCs w:val="16"/>
      </w:rPr>
      <w:fldChar w:fldCharType="separate"/>
    </w:r>
    <w:r w:rsidR="00224D69">
      <w:rPr>
        <w:rStyle w:val="FooterChar"/>
        <w:rFonts w:ascii="Cambria" w:hAnsi="Cambria" w:cs="Arial"/>
        <w:noProof/>
        <w:sz w:val="16"/>
        <w:szCs w:val="16"/>
      </w:rPr>
      <w:t>29</w:t>
    </w:r>
    <w:r w:rsidRPr="00BC2B3F">
      <w:rPr>
        <w:rStyle w:val="FooterChar"/>
        <w:rFonts w:ascii="Cambria" w:hAnsi="Cambria" w:cs="Arial"/>
        <w:sz w:val="16"/>
        <w:szCs w:val="16"/>
      </w:rPr>
      <w:fldChar w:fldCharType="end"/>
    </w:r>
  </w:p>
  <w:p w:rsidR="00171A4B" w:rsidRPr="006976FC" w:rsidRDefault="00171A4B" w:rsidP="0024412C">
    <w:pPr>
      <w:pStyle w:val="Footer"/>
      <w:tabs>
        <w:tab w:val="center" w:pos="4666"/>
        <w:tab w:val="right" w:pos="9333"/>
      </w:tabs>
      <w:ind w:left="1418" w:right="969"/>
      <w:jc w:val="center"/>
      <w:rPr>
        <w:rStyle w:val="FooterCha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B3F" w:rsidRPr="00BC2B3F" w:rsidRDefault="00BC2B3F" w:rsidP="00BC2B3F">
    <w:pPr>
      <w:pBdr>
        <w:top w:val="single" w:sz="4" w:space="1" w:color="auto"/>
      </w:pBdr>
      <w:tabs>
        <w:tab w:val="right" w:pos="8931"/>
      </w:tabs>
      <w:spacing w:after="0"/>
      <w:ind w:left="0"/>
      <w:jc w:val="center"/>
      <w:rPr>
        <w:rStyle w:val="FooterChar"/>
        <w:rFonts w:ascii="Cambria" w:hAnsi="Cambria" w:cs="Arial"/>
        <w:sz w:val="16"/>
        <w:szCs w:val="16"/>
      </w:rPr>
    </w:pPr>
    <w:r w:rsidRPr="00BC2B3F">
      <w:rPr>
        <w:rStyle w:val="FooterChar"/>
        <w:rFonts w:ascii="Cambria" w:hAnsi="Cambria" w:cs="Arial"/>
        <w:sz w:val="16"/>
        <w:szCs w:val="16"/>
      </w:rPr>
      <w:t>vD-07.1_Sep2019</w:t>
    </w:r>
    <w:r w:rsidR="00FC2CA4" w:rsidRPr="00BC2B3F">
      <w:rPr>
        <w:rStyle w:val="FooterChar"/>
        <w:rFonts w:ascii="Cambria" w:hAnsi="Cambria" w:cs="Arial"/>
        <w:sz w:val="16"/>
        <w:szCs w:val="16"/>
      </w:rPr>
      <w:tab/>
      <w:t xml:space="preserve"> SUPERSEDES</w:t>
    </w:r>
    <w:r w:rsidRPr="00BC2B3F">
      <w:rPr>
        <w:rStyle w:val="FooterChar"/>
        <w:rFonts w:ascii="Cambria" w:hAnsi="Cambria" w:cs="Arial"/>
        <w:sz w:val="16"/>
        <w:szCs w:val="16"/>
      </w:rPr>
      <w:t>: vA07_Jun2019</w:t>
    </w:r>
  </w:p>
  <w:p w:rsidR="00BC2B3F" w:rsidRPr="00BC2B3F" w:rsidRDefault="00BC2B3F" w:rsidP="00664085">
    <w:pPr>
      <w:tabs>
        <w:tab w:val="right" w:pos="8931"/>
      </w:tabs>
      <w:spacing w:after="0"/>
      <w:ind w:left="7659"/>
      <w:jc w:val="center"/>
      <w:rPr>
        <w:rStyle w:val="FooterChar"/>
        <w:rFonts w:ascii="Cambria" w:hAnsi="Cambria" w:cs="Arial"/>
        <w:sz w:val="16"/>
        <w:szCs w:val="16"/>
      </w:rPr>
    </w:pPr>
    <w:r w:rsidRPr="00BC2B3F">
      <w:rPr>
        <w:rStyle w:val="FooterChar"/>
        <w:rFonts w:ascii="Cambria" w:hAnsi="Cambria" w:cs="Arial"/>
        <w:sz w:val="16"/>
        <w:szCs w:val="16"/>
      </w:rPr>
      <w:t xml:space="preserve">Page </w:t>
    </w:r>
    <w:r w:rsidRPr="00BC2B3F">
      <w:rPr>
        <w:rStyle w:val="FooterChar"/>
        <w:rFonts w:ascii="Cambria" w:hAnsi="Cambria" w:cs="Arial"/>
        <w:sz w:val="16"/>
        <w:szCs w:val="16"/>
      </w:rPr>
      <w:fldChar w:fldCharType="begin"/>
    </w:r>
    <w:r w:rsidRPr="00BC2B3F">
      <w:rPr>
        <w:rStyle w:val="FooterChar"/>
        <w:rFonts w:ascii="Cambria" w:hAnsi="Cambria" w:cs="Arial"/>
        <w:sz w:val="16"/>
        <w:szCs w:val="16"/>
      </w:rPr>
      <w:instrText xml:space="preserve"> PAGE </w:instrText>
    </w:r>
    <w:r w:rsidRPr="00BC2B3F">
      <w:rPr>
        <w:rStyle w:val="FooterChar"/>
        <w:rFonts w:ascii="Cambria" w:hAnsi="Cambria" w:cs="Arial"/>
        <w:sz w:val="16"/>
        <w:szCs w:val="16"/>
      </w:rPr>
      <w:fldChar w:fldCharType="separate"/>
    </w:r>
    <w:r w:rsidRPr="00BC2B3F">
      <w:rPr>
        <w:rStyle w:val="FooterChar"/>
        <w:rFonts w:ascii="Cambria" w:hAnsi="Cambria" w:cs="Arial"/>
        <w:sz w:val="16"/>
        <w:szCs w:val="16"/>
      </w:rPr>
      <w:t>2</w:t>
    </w:r>
    <w:r w:rsidRPr="00BC2B3F">
      <w:rPr>
        <w:rStyle w:val="FooterChar"/>
        <w:rFonts w:ascii="Cambria" w:hAnsi="Cambria" w:cs="Arial"/>
        <w:sz w:val="16"/>
        <w:szCs w:val="16"/>
      </w:rPr>
      <w:fldChar w:fldCharType="end"/>
    </w:r>
    <w:r w:rsidRPr="00BC2B3F">
      <w:rPr>
        <w:rStyle w:val="FooterChar"/>
        <w:rFonts w:ascii="Cambria" w:hAnsi="Cambria" w:cs="Arial"/>
        <w:sz w:val="16"/>
        <w:szCs w:val="16"/>
      </w:rPr>
      <w:t xml:space="preserve"> of </w:t>
    </w:r>
    <w:r w:rsidRPr="00BC2B3F">
      <w:rPr>
        <w:rStyle w:val="FooterChar"/>
        <w:rFonts w:ascii="Cambria" w:hAnsi="Cambria" w:cs="Arial"/>
        <w:sz w:val="16"/>
        <w:szCs w:val="16"/>
      </w:rPr>
      <w:fldChar w:fldCharType="begin"/>
    </w:r>
    <w:r w:rsidRPr="00BC2B3F">
      <w:rPr>
        <w:rStyle w:val="FooterChar"/>
        <w:rFonts w:ascii="Cambria" w:hAnsi="Cambria" w:cs="Arial"/>
        <w:sz w:val="16"/>
        <w:szCs w:val="16"/>
      </w:rPr>
      <w:instrText xml:space="preserve"> NUMPAGES </w:instrText>
    </w:r>
    <w:r w:rsidRPr="00BC2B3F">
      <w:rPr>
        <w:rStyle w:val="FooterChar"/>
        <w:rFonts w:ascii="Cambria" w:hAnsi="Cambria" w:cs="Arial"/>
        <w:sz w:val="16"/>
        <w:szCs w:val="16"/>
      </w:rPr>
      <w:fldChar w:fldCharType="separate"/>
    </w:r>
    <w:r w:rsidRPr="00BC2B3F">
      <w:rPr>
        <w:rStyle w:val="FooterChar"/>
        <w:rFonts w:ascii="Cambria" w:hAnsi="Cambria" w:cs="Arial"/>
        <w:sz w:val="16"/>
        <w:szCs w:val="16"/>
      </w:rPr>
      <w:t>29</w:t>
    </w:r>
    <w:r w:rsidRPr="00BC2B3F">
      <w:rPr>
        <w:rStyle w:val="FooterChar"/>
        <w:rFonts w:ascii="Cambria" w:hAnsi="Cambria" w:cs="Arial"/>
        <w:sz w:val="16"/>
        <w:szCs w:val="16"/>
      </w:rPr>
      <w:fldChar w:fldCharType="end"/>
    </w:r>
  </w:p>
  <w:p w:rsidR="00BC2B3F" w:rsidRDefault="00BC2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E4" w:rsidRDefault="001846E4" w:rsidP="00821BB2">
      <w:r>
        <w:separator/>
      </w:r>
    </w:p>
  </w:footnote>
  <w:footnote w:type="continuationSeparator" w:id="0">
    <w:p w:rsidR="001846E4" w:rsidRDefault="001846E4" w:rsidP="0082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856" w:rsidRDefault="00D93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2E0"/>
      <w:tblLook w:val="04A0" w:firstRow="1" w:lastRow="0" w:firstColumn="1" w:lastColumn="0" w:noHBand="0" w:noVBand="1"/>
    </w:tblPr>
    <w:tblGrid>
      <w:gridCol w:w="8720"/>
    </w:tblGrid>
    <w:tr w:rsidR="00D93856" w:rsidRPr="001C184C" w:rsidTr="001846E4">
      <w:tc>
        <w:tcPr>
          <w:tcW w:w="8720" w:type="dxa"/>
          <w:shd w:val="clear" w:color="auto" w:fill="E4F2E0"/>
        </w:tcPr>
        <w:p w:rsidR="00D93856" w:rsidRPr="001846E4" w:rsidRDefault="00D93856" w:rsidP="00D93856">
          <w:pPr>
            <w:pStyle w:val="Footer"/>
            <w:rPr>
              <w:b/>
              <w:sz w:val="18"/>
              <w:szCs w:val="18"/>
            </w:rPr>
          </w:pPr>
          <w:r w:rsidRPr="001846E4">
            <w:rPr>
              <w:b/>
              <w:sz w:val="18"/>
              <w:szCs w:val="18"/>
            </w:rPr>
            <w:t>Attachment 1: Product AusPAR - TALTZ - ixekizumab - Eli Lilly Australia Pty Ltd - PM-2018-05753-1-3 FINAL 22 June 2020. This Product information was approved at the time this AusPAR was published.</w:t>
          </w:r>
        </w:p>
      </w:tc>
    </w:tr>
  </w:tbl>
  <w:p w:rsidR="00D93856" w:rsidRDefault="00D938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A4B" w:rsidRDefault="00171A4B" w:rsidP="00BD13DB">
    <w:pPr>
      <w:pStyle w:val="Title"/>
    </w:pPr>
    <w:r>
      <w:t>Australian product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3pt;height:31.7pt" o:bullet="t">
        <v:imagedata r:id="rId1" o:title="" cropbottom="24809f" cropright="62227f"/>
      </v:shape>
    </w:pict>
  </w:numPicBullet>
  <w:abstractNum w:abstractNumId="0" w15:restartNumberingAfterBreak="0">
    <w:nsid w:val="FFFFFF7C"/>
    <w:multiLevelType w:val="singleLevel"/>
    <w:tmpl w:val="BD8081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425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809A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5C01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F03B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F20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582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E0B9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BCF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2B9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537CB"/>
    <w:multiLevelType w:val="hybridMultilevel"/>
    <w:tmpl w:val="490244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2DF4865"/>
    <w:multiLevelType w:val="hybridMultilevel"/>
    <w:tmpl w:val="2B7CA600"/>
    <w:lvl w:ilvl="0" w:tplc="E9CE3E42">
      <w:start w:val="1"/>
      <w:numFmt w:val="bullet"/>
      <w:lvlText w:val="•"/>
      <w:lvlJc w:val="left"/>
      <w:pPr>
        <w:tabs>
          <w:tab w:val="num" w:pos="720"/>
        </w:tabs>
        <w:ind w:left="720" w:hanging="360"/>
      </w:pPr>
      <w:rPr>
        <w:rFonts w:ascii="Helvetica" w:hAnsi="Helvetica" w:hint="default"/>
      </w:rPr>
    </w:lvl>
    <w:lvl w:ilvl="1" w:tplc="C6C06190" w:tentative="1">
      <w:start w:val="1"/>
      <w:numFmt w:val="bullet"/>
      <w:lvlText w:val="•"/>
      <w:lvlJc w:val="left"/>
      <w:pPr>
        <w:tabs>
          <w:tab w:val="num" w:pos="1440"/>
        </w:tabs>
        <w:ind w:left="1440" w:hanging="360"/>
      </w:pPr>
      <w:rPr>
        <w:rFonts w:ascii="Helvetica" w:hAnsi="Helvetica" w:hint="default"/>
      </w:rPr>
    </w:lvl>
    <w:lvl w:ilvl="2" w:tplc="406AA792" w:tentative="1">
      <w:start w:val="1"/>
      <w:numFmt w:val="bullet"/>
      <w:lvlText w:val="•"/>
      <w:lvlJc w:val="left"/>
      <w:pPr>
        <w:tabs>
          <w:tab w:val="num" w:pos="2160"/>
        </w:tabs>
        <w:ind w:left="2160" w:hanging="360"/>
      </w:pPr>
      <w:rPr>
        <w:rFonts w:ascii="Helvetica" w:hAnsi="Helvetica" w:hint="default"/>
      </w:rPr>
    </w:lvl>
    <w:lvl w:ilvl="3" w:tplc="2018A78E" w:tentative="1">
      <w:start w:val="1"/>
      <w:numFmt w:val="bullet"/>
      <w:lvlText w:val="•"/>
      <w:lvlJc w:val="left"/>
      <w:pPr>
        <w:tabs>
          <w:tab w:val="num" w:pos="2880"/>
        </w:tabs>
        <w:ind w:left="2880" w:hanging="360"/>
      </w:pPr>
      <w:rPr>
        <w:rFonts w:ascii="Helvetica" w:hAnsi="Helvetica" w:hint="default"/>
      </w:rPr>
    </w:lvl>
    <w:lvl w:ilvl="4" w:tplc="9D0C7A1A" w:tentative="1">
      <w:start w:val="1"/>
      <w:numFmt w:val="bullet"/>
      <w:lvlText w:val="•"/>
      <w:lvlJc w:val="left"/>
      <w:pPr>
        <w:tabs>
          <w:tab w:val="num" w:pos="3600"/>
        </w:tabs>
        <w:ind w:left="3600" w:hanging="360"/>
      </w:pPr>
      <w:rPr>
        <w:rFonts w:ascii="Helvetica" w:hAnsi="Helvetica" w:hint="default"/>
      </w:rPr>
    </w:lvl>
    <w:lvl w:ilvl="5" w:tplc="B290B8A8" w:tentative="1">
      <w:start w:val="1"/>
      <w:numFmt w:val="bullet"/>
      <w:lvlText w:val="•"/>
      <w:lvlJc w:val="left"/>
      <w:pPr>
        <w:tabs>
          <w:tab w:val="num" w:pos="4320"/>
        </w:tabs>
        <w:ind w:left="4320" w:hanging="360"/>
      </w:pPr>
      <w:rPr>
        <w:rFonts w:ascii="Helvetica" w:hAnsi="Helvetica" w:hint="default"/>
      </w:rPr>
    </w:lvl>
    <w:lvl w:ilvl="6" w:tplc="923467D2" w:tentative="1">
      <w:start w:val="1"/>
      <w:numFmt w:val="bullet"/>
      <w:lvlText w:val="•"/>
      <w:lvlJc w:val="left"/>
      <w:pPr>
        <w:tabs>
          <w:tab w:val="num" w:pos="5040"/>
        </w:tabs>
        <w:ind w:left="5040" w:hanging="360"/>
      </w:pPr>
      <w:rPr>
        <w:rFonts w:ascii="Helvetica" w:hAnsi="Helvetica" w:hint="default"/>
      </w:rPr>
    </w:lvl>
    <w:lvl w:ilvl="7" w:tplc="441A2F7E" w:tentative="1">
      <w:start w:val="1"/>
      <w:numFmt w:val="bullet"/>
      <w:lvlText w:val="•"/>
      <w:lvlJc w:val="left"/>
      <w:pPr>
        <w:tabs>
          <w:tab w:val="num" w:pos="5760"/>
        </w:tabs>
        <w:ind w:left="5760" w:hanging="360"/>
      </w:pPr>
      <w:rPr>
        <w:rFonts w:ascii="Helvetica" w:hAnsi="Helvetica" w:hint="default"/>
      </w:rPr>
    </w:lvl>
    <w:lvl w:ilvl="8" w:tplc="4C7C900E" w:tentative="1">
      <w:start w:val="1"/>
      <w:numFmt w:val="bullet"/>
      <w:lvlText w:val="•"/>
      <w:lvlJc w:val="left"/>
      <w:pPr>
        <w:tabs>
          <w:tab w:val="num" w:pos="6480"/>
        </w:tabs>
        <w:ind w:left="6480" w:hanging="360"/>
      </w:pPr>
      <w:rPr>
        <w:rFonts w:ascii="Helvetica" w:hAnsi="Helvetica" w:hint="default"/>
      </w:rPr>
    </w:lvl>
  </w:abstractNum>
  <w:abstractNum w:abstractNumId="12" w15:restartNumberingAfterBreak="0">
    <w:nsid w:val="048A4F47"/>
    <w:multiLevelType w:val="hybridMultilevel"/>
    <w:tmpl w:val="3D0EC822"/>
    <w:lvl w:ilvl="0" w:tplc="95F8F9F2">
      <w:start w:val="1"/>
      <w:numFmt w:val="decimal"/>
      <w:lvlText w:val="%1"/>
      <w:lvlJc w:val="left"/>
      <w:pPr>
        <w:ind w:left="180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ABA3C91"/>
    <w:multiLevelType w:val="hybridMultilevel"/>
    <w:tmpl w:val="8A02DB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1005A31"/>
    <w:multiLevelType w:val="hybridMultilevel"/>
    <w:tmpl w:val="82463F5A"/>
    <w:lvl w:ilvl="0" w:tplc="95F8F9F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4400C3E"/>
    <w:multiLevelType w:val="hybridMultilevel"/>
    <w:tmpl w:val="A356A28C"/>
    <w:lvl w:ilvl="0" w:tplc="F1B2D2CA">
      <w:start w:val="1"/>
      <w:numFmt w:val="decimal"/>
      <w:pStyle w:val="TableTitle"/>
      <w:lvlText w:val="Table %1."/>
      <w:lvlJc w:val="left"/>
      <w:pPr>
        <w:ind w:left="2061" w:hanging="360"/>
      </w:pPr>
      <w:rPr>
        <w:rFonts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8FA5675"/>
    <w:multiLevelType w:val="multilevel"/>
    <w:tmpl w:val="F740FDF2"/>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08D6903"/>
    <w:multiLevelType w:val="hybridMultilevel"/>
    <w:tmpl w:val="B7EC7C94"/>
    <w:lvl w:ilvl="0" w:tplc="95F8F9F2">
      <w:start w:val="1"/>
      <w:numFmt w:val="decimal"/>
      <w:lvlText w:val="%1"/>
      <w:lvlJc w:val="left"/>
      <w:pPr>
        <w:ind w:left="180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3325BE7"/>
    <w:multiLevelType w:val="hybridMultilevel"/>
    <w:tmpl w:val="EC7CD22A"/>
    <w:lvl w:ilvl="0" w:tplc="119015D0">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3F80907"/>
    <w:multiLevelType w:val="hybridMultilevel"/>
    <w:tmpl w:val="079658EC"/>
    <w:lvl w:ilvl="0" w:tplc="370E91B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28CB1B30"/>
    <w:multiLevelType w:val="hybridMultilevel"/>
    <w:tmpl w:val="4F6AE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E5E0156"/>
    <w:multiLevelType w:val="multilevel"/>
    <w:tmpl w:val="31062F78"/>
    <w:lvl w:ilvl="0">
      <w:start w:val="1"/>
      <w:numFmt w:val="decimal"/>
      <w:pStyle w:val="Heading1"/>
      <w:lvlText w:val="%1."/>
      <w:lvlJc w:val="left"/>
      <w:pPr>
        <w:ind w:left="720" w:hanging="360"/>
      </w:pPr>
    </w:lvl>
    <w:lvl w:ilvl="1">
      <w:start w:val="1"/>
      <w:numFmt w:val="decimal"/>
      <w:pStyle w:val="Heading2"/>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7B42440"/>
    <w:multiLevelType w:val="hybridMultilevel"/>
    <w:tmpl w:val="BA0A8810"/>
    <w:lvl w:ilvl="0" w:tplc="95F8F9F2">
      <w:start w:val="1"/>
      <w:numFmt w:val="decimal"/>
      <w:lvlText w:val="%1"/>
      <w:lvlJc w:val="left"/>
      <w:pPr>
        <w:ind w:left="1211" w:hanging="360"/>
      </w:pPr>
      <w:rPr>
        <w:rFonts w:hint="default"/>
      </w:r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23" w15:restartNumberingAfterBreak="0">
    <w:nsid w:val="38816B4D"/>
    <w:multiLevelType w:val="hybridMultilevel"/>
    <w:tmpl w:val="2E668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DCE44CE"/>
    <w:multiLevelType w:val="hybridMultilevel"/>
    <w:tmpl w:val="8E281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46F6D75"/>
    <w:multiLevelType w:val="hybridMultilevel"/>
    <w:tmpl w:val="00B8E244"/>
    <w:lvl w:ilvl="0" w:tplc="119015D0">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8D65505"/>
    <w:multiLevelType w:val="hybridMultilevel"/>
    <w:tmpl w:val="2AF69754"/>
    <w:lvl w:ilvl="0" w:tplc="119015D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C1265B6"/>
    <w:multiLevelType w:val="hybridMultilevel"/>
    <w:tmpl w:val="902AFD16"/>
    <w:lvl w:ilvl="0" w:tplc="E348FE86">
      <w:start w:val="1"/>
      <w:numFmt w:val="bullet"/>
      <w:lvlText w:val=""/>
      <w:lvlPicBulletId w:val="0"/>
      <w:lvlJc w:val="left"/>
      <w:pPr>
        <w:tabs>
          <w:tab w:val="num" w:pos="720"/>
        </w:tabs>
        <w:ind w:left="720" w:hanging="360"/>
      </w:pPr>
      <w:rPr>
        <w:rFonts w:ascii="Symbol" w:hAnsi="Symbol" w:hint="default"/>
      </w:rPr>
    </w:lvl>
    <w:lvl w:ilvl="1" w:tplc="15BAEF66" w:tentative="1">
      <w:start w:val="1"/>
      <w:numFmt w:val="bullet"/>
      <w:lvlText w:val=""/>
      <w:lvlJc w:val="left"/>
      <w:pPr>
        <w:tabs>
          <w:tab w:val="num" w:pos="1440"/>
        </w:tabs>
        <w:ind w:left="1440" w:hanging="360"/>
      </w:pPr>
      <w:rPr>
        <w:rFonts w:ascii="Symbol" w:hAnsi="Symbol" w:hint="default"/>
      </w:rPr>
    </w:lvl>
    <w:lvl w:ilvl="2" w:tplc="CAF49778" w:tentative="1">
      <w:start w:val="1"/>
      <w:numFmt w:val="bullet"/>
      <w:lvlText w:val=""/>
      <w:lvlJc w:val="left"/>
      <w:pPr>
        <w:tabs>
          <w:tab w:val="num" w:pos="2160"/>
        </w:tabs>
        <w:ind w:left="2160" w:hanging="360"/>
      </w:pPr>
      <w:rPr>
        <w:rFonts w:ascii="Symbol" w:hAnsi="Symbol" w:hint="default"/>
      </w:rPr>
    </w:lvl>
    <w:lvl w:ilvl="3" w:tplc="78B41FD4" w:tentative="1">
      <w:start w:val="1"/>
      <w:numFmt w:val="bullet"/>
      <w:lvlText w:val=""/>
      <w:lvlJc w:val="left"/>
      <w:pPr>
        <w:tabs>
          <w:tab w:val="num" w:pos="2880"/>
        </w:tabs>
        <w:ind w:left="2880" w:hanging="360"/>
      </w:pPr>
      <w:rPr>
        <w:rFonts w:ascii="Symbol" w:hAnsi="Symbol" w:hint="default"/>
      </w:rPr>
    </w:lvl>
    <w:lvl w:ilvl="4" w:tplc="80825AC6" w:tentative="1">
      <w:start w:val="1"/>
      <w:numFmt w:val="bullet"/>
      <w:lvlText w:val=""/>
      <w:lvlJc w:val="left"/>
      <w:pPr>
        <w:tabs>
          <w:tab w:val="num" w:pos="3600"/>
        </w:tabs>
        <w:ind w:left="3600" w:hanging="360"/>
      </w:pPr>
      <w:rPr>
        <w:rFonts w:ascii="Symbol" w:hAnsi="Symbol" w:hint="default"/>
      </w:rPr>
    </w:lvl>
    <w:lvl w:ilvl="5" w:tplc="E45E8BAE" w:tentative="1">
      <w:start w:val="1"/>
      <w:numFmt w:val="bullet"/>
      <w:lvlText w:val=""/>
      <w:lvlJc w:val="left"/>
      <w:pPr>
        <w:tabs>
          <w:tab w:val="num" w:pos="4320"/>
        </w:tabs>
        <w:ind w:left="4320" w:hanging="360"/>
      </w:pPr>
      <w:rPr>
        <w:rFonts w:ascii="Symbol" w:hAnsi="Symbol" w:hint="default"/>
      </w:rPr>
    </w:lvl>
    <w:lvl w:ilvl="6" w:tplc="349482A2" w:tentative="1">
      <w:start w:val="1"/>
      <w:numFmt w:val="bullet"/>
      <w:lvlText w:val=""/>
      <w:lvlJc w:val="left"/>
      <w:pPr>
        <w:tabs>
          <w:tab w:val="num" w:pos="5040"/>
        </w:tabs>
        <w:ind w:left="5040" w:hanging="360"/>
      </w:pPr>
      <w:rPr>
        <w:rFonts w:ascii="Symbol" w:hAnsi="Symbol" w:hint="default"/>
      </w:rPr>
    </w:lvl>
    <w:lvl w:ilvl="7" w:tplc="EC7AA1C0" w:tentative="1">
      <w:start w:val="1"/>
      <w:numFmt w:val="bullet"/>
      <w:lvlText w:val=""/>
      <w:lvlJc w:val="left"/>
      <w:pPr>
        <w:tabs>
          <w:tab w:val="num" w:pos="5760"/>
        </w:tabs>
        <w:ind w:left="5760" w:hanging="360"/>
      </w:pPr>
      <w:rPr>
        <w:rFonts w:ascii="Symbol" w:hAnsi="Symbol" w:hint="default"/>
      </w:rPr>
    </w:lvl>
    <w:lvl w:ilvl="8" w:tplc="EB7EF51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DC81A67"/>
    <w:multiLevelType w:val="hybridMultilevel"/>
    <w:tmpl w:val="0CA67FC8"/>
    <w:lvl w:ilvl="0" w:tplc="B40A5224">
      <w:start w:val="1"/>
      <w:numFmt w:val="decimal"/>
      <w:pStyle w:val="FigureTitle"/>
      <w:lvlText w:val="Figure %1."/>
      <w:lvlJc w:val="left"/>
      <w:pPr>
        <w:ind w:left="786"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68F13B60"/>
    <w:multiLevelType w:val="hybridMultilevel"/>
    <w:tmpl w:val="2CEE3632"/>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30" w15:restartNumberingAfterBreak="0">
    <w:nsid w:val="695D5D08"/>
    <w:multiLevelType w:val="hybridMultilevel"/>
    <w:tmpl w:val="8D240A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E3F381D"/>
    <w:multiLevelType w:val="hybridMultilevel"/>
    <w:tmpl w:val="EAAA30E4"/>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6E26B4"/>
    <w:multiLevelType w:val="hybridMultilevel"/>
    <w:tmpl w:val="ADCCDBDE"/>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3" w15:restartNumberingAfterBreak="0">
    <w:nsid w:val="767D608C"/>
    <w:multiLevelType w:val="hybridMultilevel"/>
    <w:tmpl w:val="5A60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7448A9"/>
    <w:multiLevelType w:val="hybridMultilevel"/>
    <w:tmpl w:val="189EE658"/>
    <w:lvl w:ilvl="0" w:tplc="97FAC3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CF17936"/>
    <w:multiLevelType w:val="hybridMultilevel"/>
    <w:tmpl w:val="E056D148"/>
    <w:lvl w:ilvl="0" w:tplc="119015D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3"/>
  </w:num>
  <w:num w:numId="14">
    <w:abstractNumId w:val="20"/>
    <w:lvlOverride w:ilvl="0"/>
    <w:lvlOverride w:ilvl="1"/>
    <w:lvlOverride w:ilvl="2"/>
    <w:lvlOverride w:ilvl="3"/>
    <w:lvlOverride w:ilvl="4"/>
    <w:lvlOverride w:ilvl="5"/>
    <w:lvlOverride w:ilvl="6"/>
    <w:lvlOverride w:ilvl="7"/>
    <w:lvlOverride w:ilvl="8"/>
  </w:num>
  <w:num w:numId="15">
    <w:abstractNumId w:val="24"/>
    <w:lvlOverride w:ilvl="0"/>
    <w:lvlOverride w:ilvl="1"/>
    <w:lvlOverride w:ilvl="2"/>
    <w:lvlOverride w:ilvl="3"/>
    <w:lvlOverride w:ilvl="4"/>
    <w:lvlOverride w:ilvl="5"/>
    <w:lvlOverride w:ilvl="6"/>
    <w:lvlOverride w:ilvl="7"/>
    <w:lvlOverride w:ilvl="8"/>
  </w:num>
  <w:num w:numId="16">
    <w:abstractNumId w:val="23"/>
    <w:lvlOverride w:ilvl="0"/>
    <w:lvlOverride w:ilvl="1"/>
    <w:lvlOverride w:ilvl="2"/>
    <w:lvlOverride w:ilvl="3"/>
    <w:lvlOverride w:ilvl="4"/>
    <w:lvlOverride w:ilvl="5"/>
    <w:lvlOverride w:ilvl="6"/>
    <w:lvlOverride w:ilvl="7"/>
    <w:lvlOverride w:ilvl="8"/>
  </w:num>
  <w:num w:numId="17">
    <w:abstractNumId w:val="20"/>
  </w:num>
  <w:num w:numId="18">
    <w:abstractNumId w:val="24"/>
  </w:num>
  <w:num w:numId="19">
    <w:abstractNumId w:val="23"/>
  </w:num>
  <w:num w:numId="20">
    <w:abstractNumId w:val="31"/>
  </w:num>
  <w:num w:numId="21">
    <w:abstractNumId w:val="21"/>
  </w:num>
  <w:num w:numId="22">
    <w:abstractNumId w:val="13"/>
  </w:num>
  <w:num w:numId="23">
    <w:abstractNumId w:val="14"/>
  </w:num>
  <w:num w:numId="24">
    <w:abstractNumId w:val="12"/>
  </w:num>
  <w:num w:numId="25">
    <w:abstractNumId w:val="22"/>
  </w:num>
  <w:num w:numId="26">
    <w:abstractNumId w:val="10"/>
  </w:num>
  <w:num w:numId="27">
    <w:abstractNumId w:val="30"/>
  </w:num>
  <w:num w:numId="28">
    <w:abstractNumId w:val="26"/>
  </w:num>
  <w:num w:numId="29">
    <w:abstractNumId w:val="35"/>
  </w:num>
  <w:num w:numId="30">
    <w:abstractNumId w:val="18"/>
  </w:num>
  <w:num w:numId="31">
    <w:abstractNumId w:val="17"/>
  </w:num>
  <w:num w:numId="32">
    <w:abstractNumId w:val="25"/>
  </w:num>
  <w:num w:numId="33">
    <w:abstractNumId w:val="29"/>
  </w:num>
  <w:num w:numId="34">
    <w:abstractNumId w:val="32"/>
  </w:num>
  <w:num w:numId="35">
    <w:abstractNumId w:val="27"/>
  </w:num>
  <w:num w:numId="36">
    <w:abstractNumId w:val="15"/>
  </w:num>
  <w:num w:numId="37">
    <w:abstractNumId w:val="28"/>
  </w:num>
  <w:num w:numId="38">
    <w:abstractNumId w:val="19"/>
  </w:num>
  <w:num w:numId="39">
    <w:abstractNumId w:val="34"/>
  </w:num>
  <w:num w:numId="40">
    <w:abstractNumId w:val="15"/>
  </w:num>
  <w:num w:numId="41">
    <w:abstractNumId w:val="15"/>
    <w:lvlOverride w:ilvl="0">
      <w:startOverride w:val="1"/>
    </w:lvlOverride>
  </w:num>
  <w:num w:numId="42">
    <w:abstractNumId w:val="15"/>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NotTrackFormatting/>
  <w:documentProtection w:edit="trackedChanges" w:enforcement="0"/>
  <w:defaultTabStop w:val="851"/>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2FA"/>
    <w:rsid w:val="000014B9"/>
    <w:rsid w:val="00001CDB"/>
    <w:rsid w:val="00003ED5"/>
    <w:rsid w:val="00005DA8"/>
    <w:rsid w:val="0001027B"/>
    <w:rsid w:val="0001173A"/>
    <w:rsid w:val="00011B9A"/>
    <w:rsid w:val="000129C2"/>
    <w:rsid w:val="000133D9"/>
    <w:rsid w:val="00017DF6"/>
    <w:rsid w:val="0002189B"/>
    <w:rsid w:val="000232AF"/>
    <w:rsid w:val="0002553C"/>
    <w:rsid w:val="000275CB"/>
    <w:rsid w:val="0003397D"/>
    <w:rsid w:val="000345C4"/>
    <w:rsid w:val="00034712"/>
    <w:rsid w:val="0003595F"/>
    <w:rsid w:val="00035B15"/>
    <w:rsid w:val="00037D0A"/>
    <w:rsid w:val="00040D84"/>
    <w:rsid w:val="00044000"/>
    <w:rsid w:val="0004772E"/>
    <w:rsid w:val="0005629F"/>
    <w:rsid w:val="00056568"/>
    <w:rsid w:val="000566D3"/>
    <w:rsid w:val="00057316"/>
    <w:rsid w:val="00067977"/>
    <w:rsid w:val="0007095E"/>
    <w:rsid w:val="00070D15"/>
    <w:rsid w:val="00072F6C"/>
    <w:rsid w:val="00074164"/>
    <w:rsid w:val="00074C2A"/>
    <w:rsid w:val="00075C80"/>
    <w:rsid w:val="000816FB"/>
    <w:rsid w:val="00082A9E"/>
    <w:rsid w:val="00082CC0"/>
    <w:rsid w:val="00083056"/>
    <w:rsid w:val="000874D0"/>
    <w:rsid w:val="0009159C"/>
    <w:rsid w:val="00097992"/>
    <w:rsid w:val="00097B81"/>
    <w:rsid w:val="000A053D"/>
    <w:rsid w:val="000A062C"/>
    <w:rsid w:val="000A1DED"/>
    <w:rsid w:val="000A2509"/>
    <w:rsid w:val="000A2BEF"/>
    <w:rsid w:val="000A33F0"/>
    <w:rsid w:val="000A52A8"/>
    <w:rsid w:val="000B1E3B"/>
    <w:rsid w:val="000B78BF"/>
    <w:rsid w:val="000C025A"/>
    <w:rsid w:val="000C02A1"/>
    <w:rsid w:val="000C6476"/>
    <w:rsid w:val="000C647A"/>
    <w:rsid w:val="000D37B3"/>
    <w:rsid w:val="000D4926"/>
    <w:rsid w:val="000E050B"/>
    <w:rsid w:val="000E5B4E"/>
    <w:rsid w:val="000F074C"/>
    <w:rsid w:val="000F15D7"/>
    <w:rsid w:val="000F4E4D"/>
    <w:rsid w:val="00101997"/>
    <w:rsid w:val="00105340"/>
    <w:rsid w:val="00106FCF"/>
    <w:rsid w:val="00110A18"/>
    <w:rsid w:val="00111D0B"/>
    <w:rsid w:val="001125C8"/>
    <w:rsid w:val="001205B1"/>
    <w:rsid w:val="00122F9C"/>
    <w:rsid w:val="00125C69"/>
    <w:rsid w:val="00126733"/>
    <w:rsid w:val="00130024"/>
    <w:rsid w:val="0013649C"/>
    <w:rsid w:val="00136CA9"/>
    <w:rsid w:val="00141076"/>
    <w:rsid w:val="001410FC"/>
    <w:rsid w:val="00142522"/>
    <w:rsid w:val="00142B92"/>
    <w:rsid w:val="001464B0"/>
    <w:rsid w:val="0014757E"/>
    <w:rsid w:val="00150071"/>
    <w:rsid w:val="00152CB4"/>
    <w:rsid w:val="00153FA7"/>
    <w:rsid w:val="00156CD1"/>
    <w:rsid w:val="00161F13"/>
    <w:rsid w:val="00162D98"/>
    <w:rsid w:val="00166435"/>
    <w:rsid w:val="00166C7D"/>
    <w:rsid w:val="00171A4B"/>
    <w:rsid w:val="00172B29"/>
    <w:rsid w:val="00172B70"/>
    <w:rsid w:val="00174749"/>
    <w:rsid w:val="00174F2C"/>
    <w:rsid w:val="0017662C"/>
    <w:rsid w:val="00177551"/>
    <w:rsid w:val="00177705"/>
    <w:rsid w:val="00177A5D"/>
    <w:rsid w:val="001828C3"/>
    <w:rsid w:val="00183249"/>
    <w:rsid w:val="001846E4"/>
    <w:rsid w:val="00185734"/>
    <w:rsid w:val="001866BB"/>
    <w:rsid w:val="001900CC"/>
    <w:rsid w:val="001926F4"/>
    <w:rsid w:val="001935DA"/>
    <w:rsid w:val="00196A38"/>
    <w:rsid w:val="001972D2"/>
    <w:rsid w:val="001A26CC"/>
    <w:rsid w:val="001A7335"/>
    <w:rsid w:val="001A743A"/>
    <w:rsid w:val="001B5097"/>
    <w:rsid w:val="001B7E96"/>
    <w:rsid w:val="001C3195"/>
    <w:rsid w:val="001C40CE"/>
    <w:rsid w:val="001C5075"/>
    <w:rsid w:val="001C71F4"/>
    <w:rsid w:val="001D0EC2"/>
    <w:rsid w:val="001D3613"/>
    <w:rsid w:val="001D3DB1"/>
    <w:rsid w:val="001D5107"/>
    <w:rsid w:val="001D55E5"/>
    <w:rsid w:val="001D613F"/>
    <w:rsid w:val="001D7B7D"/>
    <w:rsid w:val="001E1369"/>
    <w:rsid w:val="001E1684"/>
    <w:rsid w:val="001E25D7"/>
    <w:rsid w:val="001E2C12"/>
    <w:rsid w:val="001E3D55"/>
    <w:rsid w:val="001E56F1"/>
    <w:rsid w:val="001E58E8"/>
    <w:rsid w:val="001F0B66"/>
    <w:rsid w:val="001F1185"/>
    <w:rsid w:val="001F1636"/>
    <w:rsid w:val="001F2883"/>
    <w:rsid w:val="00202D60"/>
    <w:rsid w:val="002112BB"/>
    <w:rsid w:val="00211FEF"/>
    <w:rsid w:val="00213CA2"/>
    <w:rsid w:val="00215EE9"/>
    <w:rsid w:val="00221AB4"/>
    <w:rsid w:val="002238F5"/>
    <w:rsid w:val="00223FC8"/>
    <w:rsid w:val="002241DE"/>
    <w:rsid w:val="00224D69"/>
    <w:rsid w:val="00225ABF"/>
    <w:rsid w:val="0023106F"/>
    <w:rsid w:val="00233961"/>
    <w:rsid w:val="00233BDD"/>
    <w:rsid w:val="00234949"/>
    <w:rsid w:val="002350C3"/>
    <w:rsid w:val="002359BA"/>
    <w:rsid w:val="00235CCD"/>
    <w:rsid w:val="002369A3"/>
    <w:rsid w:val="0024412C"/>
    <w:rsid w:val="002443D1"/>
    <w:rsid w:val="00245D85"/>
    <w:rsid w:val="00247016"/>
    <w:rsid w:val="00250DD2"/>
    <w:rsid w:val="00253A7B"/>
    <w:rsid w:val="00260DE4"/>
    <w:rsid w:val="00261202"/>
    <w:rsid w:val="00263166"/>
    <w:rsid w:val="00273167"/>
    <w:rsid w:val="00273908"/>
    <w:rsid w:val="00274B35"/>
    <w:rsid w:val="00275668"/>
    <w:rsid w:val="00277B33"/>
    <w:rsid w:val="002819F1"/>
    <w:rsid w:val="00283686"/>
    <w:rsid w:val="002862E9"/>
    <w:rsid w:val="002872CD"/>
    <w:rsid w:val="00291B03"/>
    <w:rsid w:val="00291D00"/>
    <w:rsid w:val="00292145"/>
    <w:rsid w:val="00292D1C"/>
    <w:rsid w:val="0029315A"/>
    <w:rsid w:val="002A1F33"/>
    <w:rsid w:val="002A21AA"/>
    <w:rsid w:val="002A3FE0"/>
    <w:rsid w:val="002A5097"/>
    <w:rsid w:val="002A70C3"/>
    <w:rsid w:val="002B3E32"/>
    <w:rsid w:val="002B59C9"/>
    <w:rsid w:val="002C1B80"/>
    <w:rsid w:val="002C2A96"/>
    <w:rsid w:val="002C39E3"/>
    <w:rsid w:val="002C39E6"/>
    <w:rsid w:val="002C5504"/>
    <w:rsid w:val="002D0CBF"/>
    <w:rsid w:val="002D1E26"/>
    <w:rsid w:val="002D48C8"/>
    <w:rsid w:val="002D6F48"/>
    <w:rsid w:val="002E3D4D"/>
    <w:rsid w:val="002E4473"/>
    <w:rsid w:val="002E51AA"/>
    <w:rsid w:val="002E6941"/>
    <w:rsid w:val="002F3689"/>
    <w:rsid w:val="002F4518"/>
    <w:rsid w:val="00300362"/>
    <w:rsid w:val="0030268B"/>
    <w:rsid w:val="00303417"/>
    <w:rsid w:val="00306485"/>
    <w:rsid w:val="00307F12"/>
    <w:rsid w:val="00312889"/>
    <w:rsid w:val="00312E4A"/>
    <w:rsid w:val="00312EFE"/>
    <w:rsid w:val="00315506"/>
    <w:rsid w:val="00322010"/>
    <w:rsid w:val="00322BC8"/>
    <w:rsid w:val="00323118"/>
    <w:rsid w:val="003241DC"/>
    <w:rsid w:val="00324AD4"/>
    <w:rsid w:val="00324B39"/>
    <w:rsid w:val="00324C6D"/>
    <w:rsid w:val="00325470"/>
    <w:rsid w:val="003275C1"/>
    <w:rsid w:val="00330B44"/>
    <w:rsid w:val="00332390"/>
    <w:rsid w:val="00334AE5"/>
    <w:rsid w:val="00340B4F"/>
    <w:rsid w:val="0034282B"/>
    <w:rsid w:val="00345D04"/>
    <w:rsid w:val="00346275"/>
    <w:rsid w:val="00347151"/>
    <w:rsid w:val="003509EF"/>
    <w:rsid w:val="003528F3"/>
    <w:rsid w:val="003531C2"/>
    <w:rsid w:val="00353CEC"/>
    <w:rsid w:val="0035515B"/>
    <w:rsid w:val="00355207"/>
    <w:rsid w:val="00356D3E"/>
    <w:rsid w:val="00357761"/>
    <w:rsid w:val="0036316B"/>
    <w:rsid w:val="00365052"/>
    <w:rsid w:val="00367A12"/>
    <w:rsid w:val="00371FCE"/>
    <w:rsid w:val="0037325F"/>
    <w:rsid w:val="0037703C"/>
    <w:rsid w:val="00380512"/>
    <w:rsid w:val="00382C5E"/>
    <w:rsid w:val="00385D4A"/>
    <w:rsid w:val="00391B34"/>
    <w:rsid w:val="00391FE6"/>
    <w:rsid w:val="0039494C"/>
    <w:rsid w:val="00395BDE"/>
    <w:rsid w:val="003A37BB"/>
    <w:rsid w:val="003A3A3C"/>
    <w:rsid w:val="003A4E6A"/>
    <w:rsid w:val="003A5C77"/>
    <w:rsid w:val="003B1202"/>
    <w:rsid w:val="003B6723"/>
    <w:rsid w:val="003B75D2"/>
    <w:rsid w:val="003C1E20"/>
    <w:rsid w:val="003C4B79"/>
    <w:rsid w:val="003D2131"/>
    <w:rsid w:val="003D2A6A"/>
    <w:rsid w:val="003D34D6"/>
    <w:rsid w:val="003D3501"/>
    <w:rsid w:val="003D608F"/>
    <w:rsid w:val="003D668C"/>
    <w:rsid w:val="003D7901"/>
    <w:rsid w:val="003E1D00"/>
    <w:rsid w:val="003E33C6"/>
    <w:rsid w:val="003E36EB"/>
    <w:rsid w:val="003E4CFB"/>
    <w:rsid w:val="003F3578"/>
    <w:rsid w:val="003F3664"/>
    <w:rsid w:val="00400822"/>
    <w:rsid w:val="004008CF"/>
    <w:rsid w:val="00405619"/>
    <w:rsid w:val="00407172"/>
    <w:rsid w:val="004078FD"/>
    <w:rsid w:val="00410379"/>
    <w:rsid w:val="00410EEB"/>
    <w:rsid w:val="00414D0E"/>
    <w:rsid w:val="0041597A"/>
    <w:rsid w:val="00417430"/>
    <w:rsid w:val="004174D2"/>
    <w:rsid w:val="00424888"/>
    <w:rsid w:val="00424ADE"/>
    <w:rsid w:val="00424DF7"/>
    <w:rsid w:val="0042653E"/>
    <w:rsid w:val="0042666D"/>
    <w:rsid w:val="00427CAC"/>
    <w:rsid w:val="00427E80"/>
    <w:rsid w:val="00430EEC"/>
    <w:rsid w:val="00431D61"/>
    <w:rsid w:val="004320AB"/>
    <w:rsid w:val="004342C1"/>
    <w:rsid w:val="00434570"/>
    <w:rsid w:val="00443A2F"/>
    <w:rsid w:val="00447CE2"/>
    <w:rsid w:val="0046079B"/>
    <w:rsid w:val="00461512"/>
    <w:rsid w:val="00461DA9"/>
    <w:rsid w:val="00466362"/>
    <w:rsid w:val="00470DCD"/>
    <w:rsid w:val="0047122A"/>
    <w:rsid w:val="00471484"/>
    <w:rsid w:val="004718B3"/>
    <w:rsid w:val="0047317B"/>
    <w:rsid w:val="004753AC"/>
    <w:rsid w:val="0047593F"/>
    <w:rsid w:val="00477E0B"/>
    <w:rsid w:val="00480AA6"/>
    <w:rsid w:val="00480C80"/>
    <w:rsid w:val="00481AA8"/>
    <w:rsid w:val="00485519"/>
    <w:rsid w:val="004855EF"/>
    <w:rsid w:val="004869F6"/>
    <w:rsid w:val="00487C20"/>
    <w:rsid w:val="00487FE6"/>
    <w:rsid w:val="00490671"/>
    <w:rsid w:val="004A112A"/>
    <w:rsid w:val="004A3D07"/>
    <w:rsid w:val="004A5C26"/>
    <w:rsid w:val="004A740D"/>
    <w:rsid w:val="004B0045"/>
    <w:rsid w:val="004B2894"/>
    <w:rsid w:val="004B3B2D"/>
    <w:rsid w:val="004D2C42"/>
    <w:rsid w:val="004D2D5B"/>
    <w:rsid w:val="004D617A"/>
    <w:rsid w:val="004D6FAE"/>
    <w:rsid w:val="004E0F97"/>
    <w:rsid w:val="004E20D8"/>
    <w:rsid w:val="004E2F39"/>
    <w:rsid w:val="004E3974"/>
    <w:rsid w:val="004E512E"/>
    <w:rsid w:val="004F1243"/>
    <w:rsid w:val="004F19B7"/>
    <w:rsid w:val="004F5AB9"/>
    <w:rsid w:val="004F6371"/>
    <w:rsid w:val="004F6AEF"/>
    <w:rsid w:val="005026DA"/>
    <w:rsid w:val="005058AC"/>
    <w:rsid w:val="00514A06"/>
    <w:rsid w:val="005170EA"/>
    <w:rsid w:val="005236A9"/>
    <w:rsid w:val="00527F07"/>
    <w:rsid w:val="005303A9"/>
    <w:rsid w:val="0053535D"/>
    <w:rsid w:val="0053536E"/>
    <w:rsid w:val="005370F4"/>
    <w:rsid w:val="00537774"/>
    <w:rsid w:val="00537A50"/>
    <w:rsid w:val="0054394A"/>
    <w:rsid w:val="005458CC"/>
    <w:rsid w:val="00545DC5"/>
    <w:rsid w:val="00552082"/>
    <w:rsid w:val="00552808"/>
    <w:rsid w:val="00555C71"/>
    <w:rsid w:val="005570C5"/>
    <w:rsid w:val="00561602"/>
    <w:rsid w:val="005621E7"/>
    <w:rsid w:val="00564235"/>
    <w:rsid w:val="005667B7"/>
    <w:rsid w:val="0056698D"/>
    <w:rsid w:val="0056745F"/>
    <w:rsid w:val="005702CE"/>
    <w:rsid w:val="00572385"/>
    <w:rsid w:val="005742BE"/>
    <w:rsid w:val="00574B24"/>
    <w:rsid w:val="00574EFA"/>
    <w:rsid w:val="00576E64"/>
    <w:rsid w:val="005809B7"/>
    <w:rsid w:val="00580EC7"/>
    <w:rsid w:val="00580F07"/>
    <w:rsid w:val="00581424"/>
    <w:rsid w:val="00581EC6"/>
    <w:rsid w:val="0059181F"/>
    <w:rsid w:val="00591CB4"/>
    <w:rsid w:val="005959FF"/>
    <w:rsid w:val="005A0FC5"/>
    <w:rsid w:val="005A1728"/>
    <w:rsid w:val="005A1ABC"/>
    <w:rsid w:val="005A25FD"/>
    <w:rsid w:val="005A5884"/>
    <w:rsid w:val="005A6BBB"/>
    <w:rsid w:val="005B06EF"/>
    <w:rsid w:val="005B3A2F"/>
    <w:rsid w:val="005B6389"/>
    <w:rsid w:val="005B68F5"/>
    <w:rsid w:val="005B7431"/>
    <w:rsid w:val="005C7CD9"/>
    <w:rsid w:val="005D142B"/>
    <w:rsid w:val="005D572D"/>
    <w:rsid w:val="005E7BED"/>
    <w:rsid w:val="005F0123"/>
    <w:rsid w:val="005F156B"/>
    <w:rsid w:val="005F1DD6"/>
    <w:rsid w:val="005F2735"/>
    <w:rsid w:val="005F2BB0"/>
    <w:rsid w:val="005F3BE6"/>
    <w:rsid w:val="005F4095"/>
    <w:rsid w:val="00600DFA"/>
    <w:rsid w:val="00601312"/>
    <w:rsid w:val="00602AC8"/>
    <w:rsid w:val="00604825"/>
    <w:rsid w:val="00604C3E"/>
    <w:rsid w:val="00610032"/>
    <w:rsid w:val="00611EC0"/>
    <w:rsid w:val="006151A2"/>
    <w:rsid w:val="00615C01"/>
    <w:rsid w:val="006207FC"/>
    <w:rsid w:val="00622B87"/>
    <w:rsid w:val="00630460"/>
    <w:rsid w:val="006319FE"/>
    <w:rsid w:val="0063223B"/>
    <w:rsid w:val="0063382E"/>
    <w:rsid w:val="006355B2"/>
    <w:rsid w:val="006369F2"/>
    <w:rsid w:val="00642327"/>
    <w:rsid w:val="00643A80"/>
    <w:rsid w:val="00645A38"/>
    <w:rsid w:val="00656787"/>
    <w:rsid w:val="00656F4F"/>
    <w:rsid w:val="006571FF"/>
    <w:rsid w:val="00662817"/>
    <w:rsid w:val="0066292C"/>
    <w:rsid w:val="00664085"/>
    <w:rsid w:val="006706B6"/>
    <w:rsid w:val="00674662"/>
    <w:rsid w:val="00676954"/>
    <w:rsid w:val="00677539"/>
    <w:rsid w:val="006811BD"/>
    <w:rsid w:val="00681549"/>
    <w:rsid w:val="006816D3"/>
    <w:rsid w:val="006829ED"/>
    <w:rsid w:val="00685980"/>
    <w:rsid w:val="0068789E"/>
    <w:rsid w:val="00691091"/>
    <w:rsid w:val="00693748"/>
    <w:rsid w:val="006938DD"/>
    <w:rsid w:val="00693949"/>
    <w:rsid w:val="006976FC"/>
    <w:rsid w:val="006A0570"/>
    <w:rsid w:val="006A232E"/>
    <w:rsid w:val="006A2A0E"/>
    <w:rsid w:val="006A7706"/>
    <w:rsid w:val="006B4152"/>
    <w:rsid w:val="006B612D"/>
    <w:rsid w:val="006B6A45"/>
    <w:rsid w:val="006C0A7F"/>
    <w:rsid w:val="006C13D6"/>
    <w:rsid w:val="006C5814"/>
    <w:rsid w:val="006C5AE0"/>
    <w:rsid w:val="006C6D09"/>
    <w:rsid w:val="006D2E45"/>
    <w:rsid w:val="006D3434"/>
    <w:rsid w:val="006D592F"/>
    <w:rsid w:val="006D6C64"/>
    <w:rsid w:val="006E1A99"/>
    <w:rsid w:val="006E471A"/>
    <w:rsid w:val="006E4B9B"/>
    <w:rsid w:val="006E5644"/>
    <w:rsid w:val="006E6DEE"/>
    <w:rsid w:val="006E7862"/>
    <w:rsid w:val="006F2B68"/>
    <w:rsid w:val="006F4CEF"/>
    <w:rsid w:val="006F576F"/>
    <w:rsid w:val="006F7330"/>
    <w:rsid w:val="00700755"/>
    <w:rsid w:val="007076B3"/>
    <w:rsid w:val="007121E6"/>
    <w:rsid w:val="00712ED1"/>
    <w:rsid w:val="00714420"/>
    <w:rsid w:val="007167ED"/>
    <w:rsid w:val="007211E4"/>
    <w:rsid w:val="0072488E"/>
    <w:rsid w:val="007311B4"/>
    <w:rsid w:val="0073172E"/>
    <w:rsid w:val="00732222"/>
    <w:rsid w:val="00732430"/>
    <w:rsid w:val="007356F7"/>
    <w:rsid w:val="00736B76"/>
    <w:rsid w:val="0075208A"/>
    <w:rsid w:val="00755256"/>
    <w:rsid w:val="00757110"/>
    <w:rsid w:val="007572E8"/>
    <w:rsid w:val="00760C81"/>
    <w:rsid w:val="007611E0"/>
    <w:rsid w:val="007617FA"/>
    <w:rsid w:val="00761A52"/>
    <w:rsid w:val="00761F90"/>
    <w:rsid w:val="0076370A"/>
    <w:rsid w:val="00766BBB"/>
    <w:rsid w:val="00766E98"/>
    <w:rsid w:val="00767182"/>
    <w:rsid w:val="00767CF7"/>
    <w:rsid w:val="00770A23"/>
    <w:rsid w:val="00771586"/>
    <w:rsid w:val="0077176E"/>
    <w:rsid w:val="00774C2F"/>
    <w:rsid w:val="0077507C"/>
    <w:rsid w:val="007767FE"/>
    <w:rsid w:val="007773D9"/>
    <w:rsid w:val="00781C9E"/>
    <w:rsid w:val="00782255"/>
    <w:rsid w:val="00787202"/>
    <w:rsid w:val="007872E4"/>
    <w:rsid w:val="007960B1"/>
    <w:rsid w:val="007A0585"/>
    <w:rsid w:val="007A3597"/>
    <w:rsid w:val="007A68E9"/>
    <w:rsid w:val="007B4E75"/>
    <w:rsid w:val="007C0608"/>
    <w:rsid w:val="007C1EE8"/>
    <w:rsid w:val="007C6124"/>
    <w:rsid w:val="007D1B39"/>
    <w:rsid w:val="007D2EF6"/>
    <w:rsid w:val="007D68DC"/>
    <w:rsid w:val="007D6E9D"/>
    <w:rsid w:val="007E1109"/>
    <w:rsid w:val="007E1923"/>
    <w:rsid w:val="007E30C9"/>
    <w:rsid w:val="007E5C8A"/>
    <w:rsid w:val="007E6CA4"/>
    <w:rsid w:val="007E6EFE"/>
    <w:rsid w:val="007F0E2D"/>
    <w:rsid w:val="007F2702"/>
    <w:rsid w:val="0080323D"/>
    <w:rsid w:val="00805995"/>
    <w:rsid w:val="00807094"/>
    <w:rsid w:val="00810C46"/>
    <w:rsid w:val="00810DE3"/>
    <w:rsid w:val="00811134"/>
    <w:rsid w:val="00812BDB"/>
    <w:rsid w:val="00814C8B"/>
    <w:rsid w:val="00821BB2"/>
    <w:rsid w:val="008349B1"/>
    <w:rsid w:val="008351A4"/>
    <w:rsid w:val="008356C4"/>
    <w:rsid w:val="008360E4"/>
    <w:rsid w:val="00837399"/>
    <w:rsid w:val="00846DD5"/>
    <w:rsid w:val="00847F75"/>
    <w:rsid w:val="00852E50"/>
    <w:rsid w:val="00853E89"/>
    <w:rsid w:val="0085659F"/>
    <w:rsid w:val="008565ED"/>
    <w:rsid w:val="00856C03"/>
    <w:rsid w:val="00857255"/>
    <w:rsid w:val="00862195"/>
    <w:rsid w:val="0086448D"/>
    <w:rsid w:val="00864FC0"/>
    <w:rsid w:val="00866B5F"/>
    <w:rsid w:val="008708AC"/>
    <w:rsid w:val="00871421"/>
    <w:rsid w:val="0087737E"/>
    <w:rsid w:val="00883B69"/>
    <w:rsid w:val="00884918"/>
    <w:rsid w:val="0088761E"/>
    <w:rsid w:val="00890F3F"/>
    <w:rsid w:val="008A3AAF"/>
    <w:rsid w:val="008A46DA"/>
    <w:rsid w:val="008A5A48"/>
    <w:rsid w:val="008A6434"/>
    <w:rsid w:val="008A6E7A"/>
    <w:rsid w:val="008B0C91"/>
    <w:rsid w:val="008B1EF8"/>
    <w:rsid w:val="008B5853"/>
    <w:rsid w:val="008C0918"/>
    <w:rsid w:val="008C3050"/>
    <w:rsid w:val="008C3FE3"/>
    <w:rsid w:val="008C57CF"/>
    <w:rsid w:val="008C5CC0"/>
    <w:rsid w:val="008C7F97"/>
    <w:rsid w:val="008D241C"/>
    <w:rsid w:val="008D6C39"/>
    <w:rsid w:val="008E03D4"/>
    <w:rsid w:val="008E1EDF"/>
    <w:rsid w:val="008E55D9"/>
    <w:rsid w:val="008F1377"/>
    <w:rsid w:val="008F52C6"/>
    <w:rsid w:val="008F5FCA"/>
    <w:rsid w:val="008F70AB"/>
    <w:rsid w:val="00902B91"/>
    <w:rsid w:val="00910B91"/>
    <w:rsid w:val="009112DD"/>
    <w:rsid w:val="0091253C"/>
    <w:rsid w:val="00916088"/>
    <w:rsid w:val="00916F34"/>
    <w:rsid w:val="00917763"/>
    <w:rsid w:val="009205CD"/>
    <w:rsid w:val="009247C5"/>
    <w:rsid w:val="00926054"/>
    <w:rsid w:val="00930782"/>
    <w:rsid w:val="009312FA"/>
    <w:rsid w:val="00931683"/>
    <w:rsid w:val="00935539"/>
    <w:rsid w:val="0093589C"/>
    <w:rsid w:val="00936B78"/>
    <w:rsid w:val="00937266"/>
    <w:rsid w:val="00937279"/>
    <w:rsid w:val="009373F6"/>
    <w:rsid w:val="0094052A"/>
    <w:rsid w:val="009420E9"/>
    <w:rsid w:val="00944DCE"/>
    <w:rsid w:val="00944F4A"/>
    <w:rsid w:val="00947A2C"/>
    <w:rsid w:val="009546BA"/>
    <w:rsid w:val="0095503F"/>
    <w:rsid w:val="009602C7"/>
    <w:rsid w:val="00961E71"/>
    <w:rsid w:val="00961FDA"/>
    <w:rsid w:val="009638E6"/>
    <w:rsid w:val="009659C8"/>
    <w:rsid w:val="009723DF"/>
    <w:rsid w:val="009731EE"/>
    <w:rsid w:val="00975302"/>
    <w:rsid w:val="0097573B"/>
    <w:rsid w:val="00976FF4"/>
    <w:rsid w:val="00984413"/>
    <w:rsid w:val="009844A4"/>
    <w:rsid w:val="00990D68"/>
    <w:rsid w:val="00992117"/>
    <w:rsid w:val="009935C9"/>
    <w:rsid w:val="00995182"/>
    <w:rsid w:val="00995669"/>
    <w:rsid w:val="009962B1"/>
    <w:rsid w:val="00996C0E"/>
    <w:rsid w:val="009A0D4A"/>
    <w:rsid w:val="009A1CC1"/>
    <w:rsid w:val="009A2052"/>
    <w:rsid w:val="009A378F"/>
    <w:rsid w:val="009A3F6D"/>
    <w:rsid w:val="009A4226"/>
    <w:rsid w:val="009A5925"/>
    <w:rsid w:val="009B4548"/>
    <w:rsid w:val="009B4C28"/>
    <w:rsid w:val="009B4F43"/>
    <w:rsid w:val="009B6155"/>
    <w:rsid w:val="009B6387"/>
    <w:rsid w:val="009B6A33"/>
    <w:rsid w:val="009B6F0A"/>
    <w:rsid w:val="009C0245"/>
    <w:rsid w:val="009C1D2D"/>
    <w:rsid w:val="009C2FF1"/>
    <w:rsid w:val="009C59B9"/>
    <w:rsid w:val="009C6E53"/>
    <w:rsid w:val="009D247F"/>
    <w:rsid w:val="009D250D"/>
    <w:rsid w:val="009D29E8"/>
    <w:rsid w:val="009D744B"/>
    <w:rsid w:val="009D7830"/>
    <w:rsid w:val="009D7C90"/>
    <w:rsid w:val="009E1F1F"/>
    <w:rsid w:val="009E2334"/>
    <w:rsid w:val="009E3840"/>
    <w:rsid w:val="009E485B"/>
    <w:rsid w:val="009E731D"/>
    <w:rsid w:val="00A02714"/>
    <w:rsid w:val="00A11287"/>
    <w:rsid w:val="00A24CF1"/>
    <w:rsid w:val="00A33466"/>
    <w:rsid w:val="00A358A6"/>
    <w:rsid w:val="00A47815"/>
    <w:rsid w:val="00A51075"/>
    <w:rsid w:val="00A533E8"/>
    <w:rsid w:val="00A5341B"/>
    <w:rsid w:val="00A53B63"/>
    <w:rsid w:val="00A567FA"/>
    <w:rsid w:val="00A57EF4"/>
    <w:rsid w:val="00A6581D"/>
    <w:rsid w:val="00A717C4"/>
    <w:rsid w:val="00A71B7A"/>
    <w:rsid w:val="00A74841"/>
    <w:rsid w:val="00A75306"/>
    <w:rsid w:val="00A822C1"/>
    <w:rsid w:val="00A863AD"/>
    <w:rsid w:val="00A906ED"/>
    <w:rsid w:val="00A90C14"/>
    <w:rsid w:val="00A94E4A"/>
    <w:rsid w:val="00A96E09"/>
    <w:rsid w:val="00A973F0"/>
    <w:rsid w:val="00AA0547"/>
    <w:rsid w:val="00AA3EBA"/>
    <w:rsid w:val="00AA4777"/>
    <w:rsid w:val="00AB4934"/>
    <w:rsid w:val="00AB5928"/>
    <w:rsid w:val="00AB6618"/>
    <w:rsid w:val="00AB7DD2"/>
    <w:rsid w:val="00AC16F1"/>
    <w:rsid w:val="00AC2194"/>
    <w:rsid w:val="00AC44D4"/>
    <w:rsid w:val="00AC6366"/>
    <w:rsid w:val="00AC67A9"/>
    <w:rsid w:val="00AD223D"/>
    <w:rsid w:val="00AD23A4"/>
    <w:rsid w:val="00AD32EE"/>
    <w:rsid w:val="00AD34C2"/>
    <w:rsid w:val="00AD58B5"/>
    <w:rsid w:val="00AD7408"/>
    <w:rsid w:val="00AE144F"/>
    <w:rsid w:val="00AE6212"/>
    <w:rsid w:val="00AE701A"/>
    <w:rsid w:val="00AE76BE"/>
    <w:rsid w:val="00AE7847"/>
    <w:rsid w:val="00AF0FB2"/>
    <w:rsid w:val="00AF3BFC"/>
    <w:rsid w:val="00AF5679"/>
    <w:rsid w:val="00AF5CA1"/>
    <w:rsid w:val="00AF5D34"/>
    <w:rsid w:val="00AF61A2"/>
    <w:rsid w:val="00B0181A"/>
    <w:rsid w:val="00B01D08"/>
    <w:rsid w:val="00B06076"/>
    <w:rsid w:val="00B064F0"/>
    <w:rsid w:val="00B10372"/>
    <w:rsid w:val="00B10B71"/>
    <w:rsid w:val="00B114C2"/>
    <w:rsid w:val="00B11ED6"/>
    <w:rsid w:val="00B1470D"/>
    <w:rsid w:val="00B14C2D"/>
    <w:rsid w:val="00B22385"/>
    <w:rsid w:val="00B2343B"/>
    <w:rsid w:val="00B24D9B"/>
    <w:rsid w:val="00B269EB"/>
    <w:rsid w:val="00B3275F"/>
    <w:rsid w:val="00B328F9"/>
    <w:rsid w:val="00B33E05"/>
    <w:rsid w:val="00B3683C"/>
    <w:rsid w:val="00B36EB2"/>
    <w:rsid w:val="00B40D13"/>
    <w:rsid w:val="00B43E50"/>
    <w:rsid w:val="00B4484B"/>
    <w:rsid w:val="00B467AD"/>
    <w:rsid w:val="00B476C2"/>
    <w:rsid w:val="00B5098E"/>
    <w:rsid w:val="00B50C4A"/>
    <w:rsid w:val="00B56D98"/>
    <w:rsid w:val="00B57D5B"/>
    <w:rsid w:val="00B61A39"/>
    <w:rsid w:val="00B62784"/>
    <w:rsid w:val="00B631CF"/>
    <w:rsid w:val="00B66665"/>
    <w:rsid w:val="00B67571"/>
    <w:rsid w:val="00B70F42"/>
    <w:rsid w:val="00B7597B"/>
    <w:rsid w:val="00B81FB0"/>
    <w:rsid w:val="00B84A2B"/>
    <w:rsid w:val="00B87A9F"/>
    <w:rsid w:val="00B9004E"/>
    <w:rsid w:val="00B95DE5"/>
    <w:rsid w:val="00BA0940"/>
    <w:rsid w:val="00BA3CB7"/>
    <w:rsid w:val="00BA6BCD"/>
    <w:rsid w:val="00BB07DD"/>
    <w:rsid w:val="00BB2688"/>
    <w:rsid w:val="00BB39A9"/>
    <w:rsid w:val="00BB53D8"/>
    <w:rsid w:val="00BB57BC"/>
    <w:rsid w:val="00BB7018"/>
    <w:rsid w:val="00BB7FD8"/>
    <w:rsid w:val="00BC018E"/>
    <w:rsid w:val="00BC17FA"/>
    <w:rsid w:val="00BC2B3F"/>
    <w:rsid w:val="00BC5FFD"/>
    <w:rsid w:val="00BC6C62"/>
    <w:rsid w:val="00BD0E75"/>
    <w:rsid w:val="00BD13DB"/>
    <w:rsid w:val="00BD1CE8"/>
    <w:rsid w:val="00BD34AD"/>
    <w:rsid w:val="00BE345D"/>
    <w:rsid w:val="00BE688C"/>
    <w:rsid w:val="00BE7E84"/>
    <w:rsid w:val="00BF097C"/>
    <w:rsid w:val="00BF0EF7"/>
    <w:rsid w:val="00BF2152"/>
    <w:rsid w:val="00BF42A7"/>
    <w:rsid w:val="00C0092A"/>
    <w:rsid w:val="00C0165E"/>
    <w:rsid w:val="00C033B9"/>
    <w:rsid w:val="00C05154"/>
    <w:rsid w:val="00C05D7C"/>
    <w:rsid w:val="00C1253E"/>
    <w:rsid w:val="00C12FDC"/>
    <w:rsid w:val="00C13EBE"/>
    <w:rsid w:val="00C152C6"/>
    <w:rsid w:val="00C1563F"/>
    <w:rsid w:val="00C158F8"/>
    <w:rsid w:val="00C212A1"/>
    <w:rsid w:val="00C21AD5"/>
    <w:rsid w:val="00C21B30"/>
    <w:rsid w:val="00C226A9"/>
    <w:rsid w:val="00C22845"/>
    <w:rsid w:val="00C2332B"/>
    <w:rsid w:val="00C25EA6"/>
    <w:rsid w:val="00C30366"/>
    <w:rsid w:val="00C34A83"/>
    <w:rsid w:val="00C364F8"/>
    <w:rsid w:val="00C36FE8"/>
    <w:rsid w:val="00C424CC"/>
    <w:rsid w:val="00C46A0B"/>
    <w:rsid w:val="00C51916"/>
    <w:rsid w:val="00C540FA"/>
    <w:rsid w:val="00C54D7A"/>
    <w:rsid w:val="00C558E1"/>
    <w:rsid w:val="00C56195"/>
    <w:rsid w:val="00C56B90"/>
    <w:rsid w:val="00C56D2E"/>
    <w:rsid w:val="00C615F8"/>
    <w:rsid w:val="00C61907"/>
    <w:rsid w:val="00C628B4"/>
    <w:rsid w:val="00C637CB"/>
    <w:rsid w:val="00C64517"/>
    <w:rsid w:val="00C64EA5"/>
    <w:rsid w:val="00C66B3A"/>
    <w:rsid w:val="00C67035"/>
    <w:rsid w:val="00C674A8"/>
    <w:rsid w:val="00C7248B"/>
    <w:rsid w:val="00C74374"/>
    <w:rsid w:val="00C84AEB"/>
    <w:rsid w:val="00C853D1"/>
    <w:rsid w:val="00C85803"/>
    <w:rsid w:val="00C9158B"/>
    <w:rsid w:val="00C919A0"/>
    <w:rsid w:val="00C91FEA"/>
    <w:rsid w:val="00C9377D"/>
    <w:rsid w:val="00C93EA3"/>
    <w:rsid w:val="00C946EB"/>
    <w:rsid w:val="00C97CE6"/>
    <w:rsid w:val="00CA3E19"/>
    <w:rsid w:val="00CA645E"/>
    <w:rsid w:val="00CB0DFE"/>
    <w:rsid w:val="00CB2644"/>
    <w:rsid w:val="00CB2FD8"/>
    <w:rsid w:val="00CB3152"/>
    <w:rsid w:val="00CB653B"/>
    <w:rsid w:val="00CB7365"/>
    <w:rsid w:val="00CC0501"/>
    <w:rsid w:val="00CC2D9E"/>
    <w:rsid w:val="00CC59E9"/>
    <w:rsid w:val="00CD1C2D"/>
    <w:rsid w:val="00CD2444"/>
    <w:rsid w:val="00CD24A3"/>
    <w:rsid w:val="00CD2608"/>
    <w:rsid w:val="00CD649D"/>
    <w:rsid w:val="00CD7288"/>
    <w:rsid w:val="00CE0B58"/>
    <w:rsid w:val="00CE0BAB"/>
    <w:rsid w:val="00CE34E2"/>
    <w:rsid w:val="00CE4A2F"/>
    <w:rsid w:val="00CE6E8A"/>
    <w:rsid w:val="00CF096E"/>
    <w:rsid w:val="00CF210E"/>
    <w:rsid w:val="00CF26F5"/>
    <w:rsid w:val="00CF5C5E"/>
    <w:rsid w:val="00CF6A91"/>
    <w:rsid w:val="00D034FC"/>
    <w:rsid w:val="00D053D7"/>
    <w:rsid w:val="00D0763C"/>
    <w:rsid w:val="00D11F5B"/>
    <w:rsid w:val="00D12C50"/>
    <w:rsid w:val="00D12D59"/>
    <w:rsid w:val="00D23F86"/>
    <w:rsid w:val="00D27E2D"/>
    <w:rsid w:val="00D31DE2"/>
    <w:rsid w:val="00D326E7"/>
    <w:rsid w:val="00D3387A"/>
    <w:rsid w:val="00D34DF5"/>
    <w:rsid w:val="00D3773A"/>
    <w:rsid w:val="00D40365"/>
    <w:rsid w:val="00D42074"/>
    <w:rsid w:val="00D432E7"/>
    <w:rsid w:val="00D50104"/>
    <w:rsid w:val="00D502DD"/>
    <w:rsid w:val="00D51EE2"/>
    <w:rsid w:val="00D64C88"/>
    <w:rsid w:val="00D656A7"/>
    <w:rsid w:val="00D67E63"/>
    <w:rsid w:val="00D76BE7"/>
    <w:rsid w:val="00D81A2E"/>
    <w:rsid w:val="00D826F2"/>
    <w:rsid w:val="00D9165A"/>
    <w:rsid w:val="00D916AB"/>
    <w:rsid w:val="00D92694"/>
    <w:rsid w:val="00D932E6"/>
    <w:rsid w:val="00D93856"/>
    <w:rsid w:val="00D93CC3"/>
    <w:rsid w:val="00D96AB6"/>
    <w:rsid w:val="00D96C39"/>
    <w:rsid w:val="00D9768F"/>
    <w:rsid w:val="00DA0B6B"/>
    <w:rsid w:val="00DA4297"/>
    <w:rsid w:val="00DA6896"/>
    <w:rsid w:val="00DB1C1B"/>
    <w:rsid w:val="00DB26F7"/>
    <w:rsid w:val="00DB2D9D"/>
    <w:rsid w:val="00DB4B0C"/>
    <w:rsid w:val="00DC0AA1"/>
    <w:rsid w:val="00DC1767"/>
    <w:rsid w:val="00DC4DD5"/>
    <w:rsid w:val="00DC650A"/>
    <w:rsid w:val="00DD1465"/>
    <w:rsid w:val="00DD1E3A"/>
    <w:rsid w:val="00DD3A68"/>
    <w:rsid w:val="00DE2725"/>
    <w:rsid w:val="00DE31DB"/>
    <w:rsid w:val="00DE6260"/>
    <w:rsid w:val="00DE6B41"/>
    <w:rsid w:val="00DE7D9A"/>
    <w:rsid w:val="00DF2DB0"/>
    <w:rsid w:val="00DF4892"/>
    <w:rsid w:val="00DF5ACB"/>
    <w:rsid w:val="00E00591"/>
    <w:rsid w:val="00E00948"/>
    <w:rsid w:val="00E019DB"/>
    <w:rsid w:val="00E02431"/>
    <w:rsid w:val="00E03316"/>
    <w:rsid w:val="00E04FC0"/>
    <w:rsid w:val="00E0578E"/>
    <w:rsid w:val="00E07B3C"/>
    <w:rsid w:val="00E11FC8"/>
    <w:rsid w:val="00E14432"/>
    <w:rsid w:val="00E1683D"/>
    <w:rsid w:val="00E20415"/>
    <w:rsid w:val="00E21134"/>
    <w:rsid w:val="00E21848"/>
    <w:rsid w:val="00E3008D"/>
    <w:rsid w:val="00E308EE"/>
    <w:rsid w:val="00E37537"/>
    <w:rsid w:val="00E40744"/>
    <w:rsid w:val="00E42F18"/>
    <w:rsid w:val="00E4551F"/>
    <w:rsid w:val="00E45EFE"/>
    <w:rsid w:val="00E461E1"/>
    <w:rsid w:val="00E46E86"/>
    <w:rsid w:val="00E4768F"/>
    <w:rsid w:val="00E50545"/>
    <w:rsid w:val="00E50A5B"/>
    <w:rsid w:val="00E50B98"/>
    <w:rsid w:val="00E5201B"/>
    <w:rsid w:val="00E557FA"/>
    <w:rsid w:val="00E55999"/>
    <w:rsid w:val="00E57027"/>
    <w:rsid w:val="00E60B13"/>
    <w:rsid w:val="00E61830"/>
    <w:rsid w:val="00E61C07"/>
    <w:rsid w:val="00E64065"/>
    <w:rsid w:val="00E650E1"/>
    <w:rsid w:val="00E65613"/>
    <w:rsid w:val="00E71DFB"/>
    <w:rsid w:val="00E72436"/>
    <w:rsid w:val="00E73BB1"/>
    <w:rsid w:val="00E75BA2"/>
    <w:rsid w:val="00E82A74"/>
    <w:rsid w:val="00E82B08"/>
    <w:rsid w:val="00E868AB"/>
    <w:rsid w:val="00E91574"/>
    <w:rsid w:val="00E92ADA"/>
    <w:rsid w:val="00E9751C"/>
    <w:rsid w:val="00E97A0B"/>
    <w:rsid w:val="00EA02EA"/>
    <w:rsid w:val="00EA0D67"/>
    <w:rsid w:val="00EA1ABA"/>
    <w:rsid w:val="00EA1F23"/>
    <w:rsid w:val="00EA1FAA"/>
    <w:rsid w:val="00EA249F"/>
    <w:rsid w:val="00EA2906"/>
    <w:rsid w:val="00EA6317"/>
    <w:rsid w:val="00EA7144"/>
    <w:rsid w:val="00EB0275"/>
    <w:rsid w:val="00EB098A"/>
    <w:rsid w:val="00EB3A0F"/>
    <w:rsid w:val="00EB3F59"/>
    <w:rsid w:val="00EB4638"/>
    <w:rsid w:val="00EB6189"/>
    <w:rsid w:val="00EB64EF"/>
    <w:rsid w:val="00EB7876"/>
    <w:rsid w:val="00EC1829"/>
    <w:rsid w:val="00ED1AD0"/>
    <w:rsid w:val="00ED2AA1"/>
    <w:rsid w:val="00ED3642"/>
    <w:rsid w:val="00ED46D4"/>
    <w:rsid w:val="00EE3D6A"/>
    <w:rsid w:val="00EE4754"/>
    <w:rsid w:val="00EE4ECB"/>
    <w:rsid w:val="00EE5F66"/>
    <w:rsid w:val="00EF0E0C"/>
    <w:rsid w:val="00EF21CE"/>
    <w:rsid w:val="00EF4D1B"/>
    <w:rsid w:val="00EF57FC"/>
    <w:rsid w:val="00F00618"/>
    <w:rsid w:val="00F00FC4"/>
    <w:rsid w:val="00F017BA"/>
    <w:rsid w:val="00F02B44"/>
    <w:rsid w:val="00F03334"/>
    <w:rsid w:val="00F04369"/>
    <w:rsid w:val="00F06FF0"/>
    <w:rsid w:val="00F12407"/>
    <w:rsid w:val="00F125A7"/>
    <w:rsid w:val="00F14308"/>
    <w:rsid w:val="00F174AE"/>
    <w:rsid w:val="00F1788A"/>
    <w:rsid w:val="00F179A0"/>
    <w:rsid w:val="00F2085B"/>
    <w:rsid w:val="00F2446E"/>
    <w:rsid w:val="00F26CD4"/>
    <w:rsid w:val="00F27841"/>
    <w:rsid w:val="00F3395F"/>
    <w:rsid w:val="00F33BF3"/>
    <w:rsid w:val="00F3507F"/>
    <w:rsid w:val="00F358B1"/>
    <w:rsid w:val="00F41F5A"/>
    <w:rsid w:val="00F456B5"/>
    <w:rsid w:val="00F46772"/>
    <w:rsid w:val="00F50E04"/>
    <w:rsid w:val="00F5154A"/>
    <w:rsid w:val="00F516B3"/>
    <w:rsid w:val="00F57863"/>
    <w:rsid w:val="00F60CE2"/>
    <w:rsid w:val="00F60E21"/>
    <w:rsid w:val="00F61A47"/>
    <w:rsid w:val="00F6516C"/>
    <w:rsid w:val="00F72EDB"/>
    <w:rsid w:val="00F7488D"/>
    <w:rsid w:val="00F75CF5"/>
    <w:rsid w:val="00F76E30"/>
    <w:rsid w:val="00F80E14"/>
    <w:rsid w:val="00F813B1"/>
    <w:rsid w:val="00F82F13"/>
    <w:rsid w:val="00F853E4"/>
    <w:rsid w:val="00F866F3"/>
    <w:rsid w:val="00F96ED1"/>
    <w:rsid w:val="00F97F10"/>
    <w:rsid w:val="00FA0C52"/>
    <w:rsid w:val="00FA2006"/>
    <w:rsid w:val="00FA2DC2"/>
    <w:rsid w:val="00FA7D01"/>
    <w:rsid w:val="00FB12D0"/>
    <w:rsid w:val="00FB531D"/>
    <w:rsid w:val="00FC13A4"/>
    <w:rsid w:val="00FC1809"/>
    <w:rsid w:val="00FC1D09"/>
    <w:rsid w:val="00FC26BB"/>
    <w:rsid w:val="00FC2CA4"/>
    <w:rsid w:val="00FD047B"/>
    <w:rsid w:val="00FD06AA"/>
    <w:rsid w:val="00FD2E98"/>
    <w:rsid w:val="00FE2678"/>
    <w:rsid w:val="00FE3EF3"/>
    <w:rsid w:val="00FE59F3"/>
    <w:rsid w:val="00FE5CC7"/>
    <w:rsid w:val="00FE5CD2"/>
    <w:rsid w:val="00FE7C27"/>
    <w:rsid w:val="00FF3C04"/>
    <w:rsid w:val="00FF576D"/>
    <w:rsid w:val="00FF77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958C406-B935-4517-9F49-6D2AEEBE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annotation reference" w:uiPriority="99"/>
    <w:lsdException w:name="Title" w:qFormat="1"/>
    <w:lsdException w:name="Subtitle" w:qFormat="1"/>
    <w:lsdException w:name="Strong"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202"/>
    <w:pPr>
      <w:spacing w:after="200" w:line="259" w:lineRule="auto"/>
      <w:ind w:left="567"/>
    </w:pPr>
    <w:rPr>
      <w:rFonts w:ascii="Cambria" w:hAnsi="Cambria"/>
      <w:sz w:val="22"/>
      <w:szCs w:val="22"/>
      <w:lang w:eastAsia="en-US"/>
    </w:rPr>
  </w:style>
  <w:style w:type="paragraph" w:styleId="Heading10">
    <w:name w:val="heading 1"/>
    <w:aliases w:val="Main heading"/>
    <w:basedOn w:val="Normal"/>
    <w:next w:val="Normal"/>
    <w:link w:val="Heading1Char"/>
    <w:qFormat/>
    <w:rsid w:val="00B01D08"/>
    <w:pPr>
      <w:autoSpaceDE w:val="0"/>
      <w:autoSpaceDN w:val="0"/>
      <w:adjustRightInd w:val="0"/>
      <w:spacing w:before="480" w:after="0"/>
      <w:ind w:left="431" w:hanging="431"/>
      <w:outlineLvl w:val="0"/>
    </w:pPr>
    <w:rPr>
      <w:b/>
      <w:caps/>
      <w:sz w:val="28"/>
      <w:szCs w:val="28"/>
    </w:rPr>
  </w:style>
  <w:style w:type="paragraph" w:styleId="Heading2">
    <w:name w:val="heading 2"/>
    <w:basedOn w:val="Heading1"/>
    <w:next w:val="Normal"/>
    <w:qFormat/>
    <w:rsid w:val="00810DE3"/>
    <w:pPr>
      <w:numPr>
        <w:ilvl w:val="1"/>
      </w:numPr>
      <w:spacing w:before="240"/>
      <w:ind w:left="1134" w:hanging="567"/>
      <w:outlineLvl w:val="1"/>
    </w:pPr>
    <w:rPr>
      <w:sz w:val="24"/>
    </w:rPr>
  </w:style>
  <w:style w:type="paragraph" w:styleId="Heading3">
    <w:name w:val="heading 3"/>
    <w:basedOn w:val="Normal"/>
    <w:next w:val="Normal"/>
    <w:qFormat/>
    <w:rsid w:val="00261202"/>
    <w:pPr>
      <w:autoSpaceDE w:val="0"/>
      <w:autoSpaceDN w:val="0"/>
      <w:adjustRightInd w:val="0"/>
      <w:spacing w:before="120" w:after="120"/>
      <w:outlineLvl w:val="2"/>
    </w:pPr>
    <w:rPr>
      <w:rFonts w:eastAsia="Arial,Bold"/>
      <w:b/>
      <w:lang w:eastAsia="en-AU"/>
    </w:rPr>
  </w:style>
  <w:style w:type="paragraph" w:styleId="Heading4">
    <w:name w:val="heading 4"/>
    <w:basedOn w:val="Normal"/>
    <w:next w:val="Normal"/>
    <w:qFormat/>
    <w:rsid w:val="000014B9"/>
    <w:pPr>
      <w:spacing w:before="60" w:after="60"/>
      <w:outlineLvl w:val="3"/>
    </w:pPr>
    <w:rPr>
      <w:bCs/>
      <w:i/>
      <w:szCs w:val="28"/>
    </w:rPr>
  </w:style>
  <w:style w:type="paragraph" w:styleId="Heading5">
    <w:name w:val="heading 5"/>
    <w:aliases w:val="Italics sub heading"/>
    <w:basedOn w:val="Normal"/>
    <w:next w:val="Normal"/>
    <w:qFormat/>
    <w:rsid w:val="00602AC8"/>
    <w:pPr>
      <w:spacing w:before="60" w:after="60"/>
      <w:outlineLvl w:val="4"/>
    </w:pPr>
    <w:rPr>
      <w:bCs/>
      <w:i/>
      <w:iCs/>
      <w:sz w:val="26"/>
      <w:szCs w:val="26"/>
    </w:rPr>
  </w:style>
  <w:style w:type="paragraph" w:styleId="Heading6">
    <w:name w:val="heading 6"/>
    <w:aliases w:val="Generic name subtitle"/>
    <w:basedOn w:val="Normal"/>
    <w:next w:val="Normal"/>
    <w:link w:val="Heading6Char"/>
    <w:rsid w:val="00F26CD4"/>
    <w:pPr>
      <w:spacing w:before="60" w:after="60" w:line="240" w:lineRule="exact"/>
      <w:jc w:val="center"/>
      <w:outlineLvl w:val="5"/>
    </w:pPr>
    <w:rPr>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Main heading Char"/>
    <w:link w:val="Heading10"/>
    <w:rsid w:val="00B01D08"/>
    <w:rPr>
      <w:rFonts w:ascii="Cambria" w:hAnsi="Cambria"/>
      <w:b/>
      <w:caps/>
      <w:sz w:val="28"/>
      <w:szCs w:val="28"/>
      <w:lang w:eastAsia="en-US"/>
    </w:rPr>
  </w:style>
  <w:style w:type="character" w:customStyle="1" w:styleId="Heading2Char">
    <w:name w:val="Heading 2 Char"/>
    <w:aliases w:val="Generic Name Char Char"/>
    <w:link w:val="Heading2"/>
    <w:rsid w:val="00B57D5B"/>
    <w:rPr>
      <w:rFonts w:ascii="Arial" w:hAnsi="Arial"/>
      <w:sz w:val="24"/>
      <w:szCs w:val="24"/>
      <w:lang w:val="en-US" w:eastAsia="en-US" w:bidi="ar-SA"/>
    </w:rPr>
  </w:style>
  <w:style w:type="paragraph" w:styleId="BodyText2">
    <w:name w:val="Body Text 2"/>
    <w:basedOn w:val="Normal"/>
    <w:rsid w:val="005667B7"/>
    <w:pPr>
      <w:tabs>
        <w:tab w:val="left" w:pos="567"/>
      </w:tabs>
      <w:spacing w:line="260" w:lineRule="exact"/>
    </w:pPr>
    <w:rPr>
      <w:rFonts w:ascii="Times New Roman" w:hAnsi="Times New Roman"/>
      <w:color w:val="000000"/>
      <w:sz w:val="18"/>
      <w:lang w:val="en-GB"/>
    </w:rPr>
  </w:style>
  <w:style w:type="paragraph" w:styleId="Title">
    <w:name w:val="Title"/>
    <w:basedOn w:val="Normal"/>
    <w:link w:val="TitleChar"/>
    <w:autoRedefine/>
    <w:qFormat/>
    <w:rsid w:val="00F5154A"/>
    <w:pPr>
      <w:spacing w:before="240" w:after="240"/>
      <w:jc w:val="center"/>
      <w:outlineLvl w:val="0"/>
    </w:pPr>
    <w:rPr>
      <w:rFonts w:cs="Arial"/>
      <w:b/>
      <w:bCs/>
      <w:caps/>
      <w:sz w:val="32"/>
      <w:szCs w:val="32"/>
    </w:rPr>
  </w:style>
  <w:style w:type="character" w:customStyle="1" w:styleId="TitleChar">
    <w:name w:val="Title Char"/>
    <w:link w:val="Title"/>
    <w:rsid w:val="00F5154A"/>
    <w:rPr>
      <w:rFonts w:ascii="Arial" w:hAnsi="Arial" w:cs="Arial"/>
      <w:b/>
      <w:bCs/>
      <w:caps/>
      <w:sz w:val="32"/>
      <w:szCs w:val="32"/>
      <w:lang w:eastAsia="en-US"/>
    </w:rPr>
  </w:style>
  <w:style w:type="character" w:styleId="CommentReference">
    <w:name w:val="annotation reference"/>
    <w:uiPriority w:val="99"/>
    <w:rPr>
      <w:rFonts w:cs="Arial"/>
      <w:color w:val="000000"/>
    </w:rPr>
  </w:style>
  <w:style w:type="paragraph" w:styleId="EndnoteText">
    <w:name w:val="endnote text"/>
    <w:basedOn w:val="Normal"/>
    <w:semiHidden/>
    <w:rsid w:val="00353CEC"/>
    <w:pPr>
      <w:tabs>
        <w:tab w:val="left" w:pos="567"/>
      </w:tabs>
    </w:pPr>
    <w:rPr>
      <w:szCs w:val="20"/>
      <w:lang w:val="en-GB"/>
    </w:rPr>
  </w:style>
  <w:style w:type="paragraph" w:styleId="Caption">
    <w:name w:val="caption"/>
    <w:basedOn w:val="Normal"/>
    <w:next w:val="Normal"/>
    <w:rsid w:val="009420E9"/>
    <w:rPr>
      <w:b/>
      <w:bCs/>
      <w:sz w:val="20"/>
      <w:szCs w:val="20"/>
    </w:rPr>
  </w:style>
  <w:style w:type="paragraph" w:styleId="Header">
    <w:name w:val="header"/>
    <w:basedOn w:val="Normal"/>
    <w:link w:val="HeaderChar"/>
    <w:rsid w:val="002F3689"/>
    <w:pPr>
      <w:tabs>
        <w:tab w:val="center" w:pos="4513"/>
        <w:tab w:val="right" w:pos="9026"/>
      </w:tabs>
    </w:pPr>
  </w:style>
  <w:style w:type="character" w:customStyle="1" w:styleId="Heading6Char">
    <w:name w:val="Heading 6 Char"/>
    <w:aliases w:val="Generic name subtitle Char"/>
    <w:link w:val="Heading6"/>
    <w:rsid w:val="00F26CD4"/>
    <w:rPr>
      <w:rFonts w:ascii="Arial" w:hAnsi="Arial"/>
      <w:bCs/>
      <w:sz w:val="24"/>
      <w:szCs w:val="22"/>
      <w:lang w:val="en-AU" w:eastAsia="en-US" w:bidi="ar-SA"/>
    </w:rPr>
  </w:style>
  <w:style w:type="character" w:customStyle="1" w:styleId="RegisteredTradeMarkSymbolChar">
    <w:name w:val="Registered TradeMark Symbol Char"/>
    <w:link w:val="RegisteredTradeMarkSymbol"/>
    <w:rsid w:val="00B57D5B"/>
    <w:rPr>
      <w:rFonts w:ascii="Arial" w:hAnsi="Arial"/>
      <w:b/>
      <w:caps/>
      <w:sz w:val="24"/>
      <w:szCs w:val="24"/>
      <w:vertAlign w:val="superscript"/>
      <w:lang w:val="en-AU" w:eastAsia="en-US" w:bidi="ar-SA"/>
    </w:rPr>
  </w:style>
  <w:style w:type="paragraph" w:customStyle="1" w:styleId="RegisteredTradeMarkSymbol">
    <w:name w:val="Registered TradeMark Symbol"/>
    <w:basedOn w:val="Heading10"/>
    <w:link w:val="RegisteredTradeMarkSymbolChar"/>
    <w:rsid w:val="00B57D5B"/>
    <w:rPr>
      <w:caps w:val="0"/>
      <w:sz w:val="24"/>
      <w:vertAlign w:val="superscript"/>
    </w:rPr>
  </w:style>
  <w:style w:type="paragraph" w:styleId="Subtitle">
    <w:name w:val="Subtitle"/>
    <w:basedOn w:val="Normal"/>
    <w:qFormat/>
    <w:rsid w:val="00F26CD4"/>
    <w:pPr>
      <w:spacing w:after="60"/>
      <w:jc w:val="center"/>
      <w:outlineLvl w:val="1"/>
    </w:pPr>
    <w:rPr>
      <w:rFonts w:cs="Arial"/>
    </w:rPr>
  </w:style>
  <w:style w:type="paragraph" w:styleId="Footer">
    <w:name w:val="footer"/>
    <w:basedOn w:val="FootnoteText"/>
    <w:link w:val="FooterChar"/>
    <w:rsid w:val="001D55E5"/>
  </w:style>
  <w:style w:type="character" w:customStyle="1" w:styleId="FooterChar">
    <w:name w:val="Footer Char"/>
    <w:link w:val="Footer"/>
    <w:rsid w:val="001D55E5"/>
    <w:rPr>
      <w:rFonts w:ascii="Arial" w:hAnsi="Arial"/>
      <w:lang w:val="en-AU" w:eastAsia="en-US" w:bidi="ar-SA"/>
    </w:rPr>
  </w:style>
  <w:style w:type="character" w:customStyle="1" w:styleId="HeaderChar">
    <w:name w:val="Header Char"/>
    <w:link w:val="Header"/>
    <w:rsid w:val="002F3689"/>
    <w:rPr>
      <w:rFonts w:ascii="Arial" w:hAnsi="Arial"/>
      <w:sz w:val="24"/>
      <w:szCs w:val="24"/>
      <w:lang w:eastAsia="en-US"/>
    </w:rPr>
  </w:style>
  <w:style w:type="paragraph" w:styleId="FootnoteText">
    <w:name w:val="footnote text"/>
    <w:basedOn w:val="Normal"/>
    <w:semiHidden/>
    <w:rsid w:val="001D55E5"/>
    <w:rPr>
      <w:sz w:val="20"/>
      <w:szCs w:val="20"/>
    </w:rPr>
  </w:style>
  <w:style w:type="paragraph" w:styleId="CommentText">
    <w:name w:val="annotation text"/>
    <w:basedOn w:val="Normal"/>
    <w:link w:val="CommentTextChar"/>
    <w:uiPriority w:val="99"/>
    <w:rsid w:val="00365052"/>
    <w:rPr>
      <w:sz w:val="20"/>
      <w:szCs w:val="20"/>
    </w:rPr>
  </w:style>
  <w:style w:type="character" w:customStyle="1" w:styleId="CommentTextChar">
    <w:name w:val="Comment Text Char"/>
    <w:link w:val="CommentText"/>
    <w:uiPriority w:val="99"/>
    <w:rsid w:val="00365052"/>
    <w:rPr>
      <w:rFonts w:ascii="Arial" w:hAnsi="Arial"/>
      <w:lang w:eastAsia="en-US"/>
    </w:rPr>
  </w:style>
  <w:style w:type="paragraph" w:styleId="CommentSubject">
    <w:name w:val="annotation subject"/>
    <w:basedOn w:val="CommentText"/>
    <w:next w:val="CommentText"/>
    <w:link w:val="CommentSubjectChar"/>
    <w:rsid w:val="00365052"/>
    <w:rPr>
      <w:b/>
      <w:bCs/>
    </w:rPr>
  </w:style>
  <w:style w:type="character" w:customStyle="1" w:styleId="CommentSubjectChar">
    <w:name w:val="Comment Subject Char"/>
    <w:link w:val="CommentSubject"/>
    <w:rsid w:val="00365052"/>
    <w:rPr>
      <w:rFonts w:ascii="Arial" w:hAnsi="Arial"/>
      <w:b/>
      <w:bCs/>
      <w:lang w:eastAsia="en-US"/>
    </w:rPr>
  </w:style>
  <w:style w:type="paragraph" w:styleId="BalloonText">
    <w:name w:val="Balloon Text"/>
    <w:basedOn w:val="Normal"/>
    <w:link w:val="BalloonTextChar"/>
    <w:rsid w:val="00365052"/>
    <w:pPr>
      <w:spacing w:line="240" w:lineRule="auto"/>
    </w:pPr>
    <w:rPr>
      <w:rFonts w:ascii="Tahoma" w:hAnsi="Tahoma" w:cs="Tahoma"/>
      <w:sz w:val="16"/>
      <w:szCs w:val="16"/>
    </w:rPr>
  </w:style>
  <w:style w:type="character" w:customStyle="1" w:styleId="BalloonTextChar">
    <w:name w:val="Balloon Text Char"/>
    <w:link w:val="BalloonText"/>
    <w:rsid w:val="00365052"/>
    <w:rPr>
      <w:rFonts w:ascii="Tahoma" w:hAnsi="Tahoma" w:cs="Tahoma"/>
      <w:sz w:val="16"/>
      <w:szCs w:val="16"/>
      <w:lang w:eastAsia="en-US"/>
    </w:rPr>
  </w:style>
  <w:style w:type="table" w:styleId="TableGrid">
    <w:name w:val="Table Grid"/>
    <w:basedOn w:val="TableNormal"/>
    <w:uiPriority w:val="59"/>
    <w:rsid w:val="004E0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46DD5"/>
    <w:rPr>
      <w:vertAlign w:val="superscript"/>
    </w:rPr>
  </w:style>
  <w:style w:type="paragraph" w:styleId="Revision">
    <w:name w:val="Revision"/>
    <w:hidden/>
    <w:uiPriority w:val="99"/>
    <w:semiHidden/>
    <w:rsid w:val="00AF5679"/>
    <w:rPr>
      <w:rFonts w:ascii="Arial" w:hAnsi="Arial"/>
      <w:sz w:val="24"/>
      <w:szCs w:val="24"/>
      <w:lang w:eastAsia="en-US"/>
    </w:rPr>
  </w:style>
  <w:style w:type="paragraph" w:customStyle="1" w:styleId="PLRBodyTextIndented">
    <w:name w:val="PLR_Body Text Indented"/>
    <w:link w:val="PLRBodyTextIndentedCharChar"/>
    <w:qFormat/>
    <w:rsid w:val="002D0CBF"/>
    <w:pPr>
      <w:ind w:firstLine="648"/>
    </w:pPr>
    <w:rPr>
      <w:rFonts w:ascii="Arial" w:hAnsi="Arial"/>
      <w:lang w:val="en-US" w:eastAsia="en-US"/>
    </w:rPr>
  </w:style>
  <w:style w:type="character" w:customStyle="1" w:styleId="PLRBodyTextIndentedCharChar">
    <w:name w:val="PLR_Body Text Indented Char Char"/>
    <w:link w:val="PLRBodyTextIndented"/>
    <w:rsid w:val="002D0CBF"/>
    <w:rPr>
      <w:rFonts w:ascii="Arial" w:hAnsi="Arial"/>
      <w:lang w:val="en-US" w:eastAsia="en-US"/>
    </w:rPr>
  </w:style>
  <w:style w:type="paragraph" w:customStyle="1" w:styleId="PLRTextUnindented">
    <w:name w:val="PLR_Text_Unindented"/>
    <w:basedOn w:val="PLRBodyTextIndented"/>
    <w:link w:val="PLRTextUnindentedChar"/>
    <w:rsid w:val="00CC0501"/>
    <w:pPr>
      <w:ind w:firstLine="0"/>
    </w:pPr>
  </w:style>
  <w:style w:type="character" w:customStyle="1" w:styleId="PLRTextUnindentedChar">
    <w:name w:val="PLR_Text_Unindented Char"/>
    <w:link w:val="PLRTextUnindented"/>
    <w:rsid w:val="00CC0501"/>
    <w:rPr>
      <w:rFonts w:ascii="Arial" w:hAnsi="Arial"/>
      <w:lang w:val="en-US" w:eastAsia="en-US"/>
    </w:rPr>
  </w:style>
  <w:style w:type="paragraph" w:customStyle="1" w:styleId="PLRTableDataCentered">
    <w:name w:val="PLR_Table Data Centered"/>
    <w:qFormat/>
    <w:rsid w:val="00BA3CB7"/>
    <w:pPr>
      <w:spacing w:before="40" w:after="40"/>
      <w:jc w:val="center"/>
    </w:pPr>
    <w:rPr>
      <w:rFonts w:ascii="Cambria" w:eastAsia="Calibri" w:hAnsi="Cambria" w:cs="Arial"/>
      <w:color w:val="000000"/>
      <w:sz w:val="18"/>
      <w:szCs w:val="22"/>
      <w:lang w:val="en-US" w:eastAsia="en-US"/>
    </w:rPr>
  </w:style>
  <w:style w:type="paragraph" w:customStyle="1" w:styleId="PLRFootnote">
    <w:name w:val="PLR_Footnote"/>
    <w:basedOn w:val="Normal"/>
    <w:next w:val="PLRBodyTextIndented"/>
    <w:link w:val="PLRFootnoteChar"/>
    <w:rsid w:val="00CC0501"/>
    <w:pPr>
      <w:tabs>
        <w:tab w:val="left" w:pos="180"/>
      </w:tabs>
      <w:spacing w:after="20" w:line="240" w:lineRule="auto"/>
      <w:ind w:left="360" w:hanging="360"/>
    </w:pPr>
    <w:rPr>
      <w:sz w:val="20"/>
      <w:szCs w:val="20"/>
      <w:lang w:val="en-US"/>
    </w:rPr>
  </w:style>
  <w:style w:type="character" w:customStyle="1" w:styleId="PLRFootnoteChar">
    <w:name w:val="PLR_Footnote Char"/>
    <w:link w:val="PLRFootnote"/>
    <w:rsid w:val="00CC0501"/>
    <w:rPr>
      <w:rFonts w:ascii="Arial" w:hAnsi="Arial"/>
      <w:lang w:val="en-US" w:eastAsia="en-US"/>
    </w:rPr>
  </w:style>
  <w:style w:type="paragraph" w:customStyle="1" w:styleId="PLRHeading2Centered">
    <w:name w:val="PLR_Heading 2 + Centered"/>
    <w:basedOn w:val="Normal"/>
    <w:rsid w:val="006E4B9B"/>
    <w:pPr>
      <w:tabs>
        <w:tab w:val="left" w:pos="648"/>
      </w:tabs>
      <w:spacing w:before="60" w:line="240" w:lineRule="auto"/>
      <w:jc w:val="center"/>
    </w:pPr>
    <w:rPr>
      <w:b/>
      <w:bCs/>
      <w:sz w:val="20"/>
      <w:szCs w:val="20"/>
      <w:lang w:val="en-US"/>
    </w:rPr>
  </w:style>
  <w:style w:type="paragraph" w:customStyle="1" w:styleId="PLRTable1stLevelIndent">
    <w:name w:val="PLR_Table 1st Level Indent"/>
    <w:qFormat/>
    <w:rsid w:val="00FC1D09"/>
    <w:pPr>
      <w:spacing w:before="40" w:after="40"/>
    </w:pPr>
    <w:rPr>
      <w:rFonts w:ascii="Cambria" w:eastAsia="Calibri" w:hAnsi="Cambria" w:cs="Arial"/>
      <w:color w:val="000000"/>
      <w:sz w:val="18"/>
      <w:szCs w:val="22"/>
      <w:lang w:val="en-US" w:eastAsia="en-US"/>
    </w:rPr>
  </w:style>
  <w:style w:type="paragraph" w:customStyle="1" w:styleId="PLRBulletedIndent">
    <w:name w:val="PLR_Bulleted Indent"/>
    <w:basedOn w:val="Normal"/>
    <w:rsid w:val="005F0123"/>
    <w:pPr>
      <w:spacing w:line="240" w:lineRule="auto"/>
      <w:ind w:left="1008" w:hanging="360"/>
    </w:pPr>
    <w:rPr>
      <w:sz w:val="20"/>
      <w:szCs w:val="20"/>
      <w:lang w:val="en-US"/>
    </w:rPr>
  </w:style>
  <w:style w:type="character" w:customStyle="1" w:styleId="TblFootnoteChar">
    <w:name w:val="Tbl Footnote Char"/>
    <w:link w:val="TblFootnote"/>
    <w:uiPriority w:val="99"/>
    <w:locked/>
    <w:rsid w:val="00615C01"/>
    <w:rPr>
      <w:lang w:val="en-US" w:eastAsia="en-US"/>
    </w:rPr>
  </w:style>
  <w:style w:type="paragraph" w:customStyle="1" w:styleId="TblFootnote">
    <w:name w:val="Tbl Footnote"/>
    <w:basedOn w:val="Normal"/>
    <w:next w:val="Normal"/>
    <w:link w:val="TblFootnoteChar"/>
    <w:uiPriority w:val="99"/>
    <w:qFormat/>
    <w:rsid w:val="00615C01"/>
    <w:pPr>
      <w:tabs>
        <w:tab w:val="left" w:pos="259"/>
      </w:tabs>
      <w:spacing w:line="259" w:lineRule="atLeast"/>
      <w:ind w:left="259" w:hanging="259"/>
    </w:pPr>
    <w:rPr>
      <w:rFonts w:ascii="Times New Roman" w:hAnsi="Times New Roman"/>
      <w:sz w:val="20"/>
      <w:szCs w:val="20"/>
      <w:lang w:val="en-US"/>
    </w:rPr>
  </w:style>
  <w:style w:type="paragraph" w:styleId="ListParagraph">
    <w:name w:val="List Paragraph"/>
    <w:basedOn w:val="Normal"/>
    <w:uiPriority w:val="34"/>
    <w:qFormat/>
    <w:rsid w:val="00E37537"/>
    <w:pPr>
      <w:spacing w:line="240" w:lineRule="auto"/>
      <w:ind w:left="720"/>
      <w:contextualSpacing/>
    </w:pPr>
    <w:rPr>
      <w:rFonts w:ascii="Calibri" w:eastAsia="Calibri" w:hAnsi="Calibri" w:cs="Calibri"/>
    </w:rPr>
  </w:style>
  <w:style w:type="paragraph" w:customStyle="1" w:styleId="FigFootnote">
    <w:name w:val="Fig Footnote"/>
    <w:basedOn w:val="Normal"/>
    <w:next w:val="Normal"/>
    <w:uiPriority w:val="99"/>
    <w:rsid w:val="005F1DD6"/>
    <w:pPr>
      <w:spacing w:line="259" w:lineRule="atLeast"/>
      <w:ind w:left="2304"/>
    </w:pPr>
    <w:rPr>
      <w:rFonts w:ascii="Times New Roman" w:hAnsi="Times New Roman"/>
      <w:sz w:val="20"/>
      <w:szCs w:val="20"/>
      <w:lang w:val="en-US"/>
    </w:rPr>
  </w:style>
  <w:style w:type="character" w:styleId="Strong">
    <w:name w:val="Strong"/>
    <w:qFormat/>
    <w:rsid w:val="00234949"/>
    <w:rPr>
      <w:b/>
      <w:bCs/>
    </w:rPr>
  </w:style>
  <w:style w:type="paragraph" w:customStyle="1" w:styleId="Heading1">
    <w:name w:val="Heading1"/>
    <w:basedOn w:val="Heading10"/>
    <w:link w:val="Heading1Char0"/>
    <w:qFormat/>
    <w:rsid w:val="00810DE3"/>
    <w:pPr>
      <w:numPr>
        <w:numId w:val="21"/>
      </w:numPr>
      <w:spacing w:after="200" w:line="240" w:lineRule="auto"/>
      <w:ind w:left="1134" w:hanging="567"/>
    </w:pPr>
  </w:style>
  <w:style w:type="character" w:styleId="Hyperlink">
    <w:name w:val="Hyperlink"/>
    <w:rsid w:val="00F57863"/>
    <w:rPr>
      <w:color w:val="0563C1"/>
      <w:u w:val="single"/>
    </w:rPr>
  </w:style>
  <w:style w:type="character" w:customStyle="1" w:styleId="Heading1Char0">
    <w:name w:val="Heading1 Char"/>
    <w:link w:val="Heading1"/>
    <w:rsid w:val="00810DE3"/>
    <w:rPr>
      <w:rFonts w:ascii="Cambria" w:hAnsi="Cambria"/>
      <w:b/>
      <w:caps/>
      <w:sz w:val="28"/>
      <w:szCs w:val="28"/>
      <w:lang w:eastAsia="en-US"/>
    </w:rPr>
  </w:style>
  <w:style w:type="paragraph" w:customStyle="1" w:styleId="TableTitle">
    <w:name w:val="Table Title"/>
    <w:basedOn w:val="Normal"/>
    <w:link w:val="TableTitleChar"/>
    <w:qFormat/>
    <w:rsid w:val="00937266"/>
    <w:pPr>
      <w:numPr>
        <w:numId w:val="36"/>
      </w:numPr>
      <w:ind w:left="0" w:firstLine="0"/>
    </w:pPr>
    <w:rPr>
      <w:b/>
    </w:rPr>
  </w:style>
  <w:style w:type="paragraph" w:customStyle="1" w:styleId="FigureTitle">
    <w:name w:val="Figure Title"/>
    <w:basedOn w:val="TableTitle"/>
    <w:next w:val="Normal"/>
    <w:link w:val="FigureTitleChar"/>
    <w:qFormat/>
    <w:rsid w:val="0002189B"/>
    <w:pPr>
      <w:numPr>
        <w:numId w:val="37"/>
      </w:numPr>
    </w:pPr>
  </w:style>
  <w:style w:type="character" w:customStyle="1" w:styleId="TableTitleChar">
    <w:name w:val="Table Title Char"/>
    <w:link w:val="TableTitle"/>
    <w:rsid w:val="00937266"/>
    <w:rPr>
      <w:rFonts w:ascii="Cambria" w:hAnsi="Cambria"/>
      <w:b/>
      <w:sz w:val="22"/>
      <w:szCs w:val="22"/>
      <w:lang w:eastAsia="en-US"/>
    </w:rPr>
  </w:style>
  <w:style w:type="table" w:customStyle="1" w:styleId="TableGrid1">
    <w:name w:val="Table Grid1"/>
    <w:basedOn w:val="TableNormal"/>
    <w:next w:val="TableGrid"/>
    <w:uiPriority w:val="59"/>
    <w:rsid w:val="00F46772"/>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basedOn w:val="TableTitleChar"/>
    <w:link w:val="FigureTitle"/>
    <w:rsid w:val="0002189B"/>
    <w:rPr>
      <w:rFonts w:ascii="Cambria" w:hAnsi="Cambria"/>
      <w:b/>
      <w:sz w:val="22"/>
      <w:szCs w:val="22"/>
      <w:lang w:eastAsia="en-US"/>
    </w:rPr>
  </w:style>
  <w:style w:type="table" w:customStyle="1" w:styleId="TableGrid2">
    <w:name w:val="Table Grid2"/>
    <w:basedOn w:val="TableNormal"/>
    <w:next w:val="TableGrid"/>
    <w:uiPriority w:val="59"/>
    <w:rsid w:val="00141076"/>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C59E9"/>
    <w:rPr>
      <w:color w:val="954F72"/>
      <w:u w:val="single"/>
    </w:rPr>
  </w:style>
  <w:style w:type="table" w:customStyle="1" w:styleId="TableGrid3">
    <w:name w:val="Table Grid3"/>
    <w:basedOn w:val="TableNormal"/>
    <w:next w:val="TableGrid"/>
    <w:uiPriority w:val="59"/>
    <w:rsid w:val="00BD0E75"/>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24AD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0181A"/>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RFootnoteStyle">
    <w:name w:val="PLR_Footnote Style"/>
    <w:qFormat/>
    <w:rsid w:val="00C615F8"/>
    <w:pPr>
      <w:ind w:left="288" w:hanging="288"/>
    </w:pPr>
    <w:rPr>
      <w:rFonts w:ascii="Arial" w:eastAsia="Calibri" w:hAnsi="Arial" w:cs="Arial"/>
      <w:color w:val="000000"/>
      <w:szCs w:val="22"/>
      <w:lang w:val="en-US" w:eastAsia="en-US"/>
    </w:rPr>
  </w:style>
  <w:style w:type="paragraph" w:customStyle="1" w:styleId="PLRTable2ndLevelIndent">
    <w:name w:val="PLR_Table 2nd Level Indent"/>
    <w:qFormat/>
    <w:rsid w:val="00C615F8"/>
    <w:pPr>
      <w:ind w:left="432"/>
    </w:pPr>
    <w:rPr>
      <w:rFonts w:ascii="Arial" w:eastAsia="Calibri" w:hAnsi="Arial" w:cs="Arial"/>
      <w:color w:val="000000"/>
      <w:szCs w:val="22"/>
      <w:lang w:val="en-US" w:eastAsia="en-US"/>
    </w:rPr>
  </w:style>
  <w:style w:type="paragraph" w:customStyle="1" w:styleId="PLRTableHeading2">
    <w:name w:val="PLR_Table Heading 2"/>
    <w:qFormat/>
    <w:rsid w:val="00C615F8"/>
    <w:pPr>
      <w:spacing w:before="40" w:after="40"/>
      <w:jc w:val="center"/>
    </w:pPr>
    <w:rPr>
      <w:rFonts w:ascii="Arial" w:eastAsia="Calibri" w:hAnsi="Arial" w:cs="Arial"/>
      <w:b/>
      <w:color w:val="000000"/>
      <w:szCs w:val="22"/>
      <w:lang w:val="en-US" w:eastAsia="en-US"/>
    </w:rPr>
  </w:style>
  <w:style w:type="paragraph" w:styleId="BodyText">
    <w:name w:val="Body Text"/>
    <w:basedOn w:val="Normal"/>
    <w:link w:val="BodyTextChar"/>
    <w:rsid w:val="00CF210E"/>
    <w:pPr>
      <w:spacing w:after="120"/>
    </w:pPr>
  </w:style>
  <w:style w:type="character" w:customStyle="1" w:styleId="BodyTextChar">
    <w:name w:val="Body Text Char"/>
    <w:link w:val="BodyText"/>
    <w:rsid w:val="00CF210E"/>
    <w:rPr>
      <w:rFonts w:ascii="Cambria" w:hAnsi="Cambria"/>
      <w:sz w:val="22"/>
      <w:szCs w:val="22"/>
      <w:lang w:eastAsia="en-US"/>
    </w:rPr>
  </w:style>
  <w:style w:type="character" w:customStyle="1" w:styleId="UnresolvedMention">
    <w:name w:val="Unresolved Mention"/>
    <w:uiPriority w:val="99"/>
    <w:semiHidden/>
    <w:unhideWhenUsed/>
    <w:rsid w:val="00BC2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4599">
      <w:bodyDiv w:val="1"/>
      <w:marLeft w:val="0"/>
      <w:marRight w:val="0"/>
      <w:marTop w:val="0"/>
      <w:marBottom w:val="0"/>
      <w:divBdr>
        <w:top w:val="none" w:sz="0" w:space="0" w:color="auto"/>
        <w:left w:val="none" w:sz="0" w:space="0" w:color="auto"/>
        <w:bottom w:val="none" w:sz="0" w:space="0" w:color="auto"/>
        <w:right w:val="none" w:sz="0" w:space="0" w:color="auto"/>
      </w:divBdr>
    </w:div>
    <w:div w:id="195049162">
      <w:bodyDiv w:val="1"/>
      <w:marLeft w:val="0"/>
      <w:marRight w:val="0"/>
      <w:marTop w:val="0"/>
      <w:marBottom w:val="0"/>
      <w:divBdr>
        <w:top w:val="none" w:sz="0" w:space="0" w:color="auto"/>
        <w:left w:val="none" w:sz="0" w:space="0" w:color="auto"/>
        <w:bottom w:val="none" w:sz="0" w:space="0" w:color="auto"/>
        <w:right w:val="none" w:sz="0" w:space="0" w:color="auto"/>
      </w:divBdr>
      <w:divsChild>
        <w:div w:id="106236395">
          <w:marLeft w:val="0"/>
          <w:marRight w:val="0"/>
          <w:marTop w:val="0"/>
          <w:marBottom w:val="0"/>
          <w:divBdr>
            <w:top w:val="none" w:sz="0" w:space="0" w:color="auto"/>
            <w:left w:val="none" w:sz="0" w:space="0" w:color="auto"/>
            <w:bottom w:val="none" w:sz="0" w:space="0" w:color="auto"/>
            <w:right w:val="none" w:sz="0" w:space="0" w:color="auto"/>
          </w:divBdr>
          <w:divsChild>
            <w:div w:id="1995798626">
              <w:marLeft w:val="0"/>
              <w:marRight w:val="0"/>
              <w:marTop w:val="0"/>
              <w:marBottom w:val="0"/>
              <w:divBdr>
                <w:top w:val="none" w:sz="0" w:space="0" w:color="auto"/>
                <w:left w:val="none" w:sz="0" w:space="0" w:color="auto"/>
                <w:bottom w:val="none" w:sz="0" w:space="0" w:color="auto"/>
                <w:right w:val="none" w:sz="0" w:space="0" w:color="auto"/>
              </w:divBdr>
              <w:divsChild>
                <w:div w:id="1840461280">
                  <w:marLeft w:val="0"/>
                  <w:marRight w:val="0"/>
                  <w:marTop w:val="0"/>
                  <w:marBottom w:val="0"/>
                  <w:divBdr>
                    <w:top w:val="none" w:sz="0" w:space="0" w:color="auto"/>
                    <w:left w:val="none" w:sz="0" w:space="0" w:color="auto"/>
                    <w:bottom w:val="none" w:sz="0" w:space="0" w:color="auto"/>
                    <w:right w:val="none" w:sz="0" w:space="0" w:color="auto"/>
                  </w:divBdr>
                  <w:divsChild>
                    <w:div w:id="112868562">
                      <w:marLeft w:val="0"/>
                      <w:marRight w:val="0"/>
                      <w:marTop w:val="0"/>
                      <w:marBottom w:val="0"/>
                      <w:divBdr>
                        <w:top w:val="none" w:sz="0" w:space="0" w:color="auto"/>
                        <w:left w:val="none" w:sz="0" w:space="0" w:color="auto"/>
                        <w:bottom w:val="none" w:sz="0" w:space="0" w:color="auto"/>
                        <w:right w:val="none" w:sz="0" w:space="0" w:color="auto"/>
                      </w:divBdr>
                      <w:divsChild>
                        <w:div w:id="472452754">
                          <w:marLeft w:val="0"/>
                          <w:marRight w:val="0"/>
                          <w:marTop w:val="0"/>
                          <w:marBottom w:val="0"/>
                          <w:divBdr>
                            <w:top w:val="none" w:sz="0" w:space="0" w:color="auto"/>
                            <w:left w:val="none" w:sz="0" w:space="0" w:color="auto"/>
                            <w:bottom w:val="none" w:sz="0" w:space="0" w:color="auto"/>
                            <w:right w:val="none" w:sz="0" w:space="0" w:color="auto"/>
                          </w:divBdr>
                          <w:divsChild>
                            <w:div w:id="1982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77727">
      <w:bodyDiv w:val="1"/>
      <w:marLeft w:val="0"/>
      <w:marRight w:val="0"/>
      <w:marTop w:val="0"/>
      <w:marBottom w:val="0"/>
      <w:divBdr>
        <w:top w:val="none" w:sz="0" w:space="0" w:color="auto"/>
        <w:left w:val="none" w:sz="0" w:space="0" w:color="auto"/>
        <w:bottom w:val="none" w:sz="0" w:space="0" w:color="auto"/>
        <w:right w:val="none" w:sz="0" w:space="0" w:color="auto"/>
      </w:divBdr>
    </w:div>
    <w:div w:id="299656064">
      <w:bodyDiv w:val="1"/>
      <w:marLeft w:val="0"/>
      <w:marRight w:val="0"/>
      <w:marTop w:val="0"/>
      <w:marBottom w:val="0"/>
      <w:divBdr>
        <w:top w:val="none" w:sz="0" w:space="0" w:color="auto"/>
        <w:left w:val="none" w:sz="0" w:space="0" w:color="auto"/>
        <w:bottom w:val="none" w:sz="0" w:space="0" w:color="auto"/>
        <w:right w:val="none" w:sz="0" w:space="0" w:color="auto"/>
      </w:divBdr>
    </w:div>
    <w:div w:id="476185685">
      <w:bodyDiv w:val="1"/>
      <w:marLeft w:val="0"/>
      <w:marRight w:val="0"/>
      <w:marTop w:val="0"/>
      <w:marBottom w:val="0"/>
      <w:divBdr>
        <w:top w:val="none" w:sz="0" w:space="0" w:color="auto"/>
        <w:left w:val="none" w:sz="0" w:space="0" w:color="auto"/>
        <w:bottom w:val="none" w:sz="0" w:space="0" w:color="auto"/>
        <w:right w:val="none" w:sz="0" w:space="0" w:color="auto"/>
      </w:divBdr>
    </w:div>
    <w:div w:id="853610955">
      <w:bodyDiv w:val="1"/>
      <w:marLeft w:val="0"/>
      <w:marRight w:val="0"/>
      <w:marTop w:val="0"/>
      <w:marBottom w:val="0"/>
      <w:divBdr>
        <w:top w:val="none" w:sz="0" w:space="0" w:color="auto"/>
        <w:left w:val="none" w:sz="0" w:space="0" w:color="auto"/>
        <w:bottom w:val="none" w:sz="0" w:space="0" w:color="auto"/>
        <w:right w:val="none" w:sz="0" w:space="0" w:color="auto"/>
      </w:divBdr>
      <w:divsChild>
        <w:div w:id="2114474198">
          <w:marLeft w:val="0"/>
          <w:marRight w:val="0"/>
          <w:marTop w:val="0"/>
          <w:marBottom w:val="0"/>
          <w:divBdr>
            <w:top w:val="none" w:sz="0" w:space="0" w:color="auto"/>
            <w:left w:val="none" w:sz="0" w:space="0" w:color="auto"/>
            <w:bottom w:val="none" w:sz="0" w:space="0" w:color="auto"/>
            <w:right w:val="none" w:sz="0" w:space="0" w:color="auto"/>
          </w:divBdr>
        </w:div>
      </w:divsChild>
    </w:div>
    <w:div w:id="1069764650">
      <w:bodyDiv w:val="1"/>
      <w:marLeft w:val="0"/>
      <w:marRight w:val="0"/>
      <w:marTop w:val="0"/>
      <w:marBottom w:val="0"/>
      <w:divBdr>
        <w:top w:val="none" w:sz="0" w:space="0" w:color="auto"/>
        <w:left w:val="none" w:sz="0" w:space="0" w:color="auto"/>
        <w:bottom w:val="none" w:sz="0" w:space="0" w:color="auto"/>
        <w:right w:val="none" w:sz="0" w:space="0" w:color="auto"/>
      </w:divBdr>
    </w:div>
    <w:div w:id="1091467178">
      <w:bodyDiv w:val="1"/>
      <w:marLeft w:val="0"/>
      <w:marRight w:val="0"/>
      <w:marTop w:val="0"/>
      <w:marBottom w:val="0"/>
      <w:divBdr>
        <w:top w:val="none" w:sz="0" w:space="0" w:color="auto"/>
        <w:left w:val="none" w:sz="0" w:space="0" w:color="auto"/>
        <w:bottom w:val="none" w:sz="0" w:space="0" w:color="auto"/>
        <w:right w:val="none" w:sz="0" w:space="0" w:color="auto"/>
      </w:divBdr>
    </w:div>
    <w:div w:id="1369917073">
      <w:bodyDiv w:val="1"/>
      <w:marLeft w:val="0"/>
      <w:marRight w:val="0"/>
      <w:marTop w:val="0"/>
      <w:marBottom w:val="0"/>
      <w:divBdr>
        <w:top w:val="none" w:sz="0" w:space="0" w:color="auto"/>
        <w:left w:val="none" w:sz="0" w:space="0" w:color="auto"/>
        <w:bottom w:val="none" w:sz="0" w:space="0" w:color="auto"/>
        <w:right w:val="none" w:sz="0" w:space="0" w:color="auto"/>
      </w:divBdr>
    </w:div>
    <w:div w:id="1565216175">
      <w:bodyDiv w:val="1"/>
      <w:marLeft w:val="0"/>
      <w:marRight w:val="0"/>
      <w:marTop w:val="0"/>
      <w:marBottom w:val="0"/>
      <w:divBdr>
        <w:top w:val="none" w:sz="0" w:space="0" w:color="auto"/>
        <w:left w:val="none" w:sz="0" w:space="0" w:color="auto"/>
        <w:bottom w:val="none" w:sz="0" w:space="0" w:color="auto"/>
        <w:right w:val="none" w:sz="0" w:space="0" w:color="auto"/>
      </w:divBdr>
    </w:div>
    <w:div w:id="15751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tga.gov.au/reporting-problem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ga.gov.au/reporting-problems" TargetMode="External"/><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9E3C73BB2EAE41B9A6534FC88EF500" ma:contentTypeVersion="3" ma:contentTypeDescription="Create a new document." ma:contentTypeScope="" ma:versionID="c2a39e23f89ff81d4a52e887b442241a">
  <xsd:schema xmlns:xsd="http://www.w3.org/2001/XMLSchema" xmlns:xs="http://www.w3.org/2001/XMLSchema" xmlns:p="http://schemas.microsoft.com/office/2006/metadata/properties" xmlns:ns2="33648e8c-5399-4ce0-994e-2f4ddb1c4614" targetNamespace="http://schemas.microsoft.com/office/2006/metadata/properties" ma:root="true" ma:fieldsID="9186378b2601a5cf61f5465445f9cf90" ns2:_="">
    <xsd:import namespace="33648e8c-5399-4ce0-994e-2f4ddb1c4614"/>
    <xsd:element name="properties">
      <xsd:complexType>
        <xsd:sequence>
          <xsd:element name="documentManagement">
            <xsd:complexType>
              <xsd:all>
                <xsd:element ref="ns2:TaxCatchAll" minOccurs="0"/>
                <xsd:element ref="ns2:TaxCatchAllLabel" minOccurs="0"/>
                <xsd:element ref="ns2:EnterpriseDocumentLanguageTaxHTField0" minOccurs="0"/>
                <xsd:element ref="ns2:EnterpriseRecordSeriesCod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48e8c-5399-4ce0-994e-2f4ddb1c461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c7acef42-f64e-4c3f-8601-ed8ca36c4e5e}" ma:internalName="TaxCatchAll" ma:showField="CatchAllData" ma:web="e9242c4a-b47f-453e-b475-534194eaec8f">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c7acef42-f64e-4c3f-8601-ed8ca36c4e5e}" ma:internalName="TaxCatchAllLabel" ma:readOnly="true" ma:showField="CatchAllDataLabel" ma:web="e9242c4a-b47f-453e-b475-534194eaec8f">
      <xsd:complexType>
        <xsd:complexContent>
          <xsd:extension base="dms:MultiChoiceLookup">
            <xsd:sequence>
              <xsd:element name="Value" type="dms:Lookup" maxOccurs="unbounded" minOccurs="0" nillable="true"/>
            </xsd:sequence>
          </xsd:extension>
        </xsd:complexContent>
      </xsd:complexType>
    </xsd:element>
    <xsd:element name="EnterpriseDocumentLanguageTaxHTField0" ma:index="9" ma:taxonomy="true" ma:internalName="EnterpriseDocumentLanguageTaxHTField0" ma:taxonomyFieldName="EnterpriseDocumentLanguage" ma:displayName="Lilly Document Language" ma:readOnly="false" ma:default="2;#eng|39540796-0396-4e54-afe9-a602f28bbe8f" ma:fieldId="{93e5a5e9-0ea5-4512-9a61-30e562d954b4}" ma:sspId="dc7d05db-9a88-43f7-9979-b3027636d983" ma:termSetId="29d92dd9-4caf-4659-961a-1591fcb1f2f5" ma:anchorId="00000000-0000-0000-0000-000000000000" ma:open="false" ma:isKeyword="false">
      <xsd:complexType>
        <xsd:sequence>
          <xsd:element ref="pc:Terms" minOccurs="0" maxOccurs="1"/>
        </xsd:sequence>
      </xsd:complexType>
    </xsd:element>
    <xsd:element name="EnterpriseRecordSeriesCodeTaxHTField0" ma:index="11" ma:taxonomy="true" ma:internalName="EnterpriseRecordSeriesCodeTaxHTField0" ma:taxonomyFieldName="EnterpriseRecordSeriesCode" ma:displayName="Lilly Record Series Code" ma:readOnly="false" ma:default="1;#ADM130|70dc3311-3e76-421c-abfa-d108df48853c" ma:fieldId="{23eb9118-512f-4e30-ae67-b759512ccd2b}" ma:sspId="dc7d05db-9a88-43f7-9979-b3027636d983" ma:termSetId="596d0819-e4b3-4e25-8f9b-94317537e49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c7d05db-9a88-43f7-9979-b3027636d98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33648e8c-5399-4ce0-994e-2f4ddb1c4614">
      <Value>2</Value>
      <Value>1</Value>
    </TaxCatchAll>
    <EnterpriseDocumentLanguageTaxHTField0 xmlns="33648e8c-5399-4ce0-994e-2f4ddb1c4614">
      <Terms xmlns="http://schemas.microsoft.com/office/infopath/2007/PartnerControls">
        <TermInfo xmlns="http://schemas.microsoft.com/office/infopath/2007/PartnerControls">
          <TermName xmlns="http://schemas.microsoft.com/office/infopath/2007/PartnerControls">eng</TermName>
          <TermId xmlns="http://schemas.microsoft.com/office/infopath/2007/PartnerControls">39540796-0396-4e54-afe9-a602f28bbe8f</TermId>
        </TermInfo>
      </Terms>
    </EnterpriseDocumentLanguageTaxHTField0>
    <EnterpriseRecordSeriesCodeTaxHTField0 xmlns="33648e8c-5399-4ce0-994e-2f4ddb1c4614">
      <Terms xmlns="http://schemas.microsoft.com/office/infopath/2007/PartnerControls">
        <TermInfo xmlns="http://schemas.microsoft.com/office/infopath/2007/PartnerControls">
          <TermName xmlns="http://schemas.microsoft.com/office/infopath/2007/PartnerControls">ADM130</TermName>
          <TermId xmlns="http://schemas.microsoft.com/office/infopath/2007/PartnerControls">70dc3311-3e76-421c-abfa-d108df48853c</TermId>
        </TermInfo>
      </Terms>
    </EnterpriseRecordSeriesCodeTaxHTField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99476-C7C2-4CC9-ACF0-4216C323BE2D}">
  <ds:schemaRefs>
    <ds:schemaRef ds:uri="http://schemas.microsoft.com/sharepoint/v3/contenttype/forms"/>
  </ds:schemaRefs>
</ds:datastoreItem>
</file>

<file path=customXml/itemProps2.xml><?xml version="1.0" encoding="utf-8"?>
<ds:datastoreItem xmlns:ds="http://schemas.openxmlformats.org/officeDocument/2006/customXml" ds:itemID="{E9871B63-5E8E-4FF7-B636-8763063B9D5D}">
  <ds:schemaRefs>
    <ds:schemaRef ds:uri="http://schemas.microsoft.com/office/2006/metadata/longProperties"/>
  </ds:schemaRefs>
</ds:datastoreItem>
</file>

<file path=customXml/itemProps3.xml><?xml version="1.0" encoding="utf-8"?>
<ds:datastoreItem xmlns:ds="http://schemas.openxmlformats.org/officeDocument/2006/customXml" ds:itemID="{2BE306B0-FC72-400B-AC7A-0115A44E3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48e8c-5399-4ce0-994e-2f4ddb1c4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81BF0-91A8-4775-86F3-0966120BB116}">
  <ds:schemaRefs>
    <ds:schemaRef ds:uri="Microsoft.SharePoint.Taxonomy.ContentTypeSync"/>
  </ds:schemaRefs>
</ds:datastoreItem>
</file>

<file path=customXml/itemProps5.xml><?xml version="1.0" encoding="utf-8"?>
<ds:datastoreItem xmlns:ds="http://schemas.openxmlformats.org/officeDocument/2006/customXml" ds:itemID="{6072EFA0-1A86-4891-9978-798A615E3274}">
  <ds:schemaRefs>
    <ds:schemaRef ds:uri="http://purl.org/dc/elements/1.1/"/>
    <ds:schemaRef ds:uri="http://schemas.microsoft.com/office/2006/metadata/properties"/>
    <ds:schemaRef ds:uri="http://purl.org/dc/terms/"/>
    <ds:schemaRef ds:uri="33648e8c-5399-4ce0-994e-2f4ddb1c4614"/>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0F4511E8-630D-4163-9C98-323889F5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10409</Words>
  <Characters>56107</Characters>
  <Application>Microsoft Office Word</Application>
  <DocSecurity>0</DocSecurity>
  <Lines>1809</Lines>
  <Paragraphs>1231</Paragraphs>
  <ScaleCrop>false</ScaleCrop>
  <HeadingPairs>
    <vt:vector size="2" baseType="variant">
      <vt:variant>
        <vt:lpstr>Title</vt:lpstr>
      </vt:variant>
      <vt:variant>
        <vt:i4>1</vt:i4>
      </vt:variant>
    </vt:vector>
  </HeadingPairs>
  <TitlesOfParts>
    <vt:vector size="1" baseType="lpstr">
      <vt:lpstr>Attachment: Product Information for Ixekizumab</vt:lpstr>
    </vt:vector>
  </TitlesOfParts>
  <Company>Eli Lilly and Company</Company>
  <LinksUpToDate>false</LinksUpToDate>
  <CharactersWithSpaces>65285</CharactersWithSpaces>
  <SharedDoc>false</SharedDoc>
  <HLinks>
    <vt:vector size="36" baseType="variant">
      <vt:variant>
        <vt:i4>5898317</vt:i4>
      </vt:variant>
      <vt:variant>
        <vt:i4>21</vt:i4>
      </vt:variant>
      <vt:variant>
        <vt:i4>0</vt:i4>
      </vt:variant>
      <vt:variant>
        <vt:i4>5</vt:i4>
      </vt:variant>
      <vt:variant>
        <vt:lpwstr>http://www.tga.gov.au/reporting-problems</vt:lpwstr>
      </vt:variant>
      <vt:variant>
        <vt:lpwstr/>
      </vt:variant>
      <vt:variant>
        <vt:i4>7012431</vt:i4>
      </vt:variant>
      <vt:variant>
        <vt:i4>18</vt:i4>
      </vt:variant>
      <vt:variant>
        <vt:i4>0</vt:i4>
      </vt:variant>
      <vt:variant>
        <vt:i4>5</vt:i4>
      </vt:variant>
      <vt:variant>
        <vt:lpwstr/>
      </vt:variant>
      <vt:variant>
        <vt:lpwstr>_Infections</vt:lpwstr>
      </vt:variant>
      <vt:variant>
        <vt:i4>3276834</vt:i4>
      </vt:variant>
      <vt:variant>
        <vt:i4>15</vt:i4>
      </vt:variant>
      <vt:variant>
        <vt:i4>0</vt:i4>
      </vt:variant>
      <vt:variant>
        <vt:i4>5</vt:i4>
      </vt:variant>
      <vt:variant>
        <vt:lpwstr/>
      </vt:variant>
      <vt:variant>
        <vt:lpwstr>_Plaque_Psoriasis</vt:lpwstr>
      </vt:variant>
      <vt:variant>
        <vt:i4>571474030</vt:i4>
      </vt:variant>
      <vt:variant>
        <vt:i4>12</vt:i4>
      </vt:variant>
      <vt:variant>
        <vt:i4>0</vt:i4>
      </vt:variant>
      <vt:variant>
        <vt:i4>5</vt:i4>
      </vt:variant>
      <vt:variant>
        <vt:lpwstr/>
      </vt:variant>
      <vt:variant>
        <vt:lpwstr>_Elderly_Patients_(≥65</vt:lpwstr>
      </vt:variant>
      <vt:variant>
        <vt:i4>5505064</vt:i4>
      </vt:variant>
      <vt:variant>
        <vt:i4>9</vt:i4>
      </vt:variant>
      <vt:variant>
        <vt:i4>0</vt:i4>
      </vt:variant>
      <vt:variant>
        <vt:i4>5</vt:i4>
      </vt:variant>
      <vt:variant>
        <vt:lpwstr/>
      </vt:variant>
      <vt:variant>
        <vt:lpwstr>_Adverse_effects_(Undesirable</vt:lpwstr>
      </vt:variant>
      <vt:variant>
        <vt:i4>5898317</vt:i4>
      </vt:variant>
      <vt:variant>
        <vt:i4>0</vt:i4>
      </vt:variant>
      <vt:variant>
        <vt:i4>0</vt:i4>
      </vt:variant>
      <vt:variant>
        <vt:i4>5</vt:i4>
      </vt:variant>
      <vt:variant>
        <vt:lpwstr>http://www.tga.gov.au/reporting-problems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Ixekizumab</dc:title>
  <dc:subject>prescription medicines</dc:subject>
  <dc:creator>Felicia Ting</dc:creator>
  <cp:keywords/>
  <cp:lastModifiedBy>LACK, Janet</cp:lastModifiedBy>
  <cp:revision>2</cp:revision>
  <cp:lastPrinted>2020-03-01T23:27:00Z</cp:lastPrinted>
  <dcterms:created xsi:type="dcterms:W3CDTF">2020-07-06T05:46:00Z</dcterms:created>
  <dcterms:modified xsi:type="dcterms:W3CDTF">2020-07-06T05:46:00Z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erpriseRecordSeriesCode">
    <vt:lpwstr>1;#ADM130|70dc3311-3e76-421c-abfa-d108df48853c</vt:lpwstr>
  </property>
  <property fmtid="{D5CDD505-2E9C-101B-9397-08002B2CF9AE}" pid="3" name="EnterpriseDocumentLanguage">
    <vt:lpwstr>2;#eng|39540796-0396-4e54-afe9-a602f28bbe8f</vt:lpwstr>
  </property>
</Properties>
</file>