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1A34CC" w:rsidP="00096AA7">
            <w:pPr>
              <w:rPr>
                <w:rFonts w:ascii="Arial" w:hAnsi="Arial" w:cs="Arial"/>
                <w:b/>
                <w:color w:val="002C47"/>
                <w:sz w:val="36"/>
                <w:szCs w:val="36"/>
              </w:rPr>
            </w:pPr>
            <w:r>
              <w:rPr>
                <w:rFonts w:ascii="Arial" w:hAnsi="Arial" w:cs="Arial"/>
                <w:b/>
                <w:color w:val="002C47"/>
                <w:sz w:val="36"/>
                <w:szCs w:val="36"/>
              </w:rPr>
              <w:t>February</w:t>
            </w:r>
            <w:r w:rsidR="002D4F9B">
              <w:rPr>
                <w:rFonts w:ascii="Arial" w:hAnsi="Arial" w:cs="Arial"/>
                <w:b/>
                <w:color w:val="002C47"/>
                <w:sz w:val="36"/>
                <w:szCs w:val="36"/>
              </w:rPr>
              <w:t xml:space="preserve"> 2</w:t>
            </w:r>
            <w:r w:rsidR="00A07601">
              <w:rPr>
                <w:rFonts w:ascii="Arial" w:hAnsi="Arial" w:cs="Arial"/>
                <w:b/>
                <w:color w:val="002C47"/>
                <w:sz w:val="36"/>
                <w:szCs w:val="36"/>
              </w:rPr>
              <w:t>0</w:t>
            </w:r>
            <w:r w:rsidR="00460A2D">
              <w:rPr>
                <w:rFonts w:ascii="Arial" w:hAnsi="Arial" w:cs="Arial"/>
                <w:b/>
                <w:color w:val="002C47"/>
                <w:sz w:val="36"/>
                <w:szCs w:val="36"/>
              </w:rPr>
              <w:t>14</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rPr>
            </w:pPr>
            <w:r w:rsidRPr="00A964D1">
              <w:rPr>
                <w:color w:val="FFFFFF"/>
              </w:rPr>
              <w:t>Australian Pu</w:t>
            </w:r>
            <w:r w:rsidR="00DF4034">
              <w:rPr>
                <w:color w:val="FFFFFF"/>
              </w:rPr>
              <w:t xml:space="preserve">blic Assessment Report for </w:t>
            </w:r>
            <w:bookmarkStart w:id="0" w:name="_GoBack"/>
            <w:r w:rsidR="00DF4034" w:rsidRPr="00DF4034">
              <w:rPr>
                <w:color w:val="FFFFFF"/>
              </w:rPr>
              <w:t>Japanese Encephalitis Vaccine (live, attenuated)</w:t>
            </w:r>
            <w:bookmarkEnd w:id="0"/>
          </w:p>
        </w:tc>
      </w:tr>
      <w:tr w:rsidR="0032583B" w:rsidRPr="00B64760" w:rsidTr="0032583B">
        <w:tc>
          <w:tcPr>
            <w:tcW w:w="9079" w:type="dxa"/>
          </w:tcPr>
          <w:p w:rsidR="0032583B" w:rsidRPr="008E7846" w:rsidRDefault="00DF4034" w:rsidP="0032583B">
            <w:pPr>
              <w:pStyle w:val="Subtitle"/>
              <w:rPr>
                <w:color w:val="FFFFFF"/>
              </w:rPr>
            </w:pPr>
            <w:r>
              <w:rPr>
                <w:color w:val="FFFFFF"/>
              </w:rPr>
              <w:t xml:space="preserve">Proprietary Product Name: </w:t>
            </w:r>
            <w:proofErr w:type="spellStart"/>
            <w:r>
              <w:rPr>
                <w:color w:val="FFFFFF"/>
              </w:rPr>
              <w:t>Imojev</w:t>
            </w:r>
            <w:proofErr w:type="spellEnd"/>
          </w:p>
        </w:tc>
      </w:tr>
      <w:tr w:rsidR="0032583B" w:rsidRPr="00B64760" w:rsidTr="0032583B">
        <w:trPr>
          <w:trHeight w:val="486"/>
        </w:trPr>
        <w:tc>
          <w:tcPr>
            <w:tcW w:w="9079" w:type="dxa"/>
          </w:tcPr>
          <w:p w:rsidR="0032583B" w:rsidRPr="008E7846" w:rsidRDefault="00DF4034" w:rsidP="00DF4034">
            <w:pPr>
              <w:pStyle w:val="Subtitle"/>
              <w:rPr>
                <w:color w:val="FFFFFF"/>
              </w:rPr>
            </w:pPr>
            <w:r>
              <w:rPr>
                <w:color w:val="FFFFFF"/>
              </w:rPr>
              <w:t>Sponsor: S</w:t>
            </w:r>
            <w:r w:rsidRPr="00DF4034">
              <w:rPr>
                <w:color w:val="FFFFFF"/>
              </w:rPr>
              <w:t>anofi-</w:t>
            </w:r>
            <w:r>
              <w:rPr>
                <w:color w:val="FFFFFF"/>
              </w:rPr>
              <w:t>A</w:t>
            </w:r>
            <w:r w:rsidRPr="00DF4034">
              <w:rPr>
                <w:color w:val="FFFFFF"/>
              </w:rPr>
              <w:t>ventis Australia Pty Ltd</w:t>
            </w:r>
          </w:p>
        </w:tc>
      </w:tr>
    </w:tbl>
    <w:p w:rsidR="008E7846" w:rsidRPr="001F6CBA" w:rsidRDefault="008E7846" w:rsidP="008E7846">
      <w:pPr>
        <w:pStyle w:val="NonTOCHeading2"/>
      </w:pPr>
      <w:r>
        <w:br w:type="page"/>
      </w: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9" w:history="1">
        <w:r w:rsidR="00EC7A85" w:rsidRPr="003A5406">
          <w:rPr>
            <w:rStyle w:val="Hyperlink"/>
          </w:rPr>
          <w:t>http://www.tga.gov.au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8E7846">
      <w:pPr>
        <w:pStyle w:val="ListBullet"/>
        <w:numPr>
          <w:ilvl w:val="0"/>
          <w:numId w:val="3"/>
        </w:numPr>
        <w:ind w:left="357" w:hanging="357"/>
      </w:pPr>
      <w:r>
        <w:t>An Australian Public Assessment Record (</w:t>
      </w:r>
      <w:proofErr w:type="spellStart"/>
      <w:r>
        <w:t>AusPAR</w:t>
      </w:r>
      <w:proofErr w:type="spellEnd"/>
      <w:r>
        <w:t>) provides information about the evaluation of a prescription medicine and the considerations that led the TGA to approve or not approve a prescription medicine submis</w:t>
      </w:r>
      <w:r w:rsidR="003F5153">
        <w:t>sion.</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1C369D">
        <w:rPr>
          <w:rFonts w:cs="Arial"/>
          <w:lang w:val="en-GB"/>
        </w:rPr>
        <w:t>4</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p w:rsidR="0089635C" w:rsidRPr="0089635C" w:rsidRDefault="0089635C" w:rsidP="0010788A">
      <w:pPr>
        <w:pStyle w:val="Contents"/>
      </w:pPr>
      <w:bookmarkStart w:id="1" w:name="_Toc247691501"/>
      <w:bookmarkStart w:id="2" w:name="_Toc196046425"/>
      <w:r w:rsidRPr="0010788A">
        <w:lastRenderedPageBreak/>
        <w:t>Contents</w:t>
      </w:r>
    </w:p>
    <w:p w:rsidR="00233607" w:rsidRDefault="00621C2E">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83010129" w:history="1">
        <w:r w:rsidR="00233607" w:rsidRPr="004457CE">
          <w:rPr>
            <w:rStyle w:val="Hyperlink"/>
            <w:noProof/>
          </w:rPr>
          <w:t>I. Introduction to product submission</w:t>
        </w:r>
        <w:r w:rsidR="00233607">
          <w:rPr>
            <w:noProof/>
            <w:webHidden/>
          </w:rPr>
          <w:tab/>
        </w:r>
        <w:r w:rsidR="00233607">
          <w:rPr>
            <w:noProof/>
            <w:webHidden/>
          </w:rPr>
          <w:fldChar w:fldCharType="begin"/>
        </w:r>
        <w:r w:rsidR="00233607">
          <w:rPr>
            <w:noProof/>
            <w:webHidden/>
          </w:rPr>
          <w:instrText xml:space="preserve"> PAGEREF _Toc383010129 \h </w:instrText>
        </w:r>
        <w:r w:rsidR="00233607">
          <w:rPr>
            <w:noProof/>
            <w:webHidden/>
          </w:rPr>
        </w:r>
        <w:r w:rsidR="00233607">
          <w:rPr>
            <w:noProof/>
            <w:webHidden/>
          </w:rPr>
          <w:fldChar w:fldCharType="separate"/>
        </w:r>
        <w:r w:rsidR="00233607">
          <w:rPr>
            <w:noProof/>
            <w:webHidden/>
          </w:rPr>
          <w:t>4</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30" w:history="1">
        <w:r w:rsidR="00233607" w:rsidRPr="004457CE">
          <w:rPr>
            <w:rStyle w:val="Hyperlink"/>
            <w:noProof/>
          </w:rPr>
          <w:t>Submission</w:t>
        </w:r>
        <w:r w:rsidR="00233607" w:rsidRPr="004457CE">
          <w:rPr>
            <w:rStyle w:val="Hyperlink"/>
            <w:noProof/>
            <w:lang w:eastAsia="en-AU"/>
          </w:rPr>
          <w:t xml:space="preserve"> details</w:t>
        </w:r>
        <w:r w:rsidR="00233607">
          <w:rPr>
            <w:noProof/>
            <w:webHidden/>
          </w:rPr>
          <w:tab/>
        </w:r>
        <w:r w:rsidR="00233607">
          <w:rPr>
            <w:noProof/>
            <w:webHidden/>
          </w:rPr>
          <w:fldChar w:fldCharType="begin"/>
        </w:r>
        <w:r w:rsidR="00233607">
          <w:rPr>
            <w:noProof/>
            <w:webHidden/>
          </w:rPr>
          <w:instrText xml:space="preserve"> PAGEREF _Toc383010130 \h </w:instrText>
        </w:r>
        <w:r w:rsidR="00233607">
          <w:rPr>
            <w:noProof/>
            <w:webHidden/>
          </w:rPr>
        </w:r>
        <w:r w:rsidR="00233607">
          <w:rPr>
            <w:noProof/>
            <w:webHidden/>
          </w:rPr>
          <w:fldChar w:fldCharType="separate"/>
        </w:r>
        <w:r w:rsidR="00233607">
          <w:rPr>
            <w:noProof/>
            <w:webHidden/>
          </w:rPr>
          <w:t>4</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31" w:history="1">
        <w:r w:rsidR="00233607" w:rsidRPr="004457CE">
          <w:rPr>
            <w:rStyle w:val="Hyperlink"/>
            <w:noProof/>
          </w:rPr>
          <w:t>Product background</w:t>
        </w:r>
        <w:r w:rsidR="00233607">
          <w:rPr>
            <w:noProof/>
            <w:webHidden/>
          </w:rPr>
          <w:tab/>
        </w:r>
        <w:r w:rsidR="00233607">
          <w:rPr>
            <w:noProof/>
            <w:webHidden/>
          </w:rPr>
          <w:fldChar w:fldCharType="begin"/>
        </w:r>
        <w:r w:rsidR="00233607">
          <w:rPr>
            <w:noProof/>
            <w:webHidden/>
          </w:rPr>
          <w:instrText xml:space="preserve"> PAGEREF _Toc383010131 \h </w:instrText>
        </w:r>
        <w:r w:rsidR="00233607">
          <w:rPr>
            <w:noProof/>
            <w:webHidden/>
          </w:rPr>
        </w:r>
        <w:r w:rsidR="00233607">
          <w:rPr>
            <w:noProof/>
            <w:webHidden/>
          </w:rPr>
          <w:fldChar w:fldCharType="separate"/>
        </w:r>
        <w:r w:rsidR="00233607">
          <w:rPr>
            <w:noProof/>
            <w:webHidden/>
          </w:rPr>
          <w:t>4</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32" w:history="1">
        <w:r w:rsidR="00233607" w:rsidRPr="004457CE">
          <w:rPr>
            <w:rStyle w:val="Hyperlink"/>
            <w:noProof/>
          </w:rPr>
          <w:t>Regulatory status</w:t>
        </w:r>
        <w:r w:rsidR="00233607">
          <w:rPr>
            <w:noProof/>
            <w:webHidden/>
          </w:rPr>
          <w:tab/>
        </w:r>
        <w:r w:rsidR="00233607">
          <w:rPr>
            <w:noProof/>
            <w:webHidden/>
          </w:rPr>
          <w:fldChar w:fldCharType="begin"/>
        </w:r>
        <w:r w:rsidR="00233607">
          <w:rPr>
            <w:noProof/>
            <w:webHidden/>
          </w:rPr>
          <w:instrText xml:space="preserve"> PAGEREF _Toc383010132 \h </w:instrText>
        </w:r>
        <w:r w:rsidR="00233607">
          <w:rPr>
            <w:noProof/>
            <w:webHidden/>
          </w:rPr>
        </w:r>
        <w:r w:rsidR="00233607">
          <w:rPr>
            <w:noProof/>
            <w:webHidden/>
          </w:rPr>
          <w:fldChar w:fldCharType="separate"/>
        </w:r>
        <w:r w:rsidR="00233607">
          <w:rPr>
            <w:noProof/>
            <w:webHidden/>
          </w:rPr>
          <w:t>6</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33" w:history="1">
        <w:r w:rsidR="00233607" w:rsidRPr="004457CE">
          <w:rPr>
            <w:rStyle w:val="Hyperlink"/>
            <w:noProof/>
          </w:rPr>
          <w:t>Product Information</w:t>
        </w:r>
        <w:r w:rsidR="00233607">
          <w:rPr>
            <w:noProof/>
            <w:webHidden/>
          </w:rPr>
          <w:tab/>
        </w:r>
        <w:r w:rsidR="00233607">
          <w:rPr>
            <w:noProof/>
            <w:webHidden/>
          </w:rPr>
          <w:fldChar w:fldCharType="begin"/>
        </w:r>
        <w:r w:rsidR="00233607">
          <w:rPr>
            <w:noProof/>
            <w:webHidden/>
          </w:rPr>
          <w:instrText xml:space="preserve"> PAGEREF _Toc383010133 \h </w:instrText>
        </w:r>
        <w:r w:rsidR="00233607">
          <w:rPr>
            <w:noProof/>
            <w:webHidden/>
          </w:rPr>
        </w:r>
        <w:r w:rsidR="00233607">
          <w:rPr>
            <w:noProof/>
            <w:webHidden/>
          </w:rPr>
          <w:fldChar w:fldCharType="separate"/>
        </w:r>
        <w:r w:rsidR="00233607">
          <w:rPr>
            <w:noProof/>
            <w:webHidden/>
          </w:rPr>
          <w:t>6</w:t>
        </w:r>
        <w:r w:rsidR="00233607">
          <w:rPr>
            <w:noProof/>
            <w:webHidden/>
          </w:rPr>
          <w:fldChar w:fldCharType="end"/>
        </w:r>
      </w:hyperlink>
    </w:p>
    <w:p w:rsidR="00233607" w:rsidRDefault="00FC2262">
      <w:pPr>
        <w:pStyle w:val="TOC2"/>
        <w:rPr>
          <w:rFonts w:asciiTheme="minorHAnsi" w:eastAsiaTheme="minorEastAsia" w:hAnsiTheme="minorHAnsi" w:cstheme="minorBidi"/>
          <w:b w:val="0"/>
          <w:noProof/>
          <w:sz w:val="22"/>
          <w:lang w:eastAsia="en-AU"/>
        </w:rPr>
      </w:pPr>
      <w:hyperlink w:anchor="_Toc383010134" w:history="1">
        <w:r w:rsidR="00233607" w:rsidRPr="004457CE">
          <w:rPr>
            <w:rStyle w:val="Hyperlink"/>
            <w:noProof/>
          </w:rPr>
          <w:t>II. Quality findings</w:t>
        </w:r>
        <w:r w:rsidR="00233607">
          <w:rPr>
            <w:noProof/>
            <w:webHidden/>
          </w:rPr>
          <w:tab/>
        </w:r>
        <w:r w:rsidR="00233607">
          <w:rPr>
            <w:noProof/>
            <w:webHidden/>
          </w:rPr>
          <w:fldChar w:fldCharType="begin"/>
        </w:r>
        <w:r w:rsidR="00233607">
          <w:rPr>
            <w:noProof/>
            <w:webHidden/>
          </w:rPr>
          <w:instrText xml:space="preserve"> PAGEREF _Toc383010134 \h </w:instrText>
        </w:r>
        <w:r w:rsidR="00233607">
          <w:rPr>
            <w:noProof/>
            <w:webHidden/>
          </w:rPr>
        </w:r>
        <w:r w:rsidR="00233607">
          <w:rPr>
            <w:noProof/>
            <w:webHidden/>
          </w:rPr>
          <w:fldChar w:fldCharType="separate"/>
        </w:r>
        <w:r w:rsidR="00233607">
          <w:rPr>
            <w:noProof/>
            <w:webHidden/>
          </w:rPr>
          <w:t>6</w:t>
        </w:r>
        <w:r w:rsidR="00233607">
          <w:rPr>
            <w:noProof/>
            <w:webHidden/>
          </w:rPr>
          <w:fldChar w:fldCharType="end"/>
        </w:r>
      </w:hyperlink>
    </w:p>
    <w:p w:rsidR="00233607" w:rsidRDefault="00FC2262">
      <w:pPr>
        <w:pStyle w:val="TOC2"/>
        <w:rPr>
          <w:rFonts w:asciiTheme="minorHAnsi" w:eastAsiaTheme="minorEastAsia" w:hAnsiTheme="minorHAnsi" w:cstheme="minorBidi"/>
          <w:b w:val="0"/>
          <w:noProof/>
          <w:sz w:val="22"/>
          <w:lang w:eastAsia="en-AU"/>
        </w:rPr>
      </w:pPr>
      <w:hyperlink w:anchor="_Toc383010135" w:history="1">
        <w:r w:rsidR="00233607" w:rsidRPr="004457CE">
          <w:rPr>
            <w:rStyle w:val="Hyperlink"/>
            <w:noProof/>
          </w:rPr>
          <w:t>III. Nonclinical findings</w:t>
        </w:r>
        <w:r w:rsidR="00233607">
          <w:rPr>
            <w:noProof/>
            <w:webHidden/>
          </w:rPr>
          <w:tab/>
        </w:r>
        <w:r w:rsidR="00233607">
          <w:rPr>
            <w:noProof/>
            <w:webHidden/>
          </w:rPr>
          <w:fldChar w:fldCharType="begin"/>
        </w:r>
        <w:r w:rsidR="00233607">
          <w:rPr>
            <w:noProof/>
            <w:webHidden/>
          </w:rPr>
          <w:instrText xml:space="preserve"> PAGEREF _Toc383010135 \h </w:instrText>
        </w:r>
        <w:r w:rsidR="00233607">
          <w:rPr>
            <w:noProof/>
            <w:webHidden/>
          </w:rPr>
        </w:r>
        <w:r w:rsidR="00233607">
          <w:rPr>
            <w:noProof/>
            <w:webHidden/>
          </w:rPr>
          <w:fldChar w:fldCharType="separate"/>
        </w:r>
        <w:r w:rsidR="00233607">
          <w:rPr>
            <w:noProof/>
            <w:webHidden/>
          </w:rPr>
          <w:t>6</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36" w:history="1">
        <w:r w:rsidR="00233607" w:rsidRPr="004457CE">
          <w:rPr>
            <w:rStyle w:val="Hyperlink"/>
            <w:noProof/>
          </w:rPr>
          <w:t>Nonclinical summary and conclusions</w:t>
        </w:r>
        <w:r w:rsidR="00233607">
          <w:rPr>
            <w:noProof/>
            <w:webHidden/>
          </w:rPr>
          <w:tab/>
        </w:r>
        <w:r w:rsidR="00233607">
          <w:rPr>
            <w:noProof/>
            <w:webHidden/>
          </w:rPr>
          <w:fldChar w:fldCharType="begin"/>
        </w:r>
        <w:r w:rsidR="00233607">
          <w:rPr>
            <w:noProof/>
            <w:webHidden/>
          </w:rPr>
          <w:instrText xml:space="preserve"> PAGEREF _Toc383010136 \h </w:instrText>
        </w:r>
        <w:r w:rsidR="00233607">
          <w:rPr>
            <w:noProof/>
            <w:webHidden/>
          </w:rPr>
        </w:r>
        <w:r w:rsidR="00233607">
          <w:rPr>
            <w:noProof/>
            <w:webHidden/>
          </w:rPr>
          <w:fldChar w:fldCharType="separate"/>
        </w:r>
        <w:r w:rsidR="00233607">
          <w:rPr>
            <w:noProof/>
            <w:webHidden/>
          </w:rPr>
          <w:t>8</w:t>
        </w:r>
        <w:r w:rsidR="00233607">
          <w:rPr>
            <w:noProof/>
            <w:webHidden/>
          </w:rPr>
          <w:fldChar w:fldCharType="end"/>
        </w:r>
      </w:hyperlink>
    </w:p>
    <w:p w:rsidR="00233607" w:rsidRDefault="00FC2262">
      <w:pPr>
        <w:pStyle w:val="TOC2"/>
        <w:rPr>
          <w:rFonts w:asciiTheme="minorHAnsi" w:eastAsiaTheme="minorEastAsia" w:hAnsiTheme="minorHAnsi" w:cstheme="minorBidi"/>
          <w:b w:val="0"/>
          <w:noProof/>
          <w:sz w:val="22"/>
          <w:lang w:eastAsia="en-AU"/>
        </w:rPr>
      </w:pPr>
      <w:hyperlink w:anchor="_Toc383010137" w:history="1">
        <w:r w:rsidR="00233607" w:rsidRPr="004457CE">
          <w:rPr>
            <w:rStyle w:val="Hyperlink"/>
            <w:noProof/>
          </w:rPr>
          <w:t>IV. Clinical findings</w:t>
        </w:r>
        <w:r w:rsidR="00233607">
          <w:rPr>
            <w:noProof/>
            <w:webHidden/>
          </w:rPr>
          <w:tab/>
        </w:r>
        <w:r w:rsidR="00233607">
          <w:rPr>
            <w:noProof/>
            <w:webHidden/>
          </w:rPr>
          <w:fldChar w:fldCharType="begin"/>
        </w:r>
        <w:r w:rsidR="00233607">
          <w:rPr>
            <w:noProof/>
            <w:webHidden/>
          </w:rPr>
          <w:instrText xml:space="preserve"> PAGEREF _Toc383010137 \h </w:instrText>
        </w:r>
        <w:r w:rsidR="00233607">
          <w:rPr>
            <w:noProof/>
            <w:webHidden/>
          </w:rPr>
        </w:r>
        <w:r w:rsidR="00233607">
          <w:rPr>
            <w:noProof/>
            <w:webHidden/>
          </w:rPr>
          <w:fldChar w:fldCharType="separate"/>
        </w:r>
        <w:r w:rsidR="00233607">
          <w:rPr>
            <w:noProof/>
            <w:webHidden/>
          </w:rPr>
          <w:t>9</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38" w:history="1">
        <w:r w:rsidR="00233607" w:rsidRPr="004457CE">
          <w:rPr>
            <w:rStyle w:val="Hyperlink"/>
            <w:noProof/>
          </w:rPr>
          <w:t>Introduction</w:t>
        </w:r>
        <w:r w:rsidR="00233607">
          <w:rPr>
            <w:noProof/>
            <w:webHidden/>
          </w:rPr>
          <w:tab/>
        </w:r>
        <w:r w:rsidR="00233607">
          <w:rPr>
            <w:noProof/>
            <w:webHidden/>
          </w:rPr>
          <w:fldChar w:fldCharType="begin"/>
        </w:r>
        <w:r w:rsidR="00233607">
          <w:rPr>
            <w:noProof/>
            <w:webHidden/>
          </w:rPr>
          <w:instrText xml:space="preserve"> PAGEREF _Toc383010138 \h </w:instrText>
        </w:r>
        <w:r w:rsidR="00233607">
          <w:rPr>
            <w:noProof/>
            <w:webHidden/>
          </w:rPr>
        </w:r>
        <w:r w:rsidR="00233607">
          <w:rPr>
            <w:noProof/>
            <w:webHidden/>
          </w:rPr>
          <w:fldChar w:fldCharType="separate"/>
        </w:r>
        <w:r w:rsidR="00233607">
          <w:rPr>
            <w:noProof/>
            <w:webHidden/>
          </w:rPr>
          <w:t>9</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39" w:history="1">
        <w:r w:rsidR="00233607" w:rsidRPr="004457CE">
          <w:rPr>
            <w:rStyle w:val="Hyperlink"/>
            <w:noProof/>
          </w:rPr>
          <w:t>Pharmacokinetics</w:t>
        </w:r>
        <w:r w:rsidR="00233607">
          <w:rPr>
            <w:noProof/>
            <w:webHidden/>
          </w:rPr>
          <w:tab/>
        </w:r>
        <w:r w:rsidR="00233607">
          <w:rPr>
            <w:noProof/>
            <w:webHidden/>
          </w:rPr>
          <w:fldChar w:fldCharType="begin"/>
        </w:r>
        <w:r w:rsidR="00233607">
          <w:rPr>
            <w:noProof/>
            <w:webHidden/>
          </w:rPr>
          <w:instrText xml:space="preserve"> PAGEREF _Toc383010139 \h </w:instrText>
        </w:r>
        <w:r w:rsidR="00233607">
          <w:rPr>
            <w:noProof/>
            <w:webHidden/>
          </w:rPr>
        </w:r>
        <w:r w:rsidR="00233607">
          <w:rPr>
            <w:noProof/>
            <w:webHidden/>
          </w:rPr>
          <w:fldChar w:fldCharType="separate"/>
        </w:r>
        <w:r w:rsidR="00233607">
          <w:rPr>
            <w:noProof/>
            <w:webHidden/>
          </w:rPr>
          <w:t>10</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40" w:history="1">
        <w:r w:rsidR="00233607" w:rsidRPr="004457CE">
          <w:rPr>
            <w:rStyle w:val="Hyperlink"/>
            <w:noProof/>
          </w:rPr>
          <w:t>Pharmacodynamics</w:t>
        </w:r>
        <w:r w:rsidR="00233607">
          <w:rPr>
            <w:noProof/>
            <w:webHidden/>
          </w:rPr>
          <w:tab/>
        </w:r>
        <w:r w:rsidR="00233607">
          <w:rPr>
            <w:noProof/>
            <w:webHidden/>
          </w:rPr>
          <w:fldChar w:fldCharType="begin"/>
        </w:r>
        <w:r w:rsidR="00233607">
          <w:rPr>
            <w:noProof/>
            <w:webHidden/>
          </w:rPr>
          <w:instrText xml:space="preserve"> PAGEREF _Toc383010140 \h </w:instrText>
        </w:r>
        <w:r w:rsidR="00233607">
          <w:rPr>
            <w:noProof/>
            <w:webHidden/>
          </w:rPr>
        </w:r>
        <w:r w:rsidR="00233607">
          <w:rPr>
            <w:noProof/>
            <w:webHidden/>
          </w:rPr>
          <w:fldChar w:fldCharType="separate"/>
        </w:r>
        <w:r w:rsidR="00233607">
          <w:rPr>
            <w:noProof/>
            <w:webHidden/>
          </w:rPr>
          <w:t>10</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41" w:history="1">
        <w:r w:rsidR="00233607" w:rsidRPr="004457CE">
          <w:rPr>
            <w:rStyle w:val="Hyperlink"/>
            <w:noProof/>
          </w:rPr>
          <w:t>Efficacy</w:t>
        </w:r>
        <w:r w:rsidR="00233607">
          <w:rPr>
            <w:noProof/>
            <w:webHidden/>
          </w:rPr>
          <w:tab/>
        </w:r>
        <w:r w:rsidR="00233607">
          <w:rPr>
            <w:noProof/>
            <w:webHidden/>
          </w:rPr>
          <w:fldChar w:fldCharType="begin"/>
        </w:r>
        <w:r w:rsidR="00233607">
          <w:rPr>
            <w:noProof/>
            <w:webHidden/>
          </w:rPr>
          <w:instrText xml:space="preserve"> PAGEREF _Toc383010141 \h </w:instrText>
        </w:r>
        <w:r w:rsidR="00233607">
          <w:rPr>
            <w:noProof/>
            <w:webHidden/>
          </w:rPr>
        </w:r>
        <w:r w:rsidR="00233607">
          <w:rPr>
            <w:noProof/>
            <w:webHidden/>
          </w:rPr>
          <w:fldChar w:fldCharType="separate"/>
        </w:r>
        <w:r w:rsidR="00233607">
          <w:rPr>
            <w:noProof/>
            <w:webHidden/>
          </w:rPr>
          <w:t>11</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42" w:history="1">
        <w:r w:rsidR="00233607" w:rsidRPr="004457CE">
          <w:rPr>
            <w:rStyle w:val="Hyperlink"/>
            <w:noProof/>
          </w:rPr>
          <w:t>Safety</w:t>
        </w:r>
        <w:r w:rsidR="00233607">
          <w:rPr>
            <w:noProof/>
            <w:webHidden/>
          </w:rPr>
          <w:tab/>
        </w:r>
        <w:r w:rsidR="00233607">
          <w:rPr>
            <w:noProof/>
            <w:webHidden/>
          </w:rPr>
          <w:fldChar w:fldCharType="begin"/>
        </w:r>
        <w:r w:rsidR="00233607">
          <w:rPr>
            <w:noProof/>
            <w:webHidden/>
          </w:rPr>
          <w:instrText xml:space="preserve"> PAGEREF _Toc383010142 \h </w:instrText>
        </w:r>
        <w:r w:rsidR="00233607">
          <w:rPr>
            <w:noProof/>
            <w:webHidden/>
          </w:rPr>
        </w:r>
        <w:r w:rsidR="00233607">
          <w:rPr>
            <w:noProof/>
            <w:webHidden/>
          </w:rPr>
          <w:fldChar w:fldCharType="separate"/>
        </w:r>
        <w:r w:rsidR="00233607">
          <w:rPr>
            <w:noProof/>
            <w:webHidden/>
          </w:rPr>
          <w:t>13</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43" w:history="1">
        <w:r w:rsidR="00233607" w:rsidRPr="004457CE">
          <w:rPr>
            <w:rStyle w:val="Hyperlink"/>
            <w:noProof/>
          </w:rPr>
          <w:t>Clinical summary and conclusions</w:t>
        </w:r>
        <w:r w:rsidR="00233607">
          <w:rPr>
            <w:noProof/>
            <w:webHidden/>
          </w:rPr>
          <w:tab/>
        </w:r>
        <w:r w:rsidR="00233607">
          <w:rPr>
            <w:noProof/>
            <w:webHidden/>
          </w:rPr>
          <w:fldChar w:fldCharType="begin"/>
        </w:r>
        <w:r w:rsidR="00233607">
          <w:rPr>
            <w:noProof/>
            <w:webHidden/>
          </w:rPr>
          <w:instrText xml:space="preserve"> PAGEREF _Toc383010143 \h </w:instrText>
        </w:r>
        <w:r w:rsidR="00233607">
          <w:rPr>
            <w:noProof/>
            <w:webHidden/>
          </w:rPr>
        </w:r>
        <w:r w:rsidR="00233607">
          <w:rPr>
            <w:noProof/>
            <w:webHidden/>
          </w:rPr>
          <w:fldChar w:fldCharType="separate"/>
        </w:r>
        <w:r w:rsidR="00233607">
          <w:rPr>
            <w:noProof/>
            <w:webHidden/>
          </w:rPr>
          <w:t>13</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44" w:history="1">
        <w:r w:rsidR="00233607" w:rsidRPr="004457CE">
          <w:rPr>
            <w:rStyle w:val="Hyperlink"/>
            <w:noProof/>
          </w:rPr>
          <w:t>List of questions</w:t>
        </w:r>
        <w:r w:rsidR="00233607">
          <w:rPr>
            <w:noProof/>
            <w:webHidden/>
          </w:rPr>
          <w:tab/>
        </w:r>
        <w:r w:rsidR="00233607">
          <w:rPr>
            <w:noProof/>
            <w:webHidden/>
          </w:rPr>
          <w:fldChar w:fldCharType="begin"/>
        </w:r>
        <w:r w:rsidR="00233607">
          <w:rPr>
            <w:noProof/>
            <w:webHidden/>
          </w:rPr>
          <w:instrText xml:space="preserve"> PAGEREF _Toc383010144 \h </w:instrText>
        </w:r>
        <w:r w:rsidR="00233607">
          <w:rPr>
            <w:noProof/>
            <w:webHidden/>
          </w:rPr>
        </w:r>
        <w:r w:rsidR="00233607">
          <w:rPr>
            <w:noProof/>
            <w:webHidden/>
          </w:rPr>
          <w:fldChar w:fldCharType="separate"/>
        </w:r>
        <w:r w:rsidR="00233607">
          <w:rPr>
            <w:noProof/>
            <w:webHidden/>
          </w:rPr>
          <w:t>14</w:t>
        </w:r>
        <w:r w:rsidR="00233607">
          <w:rPr>
            <w:noProof/>
            <w:webHidden/>
          </w:rPr>
          <w:fldChar w:fldCharType="end"/>
        </w:r>
      </w:hyperlink>
    </w:p>
    <w:p w:rsidR="00233607" w:rsidRDefault="00FC2262">
      <w:pPr>
        <w:pStyle w:val="TOC2"/>
        <w:rPr>
          <w:rFonts w:asciiTheme="minorHAnsi" w:eastAsiaTheme="minorEastAsia" w:hAnsiTheme="minorHAnsi" w:cstheme="minorBidi"/>
          <w:b w:val="0"/>
          <w:noProof/>
          <w:sz w:val="22"/>
          <w:lang w:eastAsia="en-AU"/>
        </w:rPr>
      </w:pPr>
      <w:hyperlink w:anchor="_Toc383010145" w:history="1">
        <w:r w:rsidR="00233607" w:rsidRPr="004457CE">
          <w:rPr>
            <w:rStyle w:val="Hyperlink"/>
            <w:noProof/>
          </w:rPr>
          <w:t>V. Pharmacovigilance findings</w:t>
        </w:r>
        <w:r w:rsidR="00233607">
          <w:rPr>
            <w:noProof/>
            <w:webHidden/>
          </w:rPr>
          <w:tab/>
        </w:r>
        <w:r w:rsidR="00233607">
          <w:rPr>
            <w:noProof/>
            <w:webHidden/>
          </w:rPr>
          <w:fldChar w:fldCharType="begin"/>
        </w:r>
        <w:r w:rsidR="00233607">
          <w:rPr>
            <w:noProof/>
            <w:webHidden/>
          </w:rPr>
          <w:instrText xml:space="preserve"> PAGEREF _Toc383010145 \h </w:instrText>
        </w:r>
        <w:r w:rsidR="00233607">
          <w:rPr>
            <w:noProof/>
            <w:webHidden/>
          </w:rPr>
        </w:r>
        <w:r w:rsidR="00233607">
          <w:rPr>
            <w:noProof/>
            <w:webHidden/>
          </w:rPr>
          <w:fldChar w:fldCharType="separate"/>
        </w:r>
        <w:r w:rsidR="00233607">
          <w:rPr>
            <w:noProof/>
            <w:webHidden/>
          </w:rPr>
          <w:t>14</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46" w:history="1">
        <w:r w:rsidR="00233607" w:rsidRPr="004457CE">
          <w:rPr>
            <w:rStyle w:val="Hyperlink"/>
            <w:noProof/>
            <w:lang w:eastAsia="en-AU"/>
          </w:rPr>
          <w:t>Risk management plan</w:t>
        </w:r>
        <w:r w:rsidR="00233607">
          <w:rPr>
            <w:noProof/>
            <w:webHidden/>
          </w:rPr>
          <w:tab/>
        </w:r>
        <w:r w:rsidR="00233607">
          <w:rPr>
            <w:noProof/>
            <w:webHidden/>
          </w:rPr>
          <w:fldChar w:fldCharType="begin"/>
        </w:r>
        <w:r w:rsidR="00233607">
          <w:rPr>
            <w:noProof/>
            <w:webHidden/>
          </w:rPr>
          <w:instrText xml:space="preserve"> PAGEREF _Toc383010146 \h </w:instrText>
        </w:r>
        <w:r w:rsidR="00233607">
          <w:rPr>
            <w:noProof/>
            <w:webHidden/>
          </w:rPr>
        </w:r>
        <w:r w:rsidR="00233607">
          <w:rPr>
            <w:noProof/>
            <w:webHidden/>
          </w:rPr>
          <w:fldChar w:fldCharType="separate"/>
        </w:r>
        <w:r w:rsidR="00233607">
          <w:rPr>
            <w:noProof/>
            <w:webHidden/>
          </w:rPr>
          <w:t>14</w:t>
        </w:r>
        <w:r w:rsidR="00233607">
          <w:rPr>
            <w:noProof/>
            <w:webHidden/>
          </w:rPr>
          <w:fldChar w:fldCharType="end"/>
        </w:r>
      </w:hyperlink>
    </w:p>
    <w:p w:rsidR="00233607" w:rsidRDefault="00FC2262">
      <w:pPr>
        <w:pStyle w:val="TOC2"/>
        <w:rPr>
          <w:rFonts w:asciiTheme="minorHAnsi" w:eastAsiaTheme="minorEastAsia" w:hAnsiTheme="minorHAnsi" w:cstheme="minorBidi"/>
          <w:b w:val="0"/>
          <w:noProof/>
          <w:sz w:val="22"/>
          <w:lang w:eastAsia="en-AU"/>
        </w:rPr>
      </w:pPr>
      <w:hyperlink w:anchor="_Toc383010147" w:history="1">
        <w:r w:rsidR="00233607" w:rsidRPr="004457CE">
          <w:rPr>
            <w:rStyle w:val="Hyperlink"/>
            <w:noProof/>
          </w:rPr>
          <w:t>VI. Overall conclusion and risk/benefit assessment</w:t>
        </w:r>
        <w:r w:rsidR="00233607">
          <w:rPr>
            <w:noProof/>
            <w:webHidden/>
          </w:rPr>
          <w:tab/>
        </w:r>
        <w:r w:rsidR="00233607">
          <w:rPr>
            <w:noProof/>
            <w:webHidden/>
          </w:rPr>
          <w:fldChar w:fldCharType="begin"/>
        </w:r>
        <w:r w:rsidR="00233607">
          <w:rPr>
            <w:noProof/>
            <w:webHidden/>
          </w:rPr>
          <w:instrText xml:space="preserve"> PAGEREF _Toc383010147 \h </w:instrText>
        </w:r>
        <w:r w:rsidR="00233607">
          <w:rPr>
            <w:noProof/>
            <w:webHidden/>
          </w:rPr>
        </w:r>
        <w:r w:rsidR="00233607">
          <w:rPr>
            <w:noProof/>
            <w:webHidden/>
          </w:rPr>
          <w:fldChar w:fldCharType="separate"/>
        </w:r>
        <w:r w:rsidR="00233607">
          <w:rPr>
            <w:noProof/>
            <w:webHidden/>
          </w:rPr>
          <w:t>20</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48" w:history="1">
        <w:r w:rsidR="00233607" w:rsidRPr="004457CE">
          <w:rPr>
            <w:rStyle w:val="Hyperlink"/>
            <w:noProof/>
          </w:rPr>
          <w:t>Quality</w:t>
        </w:r>
        <w:r w:rsidR="00233607">
          <w:rPr>
            <w:noProof/>
            <w:webHidden/>
          </w:rPr>
          <w:tab/>
        </w:r>
        <w:r w:rsidR="00233607">
          <w:rPr>
            <w:noProof/>
            <w:webHidden/>
          </w:rPr>
          <w:fldChar w:fldCharType="begin"/>
        </w:r>
        <w:r w:rsidR="00233607">
          <w:rPr>
            <w:noProof/>
            <w:webHidden/>
          </w:rPr>
          <w:instrText xml:space="preserve"> PAGEREF _Toc383010148 \h </w:instrText>
        </w:r>
        <w:r w:rsidR="00233607">
          <w:rPr>
            <w:noProof/>
            <w:webHidden/>
          </w:rPr>
        </w:r>
        <w:r w:rsidR="00233607">
          <w:rPr>
            <w:noProof/>
            <w:webHidden/>
          </w:rPr>
          <w:fldChar w:fldCharType="separate"/>
        </w:r>
        <w:r w:rsidR="00233607">
          <w:rPr>
            <w:noProof/>
            <w:webHidden/>
          </w:rPr>
          <w:t>20</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49" w:history="1">
        <w:r w:rsidR="00233607" w:rsidRPr="004457CE">
          <w:rPr>
            <w:rStyle w:val="Hyperlink"/>
            <w:noProof/>
          </w:rPr>
          <w:t>Nonclinical</w:t>
        </w:r>
        <w:r w:rsidR="00233607">
          <w:rPr>
            <w:noProof/>
            <w:webHidden/>
          </w:rPr>
          <w:tab/>
        </w:r>
        <w:r w:rsidR="00233607">
          <w:rPr>
            <w:noProof/>
            <w:webHidden/>
          </w:rPr>
          <w:fldChar w:fldCharType="begin"/>
        </w:r>
        <w:r w:rsidR="00233607">
          <w:rPr>
            <w:noProof/>
            <w:webHidden/>
          </w:rPr>
          <w:instrText xml:space="preserve"> PAGEREF _Toc383010149 \h </w:instrText>
        </w:r>
        <w:r w:rsidR="00233607">
          <w:rPr>
            <w:noProof/>
            <w:webHidden/>
          </w:rPr>
        </w:r>
        <w:r w:rsidR="00233607">
          <w:rPr>
            <w:noProof/>
            <w:webHidden/>
          </w:rPr>
          <w:fldChar w:fldCharType="separate"/>
        </w:r>
        <w:r w:rsidR="00233607">
          <w:rPr>
            <w:noProof/>
            <w:webHidden/>
          </w:rPr>
          <w:t>20</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50" w:history="1">
        <w:r w:rsidR="00233607" w:rsidRPr="004457CE">
          <w:rPr>
            <w:rStyle w:val="Hyperlink"/>
            <w:noProof/>
          </w:rPr>
          <w:t>Clinical</w:t>
        </w:r>
        <w:r w:rsidR="00233607">
          <w:rPr>
            <w:noProof/>
            <w:webHidden/>
          </w:rPr>
          <w:tab/>
        </w:r>
        <w:r w:rsidR="00233607">
          <w:rPr>
            <w:noProof/>
            <w:webHidden/>
          </w:rPr>
          <w:fldChar w:fldCharType="begin"/>
        </w:r>
        <w:r w:rsidR="00233607">
          <w:rPr>
            <w:noProof/>
            <w:webHidden/>
          </w:rPr>
          <w:instrText xml:space="preserve"> PAGEREF _Toc383010150 \h </w:instrText>
        </w:r>
        <w:r w:rsidR="00233607">
          <w:rPr>
            <w:noProof/>
            <w:webHidden/>
          </w:rPr>
        </w:r>
        <w:r w:rsidR="00233607">
          <w:rPr>
            <w:noProof/>
            <w:webHidden/>
          </w:rPr>
          <w:fldChar w:fldCharType="separate"/>
        </w:r>
        <w:r w:rsidR="00233607">
          <w:rPr>
            <w:noProof/>
            <w:webHidden/>
          </w:rPr>
          <w:t>20</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51" w:history="1">
        <w:r w:rsidR="00233607" w:rsidRPr="004457CE">
          <w:rPr>
            <w:rStyle w:val="Hyperlink"/>
            <w:noProof/>
            <w:lang w:eastAsia="en-AU"/>
          </w:rPr>
          <w:t>Risk management plan</w:t>
        </w:r>
        <w:r w:rsidR="00233607">
          <w:rPr>
            <w:noProof/>
            <w:webHidden/>
          </w:rPr>
          <w:tab/>
        </w:r>
        <w:r w:rsidR="00233607">
          <w:rPr>
            <w:noProof/>
            <w:webHidden/>
          </w:rPr>
          <w:fldChar w:fldCharType="begin"/>
        </w:r>
        <w:r w:rsidR="00233607">
          <w:rPr>
            <w:noProof/>
            <w:webHidden/>
          </w:rPr>
          <w:instrText xml:space="preserve"> PAGEREF _Toc383010151 \h </w:instrText>
        </w:r>
        <w:r w:rsidR="00233607">
          <w:rPr>
            <w:noProof/>
            <w:webHidden/>
          </w:rPr>
        </w:r>
        <w:r w:rsidR="00233607">
          <w:rPr>
            <w:noProof/>
            <w:webHidden/>
          </w:rPr>
          <w:fldChar w:fldCharType="separate"/>
        </w:r>
        <w:r w:rsidR="00233607">
          <w:rPr>
            <w:noProof/>
            <w:webHidden/>
          </w:rPr>
          <w:t>26</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52" w:history="1">
        <w:r w:rsidR="00233607" w:rsidRPr="004457CE">
          <w:rPr>
            <w:rStyle w:val="Hyperlink"/>
            <w:noProof/>
          </w:rPr>
          <w:t>Risk-benefit analysis</w:t>
        </w:r>
        <w:r w:rsidR="00233607">
          <w:rPr>
            <w:noProof/>
            <w:webHidden/>
          </w:rPr>
          <w:tab/>
        </w:r>
        <w:r w:rsidR="00233607">
          <w:rPr>
            <w:noProof/>
            <w:webHidden/>
          </w:rPr>
          <w:fldChar w:fldCharType="begin"/>
        </w:r>
        <w:r w:rsidR="00233607">
          <w:rPr>
            <w:noProof/>
            <w:webHidden/>
          </w:rPr>
          <w:instrText xml:space="preserve"> PAGEREF _Toc383010152 \h </w:instrText>
        </w:r>
        <w:r w:rsidR="00233607">
          <w:rPr>
            <w:noProof/>
            <w:webHidden/>
          </w:rPr>
        </w:r>
        <w:r w:rsidR="00233607">
          <w:rPr>
            <w:noProof/>
            <w:webHidden/>
          </w:rPr>
          <w:fldChar w:fldCharType="separate"/>
        </w:r>
        <w:r w:rsidR="00233607">
          <w:rPr>
            <w:noProof/>
            <w:webHidden/>
          </w:rPr>
          <w:t>26</w:t>
        </w:r>
        <w:r w:rsidR="00233607">
          <w:rPr>
            <w:noProof/>
            <w:webHidden/>
          </w:rPr>
          <w:fldChar w:fldCharType="end"/>
        </w:r>
      </w:hyperlink>
    </w:p>
    <w:p w:rsidR="00233607" w:rsidRDefault="00FC2262">
      <w:pPr>
        <w:pStyle w:val="TOC3"/>
        <w:rPr>
          <w:rFonts w:asciiTheme="minorHAnsi" w:eastAsiaTheme="minorEastAsia" w:hAnsiTheme="minorHAnsi" w:cstheme="minorBidi"/>
          <w:noProof/>
          <w:lang w:eastAsia="en-AU"/>
        </w:rPr>
      </w:pPr>
      <w:hyperlink w:anchor="_Toc383010153" w:history="1">
        <w:r w:rsidR="00233607" w:rsidRPr="004457CE">
          <w:rPr>
            <w:rStyle w:val="Hyperlink"/>
            <w:noProof/>
          </w:rPr>
          <w:t>Outcome</w:t>
        </w:r>
        <w:r w:rsidR="00233607">
          <w:rPr>
            <w:noProof/>
            <w:webHidden/>
          </w:rPr>
          <w:tab/>
        </w:r>
        <w:r w:rsidR="00233607">
          <w:rPr>
            <w:noProof/>
            <w:webHidden/>
          </w:rPr>
          <w:fldChar w:fldCharType="begin"/>
        </w:r>
        <w:r w:rsidR="00233607">
          <w:rPr>
            <w:noProof/>
            <w:webHidden/>
          </w:rPr>
          <w:instrText xml:space="preserve"> PAGEREF _Toc383010153 \h </w:instrText>
        </w:r>
        <w:r w:rsidR="00233607">
          <w:rPr>
            <w:noProof/>
            <w:webHidden/>
          </w:rPr>
        </w:r>
        <w:r w:rsidR="00233607">
          <w:rPr>
            <w:noProof/>
            <w:webHidden/>
          </w:rPr>
          <w:fldChar w:fldCharType="separate"/>
        </w:r>
        <w:r w:rsidR="00233607">
          <w:rPr>
            <w:noProof/>
            <w:webHidden/>
          </w:rPr>
          <w:t>29</w:t>
        </w:r>
        <w:r w:rsidR="00233607">
          <w:rPr>
            <w:noProof/>
            <w:webHidden/>
          </w:rPr>
          <w:fldChar w:fldCharType="end"/>
        </w:r>
      </w:hyperlink>
    </w:p>
    <w:p w:rsidR="00233607" w:rsidRDefault="00FC2262">
      <w:pPr>
        <w:pStyle w:val="TOC2"/>
        <w:tabs>
          <w:tab w:val="left" w:pos="2448"/>
        </w:tabs>
        <w:rPr>
          <w:rFonts w:asciiTheme="minorHAnsi" w:eastAsiaTheme="minorEastAsia" w:hAnsiTheme="minorHAnsi" w:cstheme="minorBidi"/>
          <w:b w:val="0"/>
          <w:noProof/>
          <w:sz w:val="22"/>
          <w:lang w:eastAsia="en-AU"/>
        </w:rPr>
      </w:pPr>
      <w:hyperlink w:anchor="_Toc383010154" w:history="1">
        <w:r w:rsidR="00233607" w:rsidRPr="004457CE">
          <w:rPr>
            <w:rStyle w:val="Hyperlink"/>
            <w:noProof/>
          </w:rPr>
          <w:t>Attachment 1.</w:t>
        </w:r>
        <w:r w:rsidR="00233607">
          <w:rPr>
            <w:rFonts w:asciiTheme="minorHAnsi" w:eastAsiaTheme="minorEastAsia" w:hAnsiTheme="minorHAnsi" w:cstheme="minorBidi"/>
            <w:b w:val="0"/>
            <w:noProof/>
            <w:sz w:val="22"/>
            <w:lang w:eastAsia="en-AU"/>
          </w:rPr>
          <w:tab/>
        </w:r>
        <w:r w:rsidR="00233607" w:rsidRPr="004457CE">
          <w:rPr>
            <w:rStyle w:val="Hyperlink"/>
            <w:noProof/>
          </w:rPr>
          <w:t>Product Information</w:t>
        </w:r>
        <w:r w:rsidR="00233607">
          <w:rPr>
            <w:noProof/>
            <w:webHidden/>
          </w:rPr>
          <w:tab/>
        </w:r>
        <w:r w:rsidR="00233607">
          <w:rPr>
            <w:noProof/>
            <w:webHidden/>
          </w:rPr>
          <w:fldChar w:fldCharType="begin"/>
        </w:r>
        <w:r w:rsidR="00233607">
          <w:rPr>
            <w:noProof/>
            <w:webHidden/>
          </w:rPr>
          <w:instrText xml:space="preserve"> PAGEREF _Toc383010154 \h </w:instrText>
        </w:r>
        <w:r w:rsidR="00233607">
          <w:rPr>
            <w:noProof/>
            <w:webHidden/>
          </w:rPr>
        </w:r>
        <w:r w:rsidR="00233607">
          <w:rPr>
            <w:noProof/>
            <w:webHidden/>
          </w:rPr>
          <w:fldChar w:fldCharType="separate"/>
        </w:r>
        <w:r w:rsidR="00233607">
          <w:rPr>
            <w:noProof/>
            <w:webHidden/>
          </w:rPr>
          <w:t>30</w:t>
        </w:r>
        <w:r w:rsidR="00233607">
          <w:rPr>
            <w:noProof/>
            <w:webHidden/>
          </w:rPr>
          <w:fldChar w:fldCharType="end"/>
        </w:r>
      </w:hyperlink>
    </w:p>
    <w:p w:rsidR="00233607" w:rsidRDefault="00FC2262">
      <w:pPr>
        <w:pStyle w:val="TOC2"/>
        <w:rPr>
          <w:rFonts w:asciiTheme="minorHAnsi" w:eastAsiaTheme="minorEastAsia" w:hAnsiTheme="minorHAnsi" w:cstheme="minorBidi"/>
          <w:b w:val="0"/>
          <w:noProof/>
          <w:sz w:val="22"/>
          <w:lang w:eastAsia="en-AU"/>
        </w:rPr>
      </w:pPr>
      <w:hyperlink w:anchor="_Toc383010155" w:history="1">
        <w:r w:rsidR="00233607" w:rsidRPr="004457CE">
          <w:rPr>
            <w:rStyle w:val="Hyperlink"/>
            <w:noProof/>
            <w:lang w:eastAsia="en-AU"/>
          </w:rPr>
          <w:t>Attachment 2. Extract from the Clinical Evaluation Report</w:t>
        </w:r>
        <w:r w:rsidR="00233607">
          <w:rPr>
            <w:noProof/>
            <w:webHidden/>
          </w:rPr>
          <w:tab/>
        </w:r>
        <w:r w:rsidR="00233607">
          <w:rPr>
            <w:noProof/>
            <w:webHidden/>
          </w:rPr>
          <w:fldChar w:fldCharType="begin"/>
        </w:r>
        <w:r w:rsidR="00233607">
          <w:rPr>
            <w:noProof/>
            <w:webHidden/>
          </w:rPr>
          <w:instrText xml:space="preserve"> PAGEREF _Toc383010155 \h </w:instrText>
        </w:r>
        <w:r w:rsidR="00233607">
          <w:rPr>
            <w:noProof/>
            <w:webHidden/>
          </w:rPr>
        </w:r>
        <w:r w:rsidR="00233607">
          <w:rPr>
            <w:noProof/>
            <w:webHidden/>
          </w:rPr>
          <w:fldChar w:fldCharType="separate"/>
        </w:r>
        <w:r w:rsidR="00233607">
          <w:rPr>
            <w:noProof/>
            <w:webHidden/>
          </w:rPr>
          <w:t>30</w:t>
        </w:r>
        <w:r w:rsidR="00233607">
          <w:rPr>
            <w:noProof/>
            <w:webHidden/>
          </w:rPr>
          <w:fldChar w:fldCharType="end"/>
        </w:r>
      </w:hyperlink>
    </w:p>
    <w:p w:rsidR="003A7F6C" w:rsidRPr="00B811C6" w:rsidRDefault="00621C2E" w:rsidP="00B811C6">
      <w:pPr>
        <w:pStyle w:val="TOC2"/>
      </w:pPr>
      <w:r>
        <w:fldChar w:fldCharType="end"/>
      </w:r>
      <w:bookmarkStart w:id="3" w:name="_Toc314842482"/>
    </w:p>
    <w:p w:rsidR="008E7846" w:rsidRDefault="00263F38" w:rsidP="008E7846">
      <w:pPr>
        <w:pStyle w:val="Heading2"/>
      </w:pPr>
      <w:r>
        <w:br w:type="page"/>
      </w:r>
      <w:bookmarkStart w:id="4" w:name="_Toc383010129"/>
      <w:r w:rsidR="00F53C07">
        <w:lastRenderedPageBreak/>
        <w:t>I.</w:t>
      </w:r>
      <w:r w:rsidR="008E7846">
        <w:t xml:space="preserve"> Introduction to product submission</w:t>
      </w:r>
      <w:bookmarkEnd w:id="1"/>
      <w:bookmarkEnd w:id="3"/>
      <w:bookmarkEnd w:id="4"/>
    </w:p>
    <w:p w:rsidR="008E7846" w:rsidRDefault="008E7846" w:rsidP="00704497">
      <w:pPr>
        <w:pStyle w:val="Heading3"/>
        <w:rPr>
          <w:lang w:eastAsia="en-AU"/>
        </w:rPr>
      </w:pPr>
      <w:bookmarkStart w:id="5" w:name="_Toc247691502"/>
      <w:bookmarkStart w:id="6" w:name="_Toc314842483"/>
      <w:bookmarkStart w:id="7" w:name="_Toc383010130"/>
      <w:r w:rsidRPr="00704497">
        <w:t>Submission</w:t>
      </w:r>
      <w:r>
        <w:rPr>
          <w:lang w:eastAsia="en-AU"/>
        </w:rPr>
        <w:t xml:space="preserve"> details</w:t>
      </w:r>
      <w:bookmarkEnd w:id="5"/>
      <w:bookmarkEnd w:id="6"/>
      <w:bookmarkEnd w:id="7"/>
    </w:p>
    <w:tbl>
      <w:tblPr>
        <w:tblW w:w="9497" w:type="dxa"/>
        <w:tblInd w:w="108" w:type="dxa"/>
        <w:tblLook w:val="01E0" w:firstRow="1" w:lastRow="1" w:firstColumn="1" w:lastColumn="1" w:noHBand="0" w:noVBand="0"/>
      </w:tblPr>
      <w:tblGrid>
        <w:gridCol w:w="2907"/>
        <w:gridCol w:w="6307"/>
        <w:gridCol w:w="283"/>
      </w:tblGrid>
      <w:tr w:rsidR="008E7846" w:rsidRPr="003D1E62" w:rsidTr="005F7466">
        <w:trPr>
          <w:trHeight w:hRule="exact" w:val="454"/>
        </w:trPr>
        <w:tc>
          <w:tcPr>
            <w:tcW w:w="2907" w:type="dxa"/>
          </w:tcPr>
          <w:p w:rsidR="008E7846" w:rsidRPr="003D1E62" w:rsidRDefault="008E7846" w:rsidP="00F97EF9">
            <w:pPr>
              <w:rPr>
                <w:i/>
              </w:rPr>
            </w:pPr>
            <w:r w:rsidRPr="003D1E62">
              <w:rPr>
                <w:i/>
              </w:rPr>
              <w:t xml:space="preserve">Type of </w:t>
            </w:r>
            <w:r w:rsidR="00F97EF9">
              <w:rPr>
                <w:i/>
              </w:rPr>
              <w:t>s</w:t>
            </w:r>
            <w:r w:rsidRPr="003D1E62">
              <w:rPr>
                <w:i/>
              </w:rPr>
              <w:t>ubmission</w:t>
            </w:r>
            <w:r w:rsidR="005F7466">
              <w:rPr>
                <w:i/>
              </w:rPr>
              <w:t>:</w:t>
            </w:r>
          </w:p>
        </w:tc>
        <w:tc>
          <w:tcPr>
            <w:tcW w:w="6590" w:type="dxa"/>
            <w:gridSpan w:val="2"/>
          </w:tcPr>
          <w:p w:rsidR="008E7846" w:rsidRPr="003D1E62" w:rsidRDefault="008E7846" w:rsidP="00B81A65">
            <w:r w:rsidRPr="003D1E62">
              <w:t>Major Variation</w:t>
            </w:r>
          </w:p>
        </w:tc>
      </w:tr>
      <w:tr w:rsidR="008E7846" w:rsidRPr="003D1E62" w:rsidTr="005F7466">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B93CD5" w:rsidP="003D1E62">
            <w:r>
              <w:t>Approved</w:t>
            </w:r>
          </w:p>
        </w:tc>
      </w:tr>
      <w:tr w:rsidR="008E7846" w:rsidRPr="003D1E62" w:rsidTr="005F7466">
        <w:trPr>
          <w:trHeight w:hRule="exact" w:val="454"/>
        </w:trPr>
        <w:tc>
          <w:tcPr>
            <w:tcW w:w="2907" w:type="dxa"/>
          </w:tcPr>
          <w:p w:rsidR="008E7846" w:rsidRPr="003D1E62" w:rsidRDefault="00F97EF9" w:rsidP="003D1E62">
            <w:pPr>
              <w:rPr>
                <w:i/>
              </w:rPr>
            </w:pPr>
            <w:r>
              <w:rPr>
                <w:i/>
              </w:rPr>
              <w:t>Date of d</w:t>
            </w:r>
            <w:r w:rsidR="008E7846" w:rsidRPr="003D1E62">
              <w:rPr>
                <w:i/>
              </w:rPr>
              <w:t>ecision:</w:t>
            </w:r>
          </w:p>
        </w:tc>
        <w:tc>
          <w:tcPr>
            <w:tcW w:w="6590" w:type="dxa"/>
            <w:gridSpan w:val="2"/>
          </w:tcPr>
          <w:p w:rsidR="008E7846" w:rsidRPr="003D1E62" w:rsidRDefault="00B93CD5" w:rsidP="003D1E62">
            <w:r>
              <w:t>11 December 2013</w:t>
            </w:r>
          </w:p>
        </w:tc>
      </w:tr>
      <w:tr w:rsidR="008E7846" w:rsidRPr="00487162" w:rsidTr="005F7466">
        <w:trPr>
          <w:gridAfter w:val="1"/>
          <w:wAfter w:w="283" w:type="dxa"/>
        </w:trPr>
        <w:tc>
          <w:tcPr>
            <w:tcW w:w="2907" w:type="dxa"/>
          </w:tcPr>
          <w:p w:rsidR="008E7846" w:rsidRPr="00487162" w:rsidRDefault="005F7466" w:rsidP="00E45619">
            <w:pPr>
              <w:rPr>
                <w:i/>
              </w:rPr>
            </w:pPr>
            <w:r>
              <w:rPr>
                <w:i/>
              </w:rPr>
              <w:t>Active ingredient:</w:t>
            </w:r>
          </w:p>
        </w:tc>
        <w:tc>
          <w:tcPr>
            <w:tcW w:w="6307" w:type="dxa"/>
          </w:tcPr>
          <w:p w:rsidR="008E7846" w:rsidRPr="00487162" w:rsidRDefault="001A37E4" w:rsidP="00E45619">
            <w:r w:rsidRPr="001A37E4">
              <w:t>Japanese Encephalitis Vaccine (live, attenuated)</w:t>
            </w:r>
          </w:p>
        </w:tc>
      </w:tr>
      <w:tr w:rsidR="008E7846" w:rsidRPr="00487162" w:rsidTr="005F7466">
        <w:trPr>
          <w:gridAfter w:val="1"/>
          <w:wAfter w:w="283" w:type="dxa"/>
        </w:trPr>
        <w:tc>
          <w:tcPr>
            <w:tcW w:w="2907" w:type="dxa"/>
          </w:tcPr>
          <w:p w:rsidR="008E7846" w:rsidRPr="00487162" w:rsidRDefault="005F7466" w:rsidP="00F97EF9">
            <w:pPr>
              <w:rPr>
                <w:i/>
              </w:rPr>
            </w:pPr>
            <w:r>
              <w:rPr>
                <w:i/>
              </w:rPr>
              <w:t xml:space="preserve">Product </w:t>
            </w:r>
            <w:r w:rsidR="00F97EF9">
              <w:rPr>
                <w:i/>
              </w:rPr>
              <w:t>n</w:t>
            </w:r>
            <w:r>
              <w:rPr>
                <w:i/>
              </w:rPr>
              <w:t>ame:</w:t>
            </w:r>
          </w:p>
        </w:tc>
        <w:tc>
          <w:tcPr>
            <w:tcW w:w="6307" w:type="dxa"/>
          </w:tcPr>
          <w:p w:rsidR="008E7846" w:rsidRPr="00487162" w:rsidRDefault="001A37E4" w:rsidP="00E45619">
            <w:proofErr w:type="spellStart"/>
            <w:r>
              <w:t>Imojev</w:t>
            </w:r>
            <w:proofErr w:type="spellEnd"/>
          </w:p>
        </w:tc>
      </w:tr>
      <w:tr w:rsidR="008E7846" w:rsidRPr="00487162" w:rsidTr="005F7466">
        <w:trPr>
          <w:gridAfter w:val="1"/>
          <w:wAfter w:w="283" w:type="dxa"/>
        </w:trPr>
        <w:tc>
          <w:tcPr>
            <w:tcW w:w="2907" w:type="dxa"/>
          </w:tcPr>
          <w:p w:rsidR="008E7846" w:rsidRPr="00487162" w:rsidRDefault="008E7846" w:rsidP="00F97EF9">
            <w:pPr>
              <w:rPr>
                <w:i/>
              </w:rPr>
            </w:pPr>
            <w:r w:rsidRPr="00487162">
              <w:rPr>
                <w:i/>
              </w:rPr>
              <w:t xml:space="preserve">Sponsor’s </w:t>
            </w:r>
            <w:r w:rsidR="00F97EF9">
              <w:rPr>
                <w:i/>
              </w:rPr>
              <w:t>n</w:t>
            </w:r>
            <w:r w:rsidRPr="00487162">
              <w:rPr>
                <w:i/>
              </w:rPr>
              <w:t xml:space="preserve">ame and </w:t>
            </w:r>
            <w:r w:rsidR="00F97EF9">
              <w:rPr>
                <w:i/>
              </w:rPr>
              <w:t>a</w:t>
            </w:r>
            <w:r w:rsidRPr="00487162">
              <w:rPr>
                <w:i/>
              </w:rPr>
              <w:t>ddress:</w:t>
            </w:r>
          </w:p>
        </w:tc>
        <w:tc>
          <w:tcPr>
            <w:tcW w:w="6307" w:type="dxa"/>
          </w:tcPr>
          <w:p w:rsidR="00E06385" w:rsidRPr="00487162" w:rsidRDefault="00E06385" w:rsidP="005F7466">
            <w:r w:rsidRPr="00E06385">
              <w:t>Sanofi-Aventis Australia Pty Ltd</w:t>
            </w:r>
            <w:r w:rsidR="005F7466">
              <w:br/>
            </w:r>
            <w:r w:rsidR="00D22E45" w:rsidRPr="00D22E45">
              <w:t>Talavera Corporate Centre</w:t>
            </w:r>
            <w:r w:rsidR="005F7466">
              <w:br/>
            </w:r>
            <w:r w:rsidR="00D22E45" w:rsidRPr="00D22E45">
              <w:t>Building D</w:t>
            </w:r>
            <w:r w:rsidR="005F7466">
              <w:br/>
            </w:r>
            <w:r w:rsidR="00D22E45" w:rsidRPr="00D22E45">
              <w:t>12-24 Talavera Road</w:t>
            </w:r>
            <w:r w:rsidR="005F7466">
              <w:br/>
            </w:r>
            <w:r w:rsidR="00D22E45">
              <w:t>Macquarie Park</w:t>
            </w:r>
            <w:r w:rsidR="00D22E45" w:rsidRPr="00D22E45">
              <w:t xml:space="preserve"> NSW 2113</w:t>
            </w:r>
          </w:p>
        </w:tc>
      </w:tr>
      <w:tr w:rsidR="008E7846" w:rsidRPr="00487162" w:rsidTr="005F7466">
        <w:trPr>
          <w:gridAfter w:val="1"/>
          <w:wAfter w:w="283" w:type="dxa"/>
        </w:trPr>
        <w:tc>
          <w:tcPr>
            <w:tcW w:w="2907" w:type="dxa"/>
          </w:tcPr>
          <w:p w:rsidR="008E7846" w:rsidRPr="00487162" w:rsidRDefault="005F7466" w:rsidP="00E45619">
            <w:pPr>
              <w:rPr>
                <w:i/>
              </w:rPr>
            </w:pPr>
            <w:r>
              <w:rPr>
                <w:i/>
              </w:rPr>
              <w:t>Dose forms:</w:t>
            </w:r>
          </w:p>
        </w:tc>
        <w:tc>
          <w:tcPr>
            <w:tcW w:w="6307" w:type="dxa"/>
          </w:tcPr>
          <w:p w:rsidR="008E7846" w:rsidRPr="00487162" w:rsidRDefault="00727017" w:rsidP="00666705">
            <w:r>
              <w:t>1</w:t>
            </w:r>
            <w:r w:rsidR="00D7033E" w:rsidRPr="00D7033E">
              <w:t xml:space="preserve"> dose of freeze</w:t>
            </w:r>
            <w:r w:rsidR="00666705">
              <w:t xml:space="preserve"> </w:t>
            </w:r>
            <w:r w:rsidR="00D7033E" w:rsidRPr="00D7033E">
              <w:t xml:space="preserve">dried vaccine and </w:t>
            </w:r>
            <w:r>
              <w:t>1</w:t>
            </w:r>
            <w:r w:rsidR="00D7033E" w:rsidRPr="00D7033E">
              <w:t xml:space="preserve"> dose of</w:t>
            </w:r>
            <w:r w:rsidR="003D79C4">
              <w:t xml:space="preserve"> </w:t>
            </w:r>
            <w:r w:rsidR="00D7033E" w:rsidRPr="00D7033E">
              <w:t>diluent in separate vials</w:t>
            </w:r>
          </w:p>
        </w:tc>
      </w:tr>
      <w:tr w:rsidR="008E7846" w:rsidRPr="00487162" w:rsidTr="005F7466">
        <w:trPr>
          <w:gridAfter w:val="1"/>
          <w:wAfter w:w="283" w:type="dxa"/>
        </w:trPr>
        <w:tc>
          <w:tcPr>
            <w:tcW w:w="2907" w:type="dxa"/>
          </w:tcPr>
          <w:p w:rsidR="008E7846" w:rsidRPr="00487162" w:rsidRDefault="005F7466" w:rsidP="00E45619">
            <w:pPr>
              <w:rPr>
                <w:i/>
              </w:rPr>
            </w:pPr>
            <w:r>
              <w:rPr>
                <w:i/>
              </w:rPr>
              <w:t>Strengths:</w:t>
            </w:r>
          </w:p>
        </w:tc>
        <w:tc>
          <w:tcPr>
            <w:tcW w:w="6307" w:type="dxa"/>
          </w:tcPr>
          <w:p w:rsidR="008E7846" w:rsidRPr="00487162" w:rsidRDefault="009A7981" w:rsidP="006D1307">
            <w:r w:rsidRPr="009A7981">
              <w:t>Live, attenuated, recombinant Japanese encephalitis virus</w:t>
            </w:r>
            <w:r>
              <w:t xml:space="preserve"> </w:t>
            </w:r>
            <w:r w:rsidR="00BE324F">
              <w:t>Vaccine</w:t>
            </w:r>
            <w:r w:rsidRPr="009A7981">
              <w:t xml:space="preserve">: </w:t>
            </w:r>
            <w:r w:rsidR="006D1307" w:rsidRPr="007F7EC1">
              <w:t>4.0-</w:t>
            </w:r>
            <w:r w:rsidR="006D1307">
              <w:t xml:space="preserve">5.8 log </w:t>
            </w:r>
            <w:r w:rsidRPr="009A7981">
              <w:t>PFU</w:t>
            </w:r>
            <w:r w:rsidR="006D1307">
              <w:t xml:space="preserve"> (</w:t>
            </w:r>
            <w:r w:rsidR="006D1307" w:rsidRPr="007F7EC1">
              <w:t>plaque</w:t>
            </w:r>
            <w:r w:rsidR="006D1307">
              <w:t xml:space="preserve"> </w:t>
            </w:r>
            <w:r w:rsidR="006D1307" w:rsidRPr="007F7EC1">
              <w:t>forming units</w:t>
            </w:r>
            <w:r w:rsidR="006D1307">
              <w:t>)</w:t>
            </w:r>
          </w:p>
        </w:tc>
      </w:tr>
      <w:tr w:rsidR="008E7846" w:rsidRPr="00487162" w:rsidTr="005F7466">
        <w:trPr>
          <w:gridAfter w:val="1"/>
          <w:wAfter w:w="283" w:type="dxa"/>
        </w:trPr>
        <w:tc>
          <w:tcPr>
            <w:tcW w:w="2907" w:type="dxa"/>
          </w:tcPr>
          <w:p w:rsidR="008E7846" w:rsidRPr="00487162" w:rsidRDefault="005F7466" w:rsidP="00E45619">
            <w:pPr>
              <w:rPr>
                <w:i/>
              </w:rPr>
            </w:pPr>
            <w:r>
              <w:rPr>
                <w:i/>
              </w:rPr>
              <w:t>Pack sizes</w:t>
            </w:r>
            <w:r w:rsidR="008E7846" w:rsidRPr="00487162">
              <w:rPr>
                <w:i/>
              </w:rPr>
              <w:t>:</w:t>
            </w:r>
          </w:p>
        </w:tc>
        <w:tc>
          <w:tcPr>
            <w:tcW w:w="6307" w:type="dxa"/>
          </w:tcPr>
          <w:p w:rsidR="008E7846" w:rsidRPr="00487162" w:rsidRDefault="006E2560" w:rsidP="00E45619">
            <w:r w:rsidRPr="006E2560">
              <w:t>1 powder vial and 1 diluent vial, 1 syringe and 2 needles</w:t>
            </w:r>
          </w:p>
        </w:tc>
      </w:tr>
      <w:tr w:rsidR="008E7846" w:rsidRPr="00487162" w:rsidTr="005F7466">
        <w:trPr>
          <w:gridAfter w:val="1"/>
          <w:wAfter w:w="283" w:type="dxa"/>
        </w:trPr>
        <w:tc>
          <w:tcPr>
            <w:tcW w:w="2907" w:type="dxa"/>
          </w:tcPr>
          <w:p w:rsidR="008E7846" w:rsidRPr="00487162" w:rsidRDefault="008E7846" w:rsidP="00F97EF9">
            <w:pPr>
              <w:rPr>
                <w:i/>
              </w:rPr>
            </w:pPr>
            <w:r w:rsidRPr="00487162">
              <w:rPr>
                <w:i/>
              </w:rPr>
              <w:t xml:space="preserve">Approved </w:t>
            </w:r>
            <w:r w:rsidR="00F97EF9">
              <w:rPr>
                <w:i/>
              </w:rPr>
              <w:t>t</w:t>
            </w:r>
            <w:r w:rsidRPr="00487162">
              <w:rPr>
                <w:i/>
              </w:rPr>
              <w:t>herapeutic use:</w:t>
            </w:r>
          </w:p>
        </w:tc>
        <w:tc>
          <w:tcPr>
            <w:tcW w:w="6307" w:type="dxa"/>
          </w:tcPr>
          <w:p w:rsidR="008E7846" w:rsidRPr="00487162" w:rsidRDefault="009F56D2" w:rsidP="00E45619">
            <w:pPr>
              <w:rPr>
                <w:rFonts w:eastAsia="MS Mincho"/>
                <w:lang w:eastAsia="ja-JP"/>
              </w:rPr>
            </w:pPr>
            <w:proofErr w:type="spellStart"/>
            <w:r>
              <w:t>Imojev</w:t>
            </w:r>
            <w:proofErr w:type="spellEnd"/>
            <w:r w:rsidRPr="009F56D2">
              <w:t xml:space="preserve"> is indicated for prophylaxis of Japanese encephalitis caused by the Japanese encephalitis virus, in individuals from 12 months of age and over.</w:t>
            </w:r>
          </w:p>
        </w:tc>
      </w:tr>
      <w:tr w:rsidR="008E7846" w:rsidRPr="00487162" w:rsidTr="005F7466">
        <w:trPr>
          <w:gridAfter w:val="1"/>
          <w:wAfter w:w="283" w:type="dxa"/>
        </w:trPr>
        <w:tc>
          <w:tcPr>
            <w:tcW w:w="2907" w:type="dxa"/>
          </w:tcPr>
          <w:p w:rsidR="008E7846" w:rsidRPr="00487162" w:rsidRDefault="005F7466" w:rsidP="005F7466">
            <w:pPr>
              <w:rPr>
                <w:i/>
              </w:rPr>
            </w:pPr>
            <w:r>
              <w:rPr>
                <w:i/>
              </w:rPr>
              <w:t>Route</w:t>
            </w:r>
            <w:r w:rsidR="008E7846" w:rsidRPr="00487162">
              <w:rPr>
                <w:i/>
              </w:rPr>
              <w:t xml:space="preserve"> of administration:</w:t>
            </w:r>
          </w:p>
        </w:tc>
        <w:tc>
          <w:tcPr>
            <w:tcW w:w="6307" w:type="dxa"/>
          </w:tcPr>
          <w:p w:rsidR="008E7846" w:rsidRPr="00487162" w:rsidRDefault="00BB4135" w:rsidP="00E45619">
            <w:r>
              <w:t>Subcutaneous</w:t>
            </w:r>
            <w:r w:rsidR="008B37D6">
              <w:t xml:space="preserve"> (SC) injection</w:t>
            </w:r>
          </w:p>
        </w:tc>
      </w:tr>
      <w:tr w:rsidR="008E7846" w:rsidRPr="00487162" w:rsidTr="005F7466">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Pr="00487162" w:rsidRDefault="000873D0" w:rsidP="00E45619">
            <w:r w:rsidRPr="000873D0">
              <w:t>Individuals 12 months of age and over: a 0.5 mL single injection of the reconstituted vaccine</w:t>
            </w:r>
          </w:p>
        </w:tc>
      </w:tr>
      <w:tr w:rsidR="008E7846" w:rsidRPr="00487162" w:rsidTr="005F7466">
        <w:trPr>
          <w:gridAfter w:val="1"/>
          <w:wAfter w:w="283" w:type="dxa"/>
        </w:trPr>
        <w:tc>
          <w:tcPr>
            <w:tcW w:w="2907" w:type="dxa"/>
          </w:tcPr>
          <w:p w:rsidR="008E7846" w:rsidRPr="00487162" w:rsidRDefault="008E7846" w:rsidP="00F97EF9">
            <w:pPr>
              <w:rPr>
                <w:i/>
              </w:rPr>
            </w:pPr>
            <w:r w:rsidRPr="00487162">
              <w:rPr>
                <w:i/>
              </w:rPr>
              <w:t xml:space="preserve">ARTG </w:t>
            </w:r>
            <w:r w:rsidR="00F97EF9">
              <w:rPr>
                <w:i/>
              </w:rPr>
              <w:t>n</w:t>
            </w:r>
            <w:r w:rsidRPr="00487162">
              <w:rPr>
                <w:i/>
              </w:rPr>
              <w:t>umber</w:t>
            </w:r>
            <w:r w:rsidR="005F7466">
              <w:rPr>
                <w:i/>
              </w:rPr>
              <w:t>:</w:t>
            </w:r>
          </w:p>
        </w:tc>
        <w:tc>
          <w:tcPr>
            <w:tcW w:w="6307" w:type="dxa"/>
          </w:tcPr>
          <w:p w:rsidR="008E7846" w:rsidRPr="00487162" w:rsidRDefault="00267428" w:rsidP="00E45619">
            <w:proofErr w:type="spellStart"/>
            <w:r w:rsidRPr="00267428">
              <w:t>Aust</w:t>
            </w:r>
            <w:proofErr w:type="spellEnd"/>
            <w:r w:rsidRPr="00267428">
              <w:t xml:space="preserve"> R 162215</w:t>
            </w:r>
          </w:p>
        </w:tc>
      </w:tr>
    </w:tbl>
    <w:p w:rsidR="008E7846" w:rsidRDefault="008E7846" w:rsidP="008E7846">
      <w:pPr>
        <w:pStyle w:val="Heading3"/>
      </w:pPr>
      <w:bookmarkStart w:id="8" w:name="_Toc247691503"/>
      <w:bookmarkStart w:id="9" w:name="_Toc314842484"/>
      <w:bookmarkStart w:id="10" w:name="_Toc383010131"/>
      <w:r>
        <w:t>Product background</w:t>
      </w:r>
      <w:bookmarkEnd w:id="8"/>
      <w:bookmarkEnd w:id="9"/>
      <w:bookmarkEnd w:id="10"/>
    </w:p>
    <w:p w:rsidR="003E4BD2" w:rsidRDefault="003924E7" w:rsidP="005F7466">
      <w:r w:rsidRPr="00D0403E">
        <w:t xml:space="preserve">This </w:t>
      </w:r>
      <w:proofErr w:type="spellStart"/>
      <w:r w:rsidRPr="00D0403E">
        <w:t>AusPAR</w:t>
      </w:r>
      <w:proofErr w:type="spellEnd"/>
      <w:r w:rsidRPr="00D0403E">
        <w:t xml:space="preserve"> describes a submission by the sponsor, Sanofi-Aventis Australia Pty Ltd, to </w:t>
      </w:r>
      <w:r w:rsidR="007F4F32" w:rsidRPr="00D0403E">
        <w:t xml:space="preserve">amend the dosage schedule for </w:t>
      </w:r>
      <w:proofErr w:type="spellStart"/>
      <w:r w:rsidR="007F4F32" w:rsidRPr="00D0403E">
        <w:t>Imojev</w:t>
      </w:r>
      <w:proofErr w:type="spellEnd"/>
      <w:r w:rsidR="007F4F32" w:rsidRPr="00D0403E">
        <w:t xml:space="preserve">, a </w:t>
      </w:r>
      <w:proofErr w:type="spellStart"/>
      <w:r w:rsidR="007F4F32" w:rsidRPr="00D0403E">
        <w:t>ChimeriVax</w:t>
      </w:r>
      <w:proofErr w:type="spellEnd"/>
      <w:r w:rsidR="007F4F32" w:rsidRPr="00D0403E">
        <w:t xml:space="preserve"> Japanese Encephalitis Vaccine (JE-CV). </w:t>
      </w:r>
      <w:r w:rsidR="00D14FEC">
        <w:t xml:space="preserve">This is a </w:t>
      </w:r>
      <w:r w:rsidR="00D14FEC" w:rsidRPr="00633D55">
        <w:t>monovalent, live attenuated viral vaccine</w:t>
      </w:r>
      <w:r w:rsidR="00D14FEC" w:rsidRPr="00D14FEC">
        <w:t xml:space="preserve"> </w:t>
      </w:r>
      <w:r w:rsidR="00D14FEC" w:rsidRPr="00D0403E">
        <w:t>against the Japanese Encephalitis virus</w:t>
      </w:r>
      <w:r w:rsidR="00D14FEC" w:rsidRPr="00633D55">
        <w:t>. The virus was obtained via recombinant DNA technology</w:t>
      </w:r>
      <w:r w:rsidR="00D14FEC">
        <w:t xml:space="preserve">. </w:t>
      </w:r>
      <w:r w:rsidR="007F4F32" w:rsidRPr="00D0403E">
        <w:t>The approved indication is</w:t>
      </w:r>
      <w:r w:rsidR="003E4BD2">
        <w:t>:</w:t>
      </w:r>
    </w:p>
    <w:p w:rsidR="003E4BD2" w:rsidRPr="003E4BD2" w:rsidRDefault="003E4BD2" w:rsidP="003E4BD2">
      <w:pPr>
        <w:ind w:left="720"/>
        <w:rPr>
          <w:i/>
        </w:rPr>
      </w:pPr>
      <w:proofErr w:type="spellStart"/>
      <w:r w:rsidRPr="003E4BD2">
        <w:rPr>
          <w:i/>
        </w:rPr>
        <w:t>Imojev</w:t>
      </w:r>
      <w:proofErr w:type="spellEnd"/>
      <w:r w:rsidRPr="003E4BD2">
        <w:rPr>
          <w:i/>
        </w:rPr>
        <w:t xml:space="preserve"> is indicated for prophylaxis of Japanese encephalitis caused by the Japanese encephalitis virus, in individuals from 12 months of age and over.</w:t>
      </w:r>
    </w:p>
    <w:p w:rsidR="00D52383" w:rsidRDefault="00D52383" w:rsidP="005F7466">
      <w:r w:rsidRPr="00D0403E">
        <w:t>In the current appli</w:t>
      </w:r>
      <w:r>
        <w:t>cation, the sponsor proposes to:</w:t>
      </w:r>
    </w:p>
    <w:p w:rsidR="00D52383" w:rsidRPr="005F7466" w:rsidRDefault="00D52383" w:rsidP="005F7466">
      <w:pPr>
        <w:pStyle w:val="ListBullet"/>
        <w:rPr>
          <w:i/>
        </w:rPr>
      </w:pPr>
      <w:r w:rsidRPr="005F7466">
        <w:rPr>
          <w:i/>
        </w:rPr>
        <w:t>recommend a booster dose in paediatric populations; and</w:t>
      </w:r>
    </w:p>
    <w:p w:rsidR="00D52383" w:rsidRPr="005F7466" w:rsidRDefault="00D52383" w:rsidP="005F7466">
      <w:pPr>
        <w:pStyle w:val="ListBullet"/>
        <w:rPr>
          <w:i/>
        </w:rPr>
      </w:pPr>
      <w:proofErr w:type="gramStart"/>
      <w:r w:rsidRPr="005F7466">
        <w:rPr>
          <w:i/>
        </w:rPr>
        <w:lastRenderedPageBreak/>
        <w:t>update</w:t>
      </w:r>
      <w:proofErr w:type="gramEnd"/>
      <w:r w:rsidRPr="005F7466">
        <w:rPr>
          <w:i/>
        </w:rPr>
        <w:t xml:space="preserve"> the approved Product Information (PI) to include the long term follow up data in adults.</w:t>
      </w:r>
    </w:p>
    <w:p w:rsidR="009959B6" w:rsidRPr="00D0403E" w:rsidRDefault="009959B6" w:rsidP="005F7466">
      <w:proofErr w:type="spellStart"/>
      <w:r w:rsidRPr="00D0403E">
        <w:t>Imojev</w:t>
      </w:r>
      <w:proofErr w:type="spellEnd"/>
      <w:r w:rsidRPr="00D0403E">
        <w:t xml:space="preserve"> is currently registered in Thailand and Australia. A similar application has been submitted in Thailand in May 2012 and, at the time of this submission, is under review by the Thai Food Drug </w:t>
      </w:r>
      <w:r w:rsidR="00B155E0">
        <w:t>and Administration</w:t>
      </w:r>
      <w:r w:rsidRPr="00D0403E">
        <w:t>. The submission to Australia includes the adult data (that is, the Final Addendum to the clinical study report for H-040-005) but the submission to Thailand does not include any adult data as they were already assessed during the evaluation of registration in Thailand. Both applications include the same paediatric data. The same application has not been submitted in any other countries.</w:t>
      </w:r>
    </w:p>
    <w:p w:rsidR="009959B6" w:rsidRPr="009D3FE0" w:rsidRDefault="009959B6" w:rsidP="005F7466">
      <w:r w:rsidRPr="009D3FE0">
        <w:t>The following dosage forms and strengths are currently registered: JE-CV comes as 0.5</w:t>
      </w:r>
      <w:r>
        <w:t xml:space="preserve"> mL</w:t>
      </w:r>
      <w:r w:rsidRPr="009D3FE0">
        <w:t xml:space="preserve"> dose, once reconstituted using 0.4% sodium chloride solution into the vial of freeze dried vaccine, using the syringe and one of the needles provided in the carton. The vial is gently swirled. After complete dissolution, a 0.5 mL dose of the reconstituted suspension is withdrawn into this same syringe. For injection, the syringe is fitted with the second needle provided in the package.</w:t>
      </w:r>
      <w:r>
        <w:t xml:space="preserve"> </w:t>
      </w:r>
      <w:r w:rsidRPr="009D3FE0">
        <w:t xml:space="preserve">No new dosage forms or strengths </w:t>
      </w:r>
      <w:r>
        <w:t>are proposed.</w:t>
      </w:r>
    </w:p>
    <w:p w:rsidR="009959B6" w:rsidRDefault="009959B6" w:rsidP="009959B6">
      <w:r w:rsidRPr="00D0403E">
        <w:t>To comply with the condition of the registration, the sponsor also submitted two reproductive and developmental toxicity studies in rabbits in order to clarify the potential developmental risk.</w:t>
      </w:r>
    </w:p>
    <w:p w:rsidR="00F40DCE" w:rsidRPr="00F40DCE" w:rsidRDefault="009959B6" w:rsidP="005F7466">
      <w:pPr>
        <w:pStyle w:val="Heading4"/>
      </w:pPr>
      <w:r>
        <w:t xml:space="preserve">Dosage </w:t>
      </w:r>
      <w:r w:rsidRPr="005F7466">
        <w:t>and</w:t>
      </w:r>
      <w:r>
        <w:t xml:space="preserve"> administration</w:t>
      </w:r>
    </w:p>
    <w:p w:rsidR="00F40DCE" w:rsidRPr="005F7466" w:rsidRDefault="005F7466" w:rsidP="005F7466">
      <w:pPr>
        <w:pStyle w:val="Heading5"/>
      </w:pPr>
      <w:r>
        <w:t>Primary vaccination:</w:t>
      </w:r>
    </w:p>
    <w:p w:rsidR="00F40DCE" w:rsidRPr="00F40DCE" w:rsidRDefault="00F40DCE" w:rsidP="009959B6">
      <w:r w:rsidRPr="00F40DCE">
        <w:t>Individuals 12 months of age and over: a 0.5 mL single injectio</w:t>
      </w:r>
      <w:r w:rsidR="005F7466">
        <w:t>n of the reconstituted vaccine.</w:t>
      </w:r>
    </w:p>
    <w:p w:rsidR="00F40DCE" w:rsidRPr="00F40DCE" w:rsidRDefault="005F7466" w:rsidP="00D34A3A">
      <w:pPr>
        <w:pStyle w:val="Heading5"/>
      </w:pPr>
      <w:r>
        <w:t>Booster:</w:t>
      </w:r>
    </w:p>
    <w:p w:rsidR="00D34A3A" w:rsidRDefault="00F40DCE" w:rsidP="005F7466">
      <w:pPr>
        <w:pStyle w:val="Heading6"/>
      </w:pPr>
      <w:r w:rsidRPr="005F7466">
        <w:t>Adult</w:t>
      </w:r>
      <w:r w:rsidRPr="00F40DCE">
        <w:t xml:space="preserve"> populat</w:t>
      </w:r>
      <w:r w:rsidR="00D34A3A">
        <w:t>ion (18 years of age and over):</w:t>
      </w:r>
    </w:p>
    <w:p w:rsidR="00F40DCE" w:rsidRPr="00F40DCE" w:rsidRDefault="00F40DCE" w:rsidP="009959B6">
      <w:r w:rsidRPr="00F40DCE">
        <w:t xml:space="preserve">There is no need for a booster dose up to 5 years after the administration of a single dose of </w:t>
      </w:r>
      <w:proofErr w:type="spellStart"/>
      <w:r w:rsidR="00500F9D" w:rsidRPr="00D0403E">
        <w:t>Imojev</w:t>
      </w:r>
      <w:proofErr w:type="spellEnd"/>
      <w:r w:rsidR="005F7466">
        <w:t>.</w:t>
      </w:r>
    </w:p>
    <w:p w:rsidR="00F40DCE" w:rsidRPr="009959B6" w:rsidRDefault="00F40DCE" w:rsidP="009959B6">
      <w:pPr>
        <w:ind w:left="720"/>
        <w:rPr>
          <w:i/>
        </w:rPr>
      </w:pPr>
      <w:r w:rsidRPr="009959B6">
        <w:rPr>
          <w:i/>
        </w:rPr>
        <w:t>Proposed Change: Additional information shows that there is no need for a booster dose in adult population up to 5 years</w:t>
      </w:r>
      <w:r w:rsidR="005F7466">
        <w:rPr>
          <w:i/>
        </w:rPr>
        <w:t xml:space="preserve"> after the primary vaccination.</w:t>
      </w:r>
    </w:p>
    <w:p w:rsidR="00F40DCE" w:rsidRPr="00F40DCE" w:rsidRDefault="005F7466" w:rsidP="00D34A3A">
      <w:pPr>
        <w:pStyle w:val="Heading6"/>
      </w:pPr>
      <w:r>
        <w:t>Paediatric population:</w:t>
      </w:r>
    </w:p>
    <w:p w:rsidR="00F40DCE" w:rsidRPr="00F40DCE" w:rsidRDefault="00F40DCE" w:rsidP="00F40DCE">
      <w:r w:rsidRPr="00F40DCE">
        <w:t xml:space="preserve">A booster dose of </w:t>
      </w:r>
      <w:proofErr w:type="spellStart"/>
      <w:r w:rsidR="00500F9D" w:rsidRPr="00D0403E">
        <w:t>Imojev</w:t>
      </w:r>
      <w:proofErr w:type="spellEnd"/>
      <w:r w:rsidRPr="00F40DCE">
        <w:t xml:space="preserve"> should be given after primary vaccination in order to confer long ter</w:t>
      </w:r>
      <w:r>
        <w:t>m protection</w:t>
      </w:r>
      <w:r w:rsidRPr="00F40DCE">
        <w:t>.</w:t>
      </w:r>
      <w:r>
        <w:rPr>
          <w:rStyle w:val="FootnoteReference"/>
        </w:rPr>
        <w:footnoteReference w:id="1"/>
      </w:r>
      <w:r w:rsidRPr="00F40DCE">
        <w:t xml:space="preserve"> The booster dose should be given preferably 12 months after primary vaccination and can be given up to 24 mo</w:t>
      </w:r>
      <w:r w:rsidR="005F7466">
        <w:t>nths after primary vaccination.</w:t>
      </w:r>
    </w:p>
    <w:p w:rsidR="00F40DCE" w:rsidRPr="00F40DCE" w:rsidRDefault="00500F9D" w:rsidP="00F40DCE">
      <w:proofErr w:type="spellStart"/>
      <w:r w:rsidRPr="00D0403E">
        <w:t>Imojev</w:t>
      </w:r>
      <w:proofErr w:type="spellEnd"/>
      <w:r w:rsidR="00F40DCE" w:rsidRPr="00F40DCE">
        <w:t xml:space="preserve"> can also be given as a single booster vaccination in children who were previously given an in</w:t>
      </w:r>
      <w:r w:rsidR="009959B6">
        <w:t>activated JE</w:t>
      </w:r>
      <w:r w:rsidR="00F40DCE" w:rsidRPr="00F40DCE">
        <w:t xml:space="preserve"> vaccine for primary vaccination, in accordance with the recommended timing for the booster</w:t>
      </w:r>
      <w:r w:rsidR="005F7466">
        <w:t xml:space="preserve"> of the inactivated JE vaccine.</w:t>
      </w:r>
    </w:p>
    <w:p w:rsidR="00F40DCE" w:rsidRPr="009959B6" w:rsidRDefault="00F40DCE" w:rsidP="009959B6">
      <w:pPr>
        <w:ind w:left="720"/>
        <w:rPr>
          <w:i/>
        </w:rPr>
      </w:pPr>
      <w:proofErr w:type="gramStart"/>
      <w:r w:rsidRPr="009959B6">
        <w:rPr>
          <w:i/>
        </w:rPr>
        <w:t>Proposed Change: Addition of the recommendation of booster dose in paediatric populations.</w:t>
      </w:r>
      <w:proofErr w:type="gramEnd"/>
      <w:r w:rsidRPr="009959B6">
        <w:rPr>
          <w:i/>
        </w:rPr>
        <w:t xml:space="preserve"> In individuals 2 years of age and over, the recommended injection site is the deltoid region of the upper arm.</w:t>
      </w:r>
    </w:p>
    <w:p w:rsidR="00F40DCE" w:rsidRPr="00F40DCE" w:rsidRDefault="00F40DCE" w:rsidP="00F40DCE">
      <w:r w:rsidRPr="00F40DCE">
        <w:t>In individuals between 12 and 24 months of age, the recommended injection site is the anterolateral aspect of the thigh or the deltoid region.</w:t>
      </w:r>
    </w:p>
    <w:p w:rsidR="008E7846" w:rsidRPr="003F31A2" w:rsidRDefault="00386150" w:rsidP="008E7846">
      <w:pPr>
        <w:pStyle w:val="Heading3"/>
      </w:pPr>
      <w:bookmarkStart w:id="11" w:name="_Toc314842485"/>
      <w:bookmarkStart w:id="12" w:name="_Toc247691504"/>
      <w:bookmarkStart w:id="13" w:name="_Toc383010132"/>
      <w:r>
        <w:lastRenderedPageBreak/>
        <w:t>Regulatory s</w:t>
      </w:r>
      <w:r w:rsidR="008E7846">
        <w:t>tatus</w:t>
      </w:r>
      <w:bookmarkEnd w:id="11"/>
      <w:bookmarkEnd w:id="12"/>
      <w:bookmarkEnd w:id="13"/>
    </w:p>
    <w:p w:rsidR="00125426" w:rsidRDefault="00125426" w:rsidP="00125426">
      <w:bookmarkStart w:id="14" w:name="_Toc247691505"/>
      <w:bookmarkStart w:id="15" w:name="_Toc314842486"/>
      <w:r>
        <w:t>Table 1 shows c</w:t>
      </w:r>
      <w:r w:rsidRPr="00592D57">
        <w:t xml:space="preserve">ountries in which </w:t>
      </w:r>
      <w:proofErr w:type="spellStart"/>
      <w:r w:rsidR="00986087">
        <w:t>Imojev</w:t>
      </w:r>
      <w:proofErr w:type="spellEnd"/>
      <w:r w:rsidR="00986087">
        <w:t xml:space="preserve"> has been approved </w:t>
      </w:r>
      <w:r>
        <w:t xml:space="preserve">at the time of the </w:t>
      </w:r>
      <w:r w:rsidR="00986087">
        <w:t xml:space="preserve">current </w:t>
      </w:r>
      <w:r>
        <w:t>Australian application</w:t>
      </w:r>
      <w:r w:rsidR="00986087">
        <w:t xml:space="preserve"> to amend the dosage schedule</w:t>
      </w:r>
      <w:r>
        <w:t>.</w:t>
      </w:r>
    </w:p>
    <w:p w:rsidR="00125426" w:rsidRDefault="00125426" w:rsidP="001B3E9D">
      <w:pPr>
        <w:pStyle w:val="TableTitle"/>
      </w:pPr>
      <w:proofErr w:type="gramStart"/>
      <w:r>
        <w:t>Table 1:</w:t>
      </w:r>
      <w:r w:rsidRPr="004C5C28">
        <w:t xml:space="preserve"> </w:t>
      </w:r>
      <w:r w:rsidR="00841FB4" w:rsidRPr="00841FB4">
        <w:t xml:space="preserve">List of countries where </w:t>
      </w:r>
      <w:proofErr w:type="spellStart"/>
      <w:r w:rsidR="00841FB4" w:rsidRPr="00841FB4">
        <w:t>I</w:t>
      </w:r>
      <w:r w:rsidR="00841FB4">
        <w:t>mojev</w:t>
      </w:r>
      <w:proofErr w:type="spellEnd"/>
      <w:r w:rsidR="00841FB4" w:rsidRPr="00841FB4">
        <w:t xml:space="preserve"> has been approved</w:t>
      </w:r>
      <w:r>
        <w:t>.</w:t>
      </w:r>
      <w:proofErr w:type="gramEnd"/>
    </w:p>
    <w:p w:rsidR="00125426" w:rsidRDefault="00585AB0" w:rsidP="00125426">
      <w:pPr>
        <w:pStyle w:val="FigureTitle"/>
        <w:rPr>
          <w:lang w:val="en-GB"/>
        </w:rPr>
      </w:pPr>
      <w:r>
        <w:rPr>
          <w:noProof/>
          <w:lang w:eastAsia="en-AU"/>
        </w:rPr>
        <w:drawing>
          <wp:inline distT="0" distB="0" distL="0" distR="0">
            <wp:extent cx="4650740" cy="2687320"/>
            <wp:effectExtent l="0" t="0" r="0" b="0"/>
            <wp:docPr id="15" name="Picture 1" descr="Table 1: List of countries where Imojev has been 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1: List of countries where Imojev has been approv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0740" cy="2687320"/>
                    </a:xfrm>
                    <a:prstGeom prst="rect">
                      <a:avLst/>
                    </a:prstGeom>
                    <a:noFill/>
                    <a:ln>
                      <a:noFill/>
                    </a:ln>
                  </pic:spPr>
                </pic:pic>
              </a:graphicData>
            </a:graphic>
          </wp:inline>
        </w:drawing>
      </w:r>
    </w:p>
    <w:p w:rsidR="00E030EE" w:rsidRPr="008E2A95" w:rsidRDefault="008E2A95" w:rsidP="008E2A95">
      <w:r>
        <w:t xml:space="preserve">At the time of the current Australian application, </w:t>
      </w:r>
      <w:proofErr w:type="spellStart"/>
      <w:r>
        <w:t>Imojev</w:t>
      </w:r>
      <w:proofErr w:type="spellEnd"/>
      <w:r>
        <w:t xml:space="preserve"> submissions had been made to </w:t>
      </w:r>
      <w:r w:rsidRPr="008E2A95">
        <w:t>Hong Kong</w:t>
      </w:r>
      <w:r>
        <w:t xml:space="preserve">, </w:t>
      </w:r>
      <w:r w:rsidRPr="008E2A95">
        <w:t>Indonesia</w:t>
      </w:r>
      <w:r>
        <w:t>, Lao People’</w:t>
      </w:r>
      <w:r w:rsidRPr="008E2A95">
        <w:t>s Democratic Republic</w:t>
      </w:r>
      <w:r>
        <w:t xml:space="preserve">, </w:t>
      </w:r>
      <w:r w:rsidRPr="008E2A95">
        <w:t>Myanmar</w:t>
      </w:r>
      <w:r>
        <w:t xml:space="preserve">, </w:t>
      </w:r>
      <w:r w:rsidRPr="008E2A95">
        <w:t>Pakistan</w:t>
      </w:r>
      <w:r>
        <w:t xml:space="preserve">, </w:t>
      </w:r>
      <w:r w:rsidRPr="008E2A95">
        <w:t>Philippines</w:t>
      </w:r>
      <w:r>
        <w:t xml:space="preserve">, </w:t>
      </w:r>
      <w:r w:rsidRPr="008E2A95">
        <w:t>Singapore</w:t>
      </w:r>
      <w:r>
        <w:t xml:space="preserve">, </w:t>
      </w:r>
      <w:r w:rsidRPr="008E2A95">
        <w:t>Sri Lanka</w:t>
      </w:r>
      <w:r w:rsidR="00C0083C">
        <w:t xml:space="preserve"> and </w:t>
      </w:r>
      <w:r w:rsidRPr="008E2A95">
        <w:t>Taiwan</w:t>
      </w:r>
      <w:r w:rsidR="00C0083C">
        <w:t>.</w:t>
      </w:r>
    </w:p>
    <w:p w:rsidR="008E7846" w:rsidRDefault="008E7846" w:rsidP="008E7846">
      <w:pPr>
        <w:pStyle w:val="Heading3"/>
      </w:pPr>
      <w:bookmarkStart w:id="16" w:name="_Toc383010133"/>
      <w:r>
        <w:t>Product Information</w:t>
      </w:r>
      <w:bookmarkEnd w:id="14"/>
      <w:bookmarkEnd w:id="15"/>
      <w:bookmarkEnd w:id="16"/>
    </w:p>
    <w:p w:rsidR="008E7846" w:rsidRDefault="008E7846" w:rsidP="008E7846">
      <w:r>
        <w:t>Th</w:t>
      </w:r>
      <w:r w:rsidR="000F074B">
        <w:t xml:space="preserve">e approved </w:t>
      </w:r>
      <w:r>
        <w:t xml:space="preserve">PI current at the time this </w:t>
      </w:r>
      <w:proofErr w:type="spellStart"/>
      <w:r>
        <w:t>AusPAR</w:t>
      </w:r>
      <w:proofErr w:type="spellEnd"/>
      <w:r>
        <w:t xml:space="preserve"> was prepared can be found as Attachment 1.</w:t>
      </w:r>
      <w:bookmarkStart w:id="17" w:name="_Toc247691506"/>
      <w:bookmarkStart w:id="18" w:name="_Toc314842487"/>
    </w:p>
    <w:p w:rsidR="008E7846" w:rsidRPr="003602A9" w:rsidRDefault="008E7846" w:rsidP="008E7846">
      <w:pPr>
        <w:pStyle w:val="Heading2"/>
        <w:ind w:left="-11"/>
      </w:pPr>
      <w:bookmarkStart w:id="19" w:name="_Toc383010134"/>
      <w:r>
        <w:t>II. Quality</w:t>
      </w:r>
      <w:bookmarkEnd w:id="2"/>
      <w:r>
        <w:t xml:space="preserve"> findings</w:t>
      </w:r>
      <w:bookmarkEnd w:id="17"/>
      <w:bookmarkEnd w:id="18"/>
      <w:bookmarkEnd w:id="19"/>
    </w:p>
    <w:p w:rsidR="008E7846" w:rsidRDefault="008E7846" w:rsidP="008E7846">
      <w:r>
        <w:t>There was no requirement for a quality evaluation in a submission of this type.</w:t>
      </w:r>
    </w:p>
    <w:p w:rsidR="008E7846" w:rsidRDefault="008E7846" w:rsidP="008E7846">
      <w:pPr>
        <w:pStyle w:val="Heading2"/>
      </w:pPr>
      <w:bookmarkStart w:id="20" w:name="_Toc196046439"/>
      <w:bookmarkStart w:id="21" w:name="_Toc247691510"/>
      <w:bookmarkStart w:id="22" w:name="_Toc314842494"/>
      <w:bookmarkStart w:id="23" w:name="_Toc383010135"/>
      <w:r>
        <w:t>III. Nonclinical</w:t>
      </w:r>
      <w:bookmarkEnd w:id="20"/>
      <w:r>
        <w:t xml:space="preserve"> findings</w:t>
      </w:r>
      <w:bookmarkEnd w:id="21"/>
      <w:bookmarkEnd w:id="22"/>
      <w:bookmarkEnd w:id="23"/>
    </w:p>
    <w:p w:rsidR="009F196E" w:rsidRPr="009F196E" w:rsidRDefault="009F196E" w:rsidP="009F196E">
      <w:proofErr w:type="spellStart"/>
      <w:r w:rsidRPr="009F196E">
        <w:t>Imojev</w:t>
      </w:r>
      <w:proofErr w:type="spellEnd"/>
      <w:r w:rsidRPr="009F196E">
        <w:t xml:space="preserve"> is a chimeric virus vaccine based on the 17D-204 yellow fev</w:t>
      </w:r>
      <w:r w:rsidR="003648FE">
        <w:t xml:space="preserve">er (YF) vaccine </w:t>
      </w:r>
      <w:proofErr w:type="gramStart"/>
      <w:r w:rsidR="003648FE">
        <w:t>virus</w:t>
      </w:r>
      <w:proofErr w:type="gramEnd"/>
      <w:r w:rsidR="003648FE">
        <w:t xml:space="preserve"> in which </w:t>
      </w:r>
      <w:r w:rsidR="00A75F0F">
        <w:t>tw</w:t>
      </w:r>
      <w:r w:rsidR="003648FE">
        <w:t>o</w:t>
      </w:r>
      <w:r w:rsidRPr="009F196E">
        <w:t xml:space="preserve"> genes have been replaced by the corresponding pre</w:t>
      </w:r>
      <w:r w:rsidR="00CD72D2">
        <w:t xml:space="preserve"> </w:t>
      </w:r>
      <w:r w:rsidRPr="009F196E">
        <w:t>membrane and envelope genes from t</w:t>
      </w:r>
      <w:r w:rsidR="00612BCD">
        <w:t xml:space="preserve">he SA14-14-2 live attenuated JE </w:t>
      </w:r>
      <w:r w:rsidR="00F01D1C">
        <w:t>virus</w:t>
      </w:r>
      <w:r w:rsidRPr="009F196E">
        <w:t>. In common with other live attenuated viral vaccines</w:t>
      </w:r>
      <w:r w:rsidR="00E2577E">
        <w:t>,</w:t>
      </w:r>
      <w:r w:rsidRPr="009F196E">
        <w:t xml:space="preserve"> </w:t>
      </w:r>
      <w:proofErr w:type="spellStart"/>
      <w:r w:rsidRPr="009F196E">
        <w:t>Imojev</w:t>
      </w:r>
      <w:proofErr w:type="spellEnd"/>
      <w:r w:rsidRPr="009F196E">
        <w:t xml:space="preserve"> is contraindicated in pregnancy and breast</w:t>
      </w:r>
      <w:r w:rsidR="00BC128E">
        <w:t xml:space="preserve"> </w:t>
      </w:r>
      <w:r w:rsidRPr="009F196E">
        <w:t>feeding, and pregnancy should be avoided for 28 days after vaccination. None of the currently registered live virus vaccines have been conclusively demonstrated to pose a risk to the developing f</w:t>
      </w:r>
      <w:r>
        <w:t>o</w:t>
      </w:r>
      <w:r w:rsidRPr="009F196E">
        <w:t>etus</w:t>
      </w:r>
      <w:r>
        <w:rPr>
          <w:rStyle w:val="FootnoteReference"/>
        </w:rPr>
        <w:footnoteReference w:id="2"/>
      </w:r>
      <w:r w:rsidRPr="009F196E">
        <w:t xml:space="preserve"> on the basis of epidemiological data collected post</w:t>
      </w:r>
      <w:r w:rsidR="00A126FE">
        <w:t xml:space="preserve"> </w:t>
      </w:r>
      <w:r w:rsidRPr="009F196E">
        <w:t xml:space="preserve">registration. No nonclinical developmental toxicity studies were submitted for </w:t>
      </w:r>
      <w:proofErr w:type="spellStart"/>
      <w:r w:rsidRPr="009F196E">
        <w:t>Imojev</w:t>
      </w:r>
      <w:proofErr w:type="spellEnd"/>
      <w:r w:rsidRPr="009F196E">
        <w:t>. A number of published studies have reported normal rates of abortions, still</w:t>
      </w:r>
      <w:r w:rsidR="00B06E3D">
        <w:t xml:space="preserve"> </w:t>
      </w:r>
      <w:r w:rsidRPr="009F196E">
        <w:t>births</w:t>
      </w:r>
      <w:r w:rsidR="00E2577E">
        <w:t>,</w:t>
      </w:r>
      <w:r w:rsidRPr="009F196E">
        <w:t xml:space="preserve"> and major f</w:t>
      </w:r>
      <w:r w:rsidR="00F01D1C">
        <w:t>o</w:t>
      </w:r>
      <w:r w:rsidRPr="009F196E">
        <w:t>etal malformations in YF epidemics and after inadvertent immuni</w:t>
      </w:r>
      <w:r w:rsidR="001E13D8">
        <w:t>s</w:t>
      </w:r>
      <w:r w:rsidRPr="009F196E">
        <w:t xml:space="preserve">ation with the YF 17D vaccine during pregnancy. </w:t>
      </w:r>
      <w:r w:rsidR="00F01D1C">
        <w:t>Human data concerning JE virus</w:t>
      </w:r>
      <w:r w:rsidRPr="009F196E">
        <w:t xml:space="preserve"> infection</w:t>
      </w:r>
      <w:r w:rsidR="00E2577E">
        <w:t xml:space="preserve"> and pregnancy are very limited</w:t>
      </w:r>
      <w:r w:rsidRPr="009F196E">
        <w:t xml:space="preserve"> as infection of women of childbearing age may be limited by acquisition of immunity in childhood. However, high </w:t>
      </w:r>
      <w:r w:rsidRPr="009F196E">
        <w:lastRenderedPageBreak/>
        <w:t>incidences of stillborn and moribund piglets, and dead f</w:t>
      </w:r>
      <w:r w:rsidR="00F01D1C">
        <w:t>o</w:t>
      </w:r>
      <w:r w:rsidRPr="009F196E">
        <w:t xml:space="preserve">etuses, with </w:t>
      </w:r>
      <w:r w:rsidR="00E2577E">
        <w:t>central nervous system (</w:t>
      </w:r>
      <w:r w:rsidRPr="009F196E">
        <w:t>CNS</w:t>
      </w:r>
      <w:r w:rsidR="00E2577E">
        <w:t>)</w:t>
      </w:r>
      <w:r w:rsidRPr="009F196E">
        <w:t xml:space="preserve"> malformations have been observed in JE</w:t>
      </w:r>
      <w:r w:rsidR="00F01D1C">
        <w:t xml:space="preserve"> virus</w:t>
      </w:r>
      <w:r w:rsidRPr="009F196E">
        <w:t xml:space="preserve"> outbreaks since the 1940s, and similar effects were induced experimentally in pregnant pigs </w:t>
      </w:r>
      <w:r w:rsidR="00144EE9">
        <w:t xml:space="preserve">after </w:t>
      </w:r>
      <w:r w:rsidR="007E69B2">
        <w:t>intravenous (</w:t>
      </w:r>
      <w:r w:rsidR="00144EE9">
        <w:t>IV</w:t>
      </w:r>
      <w:r w:rsidR="007E69B2">
        <w:t>)</w:t>
      </w:r>
      <w:r w:rsidR="00144EE9">
        <w:t xml:space="preserve"> administration</w:t>
      </w:r>
      <w:r w:rsidRPr="009F196E">
        <w:t xml:space="preserve">. The high attenuation and low </w:t>
      </w:r>
      <w:proofErr w:type="spellStart"/>
      <w:r w:rsidRPr="009F196E">
        <w:t>viremia</w:t>
      </w:r>
      <w:proofErr w:type="spellEnd"/>
      <w:r w:rsidRPr="009F196E">
        <w:t xml:space="preserve"> of </w:t>
      </w:r>
      <w:proofErr w:type="spellStart"/>
      <w:r w:rsidRPr="009F196E">
        <w:t>Imojev</w:t>
      </w:r>
      <w:proofErr w:type="spellEnd"/>
      <w:r w:rsidRPr="009F196E">
        <w:t xml:space="preserve"> would </w:t>
      </w:r>
      <w:proofErr w:type="gramStart"/>
      <w:r w:rsidRPr="009F196E">
        <w:t>mitigate</w:t>
      </w:r>
      <w:proofErr w:type="gramEnd"/>
      <w:r w:rsidRPr="009F196E">
        <w:t xml:space="preserve"> against </w:t>
      </w:r>
      <w:r w:rsidR="00E2577E">
        <w:t xml:space="preserve">a potential developmental risk; </w:t>
      </w:r>
      <w:r w:rsidRPr="009F196E">
        <w:t>however</w:t>
      </w:r>
      <w:r w:rsidR="00E2577E">
        <w:t>,</w:t>
      </w:r>
      <w:r w:rsidRPr="009F196E">
        <w:t xml:space="preserve"> it was recommended that a reproductive and developmental toxicity study be conducted to clarify the potential risk, as a condition of registration (ACPM 270th meeting, resolution 9440).</w:t>
      </w:r>
    </w:p>
    <w:p w:rsidR="0087213E" w:rsidRDefault="009F196E" w:rsidP="009F196E">
      <w:r w:rsidRPr="009F196E">
        <w:t xml:space="preserve">The </w:t>
      </w:r>
      <w:r w:rsidR="00144EE9">
        <w:t>s</w:t>
      </w:r>
      <w:r w:rsidRPr="009F196E">
        <w:t xml:space="preserve">ponsor submitted two </w:t>
      </w:r>
      <w:r w:rsidR="00E2577E">
        <w:t>Good Laboratory Practice (</w:t>
      </w:r>
      <w:r w:rsidRPr="009F196E">
        <w:t>GLP</w:t>
      </w:r>
      <w:r w:rsidR="00E2577E">
        <w:t>)</w:t>
      </w:r>
      <w:r w:rsidR="00144EE9">
        <w:t xml:space="preserve"> </w:t>
      </w:r>
      <w:r w:rsidRPr="009F196E">
        <w:t xml:space="preserve">compliant developmental toxicity studies in rabbits for </w:t>
      </w:r>
      <w:proofErr w:type="spellStart"/>
      <w:r w:rsidRPr="009F196E">
        <w:t>Imojev</w:t>
      </w:r>
      <w:proofErr w:type="spellEnd"/>
      <w:r w:rsidRPr="009F196E">
        <w:t>, in accordance with relevant nonclinical guidelines</w:t>
      </w:r>
      <w:r>
        <w:t>.</w:t>
      </w:r>
      <w:r>
        <w:rPr>
          <w:rStyle w:val="FootnoteReference"/>
        </w:rPr>
        <w:footnoteReference w:id="3"/>
      </w:r>
      <w:r w:rsidR="00081386">
        <w:t xml:space="preserve"> </w:t>
      </w:r>
      <w:r w:rsidRPr="009F196E">
        <w:t>The study reports stated that the rabbit was selected as the test s</w:t>
      </w:r>
      <w:r w:rsidR="0087213E">
        <w:t>pecies for the following reasons:</w:t>
      </w:r>
    </w:p>
    <w:p w:rsidR="00BE324F" w:rsidRDefault="00BE324F" w:rsidP="00BE324F">
      <w:r w:rsidRPr="009F196E">
        <w:t>(</w:t>
      </w:r>
      <w:proofErr w:type="spellStart"/>
      <w:r w:rsidRPr="009F196E">
        <w:t>i</w:t>
      </w:r>
      <w:proofErr w:type="spellEnd"/>
      <w:r w:rsidRPr="009F196E">
        <w:t xml:space="preserve">) </w:t>
      </w:r>
      <w:r>
        <w:tab/>
      </w:r>
      <w:proofErr w:type="gramStart"/>
      <w:r w:rsidRPr="009F196E">
        <w:t>it</w:t>
      </w:r>
      <w:proofErr w:type="gramEnd"/>
      <w:r w:rsidRPr="009F196E">
        <w:t xml:space="preserve"> is a standard sp</w:t>
      </w:r>
      <w:r>
        <w:t>ecies for developmental studies;</w:t>
      </w:r>
    </w:p>
    <w:p w:rsidR="00BE324F" w:rsidRDefault="00BE324F" w:rsidP="00BE324F">
      <w:r w:rsidRPr="009F196E">
        <w:t xml:space="preserve">(ii) </w:t>
      </w:r>
      <w:r>
        <w:tab/>
      </w:r>
      <w:proofErr w:type="gramStart"/>
      <w:r w:rsidRPr="009F196E">
        <w:t>the</w:t>
      </w:r>
      <w:proofErr w:type="gramEnd"/>
      <w:r w:rsidRPr="009F196E">
        <w:t xml:space="preserve"> rabbit strain is sensitive to developmental toxicants</w:t>
      </w:r>
      <w:r>
        <w:t>;</w:t>
      </w:r>
    </w:p>
    <w:p w:rsidR="00BE324F" w:rsidRDefault="00BE324F" w:rsidP="00BE324F">
      <w:r w:rsidRPr="009F196E">
        <w:t xml:space="preserve">(iii) </w:t>
      </w:r>
      <w:r>
        <w:tab/>
      </w:r>
      <w:proofErr w:type="gramStart"/>
      <w:r w:rsidRPr="009F196E">
        <w:t>the</w:t>
      </w:r>
      <w:proofErr w:type="gramEnd"/>
      <w:r w:rsidRPr="009F196E">
        <w:t xml:space="preserve"> test facility has historical data and </w:t>
      </w:r>
      <w:r>
        <w:t>experience for the species; and</w:t>
      </w:r>
    </w:p>
    <w:p w:rsidR="00BE324F" w:rsidRDefault="00BE324F" w:rsidP="00BE324F">
      <w:pPr>
        <w:ind w:left="720" w:hanging="720"/>
      </w:pPr>
      <w:r w:rsidRPr="009F196E">
        <w:t xml:space="preserve">(iv) </w:t>
      </w:r>
      <w:r>
        <w:tab/>
      </w:r>
      <w:proofErr w:type="gramStart"/>
      <w:r w:rsidRPr="009F196E">
        <w:t>a</w:t>
      </w:r>
      <w:proofErr w:type="gramEnd"/>
      <w:r w:rsidRPr="009F196E">
        <w:t xml:space="preserve"> preliminary repeat</w:t>
      </w:r>
      <w:r>
        <w:t xml:space="preserve"> </w:t>
      </w:r>
      <w:r w:rsidRPr="009F196E">
        <w:t xml:space="preserve">dose immunogenicity study demonstrated a robust antibody response to </w:t>
      </w:r>
      <w:proofErr w:type="spellStart"/>
      <w:r w:rsidRPr="009F196E">
        <w:t>Imojev</w:t>
      </w:r>
      <w:proofErr w:type="spellEnd"/>
      <w:r w:rsidRPr="009F196E">
        <w:t xml:space="preserve"> in rabbits (no. SP0116 </w:t>
      </w:r>
      <w:proofErr w:type="gramStart"/>
      <w:r w:rsidRPr="009F196E">
        <w:t>IS1008,</w:t>
      </w:r>
      <w:proofErr w:type="gramEnd"/>
      <w:r w:rsidRPr="009F196E">
        <w:t xml:space="preserve"> not submitted).</w:t>
      </w:r>
    </w:p>
    <w:p w:rsidR="009F196E" w:rsidRPr="009F196E" w:rsidRDefault="009F196E" w:rsidP="009F196E">
      <w:r w:rsidRPr="009F196E">
        <w:t xml:space="preserve">However, not all rabbits seroconverted in either study, with </w:t>
      </w:r>
      <w:proofErr w:type="spellStart"/>
      <w:r w:rsidRPr="009F196E">
        <w:t>seroconversion</w:t>
      </w:r>
      <w:proofErr w:type="spellEnd"/>
      <w:r w:rsidRPr="009F196E">
        <w:t xml:space="preserve"> rates </w:t>
      </w:r>
      <w:r w:rsidR="0056300C">
        <w:t>(</w:t>
      </w:r>
      <w:r w:rsidR="0056300C" w:rsidRPr="00AA4D35">
        <w:t>SCRs</w:t>
      </w:r>
      <w:r w:rsidR="0056300C">
        <w:t xml:space="preserve">) </w:t>
      </w:r>
      <w:r w:rsidRPr="009F196E">
        <w:t>ranging from 1-6/10 does per treatment group in the single</w:t>
      </w:r>
      <w:r w:rsidR="00E2577E">
        <w:t xml:space="preserve"> </w:t>
      </w:r>
      <w:r w:rsidRPr="009F196E">
        <w:t>dose study, and 6-9/10 does per group in the repeat</w:t>
      </w:r>
      <w:r w:rsidR="00E2577E">
        <w:t xml:space="preserve"> </w:t>
      </w:r>
      <w:r w:rsidRPr="009F196E">
        <w:t xml:space="preserve">dose study, indicating a higher </w:t>
      </w:r>
      <w:r w:rsidR="00C96F4D" w:rsidRPr="00AA4D35">
        <w:t>SCR</w:t>
      </w:r>
      <w:r w:rsidRPr="009F196E">
        <w:t xml:space="preserve"> after repeat dosing. </w:t>
      </w:r>
      <w:r w:rsidR="00C96F4D" w:rsidRPr="00AA4D35">
        <w:t>SCR</w:t>
      </w:r>
      <w:r w:rsidRPr="009F196E">
        <w:t>s in f</w:t>
      </w:r>
      <w:r w:rsidR="00E2577E">
        <w:t>o</w:t>
      </w:r>
      <w:r w:rsidRPr="009F196E">
        <w:t>etu</w:t>
      </w:r>
      <w:r w:rsidR="00E2577E">
        <w:t>ses and pups, from the same dose</w:t>
      </w:r>
      <w:r w:rsidRPr="009F196E">
        <w:t xml:space="preserve"> whenever possible, showed a similar trend to maternal samples. Previously evaluated studies showed 100% </w:t>
      </w:r>
      <w:proofErr w:type="spellStart"/>
      <w:r w:rsidRPr="009F196E">
        <w:t>seroconversion</w:t>
      </w:r>
      <w:proofErr w:type="spellEnd"/>
      <w:r w:rsidRPr="009F196E">
        <w:t xml:space="preserve"> in rhesus</w:t>
      </w:r>
      <w:r w:rsidR="00E2577E">
        <w:t xml:space="preserve"> and </w:t>
      </w:r>
      <w:proofErr w:type="spellStart"/>
      <w:r w:rsidR="00E2577E">
        <w:t>cynomolgus</w:t>
      </w:r>
      <w:proofErr w:type="spellEnd"/>
      <w:r w:rsidR="00E2577E">
        <w:t xml:space="preserve"> monkeys after a</w:t>
      </w:r>
      <w:r w:rsidRPr="009F196E">
        <w:t xml:space="preserve"> </w:t>
      </w:r>
      <w:r w:rsidR="00E2577E">
        <w:t>subcutaneous (</w:t>
      </w:r>
      <w:r w:rsidRPr="009F196E">
        <w:t>SC</w:t>
      </w:r>
      <w:r w:rsidR="00E2577E">
        <w:t>)</w:t>
      </w:r>
      <w:r w:rsidRPr="009F196E">
        <w:t xml:space="preserve"> dose of </w:t>
      </w:r>
      <w:proofErr w:type="spellStart"/>
      <w:r w:rsidRPr="009F196E">
        <w:t>Imojev</w:t>
      </w:r>
      <w:proofErr w:type="spellEnd"/>
      <w:r w:rsidRPr="009F196E">
        <w:t xml:space="preserve">. It is likely that the lower </w:t>
      </w:r>
      <w:r w:rsidR="00C96F4D" w:rsidRPr="00AA4D35">
        <w:t>SCR</w:t>
      </w:r>
      <w:r w:rsidR="00E2577E" w:rsidRPr="009F196E">
        <w:t xml:space="preserve"> in rabbits reflects</w:t>
      </w:r>
      <w:r w:rsidR="00E2577E">
        <w:t xml:space="preserve"> a species difference</w:t>
      </w:r>
      <w:r w:rsidRPr="009F196E">
        <w:t xml:space="preserve"> rather than inappropriate sample times or lack of sensi</w:t>
      </w:r>
      <w:r w:rsidR="00E9313D">
        <w:t>tivity of the assay.</w:t>
      </w:r>
    </w:p>
    <w:p w:rsidR="009F196E" w:rsidRPr="009F196E" w:rsidRDefault="009F196E" w:rsidP="009F196E">
      <w:r w:rsidRPr="009F196E">
        <w:t xml:space="preserve">Rhesus and </w:t>
      </w:r>
      <w:proofErr w:type="spellStart"/>
      <w:r w:rsidRPr="009F196E">
        <w:t>cynomolgus</w:t>
      </w:r>
      <w:proofErr w:type="spellEnd"/>
      <w:r w:rsidRPr="009F196E">
        <w:t xml:space="preserve"> monkeys and mice have been commonly used as animal models of wild</w:t>
      </w:r>
      <w:r w:rsidR="003D7525">
        <w:t xml:space="preserve"> type JE virus</w:t>
      </w:r>
      <w:r w:rsidRPr="009F196E">
        <w:t xml:space="preserve"> infection, with the development of encephalitis dependent on the route of administration and animal age. P</w:t>
      </w:r>
      <w:r w:rsidR="003D7525">
        <w:t>igs are amplifying hosts for JE virus</w:t>
      </w:r>
      <w:r w:rsidRPr="009F196E">
        <w:t xml:space="preserve">, and abortions and stillbirths, with CNS malformations, have been reported after </w:t>
      </w:r>
      <w:proofErr w:type="spellStart"/>
      <w:r w:rsidRPr="009F196E">
        <w:t>transplacental</w:t>
      </w:r>
      <w:proofErr w:type="spellEnd"/>
      <w:r w:rsidRPr="009F196E">
        <w:t xml:space="preserve"> infection. </w:t>
      </w:r>
      <w:proofErr w:type="spellStart"/>
      <w:r w:rsidRPr="009F196E">
        <w:t>Transplacental</w:t>
      </w:r>
      <w:proofErr w:type="spellEnd"/>
      <w:r w:rsidRPr="009F196E">
        <w:t xml:space="preserve"> infection has been reported after an SC dose of </w:t>
      </w:r>
      <w:r w:rsidR="001E530F">
        <w:t>JE virus</w:t>
      </w:r>
      <w:r w:rsidRPr="009F196E">
        <w:t xml:space="preserve"> in mice, and abortions and stillbirths were reported after an</w:t>
      </w:r>
      <w:r w:rsidR="001E530F">
        <w:t xml:space="preserve"> </w:t>
      </w:r>
      <w:proofErr w:type="spellStart"/>
      <w:r w:rsidR="001E530F">
        <w:t>intraperitoneal</w:t>
      </w:r>
      <w:proofErr w:type="spellEnd"/>
      <w:r w:rsidR="001E530F">
        <w:t xml:space="preserve"> (</w:t>
      </w:r>
      <w:r w:rsidRPr="009F196E">
        <w:t>IP</w:t>
      </w:r>
      <w:r w:rsidR="001E530F">
        <w:t>)</w:t>
      </w:r>
      <w:r w:rsidRPr="009F196E">
        <w:t xml:space="preserve"> injection. Although rabbits are a standard species for developmental toxicity studies, it has been reported th</w:t>
      </w:r>
      <w:r w:rsidR="005E4E31">
        <w:t>at they develop asymptomatic JE virus</w:t>
      </w:r>
      <w:r w:rsidRPr="009F196E">
        <w:t xml:space="preserve"> infection regardless of the route of inoculation.</w:t>
      </w:r>
      <w:r w:rsidR="005E4E31">
        <w:rPr>
          <w:rStyle w:val="FootnoteReference"/>
        </w:rPr>
        <w:footnoteReference w:id="4"/>
      </w:r>
      <w:r w:rsidRPr="009F196E">
        <w:t xml:space="preserve"> Sensitive </w:t>
      </w:r>
      <w:r w:rsidR="003B4BA2">
        <w:t>nucleic acid</w:t>
      </w:r>
      <w:r w:rsidRPr="009F196E">
        <w:t xml:space="preserve"> tests in</w:t>
      </w:r>
      <w:r w:rsidR="00A55E24">
        <w:t xml:space="preserve"> preliminary study (No. SP0116 IS</w:t>
      </w:r>
      <w:r w:rsidRPr="009F196E">
        <w:t>1008) showed detection of low levels of YFNS5 RNA in sera</w:t>
      </w:r>
      <w:r w:rsidR="005E4E31">
        <w:t xml:space="preserve"> from female rabbits; </w:t>
      </w:r>
      <w:r w:rsidRPr="009F196E">
        <w:t>how</w:t>
      </w:r>
      <w:r w:rsidR="00570C8E">
        <w:t>e</w:t>
      </w:r>
      <w:r w:rsidRPr="009F196E">
        <w:t>ver</w:t>
      </w:r>
      <w:r w:rsidR="005E4E31">
        <w:t>,</w:t>
      </w:r>
      <w:r w:rsidRPr="009F196E">
        <w:t xml:space="preserve"> in the rabbit single</w:t>
      </w:r>
      <w:r w:rsidR="005E4E31">
        <w:t xml:space="preserve"> </w:t>
      </w:r>
      <w:r w:rsidRPr="009F196E">
        <w:t>dose developmental toxicity study the tests failed to detect vaccine YFNS5 RNA in maternal or pup sera, f</w:t>
      </w:r>
      <w:r w:rsidR="00570C8E">
        <w:t>o</w:t>
      </w:r>
      <w:r w:rsidRPr="009F196E">
        <w:t xml:space="preserve">etuses or milk on the day after injection of </w:t>
      </w:r>
      <w:proofErr w:type="spellStart"/>
      <w:r w:rsidRPr="009F196E">
        <w:t>Imojev</w:t>
      </w:r>
      <w:proofErr w:type="spellEnd"/>
      <w:r w:rsidRPr="009F196E">
        <w:t xml:space="preserve">. A low, transient </w:t>
      </w:r>
      <w:proofErr w:type="spellStart"/>
      <w:r w:rsidRPr="009F196E">
        <w:t>viremia</w:t>
      </w:r>
      <w:proofErr w:type="spellEnd"/>
      <w:r w:rsidRPr="009F196E">
        <w:t xml:space="preserve"> was previously observed in monkeys and humans after a SC dose of </w:t>
      </w:r>
      <w:proofErr w:type="spellStart"/>
      <w:r w:rsidRPr="009F196E">
        <w:t>Imojev</w:t>
      </w:r>
      <w:proofErr w:type="spellEnd"/>
      <w:r w:rsidRPr="009F196E">
        <w:t xml:space="preserve">. The lack of </w:t>
      </w:r>
      <w:proofErr w:type="spellStart"/>
      <w:r w:rsidRPr="009F196E">
        <w:lastRenderedPageBreak/>
        <w:t>seroconversion</w:t>
      </w:r>
      <w:proofErr w:type="spellEnd"/>
      <w:r w:rsidRPr="009F196E">
        <w:t xml:space="preserve"> in some, and compete lack of detectable </w:t>
      </w:r>
      <w:proofErr w:type="spellStart"/>
      <w:r w:rsidRPr="009F196E">
        <w:t>viremia</w:t>
      </w:r>
      <w:proofErr w:type="spellEnd"/>
      <w:r w:rsidRPr="009F196E">
        <w:t>, indicate</w:t>
      </w:r>
      <w:r w:rsidR="00191EE1">
        <w:t>s</w:t>
      </w:r>
      <w:r w:rsidRPr="009F196E">
        <w:t xml:space="preserve"> limitations of the rabbit model for live attenuated JE vaccines.</w:t>
      </w:r>
    </w:p>
    <w:p w:rsidR="009F196E" w:rsidRPr="009F196E" w:rsidRDefault="009F196E" w:rsidP="009F196E">
      <w:r w:rsidRPr="009F196E">
        <w:t xml:space="preserve">In both rabbit studies there were no </w:t>
      </w:r>
      <w:proofErr w:type="spellStart"/>
      <w:r w:rsidRPr="009F196E">
        <w:t>Imojev</w:t>
      </w:r>
      <w:proofErr w:type="spellEnd"/>
      <w:r w:rsidR="00312C5A">
        <w:t xml:space="preserve"> </w:t>
      </w:r>
      <w:r w:rsidRPr="009F196E">
        <w:t>related effects on treated does, ovarian and uterine parameters, natural delivery parameters, f</w:t>
      </w:r>
      <w:r w:rsidR="00191EE1">
        <w:t>o</w:t>
      </w:r>
      <w:r w:rsidRPr="009F196E">
        <w:t>etal external, soft tissue and skeletal abnormalities, and pup survival, growth and development. The repeat</w:t>
      </w:r>
      <w:r w:rsidR="00312C5A">
        <w:t xml:space="preserve"> </w:t>
      </w:r>
      <w:r w:rsidRPr="009F196E">
        <w:t xml:space="preserve">dose study also showed no effects of </w:t>
      </w:r>
      <w:proofErr w:type="spellStart"/>
      <w:r w:rsidRPr="009F196E">
        <w:t>Imojev</w:t>
      </w:r>
      <w:proofErr w:type="spellEnd"/>
      <w:r w:rsidRPr="009F196E">
        <w:t xml:space="preserve"> on female rabbit mating or fertility. Vaccine</w:t>
      </w:r>
      <w:r w:rsidR="00312C5A">
        <w:t xml:space="preserve"> </w:t>
      </w:r>
      <w:r w:rsidRPr="009F196E">
        <w:t>specific antibodies were detected in f</w:t>
      </w:r>
      <w:r w:rsidR="00191EE1">
        <w:t>o</w:t>
      </w:r>
      <w:r w:rsidRPr="009F196E">
        <w:t>etuses in both studies, but transfer to pups via milk was not detected in the single</w:t>
      </w:r>
      <w:r w:rsidR="00312C5A">
        <w:t xml:space="preserve"> </w:t>
      </w:r>
      <w:r w:rsidRPr="009F196E">
        <w:t>dose study, and only 1/10 pup samples was seropositive in the repeat</w:t>
      </w:r>
      <w:r w:rsidR="00312C5A">
        <w:t xml:space="preserve"> </w:t>
      </w:r>
      <w:r w:rsidR="00E9313D">
        <w:t>dose study.</w:t>
      </w:r>
    </w:p>
    <w:p w:rsidR="009F196E" w:rsidRPr="009F196E" w:rsidRDefault="009F196E" w:rsidP="009F196E">
      <w:r w:rsidRPr="009F196E">
        <w:t>The full human dose of the vaccine in rabbits</w:t>
      </w:r>
      <w:r w:rsidR="0003565D">
        <w:t xml:space="preserve"> (2.5 kg body weight [</w:t>
      </w:r>
      <w:proofErr w:type="spellStart"/>
      <w:r w:rsidR="0003565D">
        <w:t>bw</w:t>
      </w:r>
      <w:proofErr w:type="spellEnd"/>
      <w:r w:rsidR="0003565D">
        <w:t>]</w:t>
      </w:r>
      <w:r w:rsidRPr="009F196E">
        <w:t xml:space="preserve">), on a mg/kg basis, is 20x the human dose in adults (50 kg </w:t>
      </w:r>
      <w:proofErr w:type="spellStart"/>
      <w:r w:rsidRPr="009F196E">
        <w:t>bw</w:t>
      </w:r>
      <w:proofErr w:type="spellEnd"/>
      <w:r w:rsidRPr="009F196E">
        <w:t>), and 3.6x the dose in 12</w:t>
      </w:r>
      <w:r w:rsidR="0040159A">
        <w:t xml:space="preserve"> </w:t>
      </w:r>
      <w:r w:rsidRPr="009F196E">
        <w:t>month old females (8</w:t>
      </w:r>
      <w:r w:rsidR="00312C5A">
        <w:t>.9 kg, 50th percentile, US Centre</w:t>
      </w:r>
      <w:r w:rsidRPr="009F196E">
        <w:t>s for Disease Control clinical growth charts). These dose multiples were adequate, although such comparisons may be inaccurate for a live virus vaccine if replication levels differ between species post</w:t>
      </w:r>
      <w:r w:rsidR="00312C5A">
        <w:t xml:space="preserve"> </w:t>
      </w:r>
      <w:r w:rsidR="00E9313D">
        <w:t>injection.</w:t>
      </w:r>
    </w:p>
    <w:p w:rsidR="008E7846" w:rsidRDefault="008E7846" w:rsidP="008E7846">
      <w:pPr>
        <w:pStyle w:val="Heading3"/>
      </w:pPr>
      <w:bookmarkStart w:id="24" w:name="_Toc247691515"/>
      <w:bookmarkStart w:id="25" w:name="_Toc314842499"/>
      <w:bookmarkStart w:id="26" w:name="_Toc383010136"/>
      <w:r>
        <w:t>Nonclinical summary and conclusions</w:t>
      </w:r>
      <w:bookmarkEnd w:id="24"/>
      <w:bookmarkEnd w:id="25"/>
      <w:bookmarkEnd w:id="26"/>
    </w:p>
    <w:p w:rsidR="008E7846" w:rsidRDefault="00B566B1" w:rsidP="009F196E">
      <w:pPr>
        <w:pStyle w:val="Heading4"/>
      </w:pPr>
      <w:r>
        <w:t>Summary</w:t>
      </w:r>
    </w:p>
    <w:p w:rsidR="007F7EC1" w:rsidRPr="007F7EC1" w:rsidRDefault="007F7EC1" w:rsidP="007F7EC1">
      <w:pPr>
        <w:pStyle w:val="ListBullet"/>
      </w:pPr>
      <w:proofErr w:type="spellStart"/>
      <w:r w:rsidRPr="007F7EC1">
        <w:t>Imojev</w:t>
      </w:r>
      <w:proofErr w:type="spellEnd"/>
      <w:r w:rsidRPr="007F7EC1">
        <w:t xml:space="preserve"> (JE-CV) is a live, attenuated Japanese encephalitis vaccine, registered in Australia and Thailand in 2010, for prophy</w:t>
      </w:r>
      <w:r w:rsidR="00312C5A">
        <w:t>laxis of JE</w:t>
      </w:r>
      <w:r w:rsidRPr="007F7EC1">
        <w:t xml:space="preserve"> caused by the </w:t>
      </w:r>
      <w:r w:rsidR="00312C5A">
        <w:t>JE virus</w:t>
      </w:r>
      <w:r w:rsidRPr="007F7EC1">
        <w:t xml:space="preserve"> in individuals 12 months of age or older. A single 0.5 mL SC dose of 4.0-</w:t>
      </w:r>
      <w:r w:rsidR="006D1307">
        <w:t xml:space="preserve">5.8 </w:t>
      </w:r>
      <w:proofErr w:type="gramStart"/>
      <w:r w:rsidR="006D1307">
        <w:t>log</w:t>
      </w:r>
      <w:proofErr w:type="gramEnd"/>
      <w:r w:rsidR="006D1307">
        <w:t xml:space="preserve"> PFU</w:t>
      </w:r>
      <w:r w:rsidRPr="007F7EC1">
        <w:t xml:space="preserve"> is recommended. The chimeric vaccine is manufactured by recombinant DNA technology and is based on the 17D-204 </w:t>
      </w:r>
      <w:r w:rsidR="00206FF7">
        <w:t>YF</w:t>
      </w:r>
      <w:r w:rsidR="007A135A">
        <w:t xml:space="preserve"> vaccine in which two</w:t>
      </w:r>
      <w:r w:rsidRPr="007F7EC1">
        <w:t xml:space="preserve"> genes have been replaced by the corresponding </w:t>
      </w:r>
      <w:proofErr w:type="spellStart"/>
      <w:r w:rsidRPr="007F7EC1">
        <w:t>premembrane</w:t>
      </w:r>
      <w:proofErr w:type="spellEnd"/>
      <w:r w:rsidRPr="007F7EC1">
        <w:t xml:space="preserve"> and envelope genes from the SA14-14-2 live attenua</w:t>
      </w:r>
      <w:r w:rsidR="00312C5A">
        <w:t>ted JE virus</w:t>
      </w:r>
      <w:r w:rsidRPr="007F7EC1">
        <w:t>.</w:t>
      </w:r>
    </w:p>
    <w:p w:rsidR="007F7EC1" w:rsidRPr="007F7EC1" w:rsidRDefault="007F7EC1" w:rsidP="007F7EC1">
      <w:pPr>
        <w:pStyle w:val="ListBullet"/>
      </w:pPr>
      <w:r w:rsidRPr="007F7EC1">
        <w:t xml:space="preserve">This major variation application seeks to update the clinical </w:t>
      </w:r>
      <w:r w:rsidR="00312C5A">
        <w:t>PI</w:t>
      </w:r>
      <w:r w:rsidRPr="007F7EC1">
        <w:t xml:space="preserve"> with new long</w:t>
      </w:r>
      <w:r w:rsidR="00B2199D">
        <w:t xml:space="preserve"> </w:t>
      </w:r>
      <w:r w:rsidRPr="007F7EC1">
        <w:t>term immunogenicity data, and the addition of a recommendation for a booster dose 12-24 months after primary vaccination in the paediatric population. A booster dose is not required in adults for up to 5 years after primary vaccination.</w:t>
      </w:r>
    </w:p>
    <w:p w:rsidR="007F7EC1" w:rsidRPr="007F7EC1" w:rsidRDefault="007F7EC1" w:rsidP="007F7EC1">
      <w:pPr>
        <w:pStyle w:val="ListBullet"/>
      </w:pPr>
      <w:r w:rsidRPr="007F7EC1">
        <w:t xml:space="preserve">In common with other live virus vaccines, </w:t>
      </w:r>
      <w:proofErr w:type="spellStart"/>
      <w:r w:rsidRPr="007F7EC1">
        <w:t>Imojev</w:t>
      </w:r>
      <w:proofErr w:type="spellEnd"/>
      <w:r w:rsidRPr="007F7EC1">
        <w:t xml:space="preserve"> is contraindicated in pregnancy, but may be used in women of childbearing potential. No reproductive or developmental toxicity studies were submitted for registration of </w:t>
      </w:r>
      <w:proofErr w:type="spellStart"/>
      <w:r w:rsidRPr="007F7EC1">
        <w:t>Imojev</w:t>
      </w:r>
      <w:proofErr w:type="spellEnd"/>
      <w:r w:rsidRPr="007F7EC1">
        <w:t>, but they were recommended on the basis of published evidence of developmental toxicity in animals administered one of the vaccine parent wild</w:t>
      </w:r>
      <w:r w:rsidR="00B2199D">
        <w:t xml:space="preserve"> </w:t>
      </w:r>
      <w:r w:rsidRPr="007F7EC1">
        <w:t>type viruses, JE</w:t>
      </w:r>
      <w:r w:rsidR="00B2199D">
        <w:t xml:space="preserve"> virus</w:t>
      </w:r>
      <w:r w:rsidRPr="007F7EC1">
        <w:t xml:space="preserve">. Two developmental toxicity studies were submitted for </w:t>
      </w:r>
      <w:proofErr w:type="spellStart"/>
      <w:r w:rsidRPr="007F7EC1">
        <w:t>Imojev</w:t>
      </w:r>
      <w:proofErr w:type="spellEnd"/>
      <w:r w:rsidRPr="007F7EC1">
        <w:t xml:space="preserve"> by S</w:t>
      </w:r>
      <w:r w:rsidR="00B2199D">
        <w:t xml:space="preserve">ection </w:t>
      </w:r>
      <w:r w:rsidRPr="007F7EC1">
        <w:t>31 response.</w:t>
      </w:r>
    </w:p>
    <w:p w:rsidR="007F7EC1" w:rsidRPr="007F7EC1" w:rsidRDefault="007F7EC1" w:rsidP="007F7EC1">
      <w:pPr>
        <w:pStyle w:val="ListBullet"/>
      </w:pPr>
      <w:r w:rsidRPr="007F7EC1">
        <w:t>In both GLP</w:t>
      </w:r>
      <w:r w:rsidR="00DD556F">
        <w:t xml:space="preserve"> </w:t>
      </w:r>
      <w:r w:rsidRPr="007F7EC1">
        <w:t>compliant studies, female NZW rabbits were injected with the human dose of the vaccine SC. In the single</w:t>
      </w:r>
      <w:r w:rsidR="00DD556F">
        <w:t xml:space="preserve"> </w:t>
      </w:r>
      <w:r w:rsidRPr="007F7EC1">
        <w:t xml:space="preserve">dose study </w:t>
      </w:r>
      <w:r>
        <w:t>rabbits were injected on</w:t>
      </w:r>
      <w:r w:rsidRPr="007F7EC1">
        <w:t xml:space="preserve"> </w:t>
      </w:r>
      <w:r w:rsidR="00DD556F">
        <w:t>Gestational Day (</w:t>
      </w:r>
      <w:r w:rsidRPr="007F7EC1">
        <w:t>GD</w:t>
      </w:r>
      <w:r w:rsidR="00DD556F">
        <w:t>)</w:t>
      </w:r>
      <w:r w:rsidRPr="007F7EC1">
        <w:t xml:space="preserve"> 6, 9, 12, 15, 18 or </w:t>
      </w:r>
      <w:r w:rsidR="00DE7702">
        <w:t>Postn</w:t>
      </w:r>
      <w:r w:rsidR="00DD556F">
        <w:t>atal Day (</w:t>
      </w:r>
      <w:r w:rsidRPr="007F7EC1">
        <w:t>PND</w:t>
      </w:r>
      <w:r w:rsidR="00DD556F">
        <w:t>)</w:t>
      </w:r>
      <w:r w:rsidRPr="007F7EC1">
        <w:t xml:space="preserve"> 15, and in the repeat</w:t>
      </w:r>
      <w:r w:rsidR="00DE7702">
        <w:t xml:space="preserve"> </w:t>
      </w:r>
      <w:r w:rsidRPr="007F7EC1">
        <w:t>dose study they were injected 30 and 10 days prior to mating and on GD 6, 12 and 27. Rabbits were terminated on either GD 29, or after natural delivery on PND 35. In both studies there were no vaccine</w:t>
      </w:r>
      <w:r w:rsidR="00DE7702">
        <w:t xml:space="preserve"> </w:t>
      </w:r>
      <w:r w:rsidRPr="007F7EC1">
        <w:t>related effects on treated females, ovarian and uterine parameters, natural delivery parameters, f</w:t>
      </w:r>
      <w:r>
        <w:t>o</w:t>
      </w:r>
      <w:r w:rsidRPr="007F7EC1">
        <w:t>etal external, soft tissue and skeletal abnormalities, and pup survival, growth and development. The repeat</w:t>
      </w:r>
      <w:r w:rsidR="00DE7702">
        <w:t xml:space="preserve"> </w:t>
      </w:r>
      <w:r w:rsidRPr="007F7EC1">
        <w:t>dose study also showed no vaccine effects on female rabbit mating or fertility.</w:t>
      </w:r>
    </w:p>
    <w:p w:rsidR="007F7EC1" w:rsidRPr="007F7EC1" w:rsidRDefault="007F7EC1" w:rsidP="007F7EC1">
      <w:pPr>
        <w:pStyle w:val="ListBullet"/>
        <w:numPr>
          <w:ilvl w:val="0"/>
          <w:numId w:val="0"/>
        </w:numPr>
        <w:ind w:left="360"/>
      </w:pPr>
      <w:r w:rsidRPr="007F7EC1">
        <w:t>In the single</w:t>
      </w:r>
      <w:r w:rsidR="00DE7702">
        <w:t xml:space="preserve"> </w:t>
      </w:r>
      <w:r w:rsidRPr="007F7EC1">
        <w:t xml:space="preserve">dose study, vaccine YFNS5 RNA was not detected by </w:t>
      </w:r>
      <w:r w:rsidR="003B4BA2">
        <w:t>nucleic acid</w:t>
      </w:r>
      <w:r w:rsidR="003B4BA2" w:rsidRPr="009F196E">
        <w:t xml:space="preserve"> tests</w:t>
      </w:r>
      <w:r w:rsidRPr="007F7EC1">
        <w:t xml:space="preserve"> in any samples of maternal or pup sera, f</w:t>
      </w:r>
      <w:r>
        <w:t>o</w:t>
      </w:r>
      <w:r w:rsidRPr="007F7EC1">
        <w:t>etuses or milk on the day after the injection. Immunogenicity testing by neutrali</w:t>
      </w:r>
      <w:r w:rsidR="00DE7702">
        <w:t>s</w:t>
      </w:r>
      <w:r w:rsidRPr="007F7EC1">
        <w:t xml:space="preserve">ation assay showed </w:t>
      </w:r>
      <w:proofErr w:type="spellStart"/>
      <w:r w:rsidRPr="007F7EC1">
        <w:t>seroconversion</w:t>
      </w:r>
      <w:proofErr w:type="spellEnd"/>
      <w:r w:rsidRPr="007F7EC1">
        <w:t xml:space="preserve"> in some rabbits and some of their f</w:t>
      </w:r>
      <w:r>
        <w:t>o</w:t>
      </w:r>
      <w:r w:rsidRPr="007F7EC1">
        <w:t>etuses, but antibody transfer in milk after injection on PND 15 was not detected on PND 35. In the repeat</w:t>
      </w:r>
      <w:r w:rsidR="00446758">
        <w:t xml:space="preserve"> </w:t>
      </w:r>
      <w:r w:rsidRPr="007F7EC1">
        <w:t>dose study, the majority of treated does seroconverted, and antibodies were transferred to most f</w:t>
      </w:r>
      <w:r>
        <w:t>o</w:t>
      </w:r>
      <w:r w:rsidRPr="007F7EC1">
        <w:t xml:space="preserve">etuses, and to 1/10 pup </w:t>
      </w:r>
      <w:r w:rsidRPr="007F7EC1">
        <w:lastRenderedPageBreak/>
        <w:t xml:space="preserve">samples examined. The lack of </w:t>
      </w:r>
      <w:proofErr w:type="spellStart"/>
      <w:r w:rsidRPr="007F7EC1">
        <w:t>seroconversion</w:t>
      </w:r>
      <w:proofErr w:type="spellEnd"/>
      <w:r w:rsidRPr="007F7EC1">
        <w:t xml:space="preserve"> in some does and complete lack of detectable </w:t>
      </w:r>
      <w:proofErr w:type="spellStart"/>
      <w:r w:rsidRPr="007F7EC1">
        <w:t>viremia</w:t>
      </w:r>
      <w:proofErr w:type="spellEnd"/>
      <w:r w:rsidRPr="007F7EC1">
        <w:t xml:space="preserve"> indicate some limitations of the rabb</w:t>
      </w:r>
      <w:r w:rsidR="007B3E9D">
        <w:t>it model for live attenuated JE virus</w:t>
      </w:r>
      <w:r w:rsidRPr="007F7EC1">
        <w:t xml:space="preserve"> vaccines.</w:t>
      </w:r>
    </w:p>
    <w:p w:rsidR="00B566B1" w:rsidRDefault="00B566B1" w:rsidP="009F196E">
      <w:pPr>
        <w:pStyle w:val="Heading4"/>
      </w:pPr>
      <w:r>
        <w:t>Recommendations</w:t>
      </w:r>
    </w:p>
    <w:p w:rsidR="00807B20" w:rsidRPr="00807B20" w:rsidRDefault="00807B20" w:rsidP="00807B20">
      <w:r w:rsidRPr="00807B20">
        <w:t xml:space="preserve">The sponsor has </w:t>
      </w:r>
      <w:r w:rsidR="00413CC4">
        <w:t>submitted two</w:t>
      </w:r>
      <w:r w:rsidRPr="00807B20">
        <w:t xml:space="preserve"> reproductive and developmental toxicity studies in rabbits for </w:t>
      </w:r>
      <w:proofErr w:type="spellStart"/>
      <w:r w:rsidRPr="00807B20">
        <w:t>Imojev</w:t>
      </w:r>
      <w:proofErr w:type="spellEnd"/>
      <w:r w:rsidRPr="00807B20">
        <w:t xml:space="preserve">, a live, attenuated virus vaccine. Although </w:t>
      </w:r>
      <w:proofErr w:type="spellStart"/>
      <w:r w:rsidRPr="00807B20">
        <w:t>Imojev</w:t>
      </w:r>
      <w:proofErr w:type="spellEnd"/>
      <w:r w:rsidRPr="00807B20">
        <w:t xml:space="preserve"> is contraindicated in pregnancy, it may be used in women of childbearing potential, and studies to clarify the potential developmental risk were a condition of registration (ACPM</w:t>
      </w:r>
      <w:r w:rsidR="00E9313D">
        <w:t xml:space="preserve"> resolution 9440).</w:t>
      </w:r>
    </w:p>
    <w:p w:rsidR="00807B20" w:rsidRPr="00807B20" w:rsidRDefault="00807B20" w:rsidP="00807B20">
      <w:r w:rsidRPr="00807B20">
        <w:t xml:space="preserve">Administration of repeated human doses of </w:t>
      </w:r>
      <w:proofErr w:type="spellStart"/>
      <w:r w:rsidRPr="00807B20">
        <w:t>Imojev</w:t>
      </w:r>
      <w:proofErr w:type="spellEnd"/>
      <w:r w:rsidRPr="00807B20">
        <w:t xml:space="preserve"> to female rabbits prior to mating and during gestation, or once during gestation or </w:t>
      </w:r>
      <w:proofErr w:type="spellStart"/>
      <w:r w:rsidRPr="00807B20">
        <w:t>postnatally</w:t>
      </w:r>
      <w:proofErr w:type="spellEnd"/>
      <w:r w:rsidRPr="00807B20">
        <w:t xml:space="preserve">, had no adverse effects on female fertility or mating, pregnancy, </w:t>
      </w:r>
      <w:proofErr w:type="spellStart"/>
      <w:r w:rsidRPr="00807B20">
        <w:t>embryof</w:t>
      </w:r>
      <w:r w:rsidR="007B3E9D">
        <w:t>o</w:t>
      </w:r>
      <w:r w:rsidRPr="00807B20">
        <w:t>etal</w:t>
      </w:r>
      <w:proofErr w:type="spellEnd"/>
      <w:r w:rsidRPr="00807B20">
        <w:t xml:space="preserve"> or postnatal</w:t>
      </w:r>
      <w:r w:rsidR="00844308">
        <w:t xml:space="preserve"> development.  Vaccine antigen </w:t>
      </w:r>
      <w:r w:rsidRPr="00807B20">
        <w:t>specific antibodies were transferred to f</w:t>
      </w:r>
      <w:r w:rsidR="007B3E9D">
        <w:t>o</w:t>
      </w:r>
      <w:r w:rsidRPr="00807B20">
        <w:t xml:space="preserve">etuses. Sensitive </w:t>
      </w:r>
      <w:r w:rsidR="003B4BA2">
        <w:t>nucleic acid</w:t>
      </w:r>
      <w:r w:rsidR="003B4BA2" w:rsidRPr="009F196E">
        <w:t xml:space="preserve"> tests </w:t>
      </w:r>
      <w:r w:rsidR="00844308">
        <w:t xml:space="preserve">in the single </w:t>
      </w:r>
      <w:r w:rsidRPr="00807B20">
        <w:t>dose study did not reveal vaccine YFNS5 RNA in maternal or pup sera, f</w:t>
      </w:r>
      <w:r w:rsidR="00844308">
        <w:t>o</w:t>
      </w:r>
      <w:r w:rsidRPr="00807B20">
        <w:t xml:space="preserve">etuses or milk. Although rabbits are a standard model for developmental toxicity studies, the lack of </w:t>
      </w:r>
      <w:proofErr w:type="spellStart"/>
      <w:r w:rsidRPr="00807B20">
        <w:t>seroconversion</w:t>
      </w:r>
      <w:proofErr w:type="spellEnd"/>
      <w:r w:rsidRPr="00807B20">
        <w:t xml:space="preserve"> in some treated does in both studies, and complete lack of detectable </w:t>
      </w:r>
      <w:proofErr w:type="spellStart"/>
      <w:r w:rsidRPr="00807B20">
        <w:t>viremia</w:t>
      </w:r>
      <w:proofErr w:type="spellEnd"/>
      <w:r w:rsidRPr="00807B20">
        <w:t>, indicate</w:t>
      </w:r>
      <w:r w:rsidR="007B3E9D">
        <w:t>s</w:t>
      </w:r>
      <w:r w:rsidRPr="00807B20">
        <w:t xml:space="preserve"> limitations of the rabbit model for live attenuated JE vaccines.</w:t>
      </w:r>
    </w:p>
    <w:p w:rsidR="00807B20" w:rsidRPr="00807B20" w:rsidRDefault="00807B20" w:rsidP="00807B20">
      <w:r w:rsidRPr="00807B20">
        <w:t xml:space="preserve">The </w:t>
      </w:r>
      <w:proofErr w:type="spellStart"/>
      <w:r w:rsidRPr="00807B20">
        <w:t>Imojev</w:t>
      </w:r>
      <w:proofErr w:type="spellEnd"/>
      <w:r w:rsidRPr="00807B20">
        <w:t xml:space="preserve"> PI should be amended as recommended.</w:t>
      </w:r>
    </w:p>
    <w:p w:rsidR="008E7846" w:rsidRPr="00254787" w:rsidRDefault="008E7846" w:rsidP="008E7846">
      <w:pPr>
        <w:pStyle w:val="Heading2"/>
      </w:pPr>
      <w:bookmarkStart w:id="27" w:name="_Toc196046462"/>
      <w:bookmarkStart w:id="28" w:name="_Toc247691516"/>
      <w:bookmarkStart w:id="29" w:name="_Toc314842500"/>
      <w:bookmarkStart w:id="30" w:name="_Toc383010137"/>
      <w:bookmarkStart w:id="31" w:name="_Toc163441353"/>
      <w:bookmarkStart w:id="32" w:name="_Toc163441348"/>
      <w:r>
        <w:t xml:space="preserve">IV. </w:t>
      </w:r>
      <w:r w:rsidRPr="00254787">
        <w:t>Clinical</w:t>
      </w:r>
      <w:bookmarkEnd w:id="27"/>
      <w:r>
        <w:t xml:space="preserve"> </w:t>
      </w:r>
      <w:r w:rsidR="003A7F6C">
        <w:t>f</w:t>
      </w:r>
      <w:r>
        <w:t>indings</w:t>
      </w:r>
      <w:bookmarkEnd w:id="28"/>
      <w:bookmarkEnd w:id="29"/>
      <w:bookmarkEnd w:id="30"/>
    </w:p>
    <w:p w:rsidR="00C80137" w:rsidRPr="009D18F4" w:rsidRDefault="00C80137" w:rsidP="008E7846">
      <w:bookmarkStart w:id="33" w:name="_Toc196046463"/>
      <w:r w:rsidRPr="009D18F4">
        <w:t>A summary of the clinical findings is presented in this section. Further details of these clinical findings can be found in Attachment 2.</w:t>
      </w:r>
    </w:p>
    <w:p w:rsidR="008E7846" w:rsidRDefault="008E7846" w:rsidP="008E7846">
      <w:pPr>
        <w:pStyle w:val="Heading3"/>
      </w:pPr>
      <w:bookmarkStart w:id="34" w:name="_Toc247691517"/>
      <w:bookmarkStart w:id="35" w:name="_Toc314842501"/>
      <w:bookmarkStart w:id="36" w:name="_Toc383010138"/>
      <w:r w:rsidRPr="00254787">
        <w:t>Introduction</w:t>
      </w:r>
      <w:bookmarkEnd w:id="33"/>
      <w:bookmarkEnd w:id="34"/>
      <w:bookmarkEnd w:id="35"/>
      <w:bookmarkEnd w:id="36"/>
    </w:p>
    <w:p w:rsidR="00A86DE1" w:rsidRPr="00A86DE1" w:rsidRDefault="00A86DE1" w:rsidP="00A86DE1">
      <w:r w:rsidRPr="00A86DE1">
        <w:t xml:space="preserve">This clinical dossier contains clinical information relating to the development program of JE-CV including the </w:t>
      </w:r>
      <w:proofErr w:type="spellStart"/>
      <w:r w:rsidRPr="00A86DE1">
        <w:t>pharmacodynamic</w:t>
      </w:r>
      <w:proofErr w:type="spellEnd"/>
      <w:r w:rsidRPr="00A86DE1">
        <w:t>, dose</w:t>
      </w:r>
      <w:r w:rsidR="008F011A">
        <w:t xml:space="preserve"> </w:t>
      </w:r>
      <w:r w:rsidRPr="00A86DE1">
        <w:t xml:space="preserve">finding, pivotal and other clinical trials. It contains the final addendum report for the adult </w:t>
      </w:r>
      <w:r w:rsidR="00C61219">
        <w:t>S</w:t>
      </w:r>
      <w:r w:rsidRPr="00A86DE1">
        <w:t xml:space="preserve">tudy H-040-005 and interim results for </w:t>
      </w:r>
      <w:r w:rsidR="00C61219">
        <w:t>three</w:t>
      </w:r>
      <w:r w:rsidRPr="00A86DE1">
        <w:t xml:space="preserve"> paediatric studies, JEC01, JEC05 and JEC015 (the latter two are follow on trials for JEC02) which relate to the proposed change of scheduling.</w:t>
      </w:r>
    </w:p>
    <w:p w:rsidR="00A86DE1" w:rsidRPr="00A86DE1" w:rsidRDefault="00A86DE1" w:rsidP="00A86DE1">
      <w:r w:rsidRPr="00A86DE1">
        <w:t>The clinical study reports supporting the long</w:t>
      </w:r>
      <w:r w:rsidR="004D60A4">
        <w:t xml:space="preserve"> </w:t>
      </w:r>
      <w:r w:rsidRPr="00A86DE1">
        <w:t>term immunity data in adults and the booster dose in paediatric popul</w:t>
      </w:r>
      <w:r w:rsidR="009B5639">
        <w:t>ations consist of the following:</w:t>
      </w:r>
    </w:p>
    <w:p w:rsidR="00A86DE1" w:rsidRPr="00A86DE1" w:rsidRDefault="00A86DE1" w:rsidP="00A86DE1">
      <w:pPr>
        <w:pStyle w:val="ListBullet"/>
      </w:pPr>
      <w:r w:rsidRPr="00A86DE1">
        <w:t>H-040-005: Randomised, Double</w:t>
      </w:r>
      <w:r w:rsidR="00CA61DC">
        <w:t xml:space="preserve"> B</w:t>
      </w:r>
      <w:r w:rsidRPr="00A86DE1">
        <w:t>lind, Phase II Study of the Safety, Immunogenicity, and Dur</w:t>
      </w:r>
      <w:r w:rsidR="00D616F1">
        <w:t xml:space="preserve">ation of Immunity of </w:t>
      </w:r>
      <w:proofErr w:type="spellStart"/>
      <w:r w:rsidR="00D616F1">
        <w:t>ChimeriVax</w:t>
      </w:r>
      <w:proofErr w:type="spellEnd"/>
      <w:r w:rsidRPr="00A86DE1">
        <w:t>-JE, Live Attenuated Vaccine in Health</w:t>
      </w:r>
      <w:r w:rsidR="00CA61DC">
        <w:t>y Adults (Final Addendum dated 9 November 2009)</w:t>
      </w:r>
    </w:p>
    <w:p w:rsidR="00A86DE1" w:rsidRPr="00A86DE1" w:rsidRDefault="00A86DE1" w:rsidP="00A86DE1">
      <w:r w:rsidRPr="00A86DE1">
        <w:t>The final clinical study report was provided in the original application submitted for registration in 2009 (Category 1 Submission). This application includes a copy of this report again together</w:t>
      </w:r>
      <w:r w:rsidR="00CD5B37">
        <w:t xml:space="preserve"> with the Final Addendum dated </w:t>
      </w:r>
      <w:r w:rsidRPr="00A86DE1">
        <w:t xml:space="preserve">9 November 2009, which includes information pertaining to the persistence of immunity up to 5 years after a single dose of </w:t>
      </w:r>
      <w:proofErr w:type="spellStart"/>
      <w:r w:rsidRPr="00A86DE1">
        <w:t>I</w:t>
      </w:r>
      <w:r w:rsidR="00CD5B37">
        <w:t>mojev</w:t>
      </w:r>
      <w:proofErr w:type="spellEnd"/>
      <w:r w:rsidRPr="00A86DE1">
        <w:t xml:space="preserve"> in adults.</w:t>
      </w:r>
    </w:p>
    <w:p w:rsidR="00A86DE1" w:rsidRPr="00A86DE1" w:rsidRDefault="00A86DE1" w:rsidP="00A86DE1">
      <w:pPr>
        <w:pStyle w:val="ListBullet"/>
      </w:pPr>
      <w:r w:rsidRPr="00A86DE1">
        <w:t>JEC01: A Controlled Study of the Safety a</w:t>
      </w:r>
      <w:r w:rsidR="00CA61DC">
        <w:t xml:space="preserve">nd Immunogenicity of </w:t>
      </w:r>
      <w:proofErr w:type="spellStart"/>
      <w:r w:rsidR="00CA61DC">
        <w:t>ChimeriVax</w:t>
      </w:r>
      <w:proofErr w:type="spellEnd"/>
      <w:r w:rsidR="00CA61DC">
        <w:t xml:space="preserve">-JE </w:t>
      </w:r>
      <w:r w:rsidRPr="00A86DE1">
        <w:t>Vaccine</w:t>
      </w:r>
      <w:r w:rsidR="00CA61DC">
        <w:t xml:space="preserve"> in Thai Toddlers and Children (</w:t>
      </w:r>
      <w:r w:rsidRPr="00A86DE1">
        <w:t>In</w:t>
      </w:r>
      <w:r w:rsidR="009C376C">
        <w:t>terim Report version 5.0, 10 February 2012)</w:t>
      </w:r>
      <w:r w:rsidR="00E9313D">
        <w:t>.</w:t>
      </w:r>
    </w:p>
    <w:p w:rsidR="00A86DE1" w:rsidRPr="00A86DE1" w:rsidRDefault="00A86DE1" w:rsidP="00A86DE1">
      <w:pPr>
        <w:pStyle w:val="ListBullet"/>
      </w:pPr>
      <w:r w:rsidRPr="00A86DE1">
        <w:t xml:space="preserve">The preliminary safety and immunogenicity data from JEC01 was submitted during the evaluation of Category 1 submission in 2009. This application includes the Interim Clinical Study Report, which includes immunogenicity and safety data up to 3 years after a single dose of </w:t>
      </w:r>
      <w:proofErr w:type="spellStart"/>
      <w:r w:rsidRPr="00A86DE1">
        <w:t>I</w:t>
      </w:r>
      <w:r w:rsidR="00EE61BF">
        <w:t>mojev</w:t>
      </w:r>
      <w:proofErr w:type="spellEnd"/>
      <w:r w:rsidRPr="00A86DE1">
        <w:t>. This study is ongoing.</w:t>
      </w:r>
    </w:p>
    <w:p w:rsidR="00A86DE1" w:rsidRPr="00A86DE1" w:rsidRDefault="00A86DE1" w:rsidP="00A86DE1">
      <w:pPr>
        <w:pStyle w:val="ListBullet"/>
      </w:pPr>
      <w:r w:rsidRPr="00A86DE1">
        <w:lastRenderedPageBreak/>
        <w:t>JEC05: Long</w:t>
      </w:r>
      <w:r w:rsidR="00EE61BF">
        <w:t xml:space="preserve"> Term Follow </w:t>
      </w:r>
      <w:proofErr w:type="gramStart"/>
      <w:r w:rsidR="00EE61BF">
        <w:t>U</w:t>
      </w:r>
      <w:r w:rsidRPr="00A86DE1">
        <w:t>p</w:t>
      </w:r>
      <w:proofErr w:type="gramEnd"/>
      <w:r w:rsidRPr="00A86DE1">
        <w:t xml:space="preserve"> of Immunogenicity of a Single Dose of Japanese Encephalitis Chimeric Virus Vaccine in Toddlers i</w:t>
      </w:r>
      <w:r w:rsidR="00EE61BF">
        <w:t>n Thailand and the Philippines (</w:t>
      </w:r>
      <w:r w:rsidRPr="00A86DE1">
        <w:t>I</w:t>
      </w:r>
      <w:r w:rsidR="00EE61BF">
        <w:t>nterim Report version 2.0,</w:t>
      </w:r>
      <w:r w:rsidRPr="00A86DE1">
        <w:t>12 May 2011</w:t>
      </w:r>
      <w:r w:rsidR="00EE61BF">
        <w:t>)</w:t>
      </w:r>
      <w:r w:rsidR="00E9313D">
        <w:t>.</w:t>
      </w:r>
    </w:p>
    <w:p w:rsidR="00A86DE1" w:rsidRPr="00A86DE1" w:rsidRDefault="00A86DE1" w:rsidP="00A86DE1">
      <w:pPr>
        <w:pStyle w:val="ListBullet"/>
      </w:pPr>
      <w:r w:rsidRPr="00A86DE1">
        <w:t>JEC15: Assessment of the Memory Immune Response, Safety of Japanese Encephalitis Chimeric Virus Vaccine (JE-CV) in Children Previously Immuni</w:t>
      </w:r>
      <w:r w:rsidR="00B57DEE">
        <w:t>s</w:t>
      </w:r>
      <w:r w:rsidRPr="00A86DE1">
        <w:t>ed with a Single Dose of JE-CV and Long</w:t>
      </w:r>
      <w:r w:rsidR="00B57DEE">
        <w:t xml:space="preserve"> </w:t>
      </w:r>
      <w:r w:rsidRPr="00A86DE1">
        <w:t>Term Follow</w:t>
      </w:r>
      <w:r w:rsidR="00B57DEE">
        <w:t xml:space="preserve"> Up (</w:t>
      </w:r>
      <w:r w:rsidRPr="00A86DE1">
        <w:t>Interim Re</w:t>
      </w:r>
      <w:r w:rsidR="00B57DEE">
        <w:t>port version 2.0, 11 April 2012)</w:t>
      </w:r>
      <w:r w:rsidR="00E9313D">
        <w:t>.</w:t>
      </w:r>
    </w:p>
    <w:p w:rsidR="008E7846" w:rsidRPr="00254787" w:rsidRDefault="008E7846" w:rsidP="008E7846">
      <w:pPr>
        <w:pStyle w:val="Heading3"/>
      </w:pPr>
      <w:bookmarkStart w:id="37" w:name="_Toc196046464"/>
      <w:bookmarkStart w:id="38" w:name="_Toc247691518"/>
      <w:bookmarkStart w:id="39" w:name="_Toc314842502"/>
      <w:bookmarkStart w:id="40" w:name="_Toc383010139"/>
      <w:r w:rsidRPr="00254787">
        <w:t>Pharmacokinetics</w:t>
      </w:r>
      <w:bookmarkEnd w:id="31"/>
      <w:bookmarkEnd w:id="37"/>
      <w:bookmarkEnd w:id="38"/>
      <w:bookmarkEnd w:id="39"/>
      <w:bookmarkEnd w:id="40"/>
    </w:p>
    <w:p w:rsidR="008E7846" w:rsidRDefault="0053376C" w:rsidP="003C798D">
      <w:pPr>
        <w:pStyle w:val="Heading4"/>
      </w:pPr>
      <w:r>
        <w:t>Studies providing pharmacokinetic data</w:t>
      </w:r>
    </w:p>
    <w:p w:rsidR="0053376C" w:rsidRPr="0053376C" w:rsidRDefault="0053376C" w:rsidP="0053376C">
      <w:r w:rsidRPr="0053376C">
        <w:t>Consi</w:t>
      </w:r>
      <w:r>
        <w:t>stent with published guidelines</w:t>
      </w:r>
      <w:r w:rsidRPr="0053376C">
        <w:t>,</w:t>
      </w:r>
      <w:r>
        <w:rPr>
          <w:rStyle w:val="FootnoteReference"/>
        </w:rPr>
        <w:footnoteReference w:id="5"/>
      </w:r>
      <w:r w:rsidRPr="0053376C">
        <w:t xml:space="preserve"> the</w:t>
      </w:r>
      <w:r>
        <w:t xml:space="preserve"> </w:t>
      </w:r>
      <w:proofErr w:type="spellStart"/>
      <w:r w:rsidRPr="0053376C">
        <w:t>pharmacodynamic</w:t>
      </w:r>
      <w:proofErr w:type="spellEnd"/>
      <w:r w:rsidRPr="0053376C">
        <w:t xml:space="preserve"> profile for JE-CV was defined by its immunogenicity profile and no</w:t>
      </w:r>
      <w:r>
        <w:t xml:space="preserve"> </w:t>
      </w:r>
      <w:r w:rsidRPr="0053376C">
        <w:t>pharmacokinetic studies were conducted.</w:t>
      </w:r>
    </w:p>
    <w:p w:rsidR="003C798D" w:rsidRDefault="003C798D" w:rsidP="003C798D">
      <w:pPr>
        <w:pStyle w:val="Heading4"/>
      </w:pPr>
      <w:bookmarkStart w:id="41" w:name="_Toc241374296"/>
      <w:bookmarkStart w:id="42" w:name="_Ref269982040"/>
      <w:bookmarkStart w:id="43" w:name="_Ref271018704"/>
      <w:bookmarkStart w:id="44" w:name="_Ref271018755"/>
      <w:bookmarkStart w:id="45" w:name="_Toc272414635"/>
      <w:bookmarkStart w:id="46" w:name="_Toc290846258"/>
      <w:bookmarkStart w:id="47" w:name="_Toc342483532"/>
      <w:r>
        <w:t>Evaluator’s overall conclusions on pharmacokinetics</w:t>
      </w:r>
      <w:bookmarkEnd w:id="41"/>
      <w:bookmarkEnd w:id="42"/>
      <w:bookmarkEnd w:id="43"/>
      <w:bookmarkEnd w:id="44"/>
      <w:bookmarkEnd w:id="45"/>
      <w:bookmarkEnd w:id="46"/>
      <w:bookmarkEnd w:id="47"/>
    </w:p>
    <w:p w:rsidR="003C798D" w:rsidRPr="003C798D" w:rsidRDefault="003C798D" w:rsidP="003C798D">
      <w:r w:rsidRPr="003C798D">
        <w:t>Not relevant to this submission.</w:t>
      </w:r>
    </w:p>
    <w:p w:rsidR="008E7846" w:rsidRDefault="008E7846" w:rsidP="008E7846">
      <w:pPr>
        <w:pStyle w:val="Heading3"/>
      </w:pPr>
      <w:bookmarkStart w:id="48" w:name="_Toc196046481"/>
      <w:bookmarkStart w:id="49" w:name="_Toc247691520"/>
      <w:bookmarkStart w:id="50" w:name="_Toc314842503"/>
      <w:bookmarkStart w:id="51" w:name="_Toc383010140"/>
      <w:r w:rsidRPr="00254787">
        <w:t>Pharmacodynamics</w:t>
      </w:r>
      <w:bookmarkEnd w:id="32"/>
      <w:bookmarkEnd w:id="48"/>
      <w:bookmarkEnd w:id="49"/>
      <w:bookmarkEnd w:id="50"/>
      <w:bookmarkEnd w:id="51"/>
    </w:p>
    <w:p w:rsidR="007903B6" w:rsidRDefault="007903B6" w:rsidP="007903B6">
      <w:pPr>
        <w:pStyle w:val="Heading4"/>
      </w:pPr>
      <w:bookmarkStart w:id="52" w:name="_Toc272414637"/>
      <w:bookmarkStart w:id="53" w:name="_Toc290846260"/>
      <w:bookmarkStart w:id="54" w:name="_Toc342483534"/>
      <w:r>
        <w:t xml:space="preserve">Studies providing </w:t>
      </w:r>
      <w:proofErr w:type="spellStart"/>
      <w:r>
        <w:t>pharmacodynamic</w:t>
      </w:r>
      <w:proofErr w:type="spellEnd"/>
      <w:r>
        <w:t xml:space="preserve"> data</w:t>
      </w:r>
      <w:bookmarkEnd w:id="52"/>
      <w:bookmarkEnd w:id="53"/>
      <w:bookmarkEnd w:id="54"/>
    </w:p>
    <w:p w:rsidR="007903B6" w:rsidRPr="007903B6" w:rsidRDefault="007903B6" w:rsidP="00E9313D">
      <w:r w:rsidRPr="007903B6">
        <w:t>The clinical pharmacology program in an adult population consisted of five Phase I/II studies: H-040-001, H-040-003, H-040-005, H-040-006, and H-040-007. Studies H-040-008 and H-040-009 also contained immunogenicity assessments, but as the aims of these studies were to evaluate the efficacy (based on a serological correlate of protection)</w:t>
      </w:r>
      <w:r w:rsidR="00CD624C">
        <w:t>,</w:t>
      </w:r>
      <w:r w:rsidRPr="007903B6">
        <w:t xml:space="preserve"> they are presented in the ‘Efficacy’ section</w:t>
      </w:r>
      <w:r w:rsidR="00CD624C">
        <w:t xml:space="preserve"> of this report</w:t>
      </w:r>
      <w:r w:rsidRPr="007903B6">
        <w:t>.</w:t>
      </w:r>
    </w:p>
    <w:p w:rsidR="007903B6" w:rsidRPr="007903B6" w:rsidRDefault="007903B6" w:rsidP="00E9313D">
      <w:r w:rsidRPr="007903B6">
        <w:t xml:space="preserve">Immunogenicity data in paediatric populations are available from </w:t>
      </w:r>
      <w:r w:rsidR="00FC37B4">
        <w:t>S</w:t>
      </w:r>
      <w:r w:rsidRPr="007903B6">
        <w:t xml:space="preserve">tudies H-040-004, JEC01, JEC02, JEC05, and JEC15. Data from </w:t>
      </w:r>
      <w:r w:rsidR="00E06D25">
        <w:t>S</w:t>
      </w:r>
      <w:r w:rsidRPr="007903B6">
        <w:t>tudy H-040-004 are presented in this section since this study was designed to provide safety data and local immunogenicity data of JE-CV in paediatric</w:t>
      </w:r>
      <w:r>
        <w:t xml:space="preserve"> populations</w:t>
      </w:r>
      <w:r w:rsidRPr="007903B6">
        <w:t xml:space="preserve">. By contrast, the aim of the immunogenicity assessments in </w:t>
      </w:r>
      <w:r w:rsidR="00E06D25">
        <w:t>S</w:t>
      </w:r>
      <w:r w:rsidRPr="007903B6">
        <w:t xml:space="preserve">tudies JEC01 and JEC02 was to evaluate the efficacy (based on a serological correlate of protection) of JE-CV in paediatric populations; thus, immunogenicity results from these studies are presented </w:t>
      </w:r>
      <w:r w:rsidR="00404FD6" w:rsidRPr="007903B6">
        <w:t>in the ‘Efficacy’ section</w:t>
      </w:r>
      <w:r w:rsidR="00404FD6">
        <w:t xml:space="preserve"> of this report</w:t>
      </w:r>
      <w:r w:rsidRPr="007903B6">
        <w:t xml:space="preserve">. Repeated administration of JE-CV was evaluated in two studies in adults. Administration of a second dose 28 days after the first JE-CV dose was assessed in </w:t>
      </w:r>
      <w:r w:rsidR="009C63D7">
        <w:t>S</w:t>
      </w:r>
      <w:r w:rsidRPr="007903B6">
        <w:t xml:space="preserve">tudy H-040-003 to determine the benefit of more than one dose of vaccine. Moreover, to assess the need for a booster dose, </w:t>
      </w:r>
      <w:r w:rsidR="009C63D7">
        <w:t>S</w:t>
      </w:r>
      <w:r w:rsidRPr="007903B6">
        <w:t>tudy H-040-005 evaluated the administration of a second dose at Month 6 after the first JE-CV vaccination.</w:t>
      </w:r>
    </w:p>
    <w:p w:rsidR="007903B6" w:rsidRPr="007903B6" w:rsidRDefault="007903B6" w:rsidP="00E9313D">
      <w:r w:rsidRPr="007903B6">
        <w:t>The development of the lyophili</w:t>
      </w:r>
      <w:r w:rsidR="009C63D7">
        <w:t>s</w:t>
      </w:r>
      <w:r w:rsidRPr="007903B6">
        <w:t>ed formulation started with a dose</w:t>
      </w:r>
      <w:r w:rsidR="009C63D7">
        <w:t xml:space="preserve"> </w:t>
      </w:r>
      <w:r w:rsidRPr="007903B6">
        <w:t>ranging study (H-040-007) testing doses between 3.0 log PFU/0.5</w:t>
      </w:r>
      <w:r w:rsidR="009C63D7">
        <w:t xml:space="preserve"> </w:t>
      </w:r>
      <w:r w:rsidRPr="007903B6">
        <w:t xml:space="preserve">mL dose and 5.0 </w:t>
      </w:r>
      <w:proofErr w:type="gramStart"/>
      <w:r w:rsidRPr="007903B6">
        <w:t>log</w:t>
      </w:r>
      <w:proofErr w:type="gramEnd"/>
      <w:r w:rsidR="00A65753">
        <w:rPr>
          <w:vertAlign w:val="subscript"/>
        </w:rPr>
        <w:t xml:space="preserve"> </w:t>
      </w:r>
      <w:r w:rsidRPr="007903B6">
        <w:t>PFU/0.5</w:t>
      </w:r>
      <w:r w:rsidR="009C63D7">
        <w:t xml:space="preserve"> </w:t>
      </w:r>
      <w:r w:rsidRPr="007903B6">
        <w:t>mL dose. Based on immunogenicity and safety results, a dose with a lower potency limit of 4.0 log</w:t>
      </w:r>
      <w:r w:rsidR="00A65753">
        <w:rPr>
          <w:vertAlign w:val="subscript"/>
        </w:rPr>
        <w:t xml:space="preserve"> </w:t>
      </w:r>
      <w:r w:rsidRPr="007903B6">
        <w:t>PFU/0.5</w:t>
      </w:r>
      <w:r w:rsidR="009C63D7">
        <w:t xml:space="preserve"> </w:t>
      </w:r>
      <w:r w:rsidR="00E9313D">
        <w:t>mL dose was chosen.</w:t>
      </w:r>
    </w:p>
    <w:p w:rsidR="007903B6" w:rsidRPr="007903B6" w:rsidRDefault="007903B6" w:rsidP="00E9313D">
      <w:r w:rsidRPr="007903B6">
        <w:t>The assessment of the immunogenicity profile of JE-CV in the Clinical Development Program was based on the measurement of neutrali</w:t>
      </w:r>
      <w:r>
        <w:t>s</w:t>
      </w:r>
      <w:r w:rsidRPr="007903B6">
        <w:t>ing antibodies (</w:t>
      </w:r>
      <w:r w:rsidR="00C96F4D" w:rsidRPr="00AA4D35">
        <w:t>SCR</w:t>
      </w:r>
      <w:r w:rsidRPr="007903B6">
        <w:t xml:space="preserve">s and </w:t>
      </w:r>
      <w:r w:rsidR="00F85A0D">
        <w:t>geometric mean titres [</w:t>
      </w:r>
      <w:r w:rsidRPr="007903B6">
        <w:t>GMTs</w:t>
      </w:r>
      <w:r w:rsidR="00F85A0D">
        <w:t>]). The serum titre</w:t>
      </w:r>
      <w:r w:rsidR="00F85A0D" w:rsidRPr="00F85A0D">
        <w:t xml:space="preserve"> required to reduce dengue viral plaques by 50% </w:t>
      </w:r>
      <w:r w:rsidR="00F85A0D">
        <w:lastRenderedPageBreak/>
        <w:t>(PRNT50)</w:t>
      </w:r>
      <w:r w:rsidRPr="007903B6">
        <w:t xml:space="preserve"> </w:t>
      </w:r>
      <w:r w:rsidR="00F250B2">
        <w:sym w:font="Symbol" w:char="F0B3"/>
      </w:r>
      <w:r w:rsidR="00E12F8D">
        <w:t xml:space="preserve"> </w:t>
      </w:r>
      <w:r w:rsidRPr="007903B6">
        <w:t>1:10 was define</w:t>
      </w:r>
      <w:r w:rsidR="00FE176B">
        <w:t>d as protective according to World Health Organis</w:t>
      </w:r>
      <w:r w:rsidR="009951ED">
        <w:t>a</w:t>
      </w:r>
      <w:r w:rsidR="00FE176B">
        <w:t>tion (WHO)</w:t>
      </w:r>
      <w:r w:rsidRPr="007903B6">
        <w:t xml:space="preserve"> recommendations.</w:t>
      </w:r>
      <w:r>
        <w:rPr>
          <w:rStyle w:val="FootnoteReference"/>
        </w:rPr>
        <w:footnoteReference w:id="6"/>
      </w:r>
      <w:r w:rsidRPr="007903B6">
        <w:t xml:space="preserve"> The persistence of the antibody response was assessed in a 5</w:t>
      </w:r>
      <w:r w:rsidR="009951ED">
        <w:t xml:space="preserve"> </w:t>
      </w:r>
      <w:r w:rsidRPr="007903B6">
        <w:t>year follow</w:t>
      </w:r>
      <w:r w:rsidR="009951ED">
        <w:t xml:space="preserve"> </w:t>
      </w:r>
      <w:r w:rsidRPr="007903B6">
        <w:t xml:space="preserve">up study after one or two JE-CV vaccinations (single dose of liquid formulation JE-CV and a single dose of placebo in a crossover study with vaccinations on Day 0 and Day 28, followed by a vaccination booster 6 months later for a subset of the subjects) in </w:t>
      </w:r>
      <w:r w:rsidR="009951ED">
        <w:t>S</w:t>
      </w:r>
      <w:r w:rsidR="00F250B2">
        <w:t>tudy H-040-005.</w:t>
      </w:r>
    </w:p>
    <w:p w:rsidR="007903B6" w:rsidRPr="007903B6" w:rsidRDefault="007903B6" w:rsidP="007903B6">
      <w:r w:rsidRPr="007903B6">
        <w:t xml:space="preserve">Results of GMTs to homologous JE-CV virus following JE-CV administration are detailed for </w:t>
      </w:r>
      <w:r w:rsidR="001E054B">
        <w:t>S</w:t>
      </w:r>
      <w:r w:rsidRPr="007903B6">
        <w:t>tudies H-040-005, H-040-006, and H-040-007. The GMTs observed following vaccination with the liquid formulation of JE-CV (</w:t>
      </w:r>
      <w:r w:rsidR="0081462C">
        <w:t>S</w:t>
      </w:r>
      <w:r w:rsidRPr="007903B6">
        <w:t>tudies H-040-005 and H-040-006) were similar to the GMTs observed following vaccination with the lyophili</w:t>
      </w:r>
      <w:r w:rsidR="001E054B">
        <w:t>s</w:t>
      </w:r>
      <w:r w:rsidRPr="007903B6">
        <w:t>ed formulation of JE-CV (</w:t>
      </w:r>
      <w:r w:rsidR="00AD25CF">
        <w:t>S</w:t>
      </w:r>
      <w:r w:rsidRPr="007903B6">
        <w:t>tudy H-040-007). All three studies showed that JE-CV elicits an immune response 30 days after a single</w:t>
      </w:r>
      <w:r w:rsidR="00B678AF">
        <w:t xml:space="preserve"> </w:t>
      </w:r>
      <w:r w:rsidRPr="007903B6">
        <w:t xml:space="preserve">dose administration. Subjects who fulfilled the criteria for </w:t>
      </w:r>
      <w:proofErr w:type="spellStart"/>
      <w:r w:rsidRPr="007903B6">
        <w:t>seroconversion</w:t>
      </w:r>
      <w:proofErr w:type="spellEnd"/>
      <w:r w:rsidRPr="007903B6">
        <w:t xml:space="preserve"> have a protective level of neutrali</w:t>
      </w:r>
      <w:r w:rsidR="00607D13">
        <w:t>s</w:t>
      </w:r>
      <w:r w:rsidRPr="007903B6">
        <w:t xml:space="preserve">ing antibodies (PRNT50 titres </w:t>
      </w:r>
      <w:r w:rsidR="004B628E">
        <w:sym w:font="Symbol" w:char="F0B3"/>
      </w:r>
      <w:r w:rsidRPr="007903B6">
        <w:t xml:space="preserve">1:10). The rate of </w:t>
      </w:r>
      <w:proofErr w:type="spellStart"/>
      <w:r w:rsidRPr="007903B6">
        <w:t>seroconversion</w:t>
      </w:r>
      <w:proofErr w:type="spellEnd"/>
      <w:r w:rsidRPr="007903B6">
        <w:t>/</w:t>
      </w:r>
      <w:proofErr w:type="spellStart"/>
      <w:r w:rsidRPr="007903B6">
        <w:t>seroprotection</w:t>
      </w:r>
      <w:proofErr w:type="spellEnd"/>
      <w:r w:rsidRPr="007903B6">
        <w:t xml:space="preserve"> is therefore more clinically relevant than the absolute level of neutrali</w:t>
      </w:r>
      <w:r w:rsidR="0017398E">
        <w:t>s</w:t>
      </w:r>
      <w:r w:rsidRPr="007903B6">
        <w:t>ing antibodies expressed as GMTs.</w:t>
      </w:r>
    </w:p>
    <w:p w:rsidR="007903B6" w:rsidRDefault="007903B6" w:rsidP="007903B6">
      <w:pPr>
        <w:pStyle w:val="Heading4"/>
      </w:pPr>
      <w:bookmarkStart w:id="55" w:name="_Ref269983272"/>
      <w:bookmarkStart w:id="56" w:name="_Toc272414648"/>
      <w:bookmarkStart w:id="57" w:name="_Toc290846270"/>
      <w:bookmarkStart w:id="58" w:name="_Toc342483542"/>
      <w:r>
        <w:t>Evaluator’s overall conclusions on pharmacodynamics</w:t>
      </w:r>
      <w:bookmarkEnd w:id="55"/>
      <w:bookmarkEnd w:id="56"/>
      <w:bookmarkEnd w:id="57"/>
      <w:bookmarkEnd w:id="58"/>
    </w:p>
    <w:p w:rsidR="007903B6" w:rsidRPr="007903B6" w:rsidRDefault="007903B6" w:rsidP="007903B6">
      <w:r w:rsidRPr="007903B6">
        <w:t>The information in this section is all by way of background (apart from long term immunogenicity) and these studies were formally assessed in the original licensing submission. They do</w:t>
      </w:r>
      <w:r w:rsidR="0010582D">
        <w:t>,</w:t>
      </w:r>
      <w:r w:rsidRPr="007903B6">
        <w:t xml:space="preserve"> however, provide important information about the immunogenicity of the chosen dose, preliminary information about the durability of the response. They also provide data showing no clinically significance interference with YF vaccination or interference with the response to JE-CV from prior YF immunity (either from infection or vaccination).</w:t>
      </w:r>
    </w:p>
    <w:p w:rsidR="008E7846" w:rsidRPr="00254787" w:rsidRDefault="008E7846" w:rsidP="008E7846">
      <w:pPr>
        <w:pStyle w:val="Heading3"/>
      </w:pPr>
      <w:bookmarkStart w:id="59" w:name="_Toc163441372"/>
      <w:bookmarkStart w:id="60" w:name="_Toc196046485"/>
      <w:bookmarkStart w:id="61" w:name="_Toc247691521"/>
      <w:bookmarkStart w:id="62" w:name="_Toc314842504"/>
      <w:bookmarkStart w:id="63" w:name="_Toc383010141"/>
      <w:r w:rsidRPr="00254787">
        <w:t>Efficacy</w:t>
      </w:r>
      <w:bookmarkEnd w:id="59"/>
      <w:bookmarkEnd w:id="60"/>
      <w:bookmarkEnd w:id="61"/>
      <w:bookmarkEnd w:id="62"/>
      <w:bookmarkEnd w:id="63"/>
    </w:p>
    <w:p w:rsidR="007E69E0" w:rsidRPr="003C0A48" w:rsidRDefault="007E69E0" w:rsidP="007E69E0">
      <w:pPr>
        <w:pStyle w:val="Heading4"/>
      </w:pPr>
      <w:bookmarkStart w:id="64" w:name="_Ref271037274"/>
      <w:bookmarkStart w:id="65" w:name="_Toc272414652"/>
      <w:bookmarkStart w:id="66" w:name="_Toc290846274"/>
      <w:bookmarkStart w:id="67" w:name="_Toc342483546"/>
      <w:bookmarkStart w:id="68" w:name="_Ref271126605"/>
      <w:bookmarkStart w:id="69" w:name="_Toc272414657"/>
      <w:bookmarkStart w:id="70" w:name="_Toc290846282"/>
      <w:bookmarkStart w:id="71" w:name="_Toc342483551"/>
      <w:bookmarkStart w:id="72" w:name="_Toc184439992"/>
      <w:bookmarkStart w:id="73" w:name="_Toc184440279"/>
      <w:bookmarkStart w:id="74" w:name="_Toc184444657"/>
      <w:bookmarkStart w:id="75" w:name="_Toc196046487"/>
      <w:r>
        <w:t>Pivotal efficacy stud</w:t>
      </w:r>
      <w:bookmarkStart w:id="76" w:name="_Ref243301615"/>
      <w:bookmarkStart w:id="77" w:name="_Ref271040927"/>
      <w:bookmarkStart w:id="78" w:name="_Ref271040932"/>
      <w:bookmarkStart w:id="79" w:name="_Toc272414653"/>
      <w:bookmarkStart w:id="80" w:name="_Toc290846275"/>
      <w:bookmarkStart w:id="81" w:name="_Toc342483547"/>
      <w:bookmarkEnd w:id="64"/>
      <w:bookmarkEnd w:id="65"/>
      <w:bookmarkEnd w:id="66"/>
      <w:bookmarkEnd w:id="67"/>
      <w:r>
        <w:t xml:space="preserve">y: </w:t>
      </w:r>
      <w:r w:rsidRPr="003C0A48">
        <w:t>S</w:t>
      </w:r>
      <w:r>
        <w:t xml:space="preserve">tudy </w:t>
      </w:r>
      <w:bookmarkEnd w:id="76"/>
      <w:r w:rsidRPr="00130821">
        <w:rPr>
          <w:rFonts w:eastAsia="TimesNewRomanPSMT" w:cs="Arial"/>
          <w:szCs w:val="22"/>
        </w:rPr>
        <w:t>H-040-005</w:t>
      </w:r>
      <w:bookmarkEnd w:id="77"/>
      <w:bookmarkEnd w:id="78"/>
      <w:bookmarkEnd w:id="79"/>
      <w:bookmarkEnd w:id="80"/>
      <w:bookmarkEnd w:id="81"/>
    </w:p>
    <w:p w:rsidR="007E69E0" w:rsidRDefault="007E69E0" w:rsidP="007E69E0">
      <w:r w:rsidRPr="007E69E0">
        <w:t>The initial study was a randomised, double</w:t>
      </w:r>
      <w:r w:rsidR="00B678AF">
        <w:t xml:space="preserve"> </w:t>
      </w:r>
      <w:r w:rsidRPr="007E69E0">
        <w:t xml:space="preserve">blind, </w:t>
      </w:r>
      <w:r w:rsidR="00B678AF">
        <w:t>P</w:t>
      </w:r>
      <w:r w:rsidRPr="007E69E0">
        <w:t xml:space="preserve">hase II Study of the safety, immunogenicity, and duration of immunity of </w:t>
      </w:r>
      <w:proofErr w:type="spellStart"/>
      <w:r>
        <w:t>ChimeriVax</w:t>
      </w:r>
      <w:proofErr w:type="spellEnd"/>
      <w:r w:rsidRPr="007E69E0">
        <w:t>-JE, Live Attenuated Vaccine (JE-CV) in Healthy Adults The objectives of the Long term Immunogenicity Follow</w:t>
      </w:r>
      <w:r w:rsidR="00B678AF">
        <w:t xml:space="preserve"> </w:t>
      </w:r>
      <w:r w:rsidRPr="007E69E0">
        <w:t>up Period (LIFP) were to assess the durability of the immune response, based on PRNT using JE-CV virus and 4 different wild</w:t>
      </w:r>
      <w:r w:rsidR="00B678AF">
        <w:t xml:space="preserve"> </w:t>
      </w:r>
      <w:r w:rsidRPr="007E69E0">
        <w:t xml:space="preserve">type strains, in adult volunteers up to 60 months following one or two doses of JE-CV. The initial clinical study report (CSR), covered all data generated under </w:t>
      </w:r>
      <w:r w:rsidR="00B678AF">
        <w:t>S</w:t>
      </w:r>
      <w:r w:rsidRPr="007E69E0">
        <w:t>tudy H-040-005 through the Month 24 follow</w:t>
      </w:r>
      <w:r w:rsidR="00A45B6B">
        <w:t xml:space="preserve"> </w:t>
      </w:r>
      <w:r w:rsidRPr="007E69E0">
        <w:t xml:space="preserve">up visit. The current CSR </w:t>
      </w:r>
      <w:r w:rsidR="00A45B6B">
        <w:t>f</w:t>
      </w:r>
      <w:r w:rsidRPr="007E69E0">
        <w:t>inal report has data on all three of the LIFP clinic visits that were conducted subsequent to the Month 24 visit and represent the remainder of the five year immunogenicity follow</w:t>
      </w:r>
      <w:r w:rsidR="00A45B6B">
        <w:t xml:space="preserve"> </w:t>
      </w:r>
      <w:r w:rsidRPr="007E69E0">
        <w:t>up. This study was conducted in Australia. The treatment phase of the study was condu</w:t>
      </w:r>
      <w:r w:rsidR="00A45B6B">
        <w:t xml:space="preserve">cted between 14 April 2003 and </w:t>
      </w:r>
      <w:r w:rsidRPr="007E69E0">
        <w:t xml:space="preserve">5 January 2004. Analysis of the </w:t>
      </w:r>
      <w:r w:rsidR="00C96F4D" w:rsidRPr="00AA4D35">
        <w:t>SCR</w:t>
      </w:r>
      <w:r w:rsidRPr="007E69E0">
        <w:t>s over time was performed at the protocol defined threshold, which required that subjects must either experience a 4</w:t>
      </w:r>
      <w:r w:rsidR="00A45B6B">
        <w:t xml:space="preserve"> </w:t>
      </w:r>
      <w:r w:rsidRPr="007E69E0">
        <w:t>fold rise in neutralis</w:t>
      </w:r>
      <w:r w:rsidR="00A45B6B">
        <w:t xml:space="preserve">ing antibody titres between pre and post </w:t>
      </w:r>
      <w:r w:rsidRPr="007E69E0">
        <w:t xml:space="preserve">immunisation samples or subjects who were </w:t>
      </w:r>
      <w:proofErr w:type="spellStart"/>
      <w:r w:rsidRPr="007E69E0">
        <w:t>seronegativ</w:t>
      </w:r>
      <w:r w:rsidR="00A45B6B">
        <w:t>e</w:t>
      </w:r>
      <w:proofErr w:type="spellEnd"/>
      <w:r w:rsidR="00A45B6B">
        <w:t xml:space="preserve"> at baseline (that is</w:t>
      </w:r>
      <w:r w:rsidR="006D1307">
        <w:t xml:space="preserve">, </w:t>
      </w:r>
      <w:r w:rsidR="00A45B6B">
        <w:t xml:space="preserve">PRNT50 </w:t>
      </w:r>
      <w:r w:rsidR="00F51662">
        <w:t>&lt;</w:t>
      </w:r>
      <w:r w:rsidR="00A45B6B">
        <w:t>1:10)</w:t>
      </w:r>
      <w:r w:rsidRPr="007E69E0">
        <w:t xml:space="preserve"> were required to have a PRNT50 titre of </w:t>
      </w:r>
      <w:r w:rsidR="00F51662">
        <w:sym w:font="Symbol" w:char="F0B3"/>
      </w:r>
      <w:r w:rsidRPr="007E69E0">
        <w:t xml:space="preserve">1:20 to meet the criteria for </w:t>
      </w:r>
      <w:proofErr w:type="spellStart"/>
      <w:r w:rsidRPr="007E69E0">
        <w:t>seroconversion</w:t>
      </w:r>
      <w:proofErr w:type="spellEnd"/>
      <w:r w:rsidRPr="007E69E0">
        <w:t>. In addition</w:t>
      </w:r>
      <w:r w:rsidR="00C96F4D">
        <w:t>,</w:t>
      </w:r>
      <w:r w:rsidRPr="007E69E0">
        <w:t xml:space="preserve"> </w:t>
      </w:r>
      <w:r w:rsidR="00C96F4D" w:rsidRPr="00AA4D35">
        <w:t>SCR</w:t>
      </w:r>
      <w:r w:rsidRPr="007E69E0">
        <w:t xml:space="preserve">s were analysed at the </w:t>
      </w:r>
      <w:r w:rsidR="00382B87">
        <w:t>WHO</w:t>
      </w:r>
      <w:r w:rsidRPr="007E69E0">
        <w:t xml:space="preserve"> defined threshold for protection, which required that subjects who we</w:t>
      </w:r>
      <w:r w:rsidR="00382B87">
        <w:t xml:space="preserve">re </w:t>
      </w:r>
      <w:proofErr w:type="spellStart"/>
      <w:r w:rsidR="00382B87">
        <w:t>seronegative</w:t>
      </w:r>
      <w:proofErr w:type="spellEnd"/>
      <w:r w:rsidR="00382B87">
        <w:t xml:space="preserve"> at baseline (that is</w:t>
      </w:r>
      <w:r w:rsidRPr="007E69E0">
        <w:t xml:space="preserve">, PRNT50 &lt;1:10) required a PRNT50 titre of ≥1:10 to </w:t>
      </w:r>
      <w:r w:rsidRPr="007E69E0">
        <w:lastRenderedPageBreak/>
        <w:t xml:space="preserve">meet the criteria for </w:t>
      </w:r>
      <w:proofErr w:type="spellStart"/>
      <w:r w:rsidRPr="007E69E0">
        <w:t>seroconversion</w:t>
      </w:r>
      <w:proofErr w:type="spellEnd"/>
      <w:r w:rsidRPr="007E69E0">
        <w:t>. For subjects who had pre</w:t>
      </w:r>
      <w:r w:rsidR="002143AB">
        <w:t>-</w:t>
      </w:r>
      <w:r w:rsidRPr="007E69E0">
        <w:t xml:space="preserve">existing neutralising </w:t>
      </w:r>
      <w:r w:rsidR="00382B87">
        <w:t>antibody to JE at baseline (that is</w:t>
      </w:r>
      <w:r w:rsidRPr="007E69E0">
        <w:t xml:space="preserve">, PRNT50 titre of </w:t>
      </w:r>
      <w:r w:rsidR="00F51662">
        <w:sym w:font="Symbol" w:char="F0B3"/>
      </w:r>
      <w:r w:rsidRPr="007E69E0">
        <w:t xml:space="preserve">1:10), </w:t>
      </w:r>
      <w:proofErr w:type="spellStart"/>
      <w:r w:rsidRPr="007E69E0">
        <w:t>seroconversion</w:t>
      </w:r>
      <w:proofErr w:type="spellEnd"/>
      <w:r w:rsidRPr="007E69E0">
        <w:t xml:space="preserve"> was defined as a </w:t>
      </w:r>
      <w:r w:rsidR="00F51662">
        <w:sym w:font="Symbol" w:char="F0B3"/>
      </w:r>
      <w:r w:rsidR="00382B87">
        <w:t xml:space="preserve"> </w:t>
      </w:r>
      <w:r w:rsidRPr="007E69E0">
        <w:t>4</w:t>
      </w:r>
      <w:r w:rsidR="00382B87">
        <w:t xml:space="preserve"> </w:t>
      </w:r>
      <w:r w:rsidRPr="007E69E0">
        <w:t>fold rise in neutralising antibody titre betwee</w:t>
      </w:r>
      <w:r w:rsidR="00382B87">
        <w:t xml:space="preserve">n pre </w:t>
      </w:r>
      <w:r w:rsidRPr="007E69E0">
        <w:t>and post</w:t>
      </w:r>
      <w:r w:rsidR="00382B87">
        <w:t xml:space="preserve"> </w:t>
      </w:r>
      <w:r w:rsidRPr="007E69E0">
        <w:t>immunisation.</w:t>
      </w:r>
    </w:p>
    <w:p w:rsidR="007E69E0" w:rsidRPr="008F0B5F" w:rsidRDefault="007E69E0" w:rsidP="007E69E0">
      <w:pPr>
        <w:pStyle w:val="Heading4"/>
        <w:spacing w:line="360" w:lineRule="auto"/>
      </w:pPr>
      <w:bookmarkStart w:id="82" w:name="_Toc290846276"/>
      <w:bookmarkStart w:id="83" w:name="_Ref342295992"/>
      <w:bookmarkStart w:id="84" w:name="_Toc342483548"/>
      <w:r>
        <w:t xml:space="preserve">Pivotal efficacy study: </w:t>
      </w:r>
      <w:r w:rsidRPr="003C0A48">
        <w:t>S</w:t>
      </w:r>
      <w:r>
        <w:t xml:space="preserve">tudy </w:t>
      </w:r>
      <w:bookmarkEnd w:id="82"/>
      <w:r w:rsidRPr="00793B56">
        <w:t>JEC01 (up to Year 3 of follow-up)</w:t>
      </w:r>
      <w:bookmarkEnd w:id="83"/>
      <w:bookmarkEnd w:id="84"/>
    </w:p>
    <w:p w:rsidR="007E69E0" w:rsidRPr="007E69E0" w:rsidRDefault="003A26ED" w:rsidP="00C864EE">
      <w:r>
        <w:t>This was a r</w:t>
      </w:r>
      <w:r w:rsidR="007E69E0" w:rsidRPr="007E69E0">
        <w:t>andomi</w:t>
      </w:r>
      <w:r w:rsidR="00EA68B3">
        <w:t>s</w:t>
      </w:r>
      <w:r w:rsidR="00382B87">
        <w:t>ed, cross</w:t>
      </w:r>
      <w:r w:rsidR="007E69E0" w:rsidRPr="007E69E0">
        <w:t>over, open, active controll</w:t>
      </w:r>
      <w:r w:rsidR="00936FB6">
        <w:t>ed (</w:t>
      </w:r>
      <w:r>
        <w:t>H</w:t>
      </w:r>
      <w:r w:rsidR="00936FB6">
        <w:t xml:space="preserve">epatitis A vaccine), </w:t>
      </w:r>
      <w:proofErr w:type="gramStart"/>
      <w:r w:rsidR="00936FB6">
        <w:t>multi</w:t>
      </w:r>
      <w:r w:rsidR="007E69E0" w:rsidRPr="007E69E0">
        <w:t>centre</w:t>
      </w:r>
      <w:proofErr w:type="gramEnd"/>
      <w:r w:rsidR="007E69E0" w:rsidRPr="007E69E0">
        <w:t xml:space="preserve"> trial in 100 children and 200 toddlers in Thailand. Subjects received one single dose of Japanese encephalitis chimeric virus vaccine (JE-CV, also referred to as JE-CV in the trial protocol) and one dose of </w:t>
      </w:r>
      <w:r w:rsidR="00732224">
        <w:t>H</w:t>
      </w:r>
      <w:r w:rsidR="007E69E0" w:rsidRPr="007E69E0">
        <w:t xml:space="preserve">epatitis A vaccine one month apart, and were to receive a second dose of </w:t>
      </w:r>
      <w:r w:rsidR="00735F74">
        <w:t>H</w:t>
      </w:r>
      <w:r w:rsidR="007E69E0" w:rsidRPr="007E69E0">
        <w:t>epatitis A 6 months later. There will be a 5</w:t>
      </w:r>
      <w:r w:rsidR="00735F74">
        <w:t xml:space="preserve"> </w:t>
      </w:r>
      <w:r w:rsidR="007E69E0" w:rsidRPr="007E69E0">
        <w:t>year follow</w:t>
      </w:r>
      <w:r w:rsidR="00735F74">
        <w:t xml:space="preserve"> </w:t>
      </w:r>
      <w:r w:rsidR="007E69E0" w:rsidRPr="007E69E0">
        <w:t>up. Enrolment was sequential in two age cohorts.</w:t>
      </w:r>
    </w:p>
    <w:p w:rsidR="0017398E" w:rsidRPr="003C0A48" w:rsidRDefault="0017398E" w:rsidP="0017398E">
      <w:pPr>
        <w:pStyle w:val="Heading4"/>
      </w:pPr>
      <w:r w:rsidRPr="003C0A48">
        <w:t>Evaluator’s conclusions on clinical efficacy for</w:t>
      </w:r>
      <w:r>
        <w:t xml:space="preserve"> </w:t>
      </w:r>
      <w:bookmarkEnd w:id="68"/>
      <w:bookmarkEnd w:id="69"/>
      <w:bookmarkEnd w:id="70"/>
      <w:r>
        <w:t>a single dose of JE-CV in adults (final report on H-050-004) and two doses in children (interim data only)</w:t>
      </w:r>
      <w:bookmarkEnd w:id="71"/>
    </w:p>
    <w:p w:rsidR="0017398E" w:rsidRPr="0017398E" w:rsidRDefault="0017398E" w:rsidP="0017398E">
      <w:r w:rsidRPr="0017398E">
        <w:t xml:space="preserve">In adults, vaccination with JE-CV demonstrated  high and sustained </w:t>
      </w:r>
      <w:r w:rsidR="00C96F4D" w:rsidRPr="00AA4D35">
        <w:t>SCR</w:t>
      </w:r>
      <w:r w:rsidRPr="0017398E">
        <w:t xml:space="preserve">s with both the single and two dose vaccination schedules with no statistically significant differences in </w:t>
      </w:r>
      <w:r w:rsidR="00C96F4D" w:rsidRPr="00AA4D35">
        <w:t>SCR</w:t>
      </w:r>
      <w:r w:rsidRPr="0017398E">
        <w:t>s between the two schedules prior to the end of the 60 month LIFP study. The differences in GMTs between the two dose and single dose regimens during the first 48 months of the LIFP are unlikely to be clinically relevant (given that both a well above cut</w:t>
      </w:r>
      <w:r w:rsidR="00C40236">
        <w:t xml:space="preserve"> </w:t>
      </w:r>
      <w:r w:rsidRPr="0017398E">
        <w:t>off levels).</w:t>
      </w:r>
    </w:p>
    <w:p w:rsidR="0017398E" w:rsidRPr="0017398E" w:rsidRDefault="0017398E" w:rsidP="00C864EE">
      <w:r w:rsidRPr="0017398E">
        <w:t>The paediatric study data shows that a single dose of JE-CV induces a protective immune response in both JE</w:t>
      </w:r>
      <w:r w:rsidR="00C1562E">
        <w:t xml:space="preserve"> naïve and </w:t>
      </w:r>
      <w:r w:rsidRPr="0017398E">
        <w:t xml:space="preserve">immune paediatric subjects. The immune response of a single dose of JE-CV in toddlers is high both in terms of </w:t>
      </w:r>
      <w:proofErr w:type="spellStart"/>
      <w:r w:rsidRPr="0017398E">
        <w:t>seroconversion</w:t>
      </w:r>
      <w:proofErr w:type="spellEnd"/>
      <w:r w:rsidRPr="0017398E">
        <w:t xml:space="preserve"> and GMT. A high protective immune response persists up to at least 3 years after a single dose administration of JE-CV, in children previously vaccinated against JE. A protective immune response after a single dose persists in the majority of subjects up to at least 3 years after a single dose administration of JE-CV with a </w:t>
      </w:r>
      <w:proofErr w:type="spellStart"/>
      <w:r w:rsidRPr="0017398E">
        <w:t>seroprotection</w:t>
      </w:r>
      <w:proofErr w:type="spellEnd"/>
      <w:r w:rsidRPr="0017398E">
        <w:t xml:space="preserve"> rate of 75.2% (sensitivity analysis in the </w:t>
      </w:r>
      <w:r w:rsidR="00C40236">
        <w:t>Full Analysis Set [</w:t>
      </w:r>
      <w:r w:rsidRPr="0017398E">
        <w:t>FAS</w:t>
      </w:r>
      <w:r w:rsidR="00C40236">
        <w:t>]</w:t>
      </w:r>
      <w:r w:rsidRPr="0017398E">
        <w:t xml:space="preserve">) in toddlers not previously vaccinated </w:t>
      </w:r>
      <w:r w:rsidR="00C40236">
        <w:t xml:space="preserve">against JE (studies on the long </w:t>
      </w:r>
      <w:r w:rsidRPr="0017398E">
        <w:t xml:space="preserve">term persistence up to 5 years are still ongoing), but it does seem to decrease over time. JE-CV was administered as a booster dose in </w:t>
      </w:r>
      <w:r w:rsidR="00C40236">
        <w:t>S</w:t>
      </w:r>
      <w:r w:rsidRPr="0017398E">
        <w:t>tudy JEC01 to children aged 2 to 5 years who previously completed a two</w:t>
      </w:r>
      <w:r w:rsidR="00C1562E">
        <w:t xml:space="preserve"> </w:t>
      </w:r>
      <w:r w:rsidRPr="0017398E">
        <w:t>dose pri</w:t>
      </w:r>
      <w:r w:rsidR="00E463FE">
        <w:t>mary vaccination regimen with a</w:t>
      </w:r>
      <w:r w:rsidRPr="0017398E">
        <w:t xml:space="preserve"> </w:t>
      </w:r>
      <w:r w:rsidR="00E463FE">
        <w:t>mouse brain derived vaccine (</w:t>
      </w:r>
      <w:r w:rsidRPr="0017398E">
        <w:t>MBDV</w:t>
      </w:r>
      <w:r w:rsidR="00E463FE">
        <w:t>)</w:t>
      </w:r>
      <w:r w:rsidRPr="0017398E">
        <w:t xml:space="preserve"> in accordance with the Thai immuni</w:t>
      </w:r>
      <w:r w:rsidR="00C1562E">
        <w:t>s</w:t>
      </w:r>
      <w:r w:rsidRPr="0017398E">
        <w:t xml:space="preserve">ation schedule. One dose of JE-CV provided a good booster response in all subjects: 100.0% of children were </w:t>
      </w:r>
      <w:proofErr w:type="spellStart"/>
      <w:r w:rsidRPr="0017398E">
        <w:t>seroprotected</w:t>
      </w:r>
      <w:proofErr w:type="spellEnd"/>
      <w:r w:rsidRPr="0017398E">
        <w:t xml:space="preserve"> after JE-CV vaccination and the response persisted at least up to three years after vaccination. A booster dose of JE-CV was administered in </w:t>
      </w:r>
      <w:r w:rsidR="00086969">
        <w:t>S</w:t>
      </w:r>
      <w:r w:rsidRPr="0017398E">
        <w:t xml:space="preserve">tudy JEC15 to children aged 36 to 42 months who received 2 years earlier a first dose of JE-CV in </w:t>
      </w:r>
      <w:r w:rsidR="00086969">
        <w:t>S</w:t>
      </w:r>
      <w:r w:rsidRPr="0017398E">
        <w:t xml:space="preserve">tudy JEC02 at the age of 12 to 18 months resulted in 100.0% </w:t>
      </w:r>
      <w:proofErr w:type="spellStart"/>
      <w:r w:rsidRPr="0017398E">
        <w:t>seroprotection</w:t>
      </w:r>
      <w:proofErr w:type="spellEnd"/>
      <w:r w:rsidRPr="0017398E">
        <w:t xml:space="preserve"> 28 days after administration of the booster dose. This confirms the induction of immune memory by the first dose and suggests a booster effect on neutrali</w:t>
      </w:r>
      <w:r w:rsidR="00BD7935">
        <w:t>s</w:t>
      </w:r>
      <w:r w:rsidRPr="0017398E">
        <w:t>ing antibody titres. Long</w:t>
      </w:r>
      <w:r w:rsidR="00086969">
        <w:t xml:space="preserve"> </w:t>
      </w:r>
      <w:r w:rsidRPr="0017398E">
        <w:t>term persistence of immunity up to 5 years after the booster dose is ongoing.</w:t>
      </w:r>
    </w:p>
    <w:p w:rsidR="0017398E" w:rsidRPr="0017398E" w:rsidRDefault="00086969" w:rsidP="0017398E">
      <w:r>
        <w:t>In toddlers and children</w:t>
      </w:r>
      <w:r w:rsidR="0017398E" w:rsidRPr="0017398E">
        <w:t xml:space="preserve"> it would appear that a single dose of JE-CV would be adequate in children previously immunised with either a live or inactivated (two</w:t>
      </w:r>
      <w:r>
        <w:t xml:space="preserve"> </w:t>
      </w:r>
      <w:r w:rsidR="0017398E" w:rsidRPr="0017398E">
        <w:t>dose) JE vaccine, but in previously unimmunised children/toddlers, a two</w:t>
      </w:r>
      <w:r>
        <w:t xml:space="preserve"> </w:t>
      </w:r>
      <w:r w:rsidR="0017398E" w:rsidRPr="0017398E">
        <w:t>dose course of vaccination with JE-CV will provide long</w:t>
      </w:r>
      <w:r>
        <w:t xml:space="preserve"> </w:t>
      </w:r>
      <w:r w:rsidR="0017398E" w:rsidRPr="0017398E">
        <w:t>term immunity (although immunogenicity results out to 5 years</w:t>
      </w:r>
      <w:r>
        <w:t xml:space="preserve"> are pending</w:t>
      </w:r>
      <w:r w:rsidR="0017398E" w:rsidRPr="0017398E">
        <w:t>).</w:t>
      </w:r>
    </w:p>
    <w:p w:rsidR="008E7846" w:rsidRPr="002E238E" w:rsidRDefault="008E7846" w:rsidP="008E7846">
      <w:pPr>
        <w:pStyle w:val="Heading3"/>
      </w:pPr>
      <w:bookmarkStart w:id="85" w:name="_Toc163441378"/>
      <w:bookmarkStart w:id="86" w:name="_Toc196046495"/>
      <w:bookmarkStart w:id="87" w:name="_Toc247691522"/>
      <w:bookmarkStart w:id="88" w:name="_Toc314842505"/>
      <w:bookmarkStart w:id="89" w:name="_Toc383010142"/>
      <w:bookmarkEnd w:id="72"/>
      <w:bookmarkEnd w:id="73"/>
      <w:bookmarkEnd w:id="74"/>
      <w:bookmarkEnd w:id="75"/>
      <w:r w:rsidRPr="002E238E">
        <w:lastRenderedPageBreak/>
        <w:t>Safety</w:t>
      </w:r>
      <w:bookmarkEnd w:id="85"/>
      <w:bookmarkEnd w:id="86"/>
      <w:bookmarkEnd w:id="87"/>
      <w:bookmarkEnd w:id="88"/>
      <w:bookmarkEnd w:id="89"/>
    </w:p>
    <w:p w:rsidR="00EB1C0B" w:rsidRPr="00027276" w:rsidRDefault="00EB1C0B" w:rsidP="00EB1C0B">
      <w:pPr>
        <w:pStyle w:val="Heading4"/>
      </w:pPr>
      <w:bookmarkStart w:id="90" w:name="_Ref268776745"/>
      <w:bookmarkStart w:id="91" w:name="_Toc163441387"/>
      <w:r w:rsidRPr="00027276">
        <w:t>Pivotal efficacy studies</w:t>
      </w:r>
      <w:bookmarkEnd w:id="90"/>
    </w:p>
    <w:p w:rsidR="00EB1C0B" w:rsidRPr="00EB1C0B" w:rsidRDefault="00EB1C0B" w:rsidP="00EB1C0B">
      <w:r w:rsidRPr="00EB1C0B">
        <w:t>In the pivotal efficacy stu</w:t>
      </w:r>
      <w:r w:rsidR="00086969">
        <w:t>dies (</w:t>
      </w:r>
      <w:r w:rsidRPr="00EB1C0B">
        <w:t xml:space="preserve">H-040-005, JECV01, </w:t>
      </w:r>
      <w:proofErr w:type="gramStart"/>
      <w:r w:rsidRPr="00EB1C0B">
        <w:t>JECV015</w:t>
      </w:r>
      <w:proofErr w:type="gramEnd"/>
      <w:r w:rsidR="00086969">
        <w:t>)</w:t>
      </w:r>
      <w:r w:rsidRPr="00EB1C0B">
        <w:t>, the following safety data were collected:</w:t>
      </w:r>
    </w:p>
    <w:p w:rsidR="00EB1C0B" w:rsidRPr="00EB1C0B" w:rsidRDefault="00EB1C0B" w:rsidP="00EB1C0B">
      <w:pPr>
        <w:pStyle w:val="ListBullet"/>
      </w:pPr>
      <w:r w:rsidRPr="00EB1C0B">
        <w:t xml:space="preserve">General and specific adverse events (AEs) were recorded and assessed by investigators as relevant, either by observation, diary or telephone call. There was a list of specific (solicited) local and systemic symptoms and participants were also asked to record any other AEs in a diary (and investigators in the </w:t>
      </w:r>
      <w:r w:rsidR="004C47AC">
        <w:t>electronic case report form [</w:t>
      </w:r>
      <w:proofErr w:type="spellStart"/>
      <w:r w:rsidRPr="00EB1C0B">
        <w:t>eCRF</w:t>
      </w:r>
      <w:proofErr w:type="spellEnd"/>
      <w:r w:rsidR="004C47AC">
        <w:t>]</w:t>
      </w:r>
      <w:r w:rsidRPr="00EB1C0B">
        <w:t>).</w:t>
      </w:r>
    </w:p>
    <w:p w:rsidR="00EB1C0B" w:rsidRPr="00EB1C0B" w:rsidRDefault="00EB1C0B" w:rsidP="00EB1C0B">
      <w:pPr>
        <w:pStyle w:val="ListBullet"/>
      </w:pPr>
      <w:r w:rsidRPr="00EB1C0B">
        <w:t xml:space="preserve">AEs of particular interest, including </w:t>
      </w:r>
      <w:proofErr w:type="spellStart"/>
      <w:r w:rsidRPr="00EB1C0B">
        <w:t>viscerotropic</w:t>
      </w:r>
      <w:proofErr w:type="spellEnd"/>
      <w:r w:rsidRPr="00EB1C0B">
        <w:t xml:space="preserve"> disease were assessed by investigators.</w:t>
      </w:r>
    </w:p>
    <w:p w:rsidR="00EB1C0B" w:rsidRPr="00EB1C0B" w:rsidRDefault="00EB1C0B" w:rsidP="00EB1C0B">
      <w:pPr>
        <w:pStyle w:val="Heading4"/>
      </w:pPr>
      <w:r w:rsidRPr="00EB1C0B">
        <w:t>Pivotal studies that assessed safety as a primary outcome</w:t>
      </w:r>
    </w:p>
    <w:p w:rsidR="00EB1C0B" w:rsidRDefault="00EB1C0B" w:rsidP="00EB1C0B">
      <w:r w:rsidRPr="00EB1C0B">
        <w:t>Safety was a co-primary outcome in Study H-040-005, JEC01 and JEC15.</w:t>
      </w:r>
    </w:p>
    <w:p w:rsidR="00DE7751" w:rsidRDefault="00DE7751" w:rsidP="00DE7751">
      <w:pPr>
        <w:pStyle w:val="Heading4"/>
      </w:pPr>
      <w:bookmarkStart w:id="92" w:name="_Toc241374328"/>
      <w:bookmarkStart w:id="93" w:name="_Toc272414691"/>
      <w:bookmarkStart w:id="94" w:name="_Toc290846329"/>
      <w:bookmarkStart w:id="95" w:name="_Toc342483576"/>
      <w:r>
        <w:t>Evaluator’s overall conclusions on clinical safety</w:t>
      </w:r>
      <w:bookmarkEnd w:id="92"/>
      <w:bookmarkEnd w:id="93"/>
      <w:bookmarkEnd w:id="94"/>
      <w:bookmarkEnd w:id="95"/>
    </w:p>
    <w:p w:rsidR="00DE7751" w:rsidRPr="00DE7751" w:rsidRDefault="00DE7751" w:rsidP="00DE7751">
      <w:r w:rsidRPr="00DE7751">
        <w:t>The safety data submitted with this application, does not contain any new triggers or safety concerns. In particular, in adults, the booster dose appeared to be at least as well tolerated as the first dose of JE-CV and in the paediatric population, was as well tolerated as the comparators (</w:t>
      </w:r>
      <w:r w:rsidR="00C10777">
        <w:t>H</w:t>
      </w:r>
      <w:r w:rsidRPr="00DE7751">
        <w:t>epatitis A and varicella vaccines).</w:t>
      </w:r>
    </w:p>
    <w:p w:rsidR="0055540C" w:rsidRPr="006E137C" w:rsidRDefault="0055540C" w:rsidP="0055540C">
      <w:pPr>
        <w:pStyle w:val="Heading3"/>
      </w:pPr>
      <w:bookmarkStart w:id="96" w:name="_Toc247691523"/>
      <w:bookmarkStart w:id="97" w:name="_Toc314842507"/>
      <w:bookmarkStart w:id="98" w:name="_Toc383010143"/>
      <w:bookmarkStart w:id="99" w:name="_Toc184440295"/>
      <w:bookmarkStart w:id="100" w:name="_Toc184444673"/>
      <w:bookmarkStart w:id="101" w:name="_Toc196046503"/>
      <w:bookmarkStart w:id="102" w:name="_Toc255919423"/>
      <w:bookmarkStart w:id="103" w:name="_Toc241374329"/>
      <w:bookmarkStart w:id="104" w:name="_Toc270320087"/>
      <w:bookmarkStart w:id="105" w:name="_Toc314842506"/>
      <w:r>
        <w:t>Clinical summary and conclusions</w:t>
      </w:r>
      <w:bookmarkEnd w:id="96"/>
      <w:bookmarkEnd w:id="97"/>
      <w:bookmarkEnd w:id="98"/>
    </w:p>
    <w:p w:rsidR="009E0B6F" w:rsidRDefault="009E0B6F" w:rsidP="009E0B6F">
      <w:pPr>
        <w:pStyle w:val="Heading4"/>
      </w:pPr>
      <w:bookmarkStart w:id="106" w:name="_Toc236802592"/>
      <w:bookmarkStart w:id="107" w:name="_Toc241374331"/>
      <w:bookmarkStart w:id="108" w:name="_Ref272160836"/>
      <w:bookmarkStart w:id="109" w:name="_Toc272414693"/>
      <w:bookmarkStart w:id="110" w:name="_Toc290846331"/>
      <w:bookmarkStart w:id="111" w:name="_Toc342483578"/>
      <w:bookmarkEnd w:id="99"/>
      <w:bookmarkEnd w:id="100"/>
      <w:bookmarkEnd w:id="101"/>
      <w:r>
        <w:t>First round benefit-risk assessment</w:t>
      </w:r>
    </w:p>
    <w:p w:rsidR="009E0B6F" w:rsidRDefault="009E0B6F" w:rsidP="009E0B6F">
      <w:pPr>
        <w:pStyle w:val="Heading5"/>
      </w:pPr>
      <w:r>
        <w:t>First round assessment of benefits</w:t>
      </w:r>
      <w:bookmarkEnd w:id="106"/>
      <w:bookmarkEnd w:id="107"/>
      <w:bookmarkEnd w:id="108"/>
      <w:bookmarkEnd w:id="109"/>
      <w:bookmarkEnd w:id="110"/>
      <w:bookmarkEnd w:id="111"/>
    </w:p>
    <w:p w:rsidR="009E0B6F" w:rsidRPr="009E0B6F" w:rsidRDefault="009E0B6F" w:rsidP="009E0B6F">
      <w:r w:rsidRPr="009E0B6F">
        <w:t>The benefits of JE-CV in the proposed usage are:</w:t>
      </w:r>
    </w:p>
    <w:p w:rsidR="009E0B6F" w:rsidRPr="009E0B6F" w:rsidRDefault="009E0B6F" w:rsidP="009E0B6F">
      <w:pPr>
        <w:pStyle w:val="ListBullet"/>
      </w:pPr>
      <w:r w:rsidRPr="009E0B6F">
        <w:t>Protective efficacy one month after vaccination in more than 99% of the subjects from a single</w:t>
      </w:r>
      <w:r w:rsidR="007D1825">
        <w:t xml:space="preserve"> </w:t>
      </w:r>
      <w:r w:rsidR="00C864EE">
        <w:t>dose vaccine.</w:t>
      </w:r>
    </w:p>
    <w:p w:rsidR="009E0B6F" w:rsidRPr="009E0B6F" w:rsidRDefault="009E0B6F" w:rsidP="009E0B6F">
      <w:pPr>
        <w:pStyle w:val="ListBullet"/>
      </w:pPr>
      <w:r w:rsidRPr="009E0B6F">
        <w:t xml:space="preserve">Sufficient level of </w:t>
      </w:r>
      <w:proofErr w:type="spellStart"/>
      <w:r w:rsidRPr="009E0B6F">
        <w:t>seroprotection</w:t>
      </w:r>
      <w:proofErr w:type="spellEnd"/>
      <w:r w:rsidRPr="009E0B6F">
        <w:t xml:space="preserve"> in adults 5 years after JE-CV single dose for primary immuni</w:t>
      </w:r>
      <w:r w:rsidR="00E463FE">
        <w:t>s</w:t>
      </w:r>
      <w:r w:rsidRPr="009E0B6F">
        <w:t>ation is sufficiently high to consider that no JE-CV booster is needed before 5 years.</w:t>
      </w:r>
    </w:p>
    <w:p w:rsidR="009E0B6F" w:rsidRPr="009E0B6F" w:rsidRDefault="009E0B6F" w:rsidP="009E0B6F">
      <w:pPr>
        <w:pStyle w:val="ListBullet"/>
      </w:pPr>
      <w:r w:rsidRPr="009E0B6F">
        <w:t>In paediatric populations not previously JE primed, JE-CV provides a protective immune response in more than 95% of toddlers (aged 12 to 24 months). Long</w:t>
      </w:r>
      <w:r w:rsidR="00E463FE">
        <w:t xml:space="preserve"> </w:t>
      </w:r>
      <w:r w:rsidRPr="009E0B6F">
        <w:t>term follow</w:t>
      </w:r>
      <w:r w:rsidR="00E463FE">
        <w:t xml:space="preserve"> </w:t>
      </w:r>
      <w:r w:rsidRPr="009E0B6F">
        <w:t xml:space="preserve">up of the persistence of the </w:t>
      </w:r>
      <w:proofErr w:type="spellStart"/>
      <w:r w:rsidRPr="009E0B6F">
        <w:t>seroprotection</w:t>
      </w:r>
      <w:proofErr w:type="spellEnd"/>
      <w:r w:rsidRPr="009E0B6F">
        <w:t xml:space="preserve"> rate after administration of a single dose of JE-CV in paediatric populations has shown some decline of the </w:t>
      </w:r>
      <w:proofErr w:type="spellStart"/>
      <w:r w:rsidRPr="009E0B6F">
        <w:t>seroprotection</w:t>
      </w:r>
      <w:proofErr w:type="spellEnd"/>
      <w:r w:rsidRPr="009E0B6F">
        <w:t xml:space="preserve"> rates to 84.4% </w:t>
      </w:r>
      <w:proofErr w:type="spellStart"/>
      <w:r w:rsidRPr="009E0B6F">
        <w:t>seroprotection</w:t>
      </w:r>
      <w:proofErr w:type="spellEnd"/>
      <w:r w:rsidRPr="009E0B6F">
        <w:t xml:space="preserve"> at 1 year, 80% </w:t>
      </w:r>
      <w:proofErr w:type="spellStart"/>
      <w:r w:rsidRPr="009E0B6F">
        <w:t>seroprotection</w:t>
      </w:r>
      <w:proofErr w:type="spellEnd"/>
      <w:r w:rsidRPr="009E0B6F">
        <w:t xml:space="preserve"> at 2 years, and 75% </w:t>
      </w:r>
      <w:proofErr w:type="spellStart"/>
      <w:r w:rsidRPr="009E0B6F">
        <w:t>seroprotection</w:t>
      </w:r>
      <w:proofErr w:type="spellEnd"/>
      <w:r w:rsidRPr="009E0B6F">
        <w:t xml:space="preserve"> at 3 years.</w:t>
      </w:r>
    </w:p>
    <w:p w:rsidR="009E0B6F" w:rsidRPr="009E0B6F" w:rsidRDefault="009E0B6F" w:rsidP="009E0B6F">
      <w:pPr>
        <w:pStyle w:val="ListBullet"/>
      </w:pPr>
      <w:r w:rsidRPr="009E0B6F">
        <w:t xml:space="preserve">A second dose of JE-CV (2 years after the first) resulted in </w:t>
      </w:r>
      <w:proofErr w:type="spellStart"/>
      <w:r w:rsidRPr="009E0B6F">
        <w:t>seroprotection</w:t>
      </w:r>
      <w:proofErr w:type="spellEnd"/>
      <w:r w:rsidRPr="009E0B6F">
        <w:t xml:space="preserve"> of 99.4% of children measured1 year after</w:t>
      </w:r>
      <w:r w:rsidR="00C864EE">
        <w:t xml:space="preserve"> the JE-CV booster vaccination.</w:t>
      </w:r>
    </w:p>
    <w:p w:rsidR="009E0B6F" w:rsidRPr="009E0B6F" w:rsidRDefault="009E0B6F" w:rsidP="009E0B6F">
      <w:pPr>
        <w:pStyle w:val="ListBullet"/>
      </w:pPr>
      <w:r w:rsidRPr="009E0B6F">
        <w:t>All the children who previously received a JE primary immuni</w:t>
      </w:r>
      <w:r w:rsidR="00E463FE">
        <w:t>s</w:t>
      </w:r>
      <w:r w:rsidRPr="009E0B6F">
        <w:t xml:space="preserve">ation with an inactivated JE vaccine and were then boosted with a JE-CV were </w:t>
      </w:r>
      <w:proofErr w:type="spellStart"/>
      <w:r w:rsidRPr="009E0B6F">
        <w:t>seroprotected</w:t>
      </w:r>
      <w:proofErr w:type="spellEnd"/>
      <w:r w:rsidRPr="009E0B6F">
        <w:t xml:space="preserve"> 3 years later. Hence, a booster dose of JE-CV is highly recommended in paediatric populations after primary vaccination (with either JE-CV or an inactivated JE vaccine) in order to provide long</w:t>
      </w:r>
      <w:r w:rsidR="00AF0504">
        <w:t xml:space="preserve"> </w:t>
      </w:r>
      <w:r w:rsidRPr="009E0B6F">
        <w:t xml:space="preserve">term protection (supported by data up to 3 years). The booster dose </w:t>
      </w:r>
      <w:r w:rsidRPr="009E0B6F">
        <w:lastRenderedPageBreak/>
        <w:t>should be given preferably 12 months after primary vaccination with JE-CV and can be given up to 24 months after primary vaccination</w:t>
      </w:r>
      <w:r w:rsidR="00C864EE">
        <w:t xml:space="preserve"> (according to available data).</w:t>
      </w:r>
    </w:p>
    <w:p w:rsidR="009E0B6F" w:rsidRDefault="009E0B6F" w:rsidP="009E0B6F">
      <w:pPr>
        <w:pStyle w:val="Heading5"/>
      </w:pPr>
      <w:bookmarkStart w:id="112" w:name="_Toc236802596"/>
      <w:bookmarkStart w:id="113" w:name="_Toc241374334"/>
      <w:bookmarkStart w:id="114" w:name="_Ref272160964"/>
      <w:bookmarkStart w:id="115" w:name="_Toc272414694"/>
      <w:bookmarkStart w:id="116" w:name="_Toc290846332"/>
      <w:bookmarkStart w:id="117" w:name="_Toc342483579"/>
      <w:r>
        <w:t>First round assessment of risks</w:t>
      </w:r>
      <w:bookmarkEnd w:id="112"/>
      <w:bookmarkEnd w:id="113"/>
      <w:bookmarkEnd w:id="114"/>
      <w:bookmarkEnd w:id="115"/>
      <w:bookmarkEnd w:id="116"/>
      <w:bookmarkEnd w:id="117"/>
    </w:p>
    <w:p w:rsidR="009E0B6F" w:rsidRPr="009E0B6F" w:rsidRDefault="009E0B6F" w:rsidP="009E0B6F">
      <w:r w:rsidRPr="009E0B6F">
        <w:t>The potential risks of JE-CV in the proposed usage include hypersensitivity reactions (allergic, anaphylactic/</w:t>
      </w:r>
      <w:proofErr w:type="spellStart"/>
      <w:r w:rsidRPr="009E0B6F">
        <w:t>anaphylactoid</w:t>
      </w:r>
      <w:proofErr w:type="spellEnd"/>
      <w:r w:rsidRPr="009E0B6F">
        <w:t xml:space="preserve">), neurological disorders including convulsions, encephalopathy, encephalitis, Acute Disseminated Encephalomyelitis (ADEM), myelitis, </w:t>
      </w:r>
      <w:proofErr w:type="spellStart"/>
      <w:r w:rsidRPr="009E0B6F">
        <w:t>Guillain-Barré</w:t>
      </w:r>
      <w:proofErr w:type="spellEnd"/>
      <w:r w:rsidRPr="009E0B6F">
        <w:t xml:space="preserve"> Syndrome (GBS), peripheral neuropathy, facial (Bell’s) palsy (based on experience with other attenuated and inactivated) JE vaccines.</w:t>
      </w:r>
    </w:p>
    <w:p w:rsidR="009E0B6F" w:rsidRPr="009E0B6F" w:rsidRDefault="009E0B6F" w:rsidP="009E0B6F">
      <w:r w:rsidRPr="009E0B6F">
        <w:t>The sample size of the studies conducted in paediatric populations allowed the detection of events with a rate of 0.2% or more (with 95% probability). Overall, 1444 children aged 9 months to 10 years received JE-CV in three clinical studies conducted in Thailand, the Philippines, and India.</w:t>
      </w:r>
    </w:p>
    <w:p w:rsidR="009E0B6F" w:rsidRPr="009E0B6F" w:rsidRDefault="009E0B6F" w:rsidP="009E0B6F">
      <w:r w:rsidRPr="009E0B6F">
        <w:t>The overall safety profile of JE-CV in adult populations is similar to that of th</w:t>
      </w:r>
      <w:r w:rsidR="00C864EE">
        <w:t>e inactivated MBDV and placebo.</w:t>
      </w:r>
    </w:p>
    <w:p w:rsidR="009E0B6F" w:rsidRPr="009E0B6F" w:rsidRDefault="009E0B6F" w:rsidP="009E0B6F">
      <w:r w:rsidRPr="009E0B6F">
        <w:t xml:space="preserve">The safety profile in paediatric populations is similar to that of a registered inactivated </w:t>
      </w:r>
      <w:r w:rsidR="00E463FE">
        <w:t>H</w:t>
      </w:r>
      <w:r w:rsidRPr="009E0B6F">
        <w:t>epatitis A vaccine. No safety issue has been identified in clinical studies in adult and paediatric populations (including the long</w:t>
      </w:r>
      <w:r w:rsidR="00E463FE">
        <w:t xml:space="preserve"> </w:t>
      </w:r>
      <w:r w:rsidRPr="009E0B6F">
        <w:t>term follow</w:t>
      </w:r>
      <w:r w:rsidR="00E463FE">
        <w:t xml:space="preserve"> </w:t>
      </w:r>
      <w:r w:rsidRPr="009E0B6F">
        <w:t>up assessments). JE-CV either as a primary or booster vaccination appears to be safe at a dose which elicits a protective immune response.</w:t>
      </w:r>
    </w:p>
    <w:p w:rsidR="009E0B6F" w:rsidRPr="009E0B6F" w:rsidRDefault="009E0B6F" w:rsidP="009E0B6F">
      <w:r w:rsidRPr="009E0B6F">
        <w:t>Overall, JE-CV was well tolerated and there was no evidence to indicate any n</w:t>
      </w:r>
      <w:r w:rsidR="00C864EE">
        <w:t>ew concerns in this submission.</w:t>
      </w:r>
    </w:p>
    <w:p w:rsidR="009E0B6F" w:rsidRDefault="009E0B6F" w:rsidP="009E0B6F">
      <w:pPr>
        <w:pStyle w:val="Heading5"/>
      </w:pPr>
      <w:bookmarkStart w:id="118" w:name="_Toc236802597"/>
      <w:bookmarkStart w:id="119" w:name="_Toc241374335"/>
      <w:bookmarkStart w:id="120" w:name="_Toc272414695"/>
      <w:bookmarkStart w:id="121" w:name="_Toc290846333"/>
      <w:bookmarkStart w:id="122" w:name="_Toc342483580"/>
      <w:r>
        <w:t>First round assessment of benefit-risk balance</w:t>
      </w:r>
      <w:bookmarkEnd w:id="118"/>
      <w:bookmarkEnd w:id="119"/>
      <w:bookmarkEnd w:id="120"/>
      <w:bookmarkEnd w:id="121"/>
      <w:bookmarkEnd w:id="122"/>
    </w:p>
    <w:p w:rsidR="009E0B6F" w:rsidRDefault="009E0B6F" w:rsidP="009E0B6F">
      <w:r w:rsidRPr="009E0B6F">
        <w:t>The benefit-risk balance of JE-CV, given the proposed usage, is favourable.</w:t>
      </w:r>
    </w:p>
    <w:p w:rsidR="009E0B6F" w:rsidRPr="009E0B6F" w:rsidRDefault="009E0B6F" w:rsidP="009E0B6F">
      <w:pPr>
        <w:pStyle w:val="Heading4"/>
      </w:pPr>
      <w:r>
        <w:t>First round recommendation regarding authorisation</w:t>
      </w:r>
    </w:p>
    <w:p w:rsidR="009E0B6F" w:rsidRPr="009E0B6F" w:rsidRDefault="009E0B6F" w:rsidP="009E0B6F">
      <w:r w:rsidRPr="009E0B6F">
        <w:t>Overall, a single dose of JE-CV for primary immuni</w:t>
      </w:r>
      <w:r w:rsidR="00AF0504">
        <w:t>s</w:t>
      </w:r>
      <w:r w:rsidRPr="009E0B6F">
        <w:t xml:space="preserve">ation in adults demonstrated high </w:t>
      </w:r>
      <w:r w:rsidR="00C96F4D" w:rsidRPr="00AA4D35">
        <w:t>SCR</w:t>
      </w:r>
      <w:r w:rsidRPr="009E0B6F">
        <w:t>s, rapid onset of immunity, and a good safety profile. The data obtained so far supports the recommendation of vaccination from 12 months of age in populations at risk. The single</w:t>
      </w:r>
      <w:r w:rsidR="00E463FE">
        <w:t xml:space="preserve"> </w:t>
      </w:r>
      <w:r w:rsidRPr="009E0B6F">
        <w:t>dose vaccination schedule in adults is expected to favour compliance to treatment and lessen exposure and post</w:t>
      </w:r>
      <w:r w:rsidR="00AF0504">
        <w:t xml:space="preserve"> </w:t>
      </w:r>
      <w:proofErr w:type="spellStart"/>
      <w:r w:rsidRPr="009E0B6F">
        <w:t>vaccinal</w:t>
      </w:r>
      <w:proofErr w:type="spellEnd"/>
      <w:r w:rsidRPr="009E0B6F">
        <w:t xml:space="preserve"> side</w:t>
      </w:r>
      <w:r w:rsidR="00AF0504">
        <w:t xml:space="preserve"> </w:t>
      </w:r>
      <w:r w:rsidRPr="009E0B6F">
        <w:t>effects. This will be particularly useful in Australia where it tends to be given as a pre</w:t>
      </w:r>
      <w:r w:rsidR="00E463FE">
        <w:t xml:space="preserve"> </w:t>
      </w:r>
      <w:r w:rsidRPr="009E0B6F">
        <w:t xml:space="preserve">travel vaccination for people travelling to endemic areas. The recommendation of two doses of JE-CV in children (if not previously vaccinated) or of JE-CV as a long term booster dose, for children previously immunised will increase the rate of long term </w:t>
      </w:r>
      <w:proofErr w:type="spellStart"/>
      <w:r w:rsidRPr="009E0B6F">
        <w:t>seroprotection</w:t>
      </w:r>
      <w:proofErr w:type="spellEnd"/>
      <w:r w:rsidRPr="009E0B6F">
        <w:t xml:space="preserve"> from 75% at three years (for a single </w:t>
      </w:r>
      <w:proofErr w:type="spellStart"/>
      <w:r w:rsidRPr="009E0B6F">
        <w:t>unprime</w:t>
      </w:r>
      <w:r w:rsidR="007E485B">
        <w:t>d</w:t>
      </w:r>
      <w:proofErr w:type="spellEnd"/>
      <w:r w:rsidR="007E485B">
        <w:t xml:space="preserve"> dose). T</w:t>
      </w:r>
      <w:r w:rsidRPr="009E0B6F">
        <w:t>he final data (out to 5 years) from the paediatric studies (JEC01, JEC05 a</w:t>
      </w:r>
      <w:r w:rsidR="007E485B">
        <w:t>nd JEC15) is pending.</w:t>
      </w:r>
    </w:p>
    <w:p w:rsidR="008E7846" w:rsidRDefault="008E7846" w:rsidP="00C864EE">
      <w:pPr>
        <w:pStyle w:val="Heading3"/>
      </w:pPr>
      <w:bookmarkStart w:id="123" w:name="_Toc383010144"/>
      <w:r>
        <w:t xml:space="preserve">List of </w:t>
      </w:r>
      <w:r w:rsidRPr="00C864EE">
        <w:t>questions</w:t>
      </w:r>
      <w:bookmarkEnd w:id="102"/>
      <w:bookmarkEnd w:id="103"/>
      <w:bookmarkEnd w:id="104"/>
      <w:bookmarkEnd w:id="105"/>
      <w:bookmarkEnd w:id="123"/>
    </w:p>
    <w:p w:rsidR="008E7846" w:rsidRPr="0039105A" w:rsidRDefault="0055540C" w:rsidP="00327883">
      <w:proofErr w:type="gramStart"/>
      <w:r>
        <w:t>None.</w:t>
      </w:r>
      <w:proofErr w:type="gramEnd"/>
    </w:p>
    <w:p w:rsidR="008E7846" w:rsidRPr="00E41208" w:rsidRDefault="008E7846" w:rsidP="00C864EE">
      <w:pPr>
        <w:pStyle w:val="Heading2"/>
      </w:pPr>
      <w:bookmarkStart w:id="124" w:name="_Toc247691524"/>
      <w:bookmarkStart w:id="125" w:name="_Toc314842508"/>
      <w:bookmarkStart w:id="126" w:name="_Toc383010145"/>
      <w:bookmarkStart w:id="127" w:name="_Toc196046504"/>
      <w:bookmarkStart w:id="128" w:name="_Toc163441390"/>
      <w:bookmarkEnd w:id="91"/>
      <w:r w:rsidRPr="00E41208">
        <w:t xml:space="preserve">V. </w:t>
      </w:r>
      <w:proofErr w:type="spellStart"/>
      <w:r w:rsidRPr="00C864EE">
        <w:t>Pharmacovigilance</w:t>
      </w:r>
      <w:proofErr w:type="spellEnd"/>
      <w:r w:rsidRPr="00E41208">
        <w:t xml:space="preserve"> </w:t>
      </w:r>
      <w:r>
        <w:t>f</w:t>
      </w:r>
      <w:r w:rsidRPr="00E41208">
        <w:t>indings</w:t>
      </w:r>
      <w:bookmarkEnd w:id="124"/>
      <w:bookmarkEnd w:id="125"/>
      <w:bookmarkEnd w:id="126"/>
    </w:p>
    <w:p w:rsidR="008E7846" w:rsidRDefault="00386150" w:rsidP="008E7846">
      <w:pPr>
        <w:pStyle w:val="Heading3"/>
        <w:rPr>
          <w:lang w:eastAsia="en-AU"/>
        </w:rPr>
      </w:pPr>
      <w:bookmarkStart w:id="129" w:name="_Toc247691526"/>
      <w:bookmarkStart w:id="130" w:name="_Toc314842509"/>
      <w:bookmarkStart w:id="131" w:name="_Toc383010146"/>
      <w:r>
        <w:rPr>
          <w:lang w:eastAsia="en-AU"/>
        </w:rPr>
        <w:t>Risk m</w:t>
      </w:r>
      <w:r w:rsidR="008E7846">
        <w:rPr>
          <w:lang w:eastAsia="en-AU"/>
        </w:rPr>
        <w:t xml:space="preserve">anagement </w:t>
      </w:r>
      <w:r>
        <w:rPr>
          <w:lang w:eastAsia="en-AU"/>
        </w:rPr>
        <w:t>p</w:t>
      </w:r>
      <w:r w:rsidR="008E7846">
        <w:rPr>
          <w:lang w:eastAsia="en-AU"/>
        </w:rPr>
        <w:t>lan</w:t>
      </w:r>
      <w:bookmarkEnd w:id="129"/>
      <w:bookmarkEnd w:id="130"/>
      <w:bookmarkEnd w:id="131"/>
    </w:p>
    <w:p w:rsidR="008E7846" w:rsidRDefault="008E7846" w:rsidP="008E7846">
      <w:pPr>
        <w:rPr>
          <w:lang w:eastAsia="en-AU"/>
        </w:rPr>
      </w:pPr>
      <w:r>
        <w:rPr>
          <w:lang w:eastAsia="en-AU"/>
        </w:rPr>
        <w:t xml:space="preserve">The sponsor submitted a Risk Management Plan </w:t>
      </w:r>
      <w:r w:rsidR="00790F0F">
        <w:rPr>
          <w:lang w:eastAsia="en-AU"/>
        </w:rPr>
        <w:t xml:space="preserve">(RMP) </w:t>
      </w:r>
      <w:r>
        <w:rPr>
          <w:lang w:eastAsia="en-AU"/>
        </w:rPr>
        <w:t>which was reviewed by the TGA’s Office of Product Review (OPR).</w:t>
      </w:r>
    </w:p>
    <w:p w:rsidR="008E7846" w:rsidRDefault="003A7F6C" w:rsidP="00C864EE">
      <w:pPr>
        <w:pStyle w:val="Heading4"/>
        <w:rPr>
          <w:lang w:eastAsia="en-AU"/>
        </w:rPr>
      </w:pPr>
      <w:r>
        <w:rPr>
          <w:lang w:eastAsia="en-AU"/>
        </w:rPr>
        <w:lastRenderedPageBreak/>
        <w:t xml:space="preserve">Safety </w:t>
      </w:r>
      <w:r w:rsidRPr="00C864EE">
        <w:t>s</w:t>
      </w:r>
      <w:r w:rsidR="008E7846" w:rsidRPr="00C864EE">
        <w:t>pecification</w:t>
      </w:r>
    </w:p>
    <w:p w:rsidR="008E7846" w:rsidRDefault="008E7846" w:rsidP="00C864EE">
      <w:pPr>
        <w:rPr>
          <w:lang w:eastAsia="en-AU"/>
        </w:rPr>
      </w:pPr>
      <w:r>
        <w:rPr>
          <w:lang w:eastAsia="en-AU"/>
        </w:rPr>
        <w:t xml:space="preserve">The sponsor provided a summary of Ongoing </w:t>
      </w:r>
      <w:r w:rsidR="00E02FF9">
        <w:rPr>
          <w:lang w:eastAsia="en-AU"/>
        </w:rPr>
        <w:t>S</w:t>
      </w:r>
      <w:r>
        <w:rPr>
          <w:lang w:eastAsia="en-AU"/>
        </w:rPr>
        <w:t xml:space="preserve">afety Concerns which are shown at Table </w:t>
      </w:r>
      <w:r w:rsidR="00E02FF9">
        <w:rPr>
          <w:lang w:eastAsia="en-AU"/>
        </w:rPr>
        <w:t>2</w:t>
      </w:r>
      <w:r>
        <w:rPr>
          <w:lang w:eastAsia="en-AU"/>
        </w:rPr>
        <w:t>.</w:t>
      </w:r>
    </w:p>
    <w:p w:rsidR="00E50055" w:rsidRDefault="00E50055" w:rsidP="001B3E9D">
      <w:pPr>
        <w:pStyle w:val="TableTitle"/>
      </w:pPr>
      <w:r>
        <w:t>Table 2:</w:t>
      </w:r>
      <w:r w:rsidRPr="004C5C28">
        <w:t xml:space="preserve"> </w:t>
      </w:r>
      <w:r w:rsidR="00CD0E42">
        <w:t xml:space="preserve">Ongoing Safety Concerns for </w:t>
      </w:r>
      <w:proofErr w:type="spellStart"/>
      <w:r w:rsidR="00CD0E42">
        <w:t>Imojev</w:t>
      </w:r>
      <w:proofErr w:type="spellEnd"/>
      <w:r>
        <w:t>.</w:t>
      </w:r>
    </w:p>
    <w:p w:rsidR="00E50055" w:rsidRDefault="00585AB0" w:rsidP="008E7846">
      <w:pPr>
        <w:rPr>
          <w:lang w:eastAsia="en-AU"/>
        </w:rPr>
      </w:pPr>
      <w:r>
        <w:rPr>
          <w:noProof/>
          <w:lang w:eastAsia="en-AU"/>
        </w:rPr>
        <w:drawing>
          <wp:inline distT="0" distB="0" distL="0" distR="0">
            <wp:extent cx="3764280" cy="3427730"/>
            <wp:effectExtent l="0" t="0" r="7620" b="1270"/>
            <wp:docPr id="1" name="Picture 2" descr="Table 2: Ongoing Safety Concerns for Imoj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2: Ongoing Safety Concerns for Imoje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4280" cy="3427730"/>
                    </a:xfrm>
                    <a:prstGeom prst="rect">
                      <a:avLst/>
                    </a:prstGeom>
                    <a:noFill/>
                    <a:ln>
                      <a:noFill/>
                    </a:ln>
                  </pic:spPr>
                </pic:pic>
              </a:graphicData>
            </a:graphic>
          </wp:inline>
        </w:drawing>
      </w:r>
    </w:p>
    <w:p w:rsidR="00790F0F" w:rsidRPr="00F30EE0" w:rsidRDefault="00790F0F" w:rsidP="00790F0F">
      <w:pPr>
        <w:pStyle w:val="Heading5"/>
      </w:pPr>
      <w:r>
        <w:t>OPR reviewer comment</w:t>
      </w:r>
    </w:p>
    <w:p w:rsidR="00790F0F" w:rsidRDefault="00790F0F" w:rsidP="00790F0F">
      <w:pPr>
        <w:rPr>
          <w:rFonts w:cs="Calibri"/>
        </w:rPr>
      </w:pPr>
      <w:r w:rsidRPr="00F30EE0">
        <w:rPr>
          <w:rFonts w:cs="Calibri"/>
        </w:rPr>
        <w:t>Notwithsta</w:t>
      </w:r>
      <w:r>
        <w:rPr>
          <w:rFonts w:cs="Calibri"/>
        </w:rPr>
        <w:t>nding the evaluation of the non</w:t>
      </w:r>
      <w:r w:rsidRPr="00F30EE0">
        <w:rPr>
          <w:rFonts w:cs="Calibri"/>
        </w:rPr>
        <w:t>clinical and clinical aspec</w:t>
      </w:r>
      <w:r w:rsidR="00466B6C">
        <w:rPr>
          <w:rFonts w:cs="Calibri"/>
        </w:rPr>
        <w:t>ts of the Safety Specification (SS)</w:t>
      </w:r>
      <w:r w:rsidRPr="00F30EE0">
        <w:rPr>
          <w:rFonts w:cs="Calibri"/>
        </w:rPr>
        <w:t xml:space="preserve">, </w:t>
      </w:r>
      <w:r>
        <w:rPr>
          <w:rFonts w:cs="Calibri"/>
        </w:rPr>
        <w:t>this is considered acceptable.</w:t>
      </w:r>
    </w:p>
    <w:p w:rsidR="00790F0F" w:rsidRPr="00E0798F" w:rsidRDefault="00790F0F" w:rsidP="00790F0F">
      <w:pPr>
        <w:rPr>
          <w:rFonts w:cs="Calibri"/>
        </w:rPr>
      </w:pPr>
      <w:r>
        <w:rPr>
          <w:rFonts w:cs="Calibri"/>
        </w:rPr>
        <w:t xml:space="preserve">The identified </w:t>
      </w:r>
      <w:r w:rsidR="002F1D10">
        <w:rPr>
          <w:lang w:eastAsia="en-AU"/>
        </w:rPr>
        <w:t xml:space="preserve">Ongoing Safety Concerns </w:t>
      </w:r>
      <w:r>
        <w:rPr>
          <w:rFonts w:cs="Calibri"/>
        </w:rPr>
        <w:t>are essentially the same concerns as identified by the sponsor in their RMP for the original submission in 2009. The sponsor states in the RMP that no new important identified risks have arisen.</w:t>
      </w:r>
    </w:p>
    <w:p w:rsidR="008E7846" w:rsidRDefault="008E7846" w:rsidP="008E7846">
      <w:pPr>
        <w:pStyle w:val="Heading4"/>
        <w:rPr>
          <w:lang w:eastAsia="en-AU"/>
        </w:rPr>
      </w:pPr>
      <w:proofErr w:type="spellStart"/>
      <w:r>
        <w:rPr>
          <w:lang w:eastAsia="en-AU"/>
        </w:rPr>
        <w:t>Pharmacovigilance</w:t>
      </w:r>
      <w:proofErr w:type="spellEnd"/>
      <w:r>
        <w:rPr>
          <w:lang w:eastAsia="en-AU"/>
        </w:rPr>
        <w:t xml:space="preserve"> </w:t>
      </w:r>
      <w:r w:rsidR="003A7F6C">
        <w:rPr>
          <w:lang w:eastAsia="en-AU"/>
        </w:rPr>
        <w:t>p</w:t>
      </w:r>
      <w:r>
        <w:rPr>
          <w:lang w:eastAsia="en-AU"/>
        </w:rPr>
        <w:t>lan</w:t>
      </w:r>
    </w:p>
    <w:p w:rsidR="00781E34" w:rsidRPr="00F30EE0" w:rsidRDefault="00781E34" w:rsidP="00781E34">
      <w:pPr>
        <w:pStyle w:val="Heading5"/>
      </w:pPr>
      <w:bookmarkStart w:id="132" w:name="_Toc349828996"/>
      <w:r w:rsidRPr="00F30EE0">
        <w:t xml:space="preserve">Proposed </w:t>
      </w:r>
      <w:proofErr w:type="spellStart"/>
      <w:r w:rsidRPr="00F30EE0">
        <w:t>pharmacovigilance</w:t>
      </w:r>
      <w:proofErr w:type="spellEnd"/>
      <w:r w:rsidRPr="00F30EE0">
        <w:t xml:space="preserve"> activities</w:t>
      </w:r>
      <w:bookmarkEnd w:id="132"/>
    </w:p>
    <w:p w:rsidR="00781E34" w:rsidRPr="00781E34" w:rsidRDefault="00781E34" w:rsidP="00781E34">
      <w:r w:rsidRPr="00781E34">
        <w:t xml:space="preserve">The sponsor proposes routine </w:t>
      </w:r>
      <w:proofErr w:type="spellStart"/>
      <w:r w:rsidRPr="00781E34">
        <w:t>pharmacovigilance</w:t>
      </w:r>
      <w:proofErr w:type="spellEnd"/>
      <w:r w:rsidRPr="00781E34">
        <w:t xml:space="preserve"> activities for important identified and potential risks and missing information (as stated above). Furthermore, additional activities are planned for some of the risks. These activities are summarised in Table 3.</w:t>
      </w:r>
    </w:p>
    <w:p w:rsidR="00781E34" w:rsidRDefault="00781E34" w:rsidP="001B3E9D">
      <w:pPr>
        <w:pStyle w:val="TableTitle"/>
      </w:pPr>
      <w:proofErr w:type="gramStart"/>
      <w:r>
        <w:t xml:space="preserve">Table </w:t>
      </w:r>
      <w:r w:rsidR="0044426C">
        <w:t>3</w:t>
      </w:r>
      <w:r>
        <w:t>:</w:t>
      </w:r>
      <w:r w:rsidRPr="004C5C28">
        <w:t xml:space="preserve"> </w:t>
      </w:r>
      <w:r w:rsidR="007E55FF" w:rsidRPr="007E55FF">
        <w:t>Activities additional to routine planned by the sponsor regarding certain safety concerns</w:t>
      </w:r>
      <w:r>
        <w:t>.</w:t>
      </w:r>
      <w:proofErr w:type="gramEnd"/>
    </w:p>
    <w:p w:rsidR="00781E34" w:rsidRDefault="00585AB0" w:rsidP="008E7846">
      <w:pPr>
        <w:rPr>
          <w:lang w:eastAsia="en-AU"/>
        </w:rPr>
      </w:pPr>
      <w:r>
        <w:rPr>
          <w:noProof/>
          <w:lang w:eastAsia="en-AU"/>
        </w:rPr>
        <w:drawing>
          <wp:inline distT="0" distB="0" distL="0" distR="0">
            <wp:extent cx="4566285" cy="1436370"/>
            <wp:effectExtent l="0" t="0" r="5715" b="0"/>
            <wp:docPr id="3" name="Picture 3" descr="Table 3: Activities additional to routine planned by the sponsor regarding certain safety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3: Activities additional to routine planned by the sponsor regarding certain safety concer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6285" cy="1436370"/>
                    </a:xfrm>
                    <a:prstGeom prst="rect">
                      <a:avLst/>
                    </a:prstGeom>
                    <a:noFill/>
                    <a:ln>
                      <a:noFill/>
                    </a:ln>
                  </pic:spPr>
                </pic:pic>
              </a:graphicData>
            </a:graphic>
          </wp:inline>
        </w:drawing>
      </w:r>
    </w:p>
    <w:p w:rsidR="0044426C" w:rsidRPr="00F30EE0" w:rsidRDefault="0044426C" w:rsidP="0044426C">
      <w:pPr>
        <w:pStyle w:val="Heading5"/>
      </w:pPr>
      <w:bookmarkStart w:id="133" w:name="_Toc349828997"/>
      <w:r w:rsidRPr="00F30EE0">
        <w:lastRenderedPageBreak/>
        <w:t xml:space="preserve">OPR reviewer’s comments in regard to the </w:t>
      </w:r>
      <w:proofErr w:type="spellStart"/>
      <w:r w:rsidRPr="00F30EE0">
        <w:t>pharmacovigilance</w:t>
      </w:r>
      <w:proofErr w:type="spellEnd"/>
      <w:r w:rsidRPr="00F30EE0">
        <w:t xml:space="preserve"> plan (PP) and the appropriateness of milestones</w:t>
      </w:r>
      <w:bookmarkEnd w:id="133"/>
    </w:p>
    <w:p w:rsidR="0044426C" w:rsidRPr="0044426C" w:rsidRDefault="0044426C" w:rsidP="0044426C">
      <w:r w:rsidRPr="0044426C">
        <w:t xml:space="preserve">The sponsor only plans routine and one additional </w:t>
      </w:r>
      <w:proofErr w:type="spellStart"/>
      <w:r w:rsidRPr="0044426C">
        <w:t>pharmacovigilance</w:t>
      </w:r>
      <w:proofErr w:type="spellEnd"/>
      <w:r w:rsidRPr="0044426C">
        <w:t xml:space="preserve"> activity item. This is considered acceptable.</w:t>
      </w:r>
    </w:p>
    <w:p w:rsidR="0044426C" w:rsidRPr="0044426C" w:rsidRDefault="0044426C" w:rsidP="0044426C">
      <w:r w:rsidRPr="0044426C">
        <w:t>The sponsor should provide a date for the planned submission of final data for the following study:</w:t>
      </w:r>
    </w:p>
    <w:p w:rsidR="0044426C" w:rsidRPr="0044426C" w:rsidRDefault="00CF1605" w:rsidP="0044426C">
      <w:pPr>
        <w:pStyle w:val="ListBullet"/>
      </w:pPr>
      <w:r>
        <w:t>Phase IV, open label, multi</w:t>
      </w:r>
      <w:r w:rsidR="0044426C" w:rsidRPr="0044426C">
        <w:t>ce</w:t>
      </w:r>
      <w:r>
        <w:t>nt</w:t>
      </w:r>
      <w:r w:rsidR="0044426C" w:rsidRPr="0044426C">
        <w:t>r</w:t>
      </w:r>
      <w:r>
        <w:t>e</w:t>
      </w:r>
      <w:r w:rsidR="0044426C" w:rsidRPr="0044426C">
        <w:t xml:space="preserve"> trial of the Live Attenuated Japanes</w:t>
      </w:r>
      <w:r w:rsidR="005D0D31">
        <w:t xml:space="preserve">e Encephalitis Vaccine </w:t>
      </w:r>
      <w:proofErr w:type="spellStart"/>
      <w:r w:rsidR="005D0D31">
        <w:t>Imojev</w:t>
      </w:r>
      <w:proofErr w:type="spellEnd"/>
      <w:r w:rsidR="0044426C" w:rsidRPr="0044426C">
        <w:t xml:space="preserve"> in 10,000 children.</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44426C" w:rsidRPr="00F30EE0" w:rsidRDefault="0044426C" w:rsidP="0044426C">
      <w:pPr>
        <w:pStyle w:val="Heading5"/>
      </w:pPr>
      <w:bookmarkStart w:id="134" w:name="_Toc349828999"/>
      <w:bookmarkStart w:id="135" w:name="_Toc247691527"/>
      <w:r w:rsidRPr="00F30EE0">
        <w:t>Sponsor’s conclusion in regard to the need for risk minimisation activities</w:t>
      </w:r>
      <w:bookmarkEnd w:id="134"/>
    </w:p>
    <w:p w:rsidR="0044426C" w:rsidRPr="0044426C" w:rsidRDefault="0044426C" w:rsidP="0044426C">
      <w:r w:rsidRPr="0044426C">
        <w:t>The sponsor states that no additional risk minimisation activities are necessary.</w:t>
      </w:r>
    </w:p>
    <w:p w:rsidR="0044426C" w:rsidRPr="00F30EE0" w:rsidRDefault="0044426C" w:rsidP="0044426C">
      <w:pPr>
        <w:pStyle w:val="Heading5"/>
      </w:pPr>
      <w:r>
        <w:t>OPR reviewer comment</w:t>
      </w:r>
    </w:p>
    <w:p w:rsidR="0044426C" w:rsidRPr="0044426C" w:rsidRDefault="0044426C" w:rsidP="0044426C">
      <w:r w:rsidRPr="0044426C">
        <w:t>The sponsor’s conclusion is acceptable.</w:t>
      </w:r>
    </w:p>
    <w:p w:rsidR="0044426C" w:rsidRPr="00F30EE0" w:rsidRDefault="0044426C" w:rsidP="0044426C">
      <w:pPr>
        <w:pStyle w:val="Heading5"/>
      </w:pPr>
      <w:bookmarkStart w:id="136" w:name="_Toc268857338"/>
      <w:bookmarkStart w:id="137" w:name="_Toc349829000"/>
      <w:r w:rsidRPr="00F30EE0">
        <w:t>Potential for medication errors</w:t>
      </w:r>
      <w:bookmarkEnd w:id="136"/>
      <w:bookmarkEnd w:id="137"/>
    </w:p>
    <w:p w:rsidR="0044426C" w:rsidRPr="0044426C" w:rsidRDefault="0044426C" w:rsidP="0044426C">
      <w:r w:rsidRPr="0044426C">
        <w:t>For the purposes of this RMP evaluation</w:t>
      </w:r>
      <w:r w:rsidR="00031735">
        <w:t>,</w:t>
      </w:r>
      <w:r w:rsidRPr="0044426C">
        <w:t xml:space="preserve"> different types of medication</w:t>
      </w:r>
      <w:r w:rsidR="00FF40D5">
        <w:t xml:space="preserve"> error, as suggested by </w:t>
      </w:r>
      <w:proofErr w:type="spellStart"/>
      <w:r w:rsidR="00FF40D5">
        <w:t>Ferner</w:t>
      </w:r>
      <w:proofErr w:type="spellEnd"/>
      <w:r w:rsidR="00FF40D5">
        <w:t xml:space="preserve"> and</w:t>
      </w:r>
      <w:r w:rsidRPr="0044426C">
        <w:t xml:space="preserve"> </w:t>
      </w:r>
      <w:r w:rsidR="0024142E">
        <w:t>Aronson</w:t>
      </w:r>
      <w:r w:rsidRPr="0044426C">
        <w:t>,</w:t>
      </w:r>
      <w:r w:rsidR="0024142E">
        <w:rPr>
          <w:rStyle w:val="FootnoteReference"/>
        </w:rPr>
        <w:footnoteReference w:id="7"/>
      </w:r>
      <w:r w:rsidRPr="0044426C">
        <w:t xml:space="preserve"> have been considered. Furthermore different types of vaccination failure, as suggested by CIOMS/WHO Working Group on Vaccine </w:t>
      </w:r>
      <w:proofErr w:type="spellStart"/>
      <w:r w:rsidRPr="0044426C">
        <w:t>Pharmacovigilance</w:t>
      </w:r>
      <w:proofErr w:type="spellEnd"/>
      <w:r w:rsidR="0024142E">
        <w:rPr>
          <w:rStyle w:val="FootnoteReference"/>
        </w:rPr>
        <w:footnoteReference w:id="8"/>
      </w:r>
      <w:r w:rsidRPr="0044426C">
        <w:t xml:space="preserve"> have been considered.</w:t>
      </w:r>
    </w:p>
    <w:p w:rsidR="0044426C" w:rsidRPr="00F30EE0" w:rsidRDefault="0044426C" w:rsidP="0044426C">
      <w:pPr>
        <w:pStyle w:val="Heading5"/>
      </w:pPr>
      <w:r>
        <w:t>OPR reviewer comment</w:t>
      </w:r>
    </w:p>
    <w:p w:rsidR="0044426C" w:rsidRPr="0044426C" w:rsidRDefault="0044426C" w:rsidP="0044426C">
      <w:r w:rsidRPr="0044426C">
        <w:t>The sponsor’s actions regarding name confusion, labelling and presentation are considered acceptable. Medication errors leading to vaccination failure may arise from improper administration of the drug. The instructions in regard to proper storage and administration given in the proposed PI are considered acceptable.</w:t>
      </w:r>
    </w:p>
    <w:p w:rsidR="0044426C" w:rsidRPr="002C6D4C" w:rsidRDefault="0044426C" w:rsidP="0044426C">
      <w:pPr>
        <w:pStyle w:val="Heading5"/>
      </w:pPr>
      <w:r w:rsidRPr="002C6D4C">
        <w:t>Potential for overdose</w:t>
      </w:r>
    </w:p>
    <w:p w:rsidR="0044426C" w:rsidRPr="0044426C" w:rsidRDefault="0044426C" w:rsidP="0044426C">
      <w:r w:rsidRPr="00B92F39">
        <w:t>The sponsor states that ‘[n]o case of overdose has been reported.’ This is considered</w:t>
      </w:r>
      <w:r w:rsidRPr="0044426C">
        <w:t xml:space="preserve"> acceptable.</w:t>
      </w:r>
    </w:p>
    <w:p w:rsidR="008E7846" w:rsidRDefault="008E7846" w:rsidP="008E7846">
      <w:pPr>
        <w:pStyle w:val="Heading4"/>
        <w:rPr>
          <w:lang w:eastAsia="en-AU"/>
        </w:rPr>
      </w:pPr>
      <w:r>
        <w:rPr>
          <w:lang w:eastAsia="en-AU"/>
        </w:rPr>
        <w:t xml:space="preserve">Summary of </w:t>
      </w:r>
      <w:r w:rsidR="003A7F6C">
        <w:rPr>
          <w:lang w:eastAsia="en-AU"/>
        </w:rPr>
        <w:t>r</w:t>
      </w:r>
      <w:r>
        <w:rPr>
          <w:lang w:eastAsia="en-AU"/>
        </w:rPr>
        <w:t>ecommendations</w:t>
      </w:r>
    </w:p>
    <w:p w:rsidR="00224A68" w:rsidRPr="00224A68" w:rsidRDefault="00224A68" w:rsidP="00224A68">
      <w:bookmarkStart w:id="138" w:name="_Toc314842510"/>
      <w:r w:rsidRPr="00224A68">
        <w:t xml:space="preserve">The OPR provides these recommendations in the context that the submitted RMP Risk Management Plan (in EU-RMP format) Version 6.0 (dated 18/04/2012, DLP 31/01/2012) is supportive to the application; the implementation of a RMP satisfactory to the TGA is imposed as a condition of registration; the submitted EU-RMP is applicable without modification in Australia unless so qualified; and the draft </w:t>
      </w:r>
      <w:r w:rsidR="003B673C">
        <w:t>PI</w:t>
      </w:r>
      <w:r w:rsidRPr="00224A68">
        <w:t xml:space="preserve"> and consumer medicine information documents should </w:t>
      </w:r>
      <w:r w:rsidR="003D71EA">
        <w:rPr>
          <w:i/>
        </w:rPr>
        <w:t>not</w:t>
      </w:r>
      <w:r w:rsidRPr="00224A68">
        <w:t xml:space="preserve"> be revised until the Delegate</w:t>
      </w:r>
      <w:r w:rsidR="003B673C">
        <w:t>’</w:t>
      </w:r>
      <w:r w:rsidRPr="00224A68">
        <w:t>s Overview has been received:</w:t>
      </w:r>
    </w:p>
    <w:p w:rsidR="00224A68" w:rsidRPr="001B3E9D" w:rsidRDefault="00224A68" w:rsidP="001B3E9D">
      <w:pPr>
        <w:pStyle w:val="Heading5"/>
      </w:pPr>
      <w:r w:rsidRPr="001B3E9D">
        <w:t>Further safety considerations</w:t>
      </w:r>
    </w:p>
    <w:p w:rsidR="00224A68" w:rsidRPr="00224A68" w:rsidRDefault="00F1492A" w:rsidP="001B3E9D">
      <w:r>
        <w:t xml:space="preserve">1. </w:t>
      </w:r>
      <w:r w:rsidR="00224A68" w:rsidRPr="00224A68">
        <w:t xml:space="preserve">Safety considerations may be raised by the clinical evaluator through the consolidated </w:t>
      </w:r>
      <w:r w:rsidR="00B2199D">
        <w:t>S</w:t>
      </w:r>
      <w:r w:rsidR="00224A68" w:rsidRPr="00224A68">
        <w:t xml:space="preserve">ection 31 request and/or the Clinical Evaluation Report.  It is important to ensure that the information provided in response to these includes a consideration of the relevance for the </w:t>
      </w:r>
      <w:r w:rsidR="00674E54">
        <w:t>RMP</w:t>
      </w:r>
      <w:r w:rsidR="00224A68" w:rsidRPr="00224A68">
        <w:t xml:space="preserve">, and any specific information needed to address this issue in the RMP.  For any </w:t>
      </w:r>
      <w:r w:rsidR="00224A68" w:rsidRPr="00224A68">
        <w:lastRenderedPageBreak/>
        <w:t>safety considerations so raised, please provide information that is relevant and necessary to address the issue in the RMP.</w:t>
      </w:r>
    </w:p>
    <w:p w:rsidR="00224A68" w:rsidRPr="00224A68" w:rsidRDefault="00224A68" w:rsidP="00224A68">
      <w:r w:rsidRPr="00224A68">
        <w:t>Unless the sponsor can provide compelling justification against any of the following recommendations, the following should be considered:</w:t>
      </w:r>
    </w:p>
    <w:p w:rsidR="00224A68" w:rsidRPr="001B3E9D" w:rsidRDefault="00224A68" w:rsidP="001B3E9D">
      <w:pPr>
        <w:pStyle w:val="Heading5"/>
      </w:pPr>
      <w:r w:rsidRPr="001B3E9D">
        <w:t xml:space="preserve">Recommendations in regard to </w:t>
      </w:r>
      <w:proofErr w:type="spellStart"/>
      <w:r w:rsidRPr="001B3E9D">
        <w:t>pharmacovigilance</w:t>
      </w:r>
      <w:proofErr w:type="spellEnd"/>
      <w:r w:rsidR="00F1492A" w:rsidRPr="001B3E9D">
        <w:t xml:space="preserve"> activities</w:t>
      </w:r>
    </w:p>
    <w:p w:rsidR="00224A68" w:rsidRPr="00224A68" w:rsidRDefault="00F1492A" w:rsidP="001B3E9D">
      <w:r>
        <w:t xml:space="preserve">2. </w:t>
      </w:r>
      <w:r w:rsidR="00224A68" w:rsidRPr="00224A68">
        <w:t xml:space="preserve">The sponsor should provide a date for the planned submission of final data for the following study: </w:t>
      </w:r>
      <w:r>
        <w:t>Phase IV, open label, multicentre</w:t>
      </w:r>
      <w:r w:rsidR="00224A68" w:rsidRPr="00224A68">
        <w:t xml:space="preserve"> trial of the Live Attenuated Japanese</w:t>
      </w:r>
      <w:r w:rsidR="00674E54">
        <w:t xml:space="preserve"> Encephalitis Vaccine </w:t>
      </w:r>
      <w:proofErr w:type="spellStart"/>
      <w:r w:rsidR="00674E54">
        <w:t>Imojev</w:t>
      </w:r>
      <w:proofErr w:type="spellEnd"/>
      <w:r w:rsidR="00224A68" w:rsidRPr="00224A68">
        <w:t xml:space="preserve"> in 10,000 children.</w:t>
      </w:r>
    </w:p>
    <w:p w:rsidR="00224A68" w:rsidRPr="001B3E9D" w:rsidRDefault="00224A68" w:rsidP="001B3E9D">
      <w:pPr>
        <w:pStyle w:val="Heading5"/>
      </w:pPr>
      <w:r w:rsidRPr="001B3E9D">
        <w:t>Recommendations in regard t</w:t>
      </w:r>
      <w:r w:rsidR="00F1492A" w:rsidRPr="001B3E9D">
        <w:t>o risk minimisation activities</w:t>
      </w:r>
    </w:p>
    <w:p w:rsidR="00224A68" w:rsidRPr="00224A68" w:rsidRDefault="00F1492A" w:rsidP="001B3E9D">
      <w:r>
        <w:t xml:space="preserve">3. </w:t>
      </w:r>
      <w:r w:rsidR="00224A68" w:rsidRPr="00224A68">
        <w:t xml:space="preserve">In regard to the proposed routine risk minimisation activities, it is recommended to the Delegate that the draft </w:t>
      </w:r>
      <w:r w:rsidR="007501AF">
        <w:t>PI</w:t>
      </w:r>
      <w:r w:rsidR="00224A68" w:rsidRPr="00224A68">
        <w:t xml:space="preserve"> document be revised as follows:</w:t>
      </w:r>
    </w:p>
    <w:p w:rsidR="00224A68" w:rsidRPr="00224A68" w:rsidRDefault="00F1492A" w:rsidP="007815D2">
      <w:pPr>
        <w:ind w:left="720"/>
      </w:pPr>
      <w:r>
        <w:t xml:space="preserve">a. </w:t>
      </w:r>
      <w:r w:rsidR="00224A68" w:rsidRPr="00224A68">
        <w:t>In the ‘Precautions’ section, the PI should include a statement that the current version of the Australian Immunisation Handbook should be consulted in regard to information related to vaccines, in particular the section on vaccination procedures in general and any information in regard to Japanese Encephalitis vaccination.</w:t>
      </w:r>
    </w:p>
    <w:p w:rsidR="00224A68" w:rsidRPr="00224A68" w:rsidRDefault="00F1492A" w:rsidP="007815D2">
      <w:pPr>
        <w:ind w:left="720"/>
      </w:pPr>
      <w:r>
        <w:t xml:space="preserve">b. </w:t>
      </w:r>
      <w:r w:rsidR="00224A68" w:rsidRPr="00224A68">
        <w:t>In the ‘Dosage and administration’ section, the sponsor sho</w:t>
      </w:r>
      <w:r w:rsidR="00CF1605">
        <w:t>uld consider adding that vaccin</w:t>
      </w:r>
      <w:r w:rsidR="00224A68" w:rsidRPr="00224A68">
        <w:t xml:space="preserve">es should be observed for 30 minutes after vaccination in particular when considering that this precaution was undertaken in clinical trials conducted by the sponsor. Furthermore, a warning about a possible delayed hypersensitivity reaction should be added with the advice to remain in an area with medical care for at least 10 days post vaccination. </w:t>
      </w:r>
    </w:p>
    <w:p w:rsidR="00224A68" w:rsidRPr="00224A68" w:rsidRDefault="00F1492A" w:rsidP="001B3E9D">
      <w:r>
        <w:t xml:space="preserve">4. </w:t>
      </w:r>
      <w:r w:rsidR="00224A68" w:rsidRPr="00224A68">
        <w:t xml:space="preserve">In regard to the proposed routine risk minimisation activities, it is recommended to the Delegate that the draft </w:t>
      </w:r>
      <w:r w:rsidR="007501AF">
        <w:t>C</w:t>
      </w:r>
      <w:r w:rsidR="00224A68" w:rsidRPr="00224A68">
        <w:t xml:space="preserve">onsumer </w:t>
      </w:r>
      <w:r w:rsidR="007501AF">
        <w:t>M</w:t>
      </w:r>
      <w:r w:rsidR="00224A68" w:rsidRPr="00224A68">
        <w:t xml:space="preserve">edicine </w:t>
      </w:r>
      <w:r w:rsidR="007501AF">
        <w:t>I</w:t>
      </w:r>
      <w:r w:rsidR="00224A68" w:rsidRPr="00224A68">
        <w:t xml:space="preserve">nformation </w:t>
      </w:r>
      <w:r w:rsidR="007501AF">
        <w:t xml:space="preserve">(CMI) </w:t>
      </w:r>
      <w:r w:rsidR="00224A68" w:rsidRPr="00224A68">
        <w:t>document be revised as follows:</w:t>
      </w:r>
    </w:p>
    <w:p w:rsidR="00224A68" w:rsidRDefault="00F1492A" w:rsidP="007815D2">
      <w:pPr>
        <w:pStyle w:val="ListBullet"/>
        <w:numPr>
          <w:ilvl w:val="0"/>
          <w:numId w:val="0"/>
        </w:numPr>
        <w:ind w:left="709"/>
      </w:pPr>
      <w:r>
        <w:t xml:space="preserve">In the ‘How </w:t>
      </w:r>
      <w:proofErr w:type="spellStart"/>
      <w:r>
        <w:t>Imojev</w:t>
      </w:r>
      <w:proofErr w:type="spellEnd"/>
      <w:r w:rsidR="00224A68" w:rsidRPr="00224A68">
        <w:t xml:space="preserve"> is given’ section, the sponsor shou</w:t>
      </w:r>
      <w:r>
        <w:t>ld consider adding that vaccine</w:t>
      </w:r>
      <w:r w:rsidR="007815D2">
        <w:t xml:space="preserve">s </w:t>
      </w:r>
      <w:r w:rsidR="00224A68" w:rsidRPr="00224A68">
        <w:t>should be observed for 30 minutes after vaccination. Furthermore, a warning about a possible delayed hypersensitivity reaction should be added with the advice to remain in an area with medical care for at least 10 days post vaccination.</w:t>
      </w:r>
    </w:p>
    <w:p w:rsidR="00D11AC5" w:rsidRDefault="00D11AC5" w:rsidP="00D11AC5">
      <w:pPr>
        <w:pStyle w:val="Heading4"/>
      </w:pPr>
      <w:r w:rsidRPr="00ED63DE">
        <w:t>Second round evaluation of the sponsor’s response to the RMP evaluation</w:t>
      </w:r>
    </w:p>
    <w:p w:rsidR="00D11AC5" w:rsidRDefault="00D11AC5" w:rsidP="00D11AC5">
      <w:pPr>
        <w:pStyle w:val="ListBullet"/>
        <w:numPr>
          <w:ilvl w:val="0"/>
          <w:numId w:val="0"/>
        </w:numPr>
      </w:pPr>
      <w:r w:rsidRPr="005D63DD">
        <w:t>Reconciliation of issues outlined in the RMP report</w:t>
      </w:r>
      <w:r>
        <w:t xml:space="preserve"> is </w:t>
      </w:r>
      <w:r w:rsidR="002618DF">
        <w:t>as follows.</w:t>
      </w:r>
    </w:p>
    <w:p w:rsidR="002618DF" w:rsidRDefault="002618DF" w:rsidP="002618DF">
      <w:pPr>
        <w:pStyle w:val="Heading5"/>
      </w:pPr>
      <w:r w:rsidRPr="00DA1081">
        <w:t>Recommendation in RMP evaluation report</w:t>
      </w:r>
      <w:r>
        <w:t>:</w:t>
      </w:r>
    </w:p>
    <w:p w:rsidR="002618DF" w:rsidRPr="003338BF" w:rsidRDefault="002618DF" w:rsidP="002618DF">
      <w:pPr>
        <w:pStyle w:val="Numberbullet0"/>
      </w:pPr>
      <w:r w:rsidRPr="003338BF">
        <w:t>Safety considerations may be raised by the nonclinical and clinical evaluators through the consolidated section 31 request and/or the nonclinical and clinical evaluation r</w:t>
      </w:r>
      <w:r>
        <w:t xml:space="preserve">eports respectively. </w:t>
      </w:r>
      <w:r w:rsidRPr="003338BF">
        <w:t>It is important to ensure that the information provided in response to these include</w:t>
      </w:r>
      <w:r>
        <w:t>s</w:t>
      </w:r>
      <w:r w:rsidRPr="003338BF">
        <w:t xml:space="preserve"> a consideration of the relevance for the RMP, and any specific information needed to </w:t>
      </w:r>
      <w:r>
        <w:t xml:space="preserve">address this issue in the RMP. </w:t>
      </w:r>
      <w:r w:rsidRPr="003338BF">
        <w:t>For any safety considerations so raised, please provide information that is relevant and necessary to address the issue in the RMP.</w:t>
      </w:r>
    </w:p>
    <w:p w:rsidR="002618DF" w:rsidRPr="003338BF" w:rsidRDefault="002618DF" w:rsidP="002618DF">
      <w:pPr>
        <w:pStyle w:val="Numberbullet0"/>
      </w:pPr>
      <w:r w:rsidRPr="003338BF">
        <w:t>The sponsor should provide a date for the planned submission of final data for the following study: Ph</w:t>
      </w:r>
      <w:r>
        <w:t>ase IV, open label, multi</w:t>
      </w:r>
      <w:r w:rsidRPr="003338BF">
        <w:t>centre trial of the Live Attenuated Japanese</w:t>
      </w:r>
      <w:r>
        <w:t xml:space="preserve"> Encephalitis Vaccine </w:t>
      </w:r>
      <w:proofErr w:type="spellStart"/>
      <w:r>
        <w:t>Imojev</w:t>
      </w:r>
      <w:proofErr w:type="spellEnd"/>
      <w:r w:rsidRPr="003338BF">
        <w:t xml:space="preserve"> in 10,000 children.</w:t>
      </w:r>
    </w:p>
    <w:p w:rsidR="002618DF" w:rsidRDefault="002618DF" w:rsidP="002618DF">
      <w:pPr>
        <w:pStyle w:val="Heading5"/>
      </w:pPr>
      <w:r w:rsidRPr="003A66AE">
        <w:t>Sponsor’s response (or summary of the response)</w:t>
      </w:r>
      <w:r>
        <w:t>:</w:t>
      </w:r>
    </w:p>
    <w:p w:rsidR="002618DF" w:rsidRPr="003338BF" w:rsidRDefault="002618DF" w:rsidP="002618DF">
      <w:r w:rsidRPr="003338BF">
        <w:t>The final report is planned to be available in May 2016.</w:t>
      </w:r>
    </w:p>
    <w:p w:rsidR="002618DF" w:rsidRDefault="002618DF" w:rsidP="002618DF">
      <w:pPr>
        <w:pStyle w:val="Heading5"/>
        <w:rPr>
          <w:lang w:eastAsia="en-AU"/>
        </w:rPr>
      </w:pPr>
      <w:r w:rsidRPr="005034D2">
        <w:rPr>
          <w:lang w:eastAsia="en-AU"/>
        </w:rPr>
        <w:lastRenderedPageBreak/>
        <w:t>OPR evaluator’s comment</w:t>
      </w:r>
      <w:r>
        <w:rPr>
          <w:lang w:eastAsia="en-AU"/>
        </w:rPr>
        <w:t>:</w:t>
      </w:r>
    </w:p>
    <w:p w:rsidR="002618DF" w:rsidRPr="003338BF" w:rsidRDefault="002618DF" w:rsidP="002618DF">
      <w:r w:rsidRPr="003338BF">
        <w:t>This is considered acceptable.</w:t>
      </w:r>
    </w:p>
    <w:p w:rsidR="002618DF" w:rsidRDefault="002618DF" w:rsidP="002618DF">
      <w:pPr>
        <w:pStyle w:val="Heading5"/>
      </w:pPr>
      <w:r w:rsidRPr="00DA1081">
        <w:t>Recommendation in RMP evaluation report</w:t>
      </w:r>
      <w:r>
        <w:t>:</w:t>
      </w:r>
    </w:p>
    <w:p w:rsidR="002618DF" w:rsidRPr="009556F2" w:rsidRDefault="002618DF" w:rsidP="002618DF">
      <w:pPr>
        <w:pStyle w:val="Numberbullet0"/>
      </w:pPr>
      <w:r w:rsidRPr="009556F2">
        <w:t>In regard to the proposed routine risk minimisation activities, it is recommended to the Delegate that the draft product information document be revised as follows:</w:t>
      </w:r>
    </w:p>
    <w:p w:rsidR="002618DF" w:rsidRPr="009556F2" w:rsidRDefault="002618DF" w:rsidP="002618DF">
      <w:pPr>
        <w:pStyle w:val="ListBullet2"/>
      </w:pPr>
      <w:r w:rsidRPr="009556F2">
        <w:t>In the ‘Precautions’ section, the PI should include a statement that the current version of the Australian Immunisation Handbook should be consulted in regard to information related to vaccines, in particular the section on vaccination procedures in general and any information in regard to Japanese Encephalitis vaccination</w:t>
      </w:r>
    </w:p>
    <w:p w:rsidR="002618DF" w:rsidRDefault="002618DF" w:rsidP="002618DF">
      <w:pPr>
        <w:pStyle w:val="Heading5"/>
      </w:pPr>
      <w:r w:rsidRPr="003A66AE">
        <w:t>Sponsor’s response (or summary of the response)</w:t>
      </w:r>
      <w:r>
        <w:t>:</w:t>
      </w:r>
    </w:p>
    <w:p w:rsidR="002618DF" w:rsidRPr="003338BF" w:rsidRDefault="002618DF" w:rsidP="002618DF">
      <w:r>
        <w:t>No response.</w:t>
      </w:r>
    </w:p>
    <w:p w:rsidR="002618DF" w:rsidRDefault="002618DF" w:rsidP="002618DF">
      <w:pPr>
        <w:pStyle w:val="Heading5"/>
        <w:rPr>
          <w:lang w:eastAsia="en-AU"/>
        </w:rPr>
      </w:pPr>
      <w:r w:rsidRPr="005034D2">
        <w:rPr>
          <w:lang w:eastAsia="en-AU"/>
        </w:rPr>
        <w:t>OPR evaluator’s comment</w:t>
      </w:r>
      <w:r>
        <w:rPr>
          <w:lang w:eastAsia="en-AU"/>
        </w:rPr>
        <w:t>:</w:t>
      </w:r>
    </w:p>
    <w:p w:rsidR="002618DF" w:rsidRPr="003A631E" w:rsidRDefault="002618DF" w:rsidP="002618DF">
      <w:r w:rsidRPr="003A631E">
        <w:t>Recommendation remains unchanged:</w:t>
      </w:r>
      <w:r>
        <w:t xml:space="preserve"> </w:t>
      </w:r>
      <w:r w:rsidRPr="003A631E">
        <w:t>In the ‘Precautions’ section, the PI should include a statement that the current version of the Australian Immunisation Handbook should be consulted in regard to information related to vaccines, in particular the section on vaccination procedures in general and any information in regard to Japanese Encephalitis vaccination</w:t>
      </w:r>
      <w:r>
        <w:t>.</w:t>
      </w:r>
    </w:p>
    <w:p w:rsidR="002618DF" w:rsidRDefault="002618DF" w:rsidP="002618DF">
      <w:pPr>
        <w:pStyle w:val="Heading5"/>
      </w:pPr>
      <w:r w:rsidRPr="00DA1081">
        <w:t>Recommendation in RMP evaluation report</w:t>
      </w:r>
      <w:r>
        <w:t>:</w:t>
      </w:r>
    </w:p>
    <w:p w:rsidR="002618DF" w:rsidRPr="000D5218" w:rsidRDefault="002618DF" w:rsidP="002618DF">
      <w:r w:rsidRPr="000D5218">
        <w:t xml:space="preserve">In the ‘Dosage and administration’ section, the sponsor should consider adding that </w:t>
      </w:r>
      <w:proofErr w:type="spellStart"/>
      <w:r w:rsidRPr="000D5218">
        <w:t>vaccinees</w:t>
      </w:r>
      <w:proofErr w:type="spellEnd"/>
      <w:r w:rsidRPr="000D5218">
        <w:t xml:space="preserve"> should be observed for 30 minutes after vaccination in particular when considering that this precaution was undertaken in clinical trials conducted by the sponsor. Furthermore, a warning about a possible delayed hypersensitivity reaction should be added with the advice to remain in an area with medical care for at least 10 days post vaccination.</w:t>
      </w:r>
    </w:p>
    <w:p w:rsidR="002618DF" w:rsidRDefault="002618DF" w:rsidP="002618DF">
      <w:pPr>
        <w:pStyle w:val="Heading5"/>
      </w:pPr>
      <w:r w:rsidRPr="003A66AE">
        <w:t>Sponsor’s response (or summary of the response)</w:t>
      </w:r>
      <w:r>
        <w:t>:</w:t>
      </w:r>
    </w:p>
    <w:p w:rsidR="002618DF" w:rsidRPr="000D5218" w:rsidRDefault="002618DF" w:rsidP="002618DF">
      <w:pPr>
        <w:pStyle w:val="Heading6"/>
      </w:pPr>
      <w:r>
        <w:t xml:space="preserve">30 minute observation post </w:t>
      </w:r>
      <w:r w:rsidRPr="000D5218">
        <w:t>vaccination</w:t>
      </w:r>
    </w:p>
    <w:p w:rsidR="002618DF" w:rsidRPr="000D5218" w:rsidRDefault="002618DF" w:rsidP="002618DF">
      <w:r w:rsidRPr="000D5218">
        <w:t>In response to the OPR comment on the 30 minutes observation requirement, the applicant wishes to comment that the current PI already has in</w:t>
      </w:r>
      <w:r>
        <w:t>cluded the following statement:</w:t>
      </w:r>
    </w:p>
    <w:p w:rsidR="002618DF" w:rsidRPr="00681128" w:rsidRDefault="002618DF" w:rsidP="002618DF">
      <w:pPr>
        <w:ind w:left="720"/>
        <w:rPr>
          <w:i/>
        </w:rPr>
      </w:pPr>
      <w:r w:rsidRPr="00681128">
        <w:rPr>
          <w:i/>
        </w:rPr>
        <w:t>As with all injectable vaccines, appropriate medical treatment and supervision should always be readily available in case of a rare anaphylactic event following administration of the vaccine.</w:t>
      </w:r>
    </w:p>
    <w:p w:rsidR="002618DF" w:rsidRPr="000D5218" w:rsidRDefault="002618DF" w:rsidP="002618DF">
      <w:r w:rsidRPr="000D5218">
        <w:t>This statement is aligned with the recommendation from the current Australian Immunisation Handbook, which recommends the vaccinated person to remain under observation for a short interval to ensure that they do not experience an immediate adverse events, and hence the applicant considers that it is not necessary to add another similar statement in the ‘Dosage and adm</w:t>
      </w:r>
      <w:r>
        <w:t>inistration’ section of the PI.</w:t>
      </w:r>
    </w:p>
    <w:p w:rsidR="002618DF" w:rsidRPr="000D5218" w:rsidRDefault="002618DF" w:rsidP="002618DF">
      <w:r w:rsidRPr="000D5218">
        <w:t>[...]</w:t>
      </w:r>
    </w:p>
    <w:p w:rsidR="002618DF" w:rsidRPr="000D5218" w:rsidRDefault="002618DF" w:rsidP="002618DF">
      <w:pPr>
        <w:pStyle w:val="Heading6"/>
      </w:pPr>
      <w:r w:rsidRPr="000D5218">
        <w:t>10 day monitoring post vaccination</w:t>
      </w:r>
    </w:p>
    <w:p w:rsidR="002618DF" w:rsidRPr="000D5218" w:rsidRDefault="002618DF" w:rsidP="002618DF">
      <w:r w:rsidRPr="000D5218">
        <w:t>[...]</w:t>
      </w:r>
    </w:p>
    <w:p w:rsidR="002618DF" w:rsidRPr="000D5218" w:rsidRDefault="002618DF" w:rsidP="002618DF">
      <w:r w:rsidRPr="000D5218">
        <w:t>The serious systemic hypersensitivity reactions, whether they are delayed or not, following administration of inactivate</w:t>
      </w:r>
      <w:r>
        <w:t xml:space="preserve">d mouse brain </w:t>
      </w:r>
      <w:r w:rsidRPr="000D5218">
        <w:t>derived JE vaccines have not been observed with other JE vaccines. During th</w:t>
      </w:r>
      <w:r>
        <w:t xml:space="preserve">e clinical development of </w:t>
      </w:r>
      <w:proofErr w:type="spellStart"/>
      <w:r>
        <w:t>Imojev</w:t>
      </w:r>
      <w:proofErr w:type="spellEnd"/>
      <w:r w:rsidRPr="000D5218">
        <w:t xml:space="preserve">, there was no identification of hypersensitivity reactions which were part of the AESIs investigated. In </w:t>
      </w:r>
      <w:r>
        <w:lastRenderedPageBreak/>
        <w:t xml:space="preserve">addition </w:t>
      </w:r>
      <w:proofErr w:type="spellStart"/>
      <w:r>
        <w:t>Imojev</w:t>
      </w:r>
      <w:proofErr w:type="spellEnd"/>
      <w:r w:rsidRPr="000D5218">
        <w:t xml:space="preserve"> does not contain </w:t>
      </w:r>
      <w:proofErr w:type="spellStart"/>
      <w:r w:rsidRPr="000D5218">
        <w:t>gelatin</w:t>
      </w:r>
      <w:proofErr w:type="spellEnd"/>
      <w:r w:rsidRPr="000D5218">
        <w:t xml:space="preserve"> which has a possible role in hypersensitivity reactions. Therefore, 10 days monitoring post vaccin</w:t>
      </w:r>
      <w:r>
        <w:t xml:space="preserve">ation is not required for </w:t>
      </w:r>
      <w:proofErr w:type="spellStart"/>
      <w:r>
        <w:t>Imojev</w:t>
      </w:r>
      <w:proofErr w:type="spellEnd"/>
      <w:r>
        <w:t>.</w:t>
      </w:r>
    </w:p>
    <w:p w:rsidR="002618DF" w:rsidRDefault="002618DF" w:rsidP="002618DF">
      <w:pPr>
        <w:pStyle w:val="Heading5"/>
        <w:rPr>
          <w:lang w:eastAsia="en-AU"/>
        </w:rPr>
      </w:pPr>
      <w:r w:rsidRPr="005034D2">
        <w:rPr>
          <w:lang w:eastAsia="en-AU"/>
        </w:rPr>
        <w:t>OPR evaluator’s comment</w:t>
      </w:r>
      <w:r>
        <w:rPr>
          <w:lang w:eastAsia="en-AU"/>
        </w:rPr>
        <w:t>:</w:t>
      </w:r>
    </w:p>
    <w:p w:rsidR="002618DF" w:rsidRPr="003338BF" w:rsidRDefault="002618DF" w:rsidP="002618DF">
      <w:r w:rsidRPr="003338BF">
        <w:t>This is considered acceptable.</w:t>
      </w:r>
    </w:p>
    <w:p w:rsidR="002618DF" w:rsidRDefault="002618DF" w:rsidP="002618DF">
      <w:pPr>
        <w:pStyle w:val="Heading5"/>
      </w:pPr>
      <w:r w:rsidRPr="00DA1081">
        <w:t>Recommendation in RMP evaluation report</w:t>
      </w:r>
      <w:r>
        <w:t>:</w:t>
      </w:r>
    </w:p>
    <w:p w:rsidR="002618DF" w:rsidRPr="001A605F" w:rsidRDefault="002618DF" w:rsidP="002618DF">
      <w:r>
        <w:t xml:space="preserve">4. </w:t>
      </w:r>
      <w:r w:rsidRPr="001A605F">
        <w:t xml:space="preserve">In regard to the proposed routine risk minimisation activities, it is recommended to the Delegate that the draft </w:t>
      </w:r>
      <w:r>
        <w:t>CMI</w:t>
      </w:r>
      <w:r w:rsidRPr="001A605F">
        <w:t xml:space="preserve"> document be revised as follows:</w:t>
      </w:r>
    </w:p>
    <w:p w:rsidR="002618DF" w:rsidRPr="001A605F" w:rsidRDefault="002618DF" w:rsidP="002618DF">
      <w:r>
        <w:t xml:space="preserve">In the ‘How </w:t>
      </w:r>
      <w:proofErr w:type="spellStart"/>
      <w:r>
        <w:t>Imojev</w:t>
      </w:r>
      <w:proofErr w:type="spellEnd"/>
      <w:r>
        <w:t xml:space="preserve"> </w:t>
      </w:r>
      <w:r w:rsidRPr="001A605F">
        <w:t>is given’ section, the sponsor sho</w:t>
      </w:r>
      <w:r>
        <w:t>uld consider adding that vaccin</w:t>
      </w:r>
      <w:r w:rsidRPr="001A605F">
        <w:t>es should be observed for 30 minutes after vaccination. Furthermore, a warning about a possible delayed hypersensitivity reaction should be added with the advice to remain in an area with medical care for at least 10 days post vaccination.</w:t>
      </w:r>
    </w:p>
    <w:p w:rsidR="002618DF" w:rsidRDefault="002618DF" w:rsidP="002618DF">
      <w:pPr>
        <w:pStyle w:val="Heading5"/>
      </w:pPr>
      <w:r w:rsidRPr="003A66AE">
        <w:t>Sponsor’s response (or summary of the response)</w:t>
      </w:r>
      <w:r>
        <w:t>:</w:t>
      </w:r>
    </w:p>
    <w:p w:rsidR="002618DF" w:rsidRPr="003338BF" w:rsidRDefault="002618DF" w:rsidP="002618DF">
      <w:r w:rsidRPr="00262084">
        <w:t>S</w:t>
      </w:r>
      <w:r>
        <w:t>ee response to recommendation 3.</w:t>
      </w:r>
    </w:p>
    <w:p w:rsidR="002618DF" w:rsidRDefault="002618DF" w:rsidP="002618DF">
      <w:pPr>
        <w:pStyle w:val="Heading5"/>
        <w:rPr>
          <w:lang w:eastAsia="en-AU"/>
        </w:rPr>
      </w:pPr>
      <w:r w:rsidRPr="005034D2">
        <w:rPr>
          <w:lang w:eastAsia="en-AU"/>
        </w:rPr>
        <w:t>OPR evaluator’s comment</w:t>
      </w:r>
      <w:r>
        <w:rPr>
          <w:lang w:eastAsia="en-AU"/>
        </w:rPr>
        <w:t>:</w:t>
      </w:r>
    </w:p>
    <w:p w:rsidR="002618DF" w:rsidRPr="003338BF" w:rsidRDefault="002618DF" w:rsidP="002618DF">
      <w:r w:rsidRPr="00262084">
        <w:t>S</w:t>
      </w:r>
      <w:r>
        <w:t>ee response to recommendation 3.</w:t>
      </w:r>
    </w:p>
    <w:p w:rsidR="005D062F" w:rsidRPr="003F64D6" w:rsidRDefault="005D062F" w:rsidP="005D062F">
      <w:pPr>
        <w:pStyle w:val="Heading5"/>
      </w:pPr>
      <w:r w:rsidRPr="003F64D6">
        <w:t>Outstanding issues</w:t>
      </w:r>
    </w:p>
    <w:p w:rsidR="005D062F" w:rsidRPr="003F64D6" w:rsidRDefault="005D062F" w:rsidP="005D062F">
      <w:pPr>
        <w:pStyle w:val="Heading6"/>
      </w:pPr>
      <w:r w:rsidRPr="003F64D6">
        <w:t xml:space="preserve">Issues in relation to the RMP </w:t>
      </w:r>
    </w:p>
    <w:p w:rsidR="005D062F" w:rsidRPr="00CE1EF4" w:rsidRDefault="005D062F" w:rsidP="00CE1EF4">
      <w:r w:rsidRPr="00CE1EF4">
        <w:t xml:space="preserve">In the ‘Precautions’ section, the PI should include a statement that the current version of the Australian Immunisation Handbook should be consulted in regard to information related to vaccines, in particular the section on vaccination procedures in general and any information in regard to </w:t>
      </w:r>
      <w:r w:rsidR="007F6298">
        <w:t>JE</w:t>
      </w:r>
      <w:r w:rsidRPr="00CE1EF4">
        <w:t xml:space="preserve"> vaccination.</w:t>
      </w:r>
    </w:p>
    <w:p w:rsidR="005D062F" w:rsidRPr="00CE1EF4" w:rsidRDefault="005D062F" w:rsidP="00CE1EF4">
      <w:pPr>
        <w:pStyle w:val="Heading6"/>
      </w:pPr>
      <w:r w:rsidRPr="00CE1EF4">
        <w:t xml:space="preserve">Advice from the </w:t>
      </w:r>
      <w:r w:rsidRPr="00CE1EF4">
        <w:rPr>
          <w:rStyle w:val="st1"/>
        </w:rPr>
        <w:t>Advisory Committee on the Safety of Vaccines (ACSOV)</w:t>
      </w:r>
    </w:p>
    <w:p w:rsidR="005D062F" w:rsidRPr="00CE1EF4" w:rsidRDefault="005D062F" w:rsidP="00CE1EF4">
      <w:r w:rsidRPr="00CE1EF4">
        <w:t>ACSOV advice was not sought for this submission.</w:t>
      </w:r>
    </w:p>
    <w:p w:rsidR="005D062F" w:rsidRPr="00107999" w:rsidRDefault="005D062F" w:rsidP="00CE1EF4">
      <w:pPr>
        <w:pStyle w:val="Heading5"/>
      </w:pPr>
      <w:r w:rsidRPr="00107999">
        <w:t>Comments on the safety specification of the RMP</w:t>
      </w:r>
    </w:p>
    <w:p w:rsidR="005D062F" w:rsidRPr="009506E2" w:rsidRDefault="007E6712" w:rsidP="00CE1EF4">
      <w:pPr>
        <w:pStyle w:val="Heading6"/>
      </w:pPr>
      <w:r>
        <w:t>Office of Medicines Authorisation (OMA)</w:t>
      </w:r>
      <w:r w:rsidR="005D062F" w:rsidRPr="00107999">
        <w:t xml:space="preserve"> Clinical Evaluation Report </w:t>
      </w:r>
    </w:p>
    <w:p w:rsidR="005D062F" w:rsidRPr="00CE1EF4" w:rsidRDefault="005D062F" w:rsidP="00CE1EF4">
      <w:r w:rsidRPr="00CE1EF4">
        <w:t>Note: The first round clinical report is the final report.</w:t>
      </w:r>
    </w:p>
    <w:p w:rsidR="005D062F" w:rsidRPr="00CE1EF4" w:rsidRDefault="005D062F" w:rsidP="00CE1EF4">
      <w:r w:rsidRPr="00CE1EF4">
        <w:t xml:space="preserve">The clinical evaluator made the following summary first round comment in regard to safety specifications in the draft RMP: </w:t>
      </w:r>
    </w:p>
    <w:p w:rsidR="005D062F" w:rsidRPr="00891818" w:rsidRDefault="005D062F" w:rsidP="00CE1EF4">
      <w:pPr>
        <w:ind w:firstLine="720"/>
      </w:pPr>
      <w:r w:rsidRPr="00891818">
        <w:t>The Safety Specification in the draft Risk M</w:t>
      </w:r>
      <w:r w:rsidR="00D16817" w:rsidRPr="00891818">
        <w:t>anagement Plan is satisfactory.</w:t>
      </w:r>
    </w:p>
    <w:p w:rsidR="005D062F" w:rsidRDefault="009F0CC5" w:rsidP="00CE1EF4">
      <w:pPr>
        <w:pStyle w:val="Heading6"/>
        <w:rPr>
          <w:lang w:val="fr-FR"/>
        </w:rPr>
      </w:pPr>
      <w:r>
        <w:rPr>
          <w:lang w:val="fr-FR"/>
        </w:rPr>
        <w:t xml:space="preserve">Office of </w:t>
      </w:r>
      <w:proofErr w:type="spellStart"/>
      <w:r>
        <w:rPr>
          <w:lang w:val="fr-FR"/>
        </w:rPr>
        <w:t>Scientific</w:t>
      </w:r>
      <w:proofErr w:type="spellEnd"/>
      <w:r>
        <w:rPr>
          <w:lang w:val="fr-FR"/>
        </w:rPr>
        <w:t xml:space="preserve"> Evaluation (</w:t>
      </w:r>
      <w:r w:rsidR="005D062F">
        <w:rPr>
          <w:lang w:val="fr-FR"/>
        </w:rPr>
        <w:t>OSE</w:t>
      </w:r>
      <w:r>
        <w:rPr>
          <w:lang w:val="fr-FR"/>
        </w:rPr>
        <w:t>)</w:t>
      </w:r>
      <w:r w:rsidR="00CF1605">
        <w:rPr>
          <w:lang w:val="fr-FR"/>
        </w:rPr>
        <w:t xml:space="preserve"> </w:t>
      </w:r>
      <w:proofErr w:type="spellStart"/>
      <w:r w:rsidR="00CF1605">
        <w:rPr>
          <w:lang w:val="fr-FR"/>
        </w:rPr>
        <w:t>Non</w:t>
      </w:r>
      <w:r w:rsidR="005D062F" w:rsidRPr="00A54BEE">
        <w:rPr>
          <w:lang w:val="fr-FR"/>
        </w:rPr>
        <w:t>clinical</w:t>
      </w:r>
      <w:proofErr w:type="spellEnd"/>
      <w:r w:rsidR="005D062F" w:rsidRPr="00A54BEE">
        <w:rPr>
          <w:lang w:val="fr-FR"/>
        </w:rPr>
        <w:t xml:space="preserve"> </w:t>
      </w:r>
      <w:r w:rsidR="007E7EC6">
        <w:rPr>
          <w:lang w:val="fr-FR"/>
        </w:rPr>
        <w:t>E</w:t>
      </w:r>
      <w:r w:rsidR="005D062F" w:rsidRPr="00A54BEE">
        <w:rPr>
          <w:lang w:val="fr-FR"/>
        </w:rPr>
        <w:t xml:space="preserve">valuation Report </w:t>
      </w:r>
    </w:p>
    <w:p w:rsidR="005D062F" w:rsidRPr="00CE1EF4" w:rsidRDefault="005D062F" w:rsidP="00CE1EF4">
      <w:r w:rsidRPr="00CE1EF4">
        <w:t>Th</w:t>
      </w:r>
      <w:r w:rsidR="00CF1605">
        <w:t>e non</w:t>
      </w:r>
      <w:r w:rsidRPr="00CE1EF4">
        <w:t>clinical evaluator made no summary comment in regard to safety specifications in the draft RMP. It is noted that the pregnancy category remains unchanged (Category B2).</w:t>
      </w:r>
    </w:p>
    <w:p w:rsidR="005D062F" w:rsidRPr="003734CE" w:rsidRDefault="005D062F" w:rsidP="00CE1EF4">
      <w:pPr>
        <w:pStyle w:val="Heading5"/>
      </w:pPr>
      <w:r w:rsidRPr="003734CE">
        <w:t xml:space="preserve">Key changes to the updated RMP </w:t>
      </w:r>
    </w:p>
    <w:p w:rsidR="005D062F" w:rsidRPr="00CE1EF4" w:rsidRDefault="005D062F" w:rsidP="00CE1EF4">
      <w:r w:rsidRPr="00CE1EF4">
        <w:t>Not applicable.</w:t>
      </w:r>
    </w:p>
    <w:p w:rsidR="005D062F" w:rsidRPr="00E107AD" w:rsidRDefault="005D062F" w:rsidP="00CE1EF4">
      <w:pPr>
        <w:pStyle w:val="Heading5"/>
      </w:pPr>
      <w:r w:rsidRPr="00107999">
        <w:t xml:space="preserve">Suggested wording for conditions of registration </w:t>
      </w:r>
    </w:p>
    <w:p w:rsidR="005D062F" w:rsidRPr="00107999" w:rsidRDefault="005D062F" w:rsidP="00CE1EF4">
      <w:pPr>
        <w:pStyle w:val="Heading6"/>
      </w:pPr>
      <w:r w:rsidRPr="00107999">
        <w:t>RMP</w:t>
      </w:r>
    </w:p>
    <w:p w:rsidR="005D062F" w:rsidRPr="00CE1EF4" w:rsidRDefault="005D062F" w:rsidP="00CE1EF4">
      <w:r w:rsidRPr="00CE1EF4">
        <w:t>Implement Risk Management Plan (in EU-RMP format) Version 6.0 (dated 18/04/2012, DLP 31/01/2012), and any future updates as a condition of registration.</w:t>
      </w:r>
    </w:p>
    <w:p w:rsidR="005D062F" w:rsidRPr="00CE1EF4" w:rsidRDefault="009C4957" w:rsidP="00CE1EF4">
      <w:pPr>
        <w:pStyle w:val="Heading6"/>
      </w:pPr>
      <w:r>
        <w:t>Periodic Safety Update Reports</w:t>
      </w:r>
    </w:p>
    <w:p w:rsidR="00224A68" w:rsidRPr="00CE1EF4" w:rsidRDefault="005D062F" w:rsidP="00CE1EF4">
      <w:r w:rsidRPr="00CE1EF4">
        <w:t>OMA to provide new wording when finalised.</w:t>
      </w:r>
    </w:p>
    <w:p w:rsidR="008E7846" w:rsidRPr="00792A32" w:rsidRDefault="008E7846" w:rsidP="008E7846">
      <w:pPr>
        <w:pStyle w:val="Heading2"/>
      </w:pPr>
      <w:bookmarkStart w:id="139" w:name="_Toc383010147"/>
      <w:r>
        <w:lastRenderedPageBreak/>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27"/>
      <w:bookmarkEnd w:id="135"/>
      <w:bookmarkEnd w:id="138"/>
      <w:bookmarkEnd w:id="139"/>
    </w:p>
    <w:p w:rsidR="008E7846" w:rsidRDefault="008E7846" w:rsidP="008E7846">
      <w:bookmarkStart w:id="140"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41" w:name="_Toc314842511"/>
      <w:bookmarkStart w:id="142" w:name="_Toc383010148"/>
      <w:r>
        <w:t>Quality</w:t>
      </w:r>
      <w:bookmarkEnd w:id="140"/>
      <w:bookmarkEnd w:id="141"/>
      <w:bookmarkEnd w:id="142"/>
    </w:p>
    <w:p w:rsidR="00E45619" w:rsidRDefault="008E7846" w:rsidP="003A7F6C">
      <w:r>
        <w:t>There was no requirement for a quality evaluation in a submission of this type.</w:t>
      </w:r>
    </w:p>
    <w:p w:rsidR="008E7846" w:rsidRDefault="008E7846" w:rsidP="008E7846">
      <w:pPr>
        <w:pStyle w:val="Heading3"/>
      </w:pPr>
      <w:bookmarkStart w:id="143" w:name="_Toc314842512"/>
      <w:bookmarkStart w:id="144" w:name="_Toc383010149"/>
      <w:r>
        <w:t>Nonclinical</w:t>
      </w:r>
      <w:bookmarkEnd w:id="143"/>
      <w:bookmarkEnd w:id="144"/>
    </w:p>
    <w:p w:rsidR="006963C9" w:rsidRPr="006963C9" w:rsidRDefault="006963C9" w:rsidP="006963C9">
      <w:r w:rsidRPr="006963C9">
        <w:t>Two reproductive and developmental toxicity studies in rabbits were submitted. Although</w:t>
      </w:r>
      <w:r>
        <w:t xml:space="preserve"> </w:t>
      </w:r>
      <w:proofErr w:type="spellStart"/>
      <w:r w:rsidRPr="006963C9">
        <w:t>Imojev</w:t>
      </w:r>
      <w:proofErr w:type="spellEnd"/>
      <w:r w:rsidRPr="006963C9">
        <w:t xml:space="preserve"> is contraindicated in pregnancy, it may be used in w</w:t>
      </w:r>
      <w:r>
        <w:t xml:space="preserve">omen of childbearing potential, </w:t>
      </w:r>
      <w:r w:rsidRPr="006963C9">
        <w:t>and</w:t>
      </w:r>
      <w:r>
        <w:t xml:space="preserve"> </w:t>
      </w:r>
      <w:r w:rsidRPr="006963C9">
        <w:t>studies to clarify the potential developmental risk were required as a condition of registration</w:t>
      </w:r>
      <w:r>
        <w:t xml:space="preserve"> </w:t>
      </w:r>
      <w:r w:rsidRPr="006963C9">
        <w:t>(see ACPM resolution 9440).</w:t>
      </w:r>
    </w:p>
    <w:p w:rsidR="006963C9" w:rsidRPr="006963C9" w:rsidRDefault="006963C9" w:rsidP="006963C9">
      <w:r w:rsidRPr="006963C9">
        <w:t>Administration of</w:t>
      </w:r>
      <w:r w:rsidR="00827824">
        <w:t xml:space="preserve"> repeated human doses of </w:t>
      </w:r>
      <w:proofErr w:type="spellStart"/>
      <w:r w:rsidR="00827824">
        <w:t>Imojev</w:t>
      </w:r>
      <w:proofErr w:type="spellEnd"/>
      <w:r w:rsidRPr="006963C9">
        <w:t xml:space="preserve"> to female rabbits prior to mating and during</w:t>
      </w:r>
      <w:r>
        <w:t xml:space="preserve"> </w:t>
      </w:r>
      <w:r w:rsidRPr="006963C9">
        <w:t xml:space="preserve">gestation, or once during gestation or </w:t>
      </w:r>
      <w:proofErr w:type="spellStart"/>
      <w:r w:rsidRPr="006963C9">
        <w:t>postnatally</w:t>
      </w:r>
      <w:proofErr w:type="spellEnd"/>
      <w:r w:rsidRPr="006963C9">
        <w:t>, had no adverse effects on female fertility or</w:t>
      </w:r>
      <w:r w:rsidR="00827824">
        <w:t xml:space="preserve"> </w:t>
      </w:r>
      <w:r w:rsidRPr="006963C9">
        <w:t xml:space="preserve">mating, pregnancy, </w:t>
      </w:r>
      <w:proofErr w:type="spellStart"/>
      <w:r w:rsidRPr="006963C9">
        <w:t>embryof</w:t>
      </w:r>
      <w:r w:rsidR="00827824">
        <w:t>o</w:t>
      </w:r>
      <w:r w:rsidRPr="006963C9">
        <w:t>etal</w:t>
      </w:r>
      <w:proofErr w:type="spellEnd"/>
      <w:r w:rsidRPr="006963C9">
        <w:t xml:space="preserve"> or postnatal development. Vaccine antigen</w:t>
      </w:r>
      <w:r w:rsidR="00AA6A5A">
        <w:t xml:space="preserve"> </w:t>
      </w:r>
      <w:r w:rsidRPr="006963C9">
        <w:t>specific antibodies</w:t>
      </w:r>
      <w:r>
        <w:t xml:space="preserve"> </w:t>
      </w:r>
      <w:r w:rsidRPr="006963C9">
        <w:t>were transferred to f</w:t>
      </w:r>
      <w:r w:rsidR="00827824">
        <w:t>o</w:t>
      </w:r>
      <w:r w:rsidRPr="006963C9">
        <w:t xml:space="preserve">etuses. Sensitive </w:t>
      </w:r>
      <w:r w:rsidR="003B4BA2">
        <w:t xml:space="preserve">nucleic acid </w:t>
      </w:r>
      <w:r w:rsidR="00AA6A5A">
        <w:t xml:space="preserve">testing in the single </w:t>
      </w:r>
      <w:r w:rsidRPr="006963C9">
        <w:t>dose study did not reveal</w:t>
      </w:r>
      <w:r>
        <w:t xml:space="preserve"> </w:t>
      </w:r>
      <w:r w:rsidRPr="006963C9">
        <w:t>vaccine YFNS5 RNA in maternal or pup sera, f</w:t>
      </w:r>
      <w:r w:rsidR="00AA6A5A">
        <w:t>o</w:t>
      </w:r>
      <w:r w:rsidRPr="006963C9">
        <w:t>etuses or milk. Although rabbits are a standard</w:t>
      </w:r>
      <w:r>
        <w:t xml:space="preserve"> </w:t>
      </w:r>
      <w:r w:rsidRPr="006963C9">
        <w:t xml:space="preserve">model for developmental toxicity studies, the lack of </w:t>
      </w:r>
      <w:proofErr w:type="spellStart"/>
      <w:r w:rsidRPr="006963C9">
        <w:t>seroconversion</w:t>
      </w:r>
      <w:proofErr w:type="spellEnd"/>
      <w:r w:rsidRPr="006963C9">
        <w:t xml:space="preserve"> in some treated does in</w:t>
      </w:r>
      <w:r>
        <w:t xml:space="preserve"> </w:t>
      </w:r>
      <w:r w:rsidRPr="006963C9">
        <w:t xml:space="preserve">both studies, and complete lack of detectable </w:t>
      </w:r>
      <w:proofErr w:type="spellStart"/>
      <w:r w:rsidRPr="006963C9">
        <w:t>viremia</w:t>
      </w:r>
      <w:proofErr w:type="spellEnd"/>
      <w:r w:rsidRPr="006963C9">
        <w:t>, indicate</w:t>
      </w:r>
      <w:r w:rsidR="00AA6A5A">
        <w:t>s</w:t>
      </w:r>
      <w:r w:rsidRPr="006963C9">
        <w:t xml:space="preserve"> limitations of the rabbit model</w:t>
      </w:r>
      <w:r>
        <w:t xml:space="preserve"> </w:t>
      </w:r>
      <w:r w:rsidRPr="006963C9">
        <w:t>for live attenuated JE vaccines.</w:t>
      </w:r>
    </w:p>
    <w:p w:rsidR="006963C9" w:rsidRPr="006963C9" w:rsidRDefault="006963C9" w:rsidP="006963C9">
      <w:r>
        <w:t>The non</w:t>
      </w:r>
      <w:r w:rsidRPr="006963C9">
        <w:t>clinical evaluator recommended some amendm</w:t>
      </w:r>
      <w:r>
        <w:t xml:space="preserve">ents to the </w:t>
      </w:r>
      <w:r w:rsidR="004D5327">
        <w:t>PI</w:t>
      </w:r>
      <w:r>
        <w:t xml:space="preserve"> </w:t>
      </w:r>
      <w:r w:rsidRPr="006963C9">
        <w:t>under the headings of “Effects on fertility”, “Use in Pregnancy”, and “Use in lactation”.</w:t>
      </w:r>
    </w:p>
    <w:p w:rsidR="008E7846" w:rsidRDefault="008E7846" w:rsidP="008E7846">
      <w:pPr>
        <w:pStyle w:val="Heading3"/>
      </w:pPr>
      <w:bookmarkStart w:id="145" w:name="_Toc247691530"/>
      <w:bookmarkStart w:id="146" w:name="_Toc314842513"/>
      <w:bookmarkStart w:id="147" w:name="_Toc383010150"/>
      <w:r>
        <w:t>Clinical</w:t>
      </w:r>
      <w:bookmarkEnd w:id="145"/>
      <w:bookmarkEnd w:id="146"/>
      <w:bookmarkEnd w:id="147"/>
    </w:p>
    <w:p w:rsidR="00A62FD6" w:rsidRPr="00A62FD6" w:rsidRDefault="00A62FD6" w:rsidP="00A62FD6">
      <w:r w:rsidRPr="00A62FD6">
        <w:t>The submitted data supporting the long</w:t>
      </w:r>
      <w:r w:rsidR="00084D9B">
        <w:t xml:space="preserve"> </w:t>
      </w:r>
      <w:r w:rsidRPr="00A62FD6">
        <w:t>term immunity in adults is the Final Addendum to</w:t>
      </w:r>
      <w:r>
        <w:t xml:space="preserve"> </w:t>
      </w:r>
      <w:r w:rsidRPr="00A62FD6">
        <w:t xml:space="preserve">the clinical study report for </w:t>
      </w:r>
      <w:r w:rsidR="00084D9B">
        <w:t xml:space="preserve">Study </w:t>
      </w:r>
      <w:r w:rsidRPr="00A62FD6">
        <w:t>H-040-005 and the submit</w:t>
      </w:r>
      <w:r>
        <w:t xml:space="preserve">ted data supporting the booster </w:t>
      </w:r>
      <w:r w:rsidRPr="00A62FD6">
        <w:t xml:space="preserve">dose in paediatric populations includes study reports for </w:t>
      </w:r>
      <w:r w:rsidR="00084D9B">
        <w:t>S</w:t>
      </w:r>
      <w:r w:rsidRPr="00A62FD6">
        <w:t>tudies JEC01, JEC05, and JEC15.</w:t>
      </w:r>
    </w:p>
    <w:p w:rsidR="00443921" w:rsidRDefault="00443921" w:rsidP="00A62FD6">
      <w:pPr>
        <w:pStyle w:val="Heading4"/>
        <w:rPr>
          <w:lang w:eastAsia="en-AU"/>
        </w:rPr>
      </w:pPr>
      <w:r>
        <w:rPr>
          <w:lang w:eastAsia="en-AU"/>
        </w:rPr>
        <w:t>Efficacy</w:t>
      </w:r>
    </w:p>
    <w:p w:rsidR="00A62FD6" w:rsidRDefault="00A62FD6" w:rsidP="00443921">
      <w:pPr>
        <w:pStyle w:val="Heading5"/>
        <w:rPr>
          <w:lang w:eastAsia="en-AU"/>
        </w:rPr>
      </w:pPr>
      <w:r>
        <w:rPr>
          <w:lang w:eastAsia="en-AU"/>
        </w:rPr>
        <w:t>Study H-040-005 in adults</w:t>
      </w:r>
    </w:p>
    <w:p w:rsidR="00A62FD6" w:rsidRDefault="00A62FD6" w:rsidP="00A62FD6">
      <w:r w:rsidRPr="00A62FD6">
        <w:t>Study H-040-005 is a randomised, double</w:t>
      </w:r>
      <w:r w:rsidR="0032466B">
        <w:t xml:space="preserve"> blind, Phase II cross</w:t>
      </w:r>
      <w:r w:rsidRPr="00A62FD6">
        <w:t>over study. The study assessed the immunogenicity, safety, and duration of immunity of JE-CV in healthy adults. The clinical study report was provided in the original registration application su</w:t>
      </w:r>
      <w:r w:rsidR="00034600">
        <w:t>bmitted in 2009</w:t>
      </w:r>
      <w:r w:rsidRPr="00A62FD6">
        <w:t xml:space="preserve">. The current application includes a copy of this report together </w:t>
      </w:r>
      <w:r w:rsidR="000735E0">
        <w:t xml:space="preserve">with the final addendum (dated </w:t>
      </w:r>
      <w:r w:rsidRPr="00A62FD6">
        <w:t>9 November 2009) which includes the immune persistence data up to 5 yea</w:t>
      </w:r>
      <w:r w:rsidR="000735E0">
        <w:t xml:space="preserve">rs after a single dose of </w:t>
      </w:r>
      <w:proofErr w:type="spellStart"/>
      <w:r w:rsidR="000735E0">
        <w:t>Imojev</w:t>
      </w:r>
      <w:proofErr w:type="spellEnd"/>
      <w:r>
        <w:t>.</w:t>
      </w:r>
    </w:p>
    <w:p w:rsidR="00AA4D35" w:rsidRDefault="00AA4D35" w:rsidP="00AA4D35">
      <w:r w:rsidRPr="00AA4D35">
        <w:t>A total of 202 adults were recruited into this cross over study to receive randomised</w:t>
      </w:r>
      <w:r>
        <w:t xml:space="preserve"> </w:t>
      </w:r>
      <w:r w:rsidRPr="00AA4D35">
        <w:t>(Group A or Group B), double</w:t>
      </w:r>
      <w:r w:rsidR="00F560AA">
        <w:t xml:space="preserve"> </w:t>
      </w:r>
      <w:r w:rsidRPr="00AA4D35">
        <w:t>blind treatment. Subjects</w:t>
      </w:r>
      <w:r>
        <w:t xml:space="preserve"> randomised to Group </w:t>
      </w:r>
      <w:proofErr w:type="gramStart"/>
      <w:r>
        <w:t>A</w:t>
      </w:r>
      <w:proofErr w:type="gramEnd"/>
      <w:r>
        <w:t xml:space="preserve"> received </w:t>
      </w:r>
      <w:r w:rsidRPr="00AA4D35">
        <w:t>JE-CV vaccine on Day 0 and vaccine diluent on Day 28 whi</w:t>
      </w:r>
      <w:r>
        <w:t xml:space="preserve">le subjects randomised to Group </w:t>
      </w:r>
      <w:r w:rsidRPr="00AA4D35">
        <w:t>B received vaccine diluent on Day 0 and JE-CV vaccine on Day 28. About half the subjects</w:t>
      </w:r>
      <w:r>
        <w:t xml:space="preserve"> </w:t>
      </w:r>
      <w:r w:rsidRPr="00AA4D35">
        <w:t>in each treatment group were selected to receive a JE-CV bo</w:t>
      </w:r>
      <w:r>
        <w:t xml:space="preserve">oster vaccination at Month 6. A </w:t>
      </w:r>
      <w:r w:rsidRPr="00AA4D35">
        <w:t>total of 140 subjects were recruited into the long term i</w:t>
      </w:r>
      <w:r>
        <w:t>mmunogenicity follow</w:t>
      </w:r>
      <w:r w:rsidR="00F560AA">
        <w:t xml:space="preserve"> </w:t>
      </w:r>
      <w:r>
        <w:t>up period.</w:t>
      </w:r>
    </w:p>
    <w:p w:rsidR="00AA4D35" w:rsidRPr="00AA4D35" w:rsidRDefault="00AA4D35" w:rsidP="00AA4D35">
      <w:r w:rsidRPr="00AA4D35">
        <w:t>The analys</w:t>
      </w:r>
      <w:r w:rsidR="00FF2537">
        <w:t xml:space="preserve">is of the </w:t>
      </w:r>
      <w:r w:rsidRPr="00AA4D35">
        <w:t>SCRs was performed at the protoc</w:t>
      </w:r>
      <w:r>
        <w:t xml:space="preserve">ol defined </w:t>
      </w:r>
      <w:r w:rsidRPr="00AA4D35">
        <w:t>threshold, which required that subjects must either experienc</w:t>
      </w:r>
      <w:r>
        <w:t>e a 4</w:t>
      </w:r>
      <w:r w:rsidR="00FF2537">
        <w:t xml:space="preserve"> </w:t>
      </w:r>
      <w:r>
        <w:t xml:space="preserve">fold rise in neutralising </w:t>
      </w:r>
      <w:r w:rsidRPr="00AA4D35">
        <w:t>antibo</w:t>
      </w:r>
      <w:r w:rsidR="000A3F4F">
        <w:t xml:space="preserve">dy titres between pre and post </w:t>
      </w:r>
      <w:r w:rsidRPr="00AA4D35">
        <w:t>immunisati</w:t>
      </w:r>
      <w:r>
        <w:t xml:space="preserve">on samples or subjects who were </w:t>
      </w:r>
      <w:proofErr w:type="spellStart"/>
      <w:r w:rsidRPr="00AA4D35">
        <w:t>seronegative</w:t>
      </w:r>
      <w:proofErr w:type="spellEnd"/>
      <w:r w:rsidRPr="00AA4D35">
        <w:t xml:space="preserve"> at baseline </w:t>
      </w:r>
      <w:r w:rsidR="000A3F4F">
        <w:t>(that is,</w:t>
      </w:r>
      <w:r w:rsidRPr="00AA4D35">
        <w:t xml:space="preserve"> </w:t>
      </w:r>
      <w:r>
        <w:lastRenderedPageBreak/>
        <w:t xml:space="preserve">PRNT50 &lt;1:10] </w:t>
      </w:r>
      <w:r w:rsidRPr="00AA4D35">
        <w:t xml:space="preserve">were required to have a PRNT50 titre of ≥1:20 to meet the </w:t>
      </w:r>
      <w:r>
        <w:t xml:space="preserve">criteria for </w:t>
      </w:r>
      <w:proofErr w:type="spellStart"/>
      <w:r>
        <w:t>seroconversion</w:t>
      </w:r>
      <w:proofErr w:type="spellEnd"/>
      <w:r>
        <w:t xml:space="preserve">. In </w:t>
      </w:r>
      <w:r w:rsidRPr="00AA4D35">
        <w:t>addition</w:t>
      </w:r>
      <w:r w:rsidR="00C96F4D">
        <w:t>,</w:t>
      </w:r>
      <w:r w:rsidRPr="00AA4D35">
        <w:t xml:space="preserve"> </w:t>
      </w:r>
      <w:r w:rsidR="00C96F4D" w:rsidRPr="00AA4D35">
        <w:t>SCR</w:t>
      </w:r>
      <w:r w:rsidRPr="00AA4D35">
        <w:t>s were analysed at the WHO de</w:t>
      </w:r>
      <w:r>
        <w:t xml:space="preserve">fined threshold for protection, </w:t>
      </w:r>
      <w:r w:rsidRPr="00AA4D35">
        <w:t xml:space="preserve">which required that subjects who were </w:t>
      </w:r>
      <w:proofErr w:type="spellStart"/>
      <w:r w:rsidRPr="00AA4D35">
        <w:t>seronegative</w:t>
      </w:r>
      <w:proofErr w:type="spellEnd"/>
      <w:r w:rsidRPr="00AA4D35">
        <w:t xml:space="preserve"> at baseli</w:t>
      </w:r>
      <w:r w:rsidR="007213FA">
        <w:t>ne (that is</w:t>
      </w:r>
      <w:r>
        <w:t xml:space="preserve">, PRNT50 &lt;1:10) to </w:t>
      </w:r>
      <w:r w:rsidRPr="00AA4D35">
        <w:t>have a PRNT50 titre of ≥1:10 to meet the SCR criteria. Fo</w:t>
      </w:r>
      <w:r>
        <w:t>r subjects who had pre</w:t>
      </w:r>
      <w:r w:rsidR="00C864EE">
        <w:t>-</w:t>
      </w:r>
      <w:r>
        <w:t xml:space="preserve">existing </w:t>
      </w:r>
      <w:r w:rsidRPr="00AA4D35">
        <w:t xml:space="preserve">neutralising </w:t>
      </w:r>
      <w:r w:rsidR="007F5F85">
        <w:t>antibody to JE at baseline (that is</w:t>
      </w:r>
      <w:r w:rsidRPr="00AA4D35">
        <w:t>, PRNT50 titr</w:t>
      </w:r>
      <w:r>
        <w:t xml:space="preserve">e of ≥1:10), </w:t>
      </w:r>
      <w:proofErr w:type="spellStart"/>
      <w:r>
        <w:t>seroconversion</w:t>
      </w:r>
      <w:proofErr w:type="spellEnd"/>
      <w:r>
        <w:t xml:space="preserve"> was </w:t>
      </w:r>
      <w:r w:rsidRPr="00AA4D35">
        <w:t>defined as a ≥4</w:t>
      </w:r>
      <w:r w:rsidR="004144CE">
        <w:t xml:space="preserve"> </w:t>
      </w:r>
      <w:r w:rsidRPr="00AA4D35">
        <w:t>fold rise in neutralising antibody</w:t>
      </w:r>
      <w:r w:rsidR="004144CE">
        <w:t xml:space="preserve"> titre between pre</w:t>
      </w:r>
      <w:r>
        <w:t xml:space="preserve"> and </w:t>
      </w:r>
      <w:r w:rsidRPr="00AA4D35">
        <w:t>post</w:t>
      </w:r>
      <w:r w:rsidR="004144CE">
        <w:t xml:space="preserve"> </w:t>
      </w:r>
      <w:r w:rsidRPr="00AA4D35">
        <w:t>immunisation.</w:t>
      </w:r>
    </w:p>
    <w:p w:rsidR="00AA4D35" w:rsidRPr="00AA4D35" w:rsidRDefault="00AA4D35" w:rsidP="00AA4D35">
      <w:r w:rsidRPr="00AA4D35">
        <w:t>For the primary efficacy outcome, t</w:t>
      </w:r>
      <w:r w:rsidR="00322B38">
        <w:t>he Kaplan-Meier SCR</w:t>
      </w:r>
      <w:r w:rsidRPr="00AA4D35">
        <w:t xml:space="preserve"> estimates</w:t>
      </w:r>
      <w:r w:rsidR="00DA42B3">
        <w:t xml:space="preserve"> </w:t>
      </w:r>
      <w:r w:rsidRPr="00AA4D35">
        <w:t>showed that the expected protection provided by JE-CV in</w:t>
      </w:r>
      <w:r w:rsidR="00DA42B3">
        <w:t xml:space="preserve"> subjects seropositive at Month </w:t>
      </w:r>
      <w:r w:rsidRPr="00AA4D35">
        <w:t>6 is sustained for up to 60 months (5 years) in 95.7% of</w:t>
      </w:r>
      <w:r w:rsidR="00DA42B3">
        <w:t xml:space="preserve"> vaccinated subjects in the two </w:t>
      </w:r>
      <w:r w:rsidRPr="00AA4D35">
        <w:t>dose treatment group and 86.6% in the single do</w:t>
      </w:r>
      <w:r w:rsidR="00DA42B3">
        <w:t xml:space="preserve">se treatment group. Statistical </w:t>
      </w:r>
      <w:r w:rsidRPr="00AA4D35">
        <w:t xml:space="preserve">comparison of the distribution of the two Kaplan-Meier </w:t>
      </w:r>
      <w:r w:rsidR="00DA42B3">
        <w:t xml:space="preserve">survival curves from Month 6 to </w:t>
      </w:r>
      <w:r w:rsidRPr="00AA4D35">
        <w:t>Month 60 for the two dose and single dose groups us</w:t>
      </w:r>
      <w:r w:rsidR="00DA42B3">
        <w:t>ing the log</w:t>
      </w:r>
      <w:r w:rsidR="0096773E">
        <w:t xml:space="preserve"> </w:t>
      </w:r>
      <w:r w:rsidR="00DA42B3">
        <w:t xml:space="preserve">rank test yielded a </w:t>
      </w:r>
      <w:r w:rsidRPr="00AA4D35">
        <w:t>Chi</w:t>
      </w:r>
      <w:r w:rsidR="0096773E">
        <w:t>-</w:t>
      </w:r>
      <w:r w:rsidRPr="00AA4D35">
        <w:t>square</w:t>
      </w:r>
      <w:r w:rsidR="00DA42B3">
        <w:t xml:space="preserve"> </w:t>
      </w:r>
      <w:r w:rsidRPr="00AA4D35">
        <w:t>of 3.99 on one degree of freedom with a resulting p-value of 0.046. These data</w:t>
      </w:r>
      <w:r w:rsidR="00DA42B3">
        <w:t xml:space="preserve"> </w:t>
      </w:r>
      <w:r w:rsidRPr="00AA4D35">
        <w:t>demonstrate that by the Month 60 time point, the pr</w:t>
      </w:r>
      <w:r w:rsidR="00DA42B3">
        <w:t xml:space="preserve">oportion of seropositive in the </w:t>
      </w:r>
      <w:r w:rsidRPr="00AA4D35">
        <w:t>subjects with single dose was significantly less than the pr</w:t>
      </w:r>
      <w:r w:rsidR="00DA42B3">
        <w:t xml:space="preserve">oportion of seropositive in the </w:t>
      </w:r>
      <w:r w:rsidRPr="00AA4D35">
        <w:t xml:space="preserve">subjects who had two doses. The </w:t>
      </w:r>
      <w:r w:rsidR="00625DD4">
        <w:t>M</w:t>
      </w:r>
      <w:r w:rsidRPr="00AA4D35">
        <w:t>onth 60 was the first t</w:t>
      </w:r>
      <w:r w:rsidR="00DA42B3">
        <w:t xml:space="preserve">ime point at which a difference </w:t>
      </w:r>
      <w:r w:rsidRPr="00AA4D35">
        <w:t>between the single dose and two dose groups was observed.</w:t>
      </w:r>
    </w:p>
    <w:p w:rsidR="00A62FD6" w:rsidRDefault="00AA4D35" w:rsidP="00AA4D35">
      <w:r w:rsidRPr="00AA4D35">
        <w:t>At the Month 12 follow up visit, the GMT for the two dose group was 180.5 while the GMT</w:t>
      </w:r>
      <w:r w:rsidR="00F80449">
        <w:t xml:space="preserve"> </w:t>
      </w:r>
      <w:r w:rsidRPr="00AA4D35">
        <w:t>for the single dose group was 97.4. At Months 24, 36, and</w:t>
      </w:r>
      <w:r w:rsidR="00F80449">
        <w:t xml:space="preserve"> 48 visits, the GMT for the two </w:t>
      </w:r>
      <w:r w:rsidRPr="00AA4D35">
        <w:t>dose group were 137.4, 213.9, and 141.3 while the GMT</w:t>
      </w:r>
      <w:r w:rsidR="00F80449">
        <w:t xml:space="preserve"> for the single dose group were </w:t>
      </w:r>
      <w:r w:rsidRPr="00AA4D35">
        <w:t>82.9, 91.2, and 87.7, respectively. At Month 60, the GMTs w</w:t>
      </w:r>
      <w:r w:rsidR="00F80449">
        <w:t xml:space="preserve">ere comparable with the two </w:t>
      </w:r>
      <w:r w:rsidRPr="00AA4D35">
        <w:t xml:space="preserve">dose group at 78.9 and the single dose at 61.5, </w:t>
      </w:r>
      <w:r w:rsidR="002A45FA">
        <w:t xml:space="preserve">and </w:t>
      </w:r>
      <w:r w:rsidRPr="00AA4D35">
        <w:t xml:space="preserve">the </w:t>
      </w:r>
      <w:r w:rsidR="00F80449">
        <w:t xml:space="preserve">values were no longer different </w:t>
      </w:r>
      <w:r w:rsidRPr="00AA4D35">
        <w:t>statistically.</w:t>
      </w:r>
    </w:p>
    <w:p w:rsidR="00F80449" w:rsidRPr="00FD1BE5" w:rsidRDefault="00F80449" w:rsidP="00FD1BE5">
      <w:r w:rsidRPr="00FD1BE5">
        <w:t>The final addendum report contains the long</w:t>
      </w:r>
      <w:r w:rsidR="003459CB">
        <w:t xml:space="preserve"> </w:t>
      </w:r>
      <w:r w:rsidRPr="00FD1BE5">
        <w:t>term follow</w:t>
      </w:r>
      <w:r w:rsidR="003459CB">
        <w:t xml:space="preserve"> </w:t>
      </w:r>
      <w:r w:rsidRPr="00FD1BE5">
        <w:t>up date up to 5 years after</w:t>
      </w:r>
      <w:r w:rsidR="00FD1BE5">
        <w:t xml:space="preserve"> </w:t>
      </w:r>
      <w:r w:rsidRPr="00FD1BE5">
        <w:t xml:space="preserve">vaccination. This was evaluated with a Kaplan-Meier </w:t>
      </w:r>
      <w:r w:rsidR="00FD1BE5">
        <w:t xml:space="preserve">estimate analysis. Kaplan-Meier </w:t>
      </w:r>
      <w:r w:rsidRPr="00FD1BE5">
        <w:t>estimates (</w:t>
      </w:r>
      <w:r w:rsidR="00E40262">
        <w:t>Intent</w:t>
      </w:r>
      <w:r w:rsidR="004E2D04">
        <w:t xml:space="preserve"> </w:t>
      </w:r>
      <w:proofErr w:type="gramStart"/>
      <w:r w:rsidR="004E2D04">
        <w:t>To</w:t>
      </w:r>
      <w:proofErr w:type="gramEnd"/>
      <w:r w:rsidR="004E2D04">
        <w:t xml:space="preserve"> T</w:t>
      </w:r>
      <w:r w:rsidR="004E2D04" w:rsidRPr="004E2D04">
        <w:t xml:space="preserve">reat </w:t>
      </w:r>
      <w:r w:rsidR="004E2D04">
        <w:t>[</w:t>
      </w:r>
      <w:r w:rsidRPr="00FD1BE5">
        <w:t>ITT</w:t>
      </w:r>
      <w:r w:rsidR="004E2D04">
        <w:t>]</w:t>
      </w:r>
      <w:r w:rsidRPr="00FD1BE5">
        <w:t xml:space="preserve"> population) showed that for a subject with </w:t>
      </w:r>
      <w:r w:rsidR="00FD1BE5">
        <w:t xml:space="preserve">a booster dose, the probability </w:t>
      </w:r>
      <w:r w:rsidR="005C3F63">
        <w:t>of remaining with tit</w:t>
      </w:r>
      <w:r w:rsidRPr="00FD1BE5">
        <w:t>r</w:t>
      </w:r>
      <w:r w:rsidR="005C3F63">
        <w:t>e</w:t>
      </w:r>
      <w:r w:rsidRPr="00FD1BE5">
        <w:t xml:space="preserve"> </w:t>
      </w:r>
      <w:r w:rsidR="00C864EE">
        <w:sym w:font="Symbol" w:char="F0B3"/>
      </w:r>
      <w:r w:rsidRPr="00FD1BE5">
        <w:t>1:10 was 100.0% (Month 6), 98.8% (Month 12), 98.8% (Month</w:t>
      </w:r>
      <w:r w:rsidR="00FD1BE5">
        <w:t xml:space="preserve"> </w:t>
      </w:r>
      <w:r w:rsidRPr="00FD1BE5">
        <w:t xml:space="preserve">24), 98.8% (Month 36), 98.8% (Month 48), and 95.7% </w:t>
      </w:r>
      <w:r w:rsidR="00FD1BE5">
        <w:t>(Month 60). For the single</w:t>
      </w:r>
      <w:r w:rsidR="00C07116">
        <w:t xml:space="preserve"> </w:t>
      </w:r>
      <w:r w:rsidR="00FD1BE5">
        <w:t xml:space="preserve">dose </w:t>
      </w:r>
      <w:r w:rsidRPr="00FD1BE5">
        <w:t xml:space="preserve">group, the Kaplan-Meier estimates of </w:t>
      </w:r>
      <w:proofErr w:type="spellStart"/>
      <w:r w:rsidRPr="00FD1BE5">
        <w:t>seroprotection</w:t>
      </w:r>
      <w:proofErr w:type="spellEnd"/>
      <w:r w:rsidRPr="00FD1BE5">
        <w:t xml:space="preserve"> (a</w:t>
      </w:r>
      <w:r w:rsidR="00FD1BE5">
        <w:t xml:space="preserve">nd corresponding 95% CI) at the </w:t>
      </w:r>
      <w:r w:rsidRPr="00FD1BE5">
        <w:t xml:space="preserve">Month 24 to Month 60 visits appeared somewhat lower </w:t>
      </w:r>
      <w:r w:rsidR="00FD1BE5">
        <w:t xml:space="preserve">that observed for the group who </w:t>
      </w:r>
      <w:r w:rsidR="006E1DD9">
        <w:t>received a booster dose, that is,</w:t>
      </w:r>
      <w:r w:rsidRPr="00FD1BE5">
        <w:t xml:space="preserve"> 100.0% (Month 6), 97.5</w:t>
      </w:r>
      <w:r w:rsidR="00FD1BE5">
        <w:t xml:space="preserve">% (Month 12), 93.2% (Month 24), </w:t>
      </w:r>
      <w:r w:rsidRPr="00FD1BE5">
        <w:t>91.5% (Month 36), 89.6% (Month 48) and 86.8% (Month 60)</w:t>
      </w:r>
      <w:r w:rsidR="00FD1BE5">
        <w:t xml:space="preserve">. Statistical comparison of the </w:t>
      </w:r>
      <w:r w:rsidRPr="00FD1BE5">
        <w:t>distribution of the Kaplan-Meier survival curves for t</w:t>
      </w:r>
      <w:r w:rsidR="00FD1BE5">
        <w:t xml:space="preserve">he single dose and booster dose </w:t>
      </w:r>
      <w:r w:rsidRPr="00FD1BE5">
        <w:t>groups using the log-rank test showed no significant differ</w:t>
      </w:r>
      <w:r w:rsidR="00FD1BE5">
        <w:t xml:space="preserve">ence between the groups for the </w:t>
      </w:r>
      <w:r w:rsidRPr="00FD1BE5">
        <w:t xml:space="preserve">curves up to Month 48. A difference between groups </w:t>
      </w:r>
      <w:r w:rsidR="00FD1BE5">
        <w:t xml:space="preserve">was observed for the curve from </w:t>
      </w:r>
      <w:r w:rsidRPr="00FD1BE5">
        <w:t>Month 6 to Month 60. Interestingly, at this time point the two groups had comparabl</w:t>
      </w:r>
      <w:r w:rsidR="00FD1BE5">
        <w:t xml:space="preserve">e </w:t>
      </w:r>
      <w:r w:rsidRPr="00FD1BE5">
        <w:t>GMTs. It was concluded that the difference between</w:t>
      </w:r>
      <w:r w:rsidR="00FD1BE5">
        <w:t xml:space="preserve"> the groups is small and from a </w:t>
      </w:r>
      <w:r w:rsidRPr="00FD1BE5">
        <w:t>medical viewpoint it does not ju</w:t>
      </w:r>
      <w:r w:rsidR="00320CD6">
        <w:t>stify a booster dose at 5 years</w:t>
      </w:r>
      <w:r w:rsidRPr="00FD1BE5">
        <w:t xml:space="preserve"> since the persistence of</w:t>
      </w:r>
      <w:r w:rsidR="00FD1BE5">
        <w:t xml:space="preserve"> </w:t>
      </w:r>
      <w:r w:rsidRPr="00FD1BE5">
        <w:t xml:space="preserve">immunity is considered sufficient in the single dose. Even the GMTs in the single </w:t>
      </w:r>
      <w:r w:rsidR="00FD1BE5">
        <w:t xml:space="preserve">dose </w:t>
      </w:r>
      <w:r w:rsidRPr="00FD1BE5">
        <w:t>group are well above those thought to be clinically important.</w:t>
      </w:r>
    </w:p>
    <w:p w:rsidR="00FE5E98" w:rsidRPr="00FE5E98" w:rsidRDefault="00FE5E98" w:rsidP="00FE5E98">
      <w:r w:rsidRPr="00FE5E98">
        <w:t>Overall, the study showed that vaccination with JE-CV induced high and sustained SCRs</w:t>
      </w:r>
      <w:r>
        <w:t xml:space="preserve"> </w:t>
      </w:r>
      <w:r w:rsidRPr="00FE5E98">
        <w:t xml:space="preserve">with both the single and two dose schedules and there </w:t>
      </w:r>
      <w:r>
        <w:t xml:space="preserve">is no statistically significant </w:t>
      </w:r>
      <w:r w:rsidRPr="00FE5E98">
        <w:t>differences in SCRs between the two schedules prior to the</w:t>
      </w:r>
      <w:r w:rsidR="00320CD6">
        <w:t xml:space="preserve"> end of the 60 month (</w:t>
      </w:r>
      <w:r>
        <w:t xml:space="preserve">5 years/ </w:t>
      </w:r>
      <w:r w:rsidR="00320CD6">
        <w:t>LIFP/</w:t>
      </w:r>
      <w:r w:rsidRPr="00FE5E98">
        <w:t>the Long term Immunogenicity Follow</w:t>
      </w:r>
      <w:r w:rsidR="00320CD6">
        <w:t xml:space="preserve"> </w:t>
      </w:r>
      <w:r w:rsidRPr="00FE5E98">
        <w:t xml:space="preserve">up Period). </w:t>
      </w:r>
      <w:r>
        <w:t xml:space="preserve">The differences in GMTs between </w:t>
      </w:r>
      <w:r w:rsidRPr="00FE5E98">
        <w:t>the schedules during the first 48 months are unlikely to be</w:t>
      </w:r>
      <w:r>
        <w:t xml:space="preserve"> clinically relevant given that </w:t>
      </w:r>
      <w:r w:rsidRPr="00FE5E98">
        <w:t>the immune responses induced by both schedules are well above cut</w:t>
      </w:r>
      <w:r w:rsidR="00320CD6">
        <w:t xml:space="preserve"> </w:t>
      </w:r>
      <w:r w:rsidRPr="00FE5E98">
        <w:t>off levels.</w:t>
      </w:r>
    </w:p>
    <w:p w:rsidR="00FE5E98" w:rsidRDefault="00FE5E98" w:rsidP="00443921">
      <w:pPr>
        <w:pStyle w:val="Heading5"/>
        <w:rPr>
          <w:lang w:eastAsia="en-AU"/>
        </w:rPr>
      </w:pPr>
      <w:r>
        <w:rPr>
          <w:lang w:eastAsia="en-AU"/>
        </w:rPr>
        <w:t>Study JEC01 in paediatrics (up to Year 3 of follow-up)</w:t>
      </w:r>
    </w:p>
    <w:p w:rsidR="00F80449" w:rsidRDefault="00320CD6" w:rsidP="005D5475">
      <w:r>
        <w:t xml:space="preserve">Study </w:t>
      </w:r>
      <w:r w:rsidR="00FE5E98" w:rsidRPr="005D5475">
        <w:t>JEC01 is an open, randomi</w:t>
      </w:r>
      <w:r w:rsidR="005D5475">
        <w:t>s</w:t>
      </w:r>
      <w:r w:rsidR="00F16FFC">
        <w:t>ed, Phase II, crossover, multicentre</w:t>
      </w:r>
      <w:r>
        <w:t xml:space="preserve">, active </w:t>
      </w:r>
      <w:r w:rsidR="00FE5E98" w:rsidRPr="005D5475">
        <w:t>controlled study.</w:t>
      </w:r>
      <w:r w:rsidR="00377105" w:rsidRPr="005D5475">
        <w:t xml:space="preserve"> </w:t>
      </w:r>
      <w:r w:rsidR="00FE5E98" w:rsidRPr="005D5475">
        <w:t>The study assessed the safety and immunogenicity of JE-CV in Thai toddlers and children.</w:t>
      </w:r>
      <w:r w:rsidR="00377105" w:rsidRPr="005D5475">
        <w:t xml:space="preserve"> </w:t>
      </w:r>
      <w:r w:rsidR="00FE5E98" w:rsidRPr="005D5475">
        <w:t>The preliminary results fr</w:t>
      </w:r>
      <w:r>
        <w:t xml:space="preserve">om JEC01 were submitted in 2009. </w:t>
      </w:r>
      <w:r w:rsidR="00FE5E98" w:rsidRPr="005D5475">
        <w:t>The</w:t>
      </w:r>
      <w:r w:rsidR="00377105" w:rsidRPr="005D5475">
        <w:t xml:space="preserve"> </w:t>
      </w:r>
      <w:r w:rsidR="00FE5E98" w:rsidRPr="005D5475">
        <w:t xml:space="preserve">current </w:t>
      </w:r>
      <w:r w:rsidR="00FE5E98" w:rsidRPr="005D5475">
        <w:lastRenderedPageBreak/>
        <w:t>application includes the interim report of the safety and immunogenicity data up</w:t>
      </w:r>
      <w:r w:rsidR="00377105" w:rsidRPr="005D5475">
        <w:t xml:space="preserve"> </w:t>
      </w:r>
      <w:r w:rsidR="00FE5E98" w:rsidRPr="005D5475">
        <w:t>to 3 years after a single dose of IMOJEV (Interim Report version 5.0, dated 10 February</w:t>
      </w:r>
      <w:r w:rsidR="00377105" w:rsidRPr="005D5475">
        <w:t xml:space="preserve"> </w:t>
      </w:r>
      <w:r w:rsidR="00FE5E98" w:rsidRPr="005D5475">
        <w:t>2012). The long</w:t>
      </w:r>
      <w:r w:rsidR="00940DF9">
        <w:t xml:space="preserve"> </w:t>
      </w:r>
      <w:r w:rsidR="00FE5E98" w:rsidRPr="005D5475">
        <w:t>term persistence phase (up to 5 years) of this study is ongoing.</w:t>
      </w:r>
      <w:r w:rsidR="00377105" w:rsidRPr="005D5475">
        <w:t xml:space="preserve"> </w:t>
      </w:r>
      <w:r w:rsidR="00FE5E98" w:rsidRPr="005D5475">
        <w:t>The study was conducted in 100 children and 200 toddlers in Thailand. The study subjects</w:t>
      </w:r>
      <w:r w:rsidR="00377105" w:rsidRPr="005D5475">
        <w:t xml:space="preserve"> </w:t>
      </w:r>
      <w:r w:rsidR="00FE5E98" w:rsidRPr="005D5475">
        <w:t>received one single dose of JE-CV and one dose of hepatitis A vaccine one month apart, and</w:t>
      </w:r>
      <w:r w:rsidR="00377105" w:rsidRPr="005D5475">
        <w:t xml:space="preserve"> </w:t>
      </w:r>
      <w:r w:rsidR="00FE5E98" w:rsidRPr="005D5475">
        <w:t xml:space="preserve">were to receive a second dose of </w:t>
      </w:r>
      <w:r w:rsidR="00940DF9">
        <w:t>H</w:t>
      </w:r>
      <w:r w:rsidR="00FE5E98" w:rsidRPr="005D5475">
        <w:t>epatitis A 6 months later. Enrolment was sequential in</w:t>
      </w:r>
      <w:r w:rsidR="00377105" w:rsidRPr="005D5475">
        <w:t xml:space="preserve"> </w:t>
      </w:r>
      <w:r w:rsidR="00FE5E98" w:rsidRPr="005D5475">
        <w:t>two age cohorts. The immune response in the two age groups at various time</w:t>
      </w:r>
      <w:r w:rsidR="00D02967">
        <w:t xml:space="preserve"> </w:t>
      </w:r>
      <w:r w:rsidR="00FE5E98" w:rsidRPr="005D5475">
        <w:t>points post</w:t>
      </w:r>
      <w:r w:rsidR="00377105" w:rsidRPr="005D5475">
        <w:t xml:space="preserve"> </w:t>
      </w:r>
      <w:r w:rsidR="004C216F">
        <w:t>vaccination is presented in Tables 5-6</w:t>
      </w:r>
      <w:r w:rsidR="00FE5E98" w:rsidRPr="005D5475">
        <w:t>.</w:t>
      </w:r>
    </w:p>
    <w:p w:rsidR="004C216F" w:rsidRDefault="004C216F" w:rsidP="000A64CA">
      <w:pPr>
        <w:pStyle w:val="TableTitle"/>
      </w:pPr>
      <w:proofErr w:type="gramStart"/>
      <w:r>
        <w:t xml:space="preserve">Table </w:t>
      </w:r>
      <w:r w:rsidR="00296F7A">
        <w:t>5</w:t>
      </w:r>
      <w:r>
        <w:t>:</w:t>
      </w:r>
      <w:r w:rsidRPr="004C5C28">
        <w:t xml:space="preserve"> </w:t>
      </w:r>
      <w:r w:rsidR="00761C70" w:rsidRPr="00761C70">
        <w:t xml:space="preserve">Immune </w:t>
      </w:r>
      <w:r w:rsidR="003655D3">
        <w:t>r</w:t>
      </w:r>
      <w:r w:rsidR="00761C70" w:rsidRPr="00761C70">
        <w:t xml:space="preserve">esponse in </w:t>
      </w:r>
      <w:r w:rsidR="003655D3">
        <w:t>c</w:t>
      </w:r>
      <w:r w:rsidR="00761C70" w:rsidRPr="00761C70">
        <w:t>hildren 2 to 5 years – FAS (main and sensitivity analysis)</w:t>
      </w:r>
      <w:r>
        <w:t>.</w:t>
      </w:r>
      <w:proofErr w:type="gramEnd"/>
    </w:p>
    <w:p w:rsidR="004C216F" w:rsidRDefault="00585AB0" w:rsidP="005D5475">
      <w:r>
        <w:rPr>
          <w:noProof/>
          <w:lang w:eastAsia="en-AU"/>
        </w:rPr>
        <w:drawing>
          <wp:inline distT="0" distB="0" distL="0" distR="0">
            <wp:extent cx="4690110" cy="1149985"/>
            <wp:effectExtent l="0" t="0" r="0" b="0"/>
            <wp:docPr id="8" name="Picture 8" descr="Table 5: Immune response in children 2 to 5 years – FAS (main and sensitivity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le 5: Immune response in children 2 to 5 years – FAS (main and sensitivity analys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0110" cy="1149985"/>
                    </a:xfrm>
                    <a:prstGeom prst="rect">
                      <a:avLst/>
                    </a:prstGeom>
                    <a:noFill/>
                    <a:ln>
                      <a:noFill/>
                    </a:ln>
                  </pic:spPr>
                </pic:pic>
              </a:graphicData>
            </a:graphic>
          </wp:inline>
        </w:drawing>
      </w:r>
    </w:p>
    <w:p w:rsidR="004C216F" w:rsidRDefault="004C216F" w:rsidP="000A64CA">
      <w:pPr>
        <w:pStyle w:val="TableTitle"/>
      </w:pPr>
      <w:proofErr w:type="gramStart"/>
      <w:r>
        <w:t xml:space="preserve">Table </w:t>
      </w:r>
      <w:r w:rsidR="00296F7A">
        <w:t>6</w:t>
      </w:r>
      <w:r>
        <w:t>:</w:t>
      </w:r>
      <w:r w:rsidRPr="004C5C28">
        <w:t xml:space="preserve"> </w:t>
      </w:r>
      <w:r w:rsidR="003E0347" w:rsidRPr="003E0347">
        <w:t xml:space="preserve">Immune </w:t>
      </w:r>
      <w:r w:rsidR="003E0347">
        <w:t>r</w:t>
      </w:r>
      <w:r w:rsidR="003E0347" w:rsidRPr="003E0347">
        <w:t xml:space="preserve">esponse in </w:t>
      </w:r>
      <w:r w:rsidR="003E0347">
        <w:t>t</w:t>
      </w:r>
      <w:r w:rsidR="003E0347" w:rsidRPr="003E0347">
        <w:t xml:space="preserve">oddler 12 to 24 </w:t>
      </w:r>
      <w:r w:rsidR="003E0347">
        <w:t>m</w:t>
      </w:r>
      <w:r w:rsidR="003E0347" w:rsidRPr="003E0347">
        <w:t>onths – FAS (main and sensitivity analysis)</w:t>
      </w:r>
      <w:r>
        <w:t>.</w:t>
      </w:r>
      <w:proofErr w:type="gramEnd"/>
    </w:p>
    <w:p w:rsidR="004C216F" w:rsidRDefault="00585AB0" w:rsidP="005D5475">
      <w:r>
        <w:rPr>
          <w:noProof/>
          <w:lang w:eastAsia="en-AU"/>
        </w:rPr>
        <w:drawing>
          <wp:inline distT="0" distB="0" distL="0" distR="0">
            <wp:extent cx="4645025" cy="1621155"/>
            <wp:effectExtent l="0" t="0" r="3175" b="0"/>
            <wp:docPr id="9" name="Picture 9" descr="Table 6: Immune response in toddler 12 to 24 months – FAS (main and sensitivity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ble 6: Immune response in toddler 12 to 24 months – FAS (main and sensitivity analys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5025" cy="1621155"/>
                    </a:xfrm>
                    <a:prstGeom prst="rect">
                      <a:avLst/>
                    </a:prstGeom>
                    <a:noFill/>
                    <a:ln>
                      <a:noFill/>
                    </a:ln>
                  </pic:spPr>
                </pic:pic>
              </a:graphicData>
            </a:graphic>
          </wp:inline>
        </w:drawing>
      </w:r>
    </w:p>
    <w:p w:rsidR="00FC64E6" w:rsidRDefault="00FC64E6" w:rsidP="00FC64E6">
      <w:r w:rsidRPr="00FC64E6">
        <w:t>In children 2-5 years, the JE-CV was administered as a booster dose as these children</w:t>
      </w:r>
      <w:r>
        <w:t xml:space="preserve"> </w:t>
      </w:r>
      <w:r w:rsidRPr="00FC64E6">
        <w:t>previously completed a two</w:t>
      </w:r>
      <w:r w:rsidR="00C242B8">
        <w:t xml:space="preserve"> </w:t>
      </w:r>
      <w:r w:rsidRPr="00FC64E6">
        <w:t>dose primary vaccination regimen with an MBDV in</w:t>
      </w:r>
      <w:r>
        <w:t xml:space="preserve"> </w:t>
      </w:r>
      <w:r w:rsidRPr="00FC64E6">
        <w:t>accordance with the Thai immuni</w:t>
      </w:r>
      <w:r w:rsidR="00C242B8">
        <w:t>s</w:t>
      </w:r>
      <w:r w:rsidRPr="00FC64E6">
        <w:t>ation schedule. The stu</w:t>
      </w:r>
      <w:r>
        <w:t xml:space="preserve">dy showed that one dose of JECV </w:t>
      </w:r>
      <w:r w:rsidRPr="00FC64E6">
        <w:t>provided a good booster response in all sub</w:t>
      </w:r>
      <w:r>
        <w:t xml:space="preserve">jects: 100.0% of children were </w:t>
      </w:r>
      <w:proofErr w:type="spellStart"/>
      <w:r w:rsidRPr="00FC64E6">
        <w:t>seroprotected</w:t>
      </w:r>
      <w:proofErr w:type="spellEnd"/>
      <w:r w:rsidRPr="00FC64E6">
        <w:t xml:space="preserve"> after JE-CV vaccination and the response persisted at least up to 3 years</w:t>
      </w:r>
      <w:r>
        <w:t xml:space="preserve"> </w:t>
      </w:r>
      <w:r w:rsidRPr="00FC64E6">
        <w:t>after vaccination</w:t>
      </w:r>
      <w:r>
        <w:t>.</w:t>
      </w:r>
    </w:p>
    <w:p w:rsidR="008556DD" w:rsidRPr="008556DD" w:rsidRDefault="008556DD" w:rsidP="008556DD">
      <w:r w:rsidRPr="008556DD">
        <w:t>In toddler 12-24 months, the immune response to the JE-CV virus (FAS) persisted at least</w:t>
      </w:r>
      <w:r>
        <w:t xml:space="preserve"> </w:t>
      </w:r>
      <w:r w:rsidRPr="008556DD">
        <w:t>up to 3 years post</w:t>
      </w:r>
      <w:r w:rsidR="00E4275D">
        <w:t xml:space="preserve"> </w:t>
      </w:r>
      <w:r w:rsidRPr="008556DD">
        <w:t>vaccination in the main analysis, a</w:t>
      </w:r>
      <w:r>
        <w:t xml:space="preserve">lthough the </w:t>
      </w:r>
      <w:proofErr w:type="spellStart"/>
      <w:r>
        <w:t>seroprotection</w:t>
      </w:r>
      <w:proofErr w:type="spellEnd"/>
      <w:r>
        <w:t xml:space="preserve"> rate </w:t>
      </w:r>
      <w:r w:rsidRPr="008556DD">
        <w:t>decreased from 96.4% at 28 days post</w:t>
      </w:r>
      <w:r w:rsidR="000613B3">
        <w:t xml:space="preserve"> </w:t>
      </w:r>
      <w:r w:rsidRPr="008556DD">
        <w:t>vaccination to 86.8</w:t>
      </w:r>
      <w:r>
        <w:t>% at 6 months post</w:t>
      </w:r>
      <w:r w:rsidR="000613B3">
        <w:t xml:space="preserve"> </w:t>
      </w:r>
      <w:r>
        <w:t xml:space="preserve">vaccination, </w:t>
      </w:r>
      <w:r w:rsidRPr="008556DD">
        <w:t>it remained stable at 84.4% 1 year after vaccina</w:t>
      </w:r>
      <w:r>
        <w:t xml:space="preserve">tion and at 84.1% 2 years after </w:t>
      </w:r>
      <w:r w:rsidRPr="008556DD">
        <w:t>vaccination, and increased to 95.2% 3 years a</w:t>
      </w:r>
      <w:r>
        <w:t xml:space="preserve">fter vaccination. </w:t>
      </w:r>
      <w:r w:rsidRPr="008556DD">
        <w:t xml:space="preserve">The </w:t>
      </w:r>
      <w:proofErr w:type="spellStart"/>
      <w:r w:rsidRPr="008556DD">
        <w:t>seroprotection</w:t>
      </w:r>
      <w:proofErr w:type="spellEnd"/>
      <w:r w:rsidRPr="008556DD">
        <w:t xml:space="preserve"> rate obtained with the sensitivi</w:t>
      </w:r>
      <w:r>
        <w:t xml:space="preserve">ty analysis was similar to that </w:t>
      </w:r>
      <w:r w:rsidRPr="008556DD">
        <w:t>of the main analysis in the FAS one year after vaccination, b</w:t>
      </w:r>
      <w:r>
        <w:t xml:space="preserve">ut slightly lower 2 years after </w:t>
      </w:r>
      <w:r w:rsidRPr="008556DD">
        <w:t>vaccination and markedly lower 3 years after vaccinati</w:t>
      </w:r>
      <w:r>
        <w:t xml:space="preserve">on, mainly due to subjects with </w:t>
      </w:r>
      <w:r w:rsidRPr="008556DD">
        <w:t xml:space="preserve">antibody titres below </w:t>
      </w:r>
      <w:proofErr w:type="spellStart"/>
      <w:r w:rsidRPr="008556DD">
        <w:t>seroprotection</w:t>
      </w:r>
      <w:proofErr w:type="spellEnd"/>
      <w:r w:rsidRPr="008556DD">
        <w:t xml:space="preserve"> who were withdrawn </w:t>
      </w:r>
      <w:r>
        <w:t xml:space="preserve">from the trial. This difference </w:t>
      </w:r>
      <w:r w:rsidRPr="008556DD">
        <w:t>indicated that the sensitivity analysis is the most</w:t>
      </w:r>
      <w:r>
        <w:t xml:space="preserve"> relevant for the assessment of </w:t>
      </w:r>
      <w:r w:rsidRPr="008556DD">
        <w:t>persistence of immune response as it takes into accoun</w:t>
      </w:r>
      <w:r>
        <w:t xml:space="preserve">t subjects with antibody titres </w:t>
      </w:r>
      <w:r w:rsidRPr="008556DD">
        <w:t xml:space="preserve">below the </w:t>
      </w:r>
      <w:proofErr w:type="spellStart"/>
      <w:r w:rsidRPr="008556DD">
        <w:t>seroprotection</w:t>
      </w:r>
      <w:proofErr w:type="spellEnd"/>
      <w:r w:rsidRPr="008556DD">
        <w:t xml:space="preserve"> threshold who were withdra</w:t>
      </w:r>
      <w:r>
        <w:t xml:space="preserve">wn from the trial. Based on the </w:t>
      </w:r>
      <w:r w:rsidRPr="008556DD">
        <w:t xml:space="preserve">sensitivity analysis the </w:t>
      </w:r>
      <w:proofErr w:type="spellStart"/>
      <w:r w:rsidRPr="008556DD">
        <w:t>seroprotection</w:t>
      </w:r>
      <w:proofErr w:type="spellEnd"/>
      <w:r w:rsidRPr="008556DD">
        <w:t xml:space="preserve"> rates decreased ov</w:t>
      </w:r>
      <w:r>
        <w:t xml:space="preserve">er time to 82.2% one year after </w:t>
      </w:r>
      <w:r w:rsidRPr="008556DD">
        <w:t>vaccination, 80.2% 2 years after vaccination, and 75.2%</w:t>
      </w:r>
      <w:r>
        <w:t xml:space="preserve"> 3 years after vaccination. The </w:t>
      </w:r>
      <w:r w:rsidRPr="008556DD">
        <w:t>immune response decreased for the four tested wild</w:t>
      </w:r>
      <w:r w:rsidR="001D73A8">
        <w:t xml:space="preserve"> </w:t>
      </w:r>
      <w:r w:rsidRPr="008556DD">
        <w:t>ty</w:t>
      </w:r>
      <w:r>
        <w:t xml:space="preserve">pe JE virus strains at 6 months </w:t>
      </w:r>
      <w:r w:rsidRPr="008556DD">
        <w:t>after vaccination.</w:t>
      </w:r>
      <w:r w:rsidR="0058007D" w:rsidRPr="0058007D">
        <w:t xml:space="preserve"> </w:t>
      </w:r>
      <w:r w:rsidR="0058007D">
        <w:t xml:space="preserve">The increased </w:t>
      </w:r>
      <w:proofErr w:type="spellStart"/>
      <w:r w:rsidR="0058007D" w:rsidRPr="008556DD">
        <w:t>seroprotection</w:t>
      </w:r>
      <w:proofErr w:type="spellEnd"/>
      <w:r w:rsidR="0058007D" w:rsidRPr="008556DD">
        <w:t xml:space="preserve"> rate 3 years after vaccination was mainly du</w:t>
      </w:r>
      <w:r w:rsidR="0058007D">
        <w:t xml:space="preserve">e to the withdrawal of subjects </w:t>
      </w:r>
      <w:r w:rsidR="0058007D" w:rsidRPr="008556DD">
        <w:t>presenting with neutrali</w:t>
      </w:r>
      <w:r w:rsidR="0058007D">
        <w:t>s</w:t>
      </w:r>
      <w:r w:rsidR="0058007D" w:rsidRPr="008556DD">
        <w:t xml:space="preserve">ing antibody titres below the </w:t>
      </w:r>
      <w:r w:rsidR="0058007D">
        <w:t xml:space="preserve">threshold for protection as per </w:t>
      </w:r>
      <w:r w:rsidR="0058007D" w:rsidRPr="008556DD">
        <w:t>protocol (so is essentially an artefact), as suggested by t</w:t>
      </w:r>
      <w:r w:rsidR="0058007D">
        <w:t xml:space="preserve">he results from the sensitivity </w:t>
      </w:r>
      <w:r w:rsidR="0058007D" w:rsidRPr="008556DD">
        <w:t>analysis.</w:t>
      </w:r>
    </w:p>
    <w:p w:rsidR="00FC64E6" w:rsidRDefault="008556DD" w:rsidP="008556DD">
      <w:r w:rsidRPr="008556DD">
        <w:lastRenderedPageBreak/>
        <w:t>Overall, the study shows that a single dose of JE-CV induces a protective immune response</w:t>
      </w:r>
      <w:r>
        <w:t xml:space="preserve"> </w:t>
      </w:r>
      <w:r w:rsidRPr="008556DD">
        <w:t>in both JE</w:t>
      </w:r>
      <w:r w:rsidR="0064291E">
        <w:t xml:space="preserve"> </w:t>
      </w:r>
      <w:r w:rsidRPr="008556DD">
        <w:t>naive and JE</w:t>
      </w:r>
      <w:r w:rsidR="0064291E">
        <w:t xml:space="preserve"> </w:t>
      </w:r>
      <w:r w:rsidRPr="008556DD">
        <w:t xml:space="preserve">immune paediatric subjects. </w:t>
      </w:r>
      <w:r>
        <w:t xml:space="preserve">In children who were previously </w:t>
      </w:r>
      <w:r w:rsidRPr="008556DD">
        <w:t xml:space="preserve">vaccinated with inactivated MBDV, a single dose of </w:t>
      </w:r>
      <w:r>
        <w:t xml:space="preserve">JE-CV induced a high protective </w:t>
      </w:r>
      <w:r w:rsidRPr="008556DD">
        <w:t>immune response and it persists up to at least 3 years po</w:t>
      </w:r>
      <w:r>
        <w:t>st</w:t>
      </w:r>
      <w:r w:rsidR="0064291E">
        <w:t xml:space="preserve"> </w:t>
      </w:r>
      <w:r>
        <w:t xml:space="preserve">vaccination. In toddlers who </w:t>
      </w:r>
      <w:r w:rsidRPr="008556DD">
        <w:t>were not previously vaccinated against JE, a single dos</w:t>
      </w:r>
      <w:r>
        <w:t xml:space="preserve">e of JE-CV induced a protective </w:t>
      </w:r>
      <w:r w:rsidRPr="008556DD">
        <w:t>immune response and it persists in the majority of subject</w:t>
      </w:r>
      <w:r>
        <w:t xml:space="preserve">s up to at least 3 years with a </w:t>
      </w:r>
      <w:proofErr w:type="spellStart"/>
      <w:r w:rsidRPr="008556DD">
        <w:t>seroprotection</w:t>
      </w:r>
      <w:proofErr w:type="spellEnd"/>
      <w:r w:rsidRPr="008556DD">
        <w:t xml:space="preserve"> rate of 75.2% (sensitivity analysis in the FAS</w:t>
      </w:r>
      <w:r>
        <w:t xml:space="preserve">), but it does seem to decrease </w:t>
      </w:r>
      <w:r w:rsidRPr="008556DD">
        <w:t>over time.</w:t>
      </w:r>
    </w:p>
    <w:p w:rsidR="00813459" w:rsidRDefault="00813459" w:rsidP="00443921">
      <w:pPr>
        <w:pStyle w:val="Heading5"/>
        <w:rPr>
          <w:lang w:eastAsia="en-AU"/>
        </w:rPr>
      </w:pPr>
      <w:r>
        <w:rPr>
          <w:lang w:eastAsia="en-AU"/>
        </w:rPr>
        <w:t>Study JEC05</w:t>
      </w:r>
    </w:p>
    <w:p w:rsidR="00813459" w:rsidRDefault="0064291E" w:rsidP="00813459">
      <w:r>
        <w:t>Study JEC05</w:t>
      </w:r>
      <w:r w:rsidR="00813459" w:rsidRPr="00813459">
        <w:t xml:space="preserve"> is a Phase III, multicentre, multinational, long</w:t>
      </w:r>
      <w:r>
        <w:t xml:space="preserve"> </w:t>
      </w:r>
      <w:r w:rsidR="00813459" w:rsidRPr="00813459">
        <w:t>term follow</w:t>
      </w:r>
      <w:r>
        <w:t xml:space="preserve"> </w:t>
      </w:r>
      <w:r w:rsidR="00813459" w:rsidRPr="00813459">
        <w:t>up of immunogenicity of</w:t>
      </w:r>
      <w:r w:rsidR="00813459">
        <w:t xml:space="preserve"> </w:t>
      </w:r>
      <w:r w:rsidR="00813459" w:rsidRPr="00813459">
        <w:t>a single dose of JE-CV in toddlers in Thailand and the Philippines (Interi</w:t>
      </w:r>
      <w:r w:rsidR="00813459">
        <w:t xml:space="preserve">m Report version </w:t>
      </w:r>
      <w:r w:rsidR="00813459" w:rsidRPr="00813459">
        <w:t>2.0</w:t>
      </w:r>
      <w:r>
        <w:t>,</w:t>
      </w:r>
      <w:r w:rsidR="00813459" w:rsidRPr="00813459">
        <w:t xml:space="preserve"> 12 May 2011). This was a follow on trial </w:t>
      </w:r>
      <w:r w:rsidR="00813459">
        <w:t xml:space="preserve">for JEC02. The submitted report </w:t>
      </w:r>
      <w:r w:rsidR="00813459" w:rsidRPr="00813459">
        <w:t>includes immunogenicity data up to Year 2. The study was conducted in approximately</w:t>
      </w:r>
      <w:r w:rsidR="00813459">
        <w:t xml:space="preserve"> </w:t>
      </w:r>
      <w:r w:rsidR="00813459" w:rsidRPr="00813459">
        <w:t>700 subjects who were vaccinated at 12 to 18 months of age with one dose of JE-CV in</w:t>
      </w:r>
      <w:r w:rsidR="00813459">
        <w:t xml:space="preserve"> </w:t>
      </w:r>
      <w:r w:rsidR="00813459" w:rsidRPr="00813459">
        <w:t>JEC02. No JE vaccine is administered in JEC05. In JEC02, study subjects received one dose</w:t>
      </w:r>
      <w:r w:rsidR="00813459">
        <w:t xml:space="preserve"> </w:t>
      </w:r>
      <w:r w:rsidR="00813459" w:rsidRPr="00813459">
        <w:t xml:space="preserve">of JE-CV and one dose of </w:t>
      </w:r>
      <w:r>
        <w:t>H</w:t>
      </w:r>
      <w:r w:rsidR="00813459" w:rsidRPr="00813459">
        <w:t>epatitis A vaccine one month apar</w:t>
      </w:r>
      <w:r w:rsidR="00813459">
        <w:t xml:space="preserve">t, and were to receive a second </w:t>
      </w:r>
      <w:r w:rsidR="00813459" w:rsidRPr="00813459">
        <w:t xml:space="preserve">dose of </w:t>
      </w:r>
      <w:r>
        <w:t>H</w:t>
      </w:r>
      <w:r w:rsidR="00813459" w:rsidRPr="00813459">
        <w:t>epatitis A 6 months later. There will be a 5</w:t>
      </w:r>
      <w:r>
        <w:t xml:space="preserve"> </w:t>
      </w:r>
      <w:r w:rsidR="00813459" w:rsidRPr="00813459">
        <w:t>year fol</w:t>
      </w:r>
      <w:r w:rsidR="00813459">
        <w:t>low</w:t>
      </w:r>
      <w:r>
        <w:t xml:space="preserve"> </w:t>
      </w:r>
      <w:r w:rsidR="00813459">
        <w:t xml:space="preserve">up. There are 5 visits and </w:t>
      </w:r>
      <w:r w:rsidR="00813459" w:rsidRPr="00813459">
        <w:t xml:space="preserve">5 blood samplings (1 visit with blood sampling per year). </w:t>
      </w:r>
      <w:r w:rsidR="00813459">
        <w:t xml:space="preserve">Subjects Disposition for Year 1 </w:t>
      </w:r>
      <w:r w:rsidR="00813459" w:rsidRPr="00813459">
        <w:t xml:space="preserve">and 2 are presented in </w:t>
      </w:r>
      <w:r w:rsidR="00813459">
        <w:t>Table 7</w:t>
      </w:r>
      <w:r w:rsidR="00813459" w:rsidRPr="00813459">
        <w:t>.</w:t>
      </w:r>
    </w:p>
    <w:p w:rsidR="00813459" w:rsidRDefault="00813459" w:rsidP="00186D03">
      <w:pPr>
        <w:pStyle w:val="TableTitle"/>
      </w:pPr>
      <w:proofErr w:type="gramStart"/>
      <w:r>
        <w:t>Table 7:</w:t>
      </w:r>
      <w:r w:rsidRPr="004C5C28">
        <w:t xml:space="preserve"> </w:t>
      </w:r>
      <w:r w:rsidRPr="00813459">
        <w:t xml:space="preserve">Subjects </w:t>
      </w:r>
      <w:r>
        <w:t>d</w:t>
      </w:r>
      <w:r w:rsidRPr="00813459">
        <w:t>isposition for Year 1 and 2 in Study JEC05</w:t>
      </w:r>
      <w:r>
        <w:t>.</w:t>
      </w:r>
      <w:proofErr w:type="gramEnd"/>
    </w:p>
    <w:p w:rsidR="00813459" w:rsidRDefault="00585AB0" w:rsidP="00813459">
      <w:r>
        <w:rPr>
          <w:noProof/>
          <w:lang w:eastAsia="en-AU"/>
        </w:rPr>
        <w:drawing>
          <wp:inline distT="0" distB="0" distL="0" distR="0">
            <wp:extent cx="4852670" cy="1470025"/>
            <wp:effectExtent l="0" t="0" r="5080" b="0"/>
            <wp:docPr id="10" name="Picture 10" descr="Table 7: Subjects disposition for Year 1 and 2 in Study JE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ble 7: Subjects disposition for Year 1 and 2 in Study JEC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2670" cy="1470025"/>
                    </a:xfrm>
                    <a:prstGeom prst="rect">
                      <a:avLst/>
                    </a:prstGeom>
                    <a:noFill/>
                    <a:ln>
                      <a:noFill/>
                    </a:ln>
                  </pic:spPr>
                </pic:pic>
              </a:graphicData>
            </a:graphic>
          </wp:inline>
        </w:drawing>
      </w:r>
    </w:p>
    <w:p w:rsidR="007A3F51" w:rsidRDefault="007A3F51" w:rsidP="007A3F51">
      <w:r w:rsidRPr="007A3F51">
        <w:t>A total of 2.6% of subjects enrolled in JEC05 (PP set) had pre</w:t>
      </w:r>
      <w:r w:rsidR="00C864EE">
        <w:t>-</w:t>
      </w:r>
      <w:r w:rsidRPr="007A3F51">
        <w:t>existing neutrali</w:t>
      </w:r>
      <w:r w:rsidR="00353D90">
        <w:t>s</w:t>
      </w:r>
      <w:r w:rsidRPr="007A3F51">
        <w:t>ing</w:t>
      </w:r>
      <w:r>
        <w:t xml:space="preserve"> </w:t>
      </w:r>
      <w:r w:rsidRPr="007A3F51">
        <w:t>antibody titres before vaccination with JE-CV in JE</w:t>
      </w:r>
      <w:r>
        <w:t xml:space="preserve">C02. All subjects (100.0%) were </w:t>
      </w:r>
      <w:proofErr w:type="spellStart"/>
      <w:r w:rsidRPr="007A3F51">
        <w:t>seroprotected</w:t>
      </w:r>
      <w:proofErr w:type="spellEnd"/>
      <w:r w:rsidRPr="007A3F51">
        <w:t xml:space="preserve"> 28 days after a single dose of JE-CV, and th</w:t>
      </w:r>
      <w:r>
        <w:t xml:space="preserve">e majority (88.2% [95% CI 85.3; </w:t>
      </w:r>
      <w:r w:rsidRPr="007A3F51">
        <w:t xml:space="preserve">90.7]) was </w:t>
      </w:r>
      <w:proofErr w:type="spellStart"/>
      <w:r w:rsidRPr="007A3F51">
        <w:t>seroprotected</w:t>
      </w:r>
      <w:proofErr w:type="spellEnd"/>
      <w:r w:rsidRPr="007A3F51">
        <w:t xml:space="preserve"> 1 year after vaccination (Year 1 P</w:t>
      </w:r>
      <w:r>
        <w:t xml:space="preserve">P set and FAS). Two years after </w:t>
      </w:r>
      <w:r w:rsidRPr="007A3F51">
        <w:t xml:space="preserve">vaccination with JE-CV, </w:t>
      </w:r>
      <w:r w:rsidRPr="007A3F51">
        <w:rPr>
          <w:b/>
        </w:rPr>
        <w:t>90.0%</w:t>
      </w:r>
      <w:r w:rsidRPr="007A3F51">
        <w:t xml:space="preserve"> (95% CI: 87.2; 92.4) of the</w:t>
      </w:r>
      <w:r>
        <w:t xml:space="preserve"> subjects who attended the Year </w:t>
      </w:r>
      <w:r w:rsidRPr="007A3F51">
        <w:t xml:space="preserve">2 visit were still </w:t>
      </w:r>
      <w:proofErr w:type="spellStart"/>
      <w:r w:rsidRPr="007A3F51">
        <w:t>seroprotected</w:t>
      </w:r>
      <w:proofErr w:type="spellEnd"/>
      <w:r w:rsidRPr="007A3F51">
        <w:t xml:space="preserve"> (Year 2 PP set)</w:t>
      </w:r>
      <w:r w:rsidR="005426A2">
        <w:t xml:space="preserve"> (Table 8)</w:t>
      </w:r>
      <w:r w:rsidRPr="007A3F51">
        <w:t>.</w:t>
      </w:r>
    </w:p>
    <w:p w:rsidR="00942143" w:rsidRDefault="00942143" w:rsidP="00186D03">
      <w:pPr>
        <w:pStyle w:val="TableTitle"/>
      </w:pPr>
      <w:r>
        <w:t>Table 8:</w:t>
      </w:r>
      <w:r w:rsidRPr="004C5C28">
        <w:t xml:space="preserve"> </w:t>
      </w:r>
      <w:proofErr w:type="spellStart"/>
      <w:r w:rsidR="00447F19">
        <w:t>Seroprotection</w:t>
      </w:r>
      <w:proofErr w:type="spellEnd"/>
      <w:r w:rsidR="00447F19">
        <w:t xml:space="preserve"> rates after Year 2</w:t>
      </w:r>
      <w:r>
        <w:t>.</w:t>
      </w:r>
    </w:p>
    <w:p w:rsidR="00942143" w:rsidRDefault="00585AB0" w:rsidP="007A3F51">
      <w:r>
        <w:rPr>
          <w:noProof/>
          <w:lang w:eastAsia="en-AU"/>
        </w:rPr>
        <w:drawing>
          <wp:inline distT="0" distB="0" distL="0" distR="0">
            <wp:extent cx="4723765" cy="2030730"/>
            <wp:effectExtent l="0" t="0" r="635" b="7620"/>
            <wp:docPr id="11" name="Picture 11" descr="Table 8: Seroprotection rates after Ye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 8: Seroprotection rates after Year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3765" cy="2030730"/>
                    </a:xfrm>
                    <a:prstGeom prst="rect">
                      <a:avLst/>
                    </a:prstGeom>
                    <a:noFill/>
                    <a:ln>
                      <a:noFill/>
                    </a:ln>
                  </pic:spPr>
                </pic:pic>
              </a:graphicData>
            </a:graphic>
          </wp:inline>
        </w:drawing>
      </w:r>
    </w:p>
    <w:p w:rsidR="00877CA5" w:rsidRPr="00877CA5" w:rsidRDefault="00877CA5" w:rsidP="00877CA5">
      <w:r w:rsidRPr="00877CA5">
        <w:t>For evaluation of the long</w:t>
      </w:r>
      <w:r w:rsidR="00E4100D">
        <w:t xml:space="preserve"> </w:t>
      </w:r>
      <w:r w:rsidRPr="00877CA5">
        <w:t>term persistence of immune response, a sensitivity analysis is</w:t>
      </w:r>
      <w:r>
        <w:t xml:space="preserve"> </w:t>
      </w:r>
      <w:r w:rsidRPr="00877CA5">
        <w:t xml:space="preserve">performed with the same rule for missing values as for </w:t>
      </w:r>
      <w:r>
        <w:t xml:space="preserve">JEC01, any </w:t>
      </w:r>
      <w:proofErr w:type="spellStart"/>
      <w:r>
        <w:t>seronegative</w:t>
      </w:r>
      <w:proofErr w:type="spellEnd"/>
      <w:r>
        <w:t xml:space="preserve"> subject </w:t>
      </w:r>
      <w:r w:rsidRPr="00877CA5">
        <w:lastRenderedPageBreak/>
        <w:t xml:space="preserve">will be assumed to be </w:t>
      </w:r>
      <w:proofErr w:type="spellStart"/>
      <w:r w:rsidRPr="00877CA5">
        <w:t>seronegative</w:t>
      </w:r>
      <w:proofErr w:type="spellEnd"/>
      <w:r w:rsidRPr="00877CA5">
        <w:t xml:space="preserve"> at the next visits. Con</w:t>
      </w:r>
      <w:r>
        <w:t xml:space="preserve">sequently, more subjects appear </w:t>
      </w:r>
      <w:r w:rsidRPr="00877CA5">
        <w:t>in the denominator for the sensitivity analysis as subject</w:t>
      </w:r>
      <w:r>
        <w:t xml:space="preserve">s known for having antibody </w:t>
      </w:r>
      <w:r w:rsidRPr="00877CA5">
        <w:t xml:space="preserve">titres below the threshold of protection are taken into </w:t>
      </w:r>
      <w:r>
        <w:t xml:space="preserve">account. This analysis is to be </w:t>
      </w:r>
      <w:r w:rsidRPr="00877CA5">
        <w:t>produced using the FAS and the PP set, from Year 2. The se</w:t>
      </w:r>
      <w:r>
        <w:t xml:space="preserve">nsitivity analysis performed at </w:t>
      </w:r>
      <w:r w:rsidRPr="00877CA5">
        <w:t xml:space="preserve">Year 2 in the FAS showed a slight difference for </w:t>
      </w:r>
      <w:proofErr w:type="spellStart"/>
      <w:r w:rsidRPr="00877CA5">
        <w:t>seroprot</w:t>
      </w:r>
      <w:r>
        <w:t>ection</w:t>
      </w:r>
      <w:proofErr w:type="spellEnd"/>
      <w:r>
        <w:t xml:space="preserve"> rate and GMT compared to </w:t>
      </w:r>
      <w:r w:rsidRPr="00877CA5">
        <w:t>those of the main analysis performed in the FAS. According</w:t>
      </w:r>
      <w:r>
        <w:t xml:space="preserve"> to the sensitivity analysis at </w:t>
      </w:r>
      <w:r w:rsidRPr="00877CA5">
        <w:t xml:space="preserve">Year 2, </w:t>
      </w:r>
      <w:r w:rsidRPr="006630AD">
        <w:rPr>
          <w:b/>
        </w:rPr>
        <w:t>85.9%</w:t>
      </w:r>
      <w:r w:rsidRPr="00877CA5">
        <w:t xml:space="preserve"> (95% CI: 82.8; 88.6) of subjects were </w:t>
      </w:r>
      <w:proofErr w:type="spellStart"/>
      <w:r w:rsidRPr="00877CA5">
        <w:t>seroprotected</w:t>
      </w:r>
      <w:proofErr w:type="spellEnd"/>
      <w:r w:rsidRPr="00877CA5">
        <w:t xml:space="preserve"> 2 years </w:t>
      </w:r>
      <w:proofErr w:type="spellStart"/>
      <w:r w:rsidRPr="00877CA5">
        <w:t>pos</w:t>
      </w:r>
      <w:r>
        <w:t>tvaccination</w:t>
      </w:r>
      <w:proofErr w:type="spellEnd"/>
      <w:r>
        <w:t xml:space="preserve"> </w:t>
      </w:r>
      <w:r w:rsidRPr="00877CA5">
        <w:t>and the GMT was 71.4 1/</w:t>
      </w:r>
      <w:proofErr w:type="spellStart"/>
      <w:r w:rsidRPr="00877CA5">
        <w:t>dil</w:t>
      </w:r>
      <w:proofErr w:type="spellEnd"/>
      <w:r w:rsidRPr="00877CA5">
        <w:t xml:space="preserve"> (95% CI: 62.7; 81.3).</w:t>
      </w:r>
    </w:p>
    <w:p w:rsidR="00877CA5" w:rsidRPr="00877CA5" w:rsidRDefault="00877CA5" w:rsidP="00877CA5">
      <w:r w:rsidRPr="00877CA5">
        <w:t>No confirmed JE cases were reported from 6 months to 2 y</w:t>
      </w:r>
      <w:r>
        <w:t xml:space="preserve">ears after JE-CV administration </w:t>
      </w:r>
      <w:r w:rsidRPr="00877CA5">
        <w:t>in JEC02.</w:t>
      </w:r>
    </w:p>
    <w:p w:rsidR="00877CA5" w:rsidRPr="00877CA5" w:rsidRDefault="00877CA5" w:rsidP="00877CA5">
      <w:r w:rsidRPr="00877CA5">
        <w:t xml:space="preserve">Overall, about </w:t>
      </w:r>
      <w:r w:rsidRPr="006630AD">
        <w:rPr>
          <w:b/>
        </w:rPr>
        <w:t>85.9%</w:t>
      </w:r>
      <w:r w:rsidRPr="00877CA5">
        <w:t xml:space="preserve"> of the subjects who were still </w:t>
      </w:r>
      <w:proofErr w:type="spellStart"/>
      <w:r w:rsidRPr="00877CA5">
        <w:t>seroprotected</w:t>
      </w:r>
      <w:proofErr w:type="spellEnd"/>
      <w:r w:rsidRPr="00877CA5">
        <w:t xml:space="preserve"> at 2 years after the</w:t>
      </w:r>
      <w:r>
        <w:t xml:space="preserve"> </w:t>
      </w:r>
      <w:r w:rsidRPr="00877CA5">
        <w:t>single dose of JE-</w:t>
      </w:r>
      <w:proofErr w:type="gramStart"/>
      <w:r w:rsidRPr="00877CA5">
        <w:t>CV.</w:t>
      </w:r>
      <w:proofErr w:type="gramEnd"/>
    </w:p>
    <w:p w:rsidR="00877CA5" w:rsidRPr="007A3F51" w:rsidRDefault="00877CA5" w:rsidP="00443921">
      <w:pPr>
        <w:pStyle w:val="Heading5"/>
      </w:pPr>
      <w:r>
        <w:rPr>
          <w:lang w:eastAsia="en-AU"/>
        </w:rPr>
        <w:t>Study JEC15 in paediatrics (immune memory</w:t>
      </w:r>
      <w:r>
        <w:rPr>
          <w:rFonts w:cs="Cambria"/>
          <w:lang w:eastAsia="en-AU"/>
        </w:rPr>
        <w:t>)</w:t>
      </w:r>
    </w:p>
    <w:p w:rsidR="00A141AC" w:rsidRDefault="00A141AC" w:rsidP="00443921">
      <w:pPr>
        <w:pStyle w:val="Heading6"/>
        <w:rPr>
          <w:lang w:eastAsia="en-AU"/>
        </w:rPr>
      </w:pPr>
      <w:bookmarkStart w:id="148" w:name="_Toc314842514"/>
      <w:r>
        <w:rPr>
          <w:lang w:eastAsia="en-AU"/>
        </w:rPr>
        <w:t>JEC15</w:t>
      </w:r>
    </w:p>
    <w:p w:rsidR="00A141AC" w:rsidRPr="005B2DA5" w:rsidRDefault="00311490" w:rsidP="005B2DA5">
      <w:r>
        <w:t xml:space="preserve">Study </w:t>
      </w:r>
      <w:r w:rsidR="00A141AC" w:rsidRPr="005B2DA5">
        <w:t>JEC15 is an open, controlled, multicentre, Phase III trial conducted in approximately 505</w:t>
      </w:r>
      <w:r w:rsidR="005B2DA5">
        <w:t xml:space="preserve"> </w:t>
      </w:r>
      <w:r w:rsidR="00A141AC" w:rsidRPr="005B2DA5">
        <w:t>children aged 36 to 42 months. The study assess</w:t>
      </w:r>
      <w:r w:rsidR="005B2DA5">
        <w:t xml:space="preserve">ed the safety and memory immune </w:t>
      </w:r>
      <w:r w:rsidR="00A141AC" w:rsidRPr="005B2DA5">
        <w:t>response of JE-CV in children who were previously immuni</w:t>
      </w:r>
      <w:r w:rsidR="00052B91">
        <w:t>s</w:t>
      </w:r>
      <w:r w:rsidR="005B2DA5">
        <w:t xml:space="preserve">ed with a single dose of JE-CV </w:t>
      </w:r>
      <w:r w:rsidR="00A141AC" w:rsidRPr="005B2DA5">
        <w:t>and then received a booster dose of JE-CV (Interim Repo</w:t>
      </w:r>
      <w:r w:rsidR="00BA7E56">
        <w:t xml:space="preserve">rt version 2.0, 11 April 2012). </w:t>
      </w:r>
      <w:r w:rsidR="00A141AC" w:rsidRPr="005B2DA5">
        <w:t>This study was also a follow on trial for JEC02. The study subjects were to be enrolled in 3 groups:</w:t>
      </w:r>
    </w:p>
    <w:p w:rsidR="00A141AC" w:rsidRPr="00A141AC" w:rsidRDefault="00A141AC" w:rsidP="005B2DA5">
      <w:pPr>
        <w:pStyle w:val="ListBullet"/>
      </w:pPr>
      <w:r w:rsidRPr="00A141AC">
        <w:t>Group 1: A maximum of 400 children who were previously vaccinated at 12 to 18 months of age with a</w:t>
      </w:r>
      <w:r>
        <w:t xml:space="preserve"> </w:t>
      </w:r>
      <w:r w:rsidRPr="00A141AC">
        <w:t>single dose of JE-CV were to receive a booster dose of JE-CV at Visit 1, D</w:t>
      </w:r>
      <w:r w:rsidR="00230677">
        <w:t xml:space="preserve">ay </w:t>
      </w:r>
      <w:r w:rsidRPr="00A141AC">
        <w:t>0</w:t>
      </w:r>
      <w:r w:rsidR="00230677">
        <w:t xml:space="preserve"> (D0)</w:t>
      </w:r>
      <w:r w:rsidRPr="00A141AC">
        <w:t>.</w:t>
      </w:r>
    </w:p>
    <w:p w:rsidR="00A141AC" w:rsidRPr="00A141AC" w:rsidRDefault="00A141AC" w:rsidP="005B2DA5">
      <w:pPr>
        <w:pStyle w:val="ListBullet"/>
        <w:numPr>
          <w:ilvl w:val="0"/>
          <w:numId w:val="0"/>
        </w:numPr>
        <w:ind w:left="360"/>
      </w:pPr>
      <w:r w:rsidRPr="00A141AC">
        <w:t>The 105 JE vaccine naïve control children were to be randomi</w:t>
      </w:r>
      <w:r w:rsidR="003E2C58">
        <w:t>s</w:t>
      </w:r>
      <w:r w:rsidRPr="00A141AC">
        <w:t>ed into 2 groups:</w:t>
      </w:r>
    </w:p>
    <w:p w:rsidR="00A141AC" w:rsidRPr="00A141AC" w:rsidRDefault="00A141AC" w:rsidP="005B2DA5">
      <w:pPr>
        <w:pStyle w:val="ListBullet"/>
      </w:pPr>
      <w:r w:rsidRPr="00A141AC">
        <w:t>Group 2: (immunogenicity control group): 45 children wer</w:t>
      </w:r>
      <w:r>
        <w:t xml:space="preserve">e to receive one single dose of </w:t>
      </w:r>
      <w:r w:rsidRPr="00A141AC">
        <w:t>JE-CV on D0</w:t>
      </w:r>
    </w:p>
    <w:p w:rsidR="00A141AC" w:rsidRDefault="00A141AC" w:rsidP="005B2DA5">
      <w:pPr>
        <w:pStyle w:val="ListBullet"/>
      </w:pPr>
      <w:r w:rsidRPr="00A141AC">
        <w:t>Group 3: (safety control group): 60 children were to receive a varicella vaccination on D0</w:t>
      </w:r>
    </w:p>
    <w:p w:rsidR="005E793E" w:rsidRPr="005E793E" w:rsidRDefault="005E793E" w:rsidP="005E793E">
      <w:r w:rsidRPr="005E793E">
        <w:t>Group 1 included a total of 340 children who previously vaccinated (2 years earlier at 12</w:t>
      </w:r>
      <w:r>
        <w:t xml:space="preserve"> </w:t>
      </w:r>
      <w:r w:rsidRPr="005E793E">
        <w:t>to 18 months of age) with a single dose of JE-CV in</w:t>
      </w:r>
      <w:r>
        <w:t xml:space="preserve"> Study JEC02 and who received a </w:t>
      </w:r>
      <w:r w:rsidRPr="005E793E">
        <w:t>booster dose of JE-CV at Visit 1 (D0). These subjects had blood samples at baseline</w:t>
      </w:r>
      <w:r>
        <w:t xml:space="preserve"> (pre</w:t>
      </w:r>
      <w:r w:rsidR="00230677">
        <w:t xml:space="preserve"> </w:t>
      </w:r>
      <w:r>
        <w:t xml:space="preserve">vaccination </w:t>
      </w:r>
      <w:r w:rsidRPr="005E793E">
        <w:t>on D0), and on Day 7, Day 28 post</w:t>
      </w:r>
      <w:r w:rsidR="003E2C58">
        <w:t xml:space="preserve"> </w:t>
      </w:r>
      <w:r w:rsidRPr="005E793E">
        <w:t>JE-CV vaccination and will provide blood</w:t>
      </w:r>
      <w:r>
        <w:t xml:space="preserve"> </w:t>
      </w:r>
      <w:r w:rsidRPr="005E793E">
        <w:t>samples at Year (Y) 1, Y2, Y3, Y4, and Y5.</w:t>
      </w:r>
    </w:p>
    <w:p w:rsidR="005E793E" w:rsidRDefault="005E793E" w:rsidP="00443921">
      <w:pPr>
        <w:pStyle w:val="Heading6"/>
        <w:rPr>
          <w:lang w:eastAsia="en-AU"/>
        </w:rPr>
      </w:pPr>
      <w:r>
        <w:rPr>
          <w:lang w:eastAsia="en-AU"/>
        </w:rPr>
        <w:t>SPR and SCR at 28 Days after JE-CV vaccination</w:t>
      </w:r>
    </w:p>
    <w:p w:rsidR="005E793E" w:rsidRDefault="005E793E" w:rsidP="003231DF">
      <w:pPr>
        <w:autoSpaceDE w:val="0"/>
        <w:autoSpaceDN w:val="0"/>
        <w:adjustRightInd w:val="0"/>
        <w:spacing w:before="0" w:after="0" w:line="240" w:lineRule="auto"/>
        <w:rPr>
          <w:rFonts w:cs="Cambria"/>
          <w:lang w:eastAsia="en-AU"/>
        </w:rPr>
      </w:pPr>
      <w:r>
        <w:rPr>
          <w:rFonts w:cs="Cambria"/>
          <w:lang w:eastAsia="en-AU"/>
        </w:rPr>
        <w:t xml:space="preserve">The </w:t>
      </w:r>
      <w:proofErr w:type="spellStart"/>
      <w:r>
        <w:rPr>
          <w:rFonts w:cs="Cambria"/>
          <w:lang w:eastAsia="en-AU"/>
        </w:rPr>
        <w:t>seroprotection</w:t>
      </w:r>
      <w:proofErr w:type="spellEnd"/>
      <w:r>
        <w:rPr>
          <w:rFonts w:cs="Cambria"/>
          <w:lang w:eastAsia="en-AU"/>
        </w:rPr>
        <w:t xml:space="preserve"> rate (SPR) on D0 and</w:t>
      </w:r>
      <w:r w:rsidR="003231DF">
        <w:rPr>
          <w:rFonts w:cs="Cambria"/>
          <w:lang w:eastAsia="en-AU"/>
        </w:rPr>
        <w:t xml:space="preserve"> </w:t>
      </w:r>
      <w:proofErr w:type="spellStart"/>
      <w:r>
        <w:rPr>
          <w:rFonts w:cs="Cambria"/>
          <w:lang w:eastAsia="en-AU"/>
        </w:rPr>
        <w:t>seroprotection</w:t>
      </w:r>
      <w:proofErr w:type="spellEnd"/>
      <w:r>
        <w:rPr>
          <w:rFonts w:cs="Cambria"/>
          <w:lang w:eastAsia="en-AU"/>
        </w:rPr>
        <w:t xml:space="preserve"> and </w:t>
      </w:r>
      <w:r w:rsidR="00C96F4D" w:rsidRPr="00AA4D35">
        <w:t>SCR</w:t>
      </w:r>
      <w:r>
        <w:rPr>
          <w:rFonts w:cs="Cambria"/>
          <w:lang w:eastAsia="en-AU"/>
        </w:rPr>
        <w:t>s on Day 7 and 28 after a booster dose of JE-CV (JECV</w:t>
      </w:r>
      <w:r w:rsidR="003231DF">
        <w:rPr>
          <w:rFonts w:cs="Cambria"/>
          <w:lang w:eastAsia="en-AU"/>
        </w:rPr>
        <w:t xml:space="preserve"> </w:t>
      </w:r>
      <w:r>
        <w:rPr>
          <w:rFonts w:cs="Cambria"/>
          <w:lang w:eastAsia="en-AU"/>
        </w:rPr>
        <w:t xml:space="preserve">Dose 2) are presented in </w:t>
      </w:r>
      <w:r w:rsidR="0090424D">
        <w:rPr>
          <w:rFonts w:cs="Cambria"/>
          <w:lang w:eastAsia="en-AU"/>
        </w:rPr>
        <w:t>Table 9</w:t>
      </w:r>
      <w:r>
        <w:rPr>
          <w:rFonts w:cs="Cambria"/>
          <w:lang w:eastAsia="en-AU"/>
        </w:rPr>
        <w:t xml:space="preserve"> for subjects in Group 1 and for the JE vaccine</w:t>
      </w:r>
      <w:r w:rsidR="003231DF">
        <w:rPr>
          <w:rFonts w:cs="Cambria"/>
          <w:lang w:eastAsia="en-AU"/>
        </w:rPr>
        <w:t xml:space="preserve"> </w:t>
      </w:r>
      <w:r>
        <w:rPr>
          <w:rFonts w:cs="Cambria"/>
          <w:lang w:eastAsia="en-AU"/>
        </w:rPr>
        <w:t>naive control subjects in Group 2 (JE-CV Dose 1), as assessed by JE-CV virus PRNT50 (PP</w:t>
      </w:r>
      <w:r w:rsidR="003231DF">
        <w:rPr>
          <w:rFonts w:cs="Cambria"/>
          <w:lang w:eastAsia="en-AU"/>
        </w:rPr>
        <w:t xml:space="preserve"> </w:t>
      </w:r>
      <w:r>
        <w:rPr>
          <w:rFonts w:cs="Cambria"/>
          <w:lang w:eastAsia="en-AU"/>
        </w:rPr>
        <w:t>set).</w:t>
      </w:r>
    </w:p>
    <w:p w:rsidR="00C37FC9" w:rsidRDefault="00C37FC9" w:rsidP="00186D03">
      <w:pPr>
        <w:pStyle w:val="TableTitle"/>
      </w:pPr>
      <w:proofErr w:type="gramStart"/>
      <w:r>
        <w:lastRenderedPageBreak/>
        <w:t>Table 9:</w:t>
      </w:r>
      <w:r w:rsidRPr="004C5C28">
        <w:t xml:space="preserve"> </w:t>
      </w:r>
      <w:r w:rsidR="00A5721A" w:rsidRPr="00A5721A">
        <w:t>JEC15, Summary of SPR and SCR up to Day 28 after Vaccine Injection – Per Protocol Set</w:t>
      </w:r>
      <w:r>
        <w:t>.</w:t>
      </w:r>
      <w:proofErr w:type="gramEnd"/>
    </w:p>
    <w:p w:rsidR="00C37FC9" w:rsidRDefault="00585AB0" w:rsidP="003231DF">
      <w:pPr>
        <w:autoSpaceDE w:val="0"/>
        <w:autoSpaceDN w:val="0"/>
        <w:adjustRightInd w:val="0"/>
        <w:spacing w:before="0" w:after="0" w:line="240" w:lineRule="auto"/>
      </w:pPr>
      <w:r>
        <w:rPr>
          <w:noProof/>
          <w:lang w:eastAsia="en-AU"/>
        </w:rPr>
        <w:drawing>
          <wp:inline distT="0" distB="0" distL="0" distR="0">
            <wp:extent cx="4762500" cy="1789430"/>
            <wp:effectExtent l="0" t="0" r="0" b="1270"/>
            <wp:docPr id="12" name="Picture 12" descr="Table 9: JEC15, Summary of SPR and SCR up to Day 28 after Vaccine Injection – Per Protocol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ble 9: JEC15, Summary of SPR and SCR up to Day 28 after Vaccine Injection – Per Protocol Se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1789430"/>
                    </a:xfrm>
                    <a:prstGeom prst="rect">
                      <a:avLst/>
                    </a:prstGeom>
                    <a:noFill/>
                    <a:ln>
                      <a:noFill/>
                    </a:ln>
                  </pic:spPr>
                </pic:pic>
              </a:graphicData>
            </a:graphic>
          </wp:inline>
        </w:drawing>
      </w:r>
    </w:p>
    <w:p w:rsidR="00B06BAA" w:rsidRDefault="00B06BAA" w:rsidP="00C864EE">
      <w:pPr>
        <w:pStyle w:val="TableDescription"/>
        <w:rPr>
          <w:lang w:eastAsia="en-AU"/>
        </w:rPr>
      </w:pPr>
      <w:r>
        <w:rPr>
          <w:lang w:eastAsia="en-AU"/>
        </w:rPr>
        <w:t>M: number of subjects with available data for the endpoint;</w:t>
      </w:r>
    </w:p>
    <w:p w:rsidR="00B06BAA" w:rsidRDefault="00B06BAA" w:rsidP="00C864EE">
      <w:pPr>
        <w:pStyle w:val="TableDescription"/>
        <w:rPr>
          <w:lang w:eastAsia="en-AU"/>
        </w:rPr>
      </w:pPr>
      <w:r>
        <w:rPr>
          <w:lang w:eastAsia="en-AU"/>
        </w:rPr>
        <w:t xml:space="preserve">* Corresponds </w:t>
      </w:r>
      <w:r w:rsidR="00974A7C">
        <w:rPr>
          <w:lang w:eastAsia="en-AU"/>
        </w:rPr>
        <w:t xml:space="preserve">to </w:t>
      </w:r>
      <w:proofErr w:type="spellStart"/>
      <w:r w:rsidR="00974A7C">
        <w:rPr>
          <w:lang w:eastAsia="en-AU"/>
        </w:rPr>
        <w:t>seroprotection</w:t>
      </w:r>
      <w:proofErr w:type="spellEnd"/>
      <w:r w:rsidR="00974A7C">
        <w:rPr>
          <w:lang w:eastAsia="en-AU"/>
        </w:rPr>
        <w:t>, that is, a titre</w:t>
      </w:r>
      <w:r>
        <w:rPr>
          <w:lang w:eastAsia="en-AU"/>
        </w:rPr>
        <w:t xml:space="preserve"> </w:t>
      </w:r>
      <w:r>
        <w:rPr>
          <w:rFonts w:eastAsia="MSMincho-WinCharSetFFFF-H" w:cs="Arial"/>
          <w:lang w:eastAsia="en-AU"/>
        </w:rPr>
        <w:t xml:space="preserve">≥ </w:t>
      </w:r>
      <w:r>
        <w:rPr>
          <w:lang w:eastAsia="en-AU"/>
        </w:rPr>
        <w:t>1/10;</w:t>
      </w:r>
    </w:p>
    <w:p w:rsidR="00B06BAA" w:rsidRDefault="00B06BAA" w:rsidP="00C864EE">
      <w:pPr>
        <w:pStyle w:val="TableDescription"/>
        <w:rPr>
          <w:lang w:eastAsia="en-AU"/>
        </w:rPr>
      </w:pPr>
      <w:r>
        <w:rPr>
          <w:lang w:eastAsia="en-AU"/>
        </w:rPr>
        <w:t xml:space="preserve">** </w:t>
      </w:r>
      <w:proofErr w:type="spellStart"/>
      <w:r>
        <w:rPr>
          <w:lang w:eastAsia="en-AU"/>
        </w:rPr>
        <w:t>Seroconversion</w:t>
      </w:r>
      <w:proofErr w:type="spellEnd"/>
      <w:r>
        <w:rPr>
          <w:lang w:eastAsia="en-AU"/>
        </w:rPr>
        <w:t>: subje</w:t>
      </w:r>
      <w:r w:rsidR="00974A7C">
        <w:rPr>
          <w:lang w:eastAsia="en-AU"/>
        </w:rPr>
        <w:t>cts with a pre-vaccination titre</w:t>
      </w:r>
      <w:r>
        <w:rPr>
          <w:lang w:eastAsia="en-AU"/>
        </w:rPr>
        <w:t xml:space="preserve"> &lt;</w:t>
      </w:r>
      <w:r w:rsidR="00974A7C">
        <w:rPr>
          <w:lang w:eastAsia="en-AU"/>
        </w:rPr>
        <w:t xml:space="preserve"> 1/10 and post vaccination titre</w:t>
      </w:r>
      <w:r>
        <w:rPr>
          <w:lang w:eastAsia="en-AU"/>
        </w:rPr>
        <w:t xml:space="preserve"> </w:t>
      </w:r>
      <w:r>
        <w:rPr>
          <w:rFonts w:eastAsia="MSMincho-WinCharSetFFFF-H" w:cs="Arial"/>
          <w:lang w:eastAsia="en-AU"/>
        </w:rPr>
        <w:t xml:space="preserve">≥ </w:t>
      </w:r>
      <w:r>
        <w:rPr>
          <w:lang w:eastAsia="en-AU"/>
        </w:rPr>
        <w:t>1/10, or subjects with pre</w:t>
      </w:r>
      <w:r w:rsidR="00790057">
        <w:rPr>
          <w:lang w:eastAsia="en-AU"/>
        </w:rPr>
        <w:t xml:space="preserve"> </w:t>
      </w:r>
      <w:r w:rsidR="00974A7C">
        <w:rPr>
          <w:lang w:eastAsia="en-AU"/>
        </w:rPr>
        <w:t>vaccination tit</w:t>
      </w:r>
      <w:r>
        <w:rPr>
          <w:lang w:eastAsia="en-AU"/>
        </w:rPr>
        <w:t>r</w:t>
      </w:r>
      <w:r w:rsidR="00974A7C">
        <w:rPr>
          <w:lang w:eastAsia="en-AU"/>
        </w:rPr>
        <w:t>e</w:t>
      </w:r>
      <w:r>
        <w:rPr>
          <w:lang w:eastAsia="en-AU"/>
        </w:rPr>
        <w:t xml:space="preserve"> </w:t>
      </w:r>
      <w:r>
        <w:rPr>
          <w:rFonts w:eastAsia="MSMincho-WinCharSetFFFF-H" w:cs="Arial"/>
          <w:lang w:eastAsia="en-AU"/>
        </w:rPr>
        <w:t xml:space="preserve">≥ </w:t>
      </w:r>
      <w:r>
        <w:rPr>
          <w:lang w:eastAsia="en-AU"/>
        </w:rPr>
        <w:t>1/10 and 4-fold increase from pre to post-vaccination;</w:t>
      </w:r>
    </w:p>
    <w:p w:rsidR="00B06BAA" w:rsidRDefault="00B06BAA" w:rsidP="00C864EE">
      <w:pPr>
        <w:pStyle w:val="TableDescription"/>
        <w:rPr>
          <w:lang w:eastAsia="en-AU"/>
        </w:rPr>
      </w:pPr>
      <w:r>
        <w:rPr>
          <w:lang w:eastAsia="en-AU"/>
        </w:rPr>
        <w:t>%: percentages and 95% CI are calculated according to the subjects with available data for the endpoint</w:t>
      </w:r>
    </w:p>
    <w:p w:rsidR="00C37FC9" w:rsidRDefault="008218FE" w:rsidP="008218FE">
      <w:r w:rsidRPr="008218FE">
        <w:t xml:space="preserve">At 28 days after the booster dose, 100.0% subjects were </w:t>
      </w:r>
      <w:proofErr w:type="spellStart"/>
      <w:r w:rsidRPr="008218FE">
        <w:t>seroprotected</w:t>
      </w:r>
      <w:proofErr w:type="spellEnd"/>
      <w:r w:rsidR="00F038D6">
        <w:t xml:space="preserve"> (Table 10)</w:t>
      </w:r>
      <w:r w:rsidRPr="008218FE">
        <w:t>. This result</w:t>
      </w:r>
      <w:r>
        <w:t xml:space="preserve"> </w:t>
      </w:r>
      <w:r w:rsidRPr="008218FE">
        <w:t>confirms the induction of immune memory by the first dos</w:t>
      </w:r>
      <w:r>
        <w:t xml:space="preserve">e and suggests a booster effect </w:t>
      </w:r>
      <w:r w:rsidRPr="008218FE">
        <w:t>on neutrali</w:t>
      </w:r>
      <w:r>
        <w:t>s</w:t>
      </w:r>
      <w:r w:rsidRPr="008218FE">
        <w:t>ing antibody titres. L</w:t>
      </w:r>
      <w:r w:rsidR="00F038D6">
        <w:t xml:space="preserve">ong </w:t>
      </w:r>
      <w:r w:rsidRPr="008218FE">
        <w:t>term persistence of i</w:t>
      </w:r>
      <w:r>
        <w:t xml:space="preserve">mmunity up to 5 years after the </w:t>
      </w:r>
      <w:r w:rsidRPr="008218FE">
        <w:t>booster dose is ongoing.</w:t>
      </w:r>
    </w:p>
    <w:p w:rsidR="009B66AC" w:rsidRDefault="009B66AC" w:rsidP="00186D03">
      <w:pPr>
        <w:pStyle w:val="TableTitle"/>
      </w:pPr>
      <w:proofErr w:type="gramStart"/>
      <w:r>
        <w:t>Table 10:</w:t>
      </w:r>
      <w:r w:rsidRPr="004C5C28">
        <w:t xml:space="preserve"> </w:t>
      </w:r>
      <w:r w:rsidR="00E834A6" w:rsidRPr="00E834A6">
        <w:t xml:space="preserve">JEC15, Summary of </w:t>
      </w:r>
      <w:proofErr w:type="spellStart"/>
      <w:r w:rsidR="00E834A6" w:rsidRPr="00E834A6">
        <w:t>Seroprotection</w:t>
      </w:r>
      <w:proofErr w:type="spellEnd"/>
      <w:r w:rsidR="00E834A6" w:rsidRPr="00E834A6">
        <w:t xml:space="preserve"> up to Year 1 after Vaccine Injection – FAS</w:t>
      </w:r>
      <w:r>
        <w:t>.</w:t>
      </w:r>
      <w:proofErr w:type="gramEnd"/>
    </w:p>
    <w:p w:rsidR="008218FE" w:rsidRDefault="00585AB0" w:rsidP="008218FE">
      <w:r>
        <w:rPr>
          <w:noProof/>
          <w:lang w:eastAsia="en-AU"/>
        </w:rPr>
        <w:drawing>
          <wp:inline distT="0" distB="0" distL="0" distR="0">
            <wp:extent cx="4801870" cy="1340485"/>
            <wp:effectExtent l="0" t="0" r="0" b="0"/>
            <wp:docPr id="13" name="Picture 13" descr="Table 10: JEC15, Summary of Seroprotection up to Year 1 after Vaccine Injection – 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ble 10: JEC15, Summary of Seroprotection up to Year 1 after Vaccine Injection – FA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1870" cy="1340485"/>
                    </a:xfrm>
                    <a:prstGeom prst="rect">
                      <a:avLst/>
                    </a:prstGeom>
                    <a:noFill/>
                    <a:ln>
                      <a:noFill/>
                    </a:ln>
                  </pic:spPr>
                </pic:pic>
              </a:graphicData>
            </a:graphic>
          </wp:inline>
        </w:drawing>
      </w:r>
    </w:p>
    <w:p w:rsidR="0075487A" w:rsidRPr="0075487A" w:rsidRDefault="0075487A" w:rsidP="0075487A">
      <w:pPr>
        <w:pStyle w:val="Notes"/>
      </w:pPr>
      <w:r w:rsidRPr="0075487A">
        <w:t>M: number of subjects with available data for the endpoint; %: percentages and 95% CI are calculated according to the subjects with available data for the endpoint; Only Group 1 remains in the trial for the 5 year follow up (V04-V08).</w:t>
      </w:r>
    </w:p>
    <w:p w:rsidR="00C07E07" w:rsidRPr="00C07E07" w:rsidRDefault="00C07E07" w:rsidP="00C07E07">
      <w:proofErr w:type="spellStart"/>
      <w:r w:rsidRPr="00C07E07">
        <w:t>Seroprotection</w:t>
      </w:r>
      <w:proofErr w:type="spellEnd"/>
      <w:r w:rsidRPr="00C07E07">
        <w:t xml:space="preserve"> up to 1 year after the booster dose of JE-CV in Group 1 (FAS) as assessed by JE-CV virus PRNT50 is presented in the table above. The immune response to JE-CV persisted at least up to 1 year after the booster dose JE-CV in nearly all of the subjects in Group 1: 99.4% of subjects remained </w:t>
      </w:r>
      <w:proofErr w:type="spellStart"/>
      <w:r w:rsidRPr="00C07E07">
        <w:t>seroprotected</w:t>
      </w:r>
      <w:proofErr w:type="spellEnd"/>
      <w:r w:rsidRPr="00C07E07">
        <w:t xml:space="preserve"> 1 year after receiving the booster dose of JE-CV; only 2 subjects presented with antibody titres below the threshold considered for protection.</w:t>
      </w:r>
    </w:p>
    <w:p w:rsidR="00C07E07" w:rsidRDefault="00C07E07" w:rsidP="00443921">
      <w:pPr>
        <w:pStyle w:val="Heading4"/>
        <w:rPr>
          <w:lang w:eastAsia="en-AU"/>
        </w:rPr>
      </w:pPr>
      <w:r>
        <w:rPr>
          <w:lang w:eastAsia="en-AU"/>
        </w:rPr>
        <w:t>Clinical safety</w:t>
      </w:r>
    </w:p>
    <w:p w:rsidR="00C07E07" w:rsidRPr="00C07E07" w:rsidRDefault="00C07E07" w:rsidP="00C07E07">
      <w:r w:rsidRPr="00C07E07">
        <w:t>The safety data submitted with this application does not reveal any new triggers or safety</w:t>
      </w:r>
      <w:r>
        <w:t xml:space="preserve"> </w:t>
      </w:r>
      <w:r w:rsidRPr="00C07E07">
        <w:t>concerns. In adults, the booster dose appeared to be at least</w:t>
      </w:r>
      <w:r>
        <w:t xml:space="preserve"> as well tolerated as the first </w:t>
      </w:r>
      <w:r w:rsidRPr="00C07E07">
        <w:t>dose of JE-CV. In the paediatric population, the booster do</w:t>
      </w:r>
      <w:r>
        <w:t xml:space="preserve">se was as well tolerated as the </w:t>
      </w:r>
      <w:r w:rsidRPr="00C07E07">
        <w:t>comparators (hepatitis A and varicella vaccines).</w:t>
      </w:r>
    </w:p>
    <w:p w:rsidR="00C07E07" w:rsidRPr="00C07E07" w:rsidRDefault="00C07E07" w:rsidP="00C07E07">
      <w:r w:rsidRPr="00C07E07">
        <w:t>The sample size of the studies conducted in paediatric po</w:t>
      </w:r>
      <w:r>
        <w:t xml:space="preserve">pulations allowed the detection </w:t>
      </w:r>
      <w:r w:rsidRPr="00C07E07">
        <w:t>of events with a rate of 0.2% or more (with 95% probability). Overall, 1444 childr</w:t>
      </w:r>
      <w:r>
        <w:t xml:space="preserve">en aged </w:t>
      </w:r>
      <w:r w:rsidRPr="00C07E07">
        <w:t>9 months</w:t>
      </w:r>
      <w:r w:rsidR="00A05DE2">
        <w:t xml:space="preserve"> to 10 years received JE-CV in three</w:t>
      </w:r>
      <w:r w:rsidRPr="00C07E07">
        <w:t xml:space="preserve"> clinical stu</w:t>
      </w:r>
      <w:r>
        <w:t xml:space="preserve">dies conducted in Thailand, the </w:t>
      </w:r>
      <w:r w:rsidRPr="00C07E07">
        <w:t>Philippines, and India.</w:t>
      </w:r>
    </w:p>
    <w:p w:rsidR="008E7846" w:rsidRDefault="00386150" w:rsidP="008E7846">
      <w:pPr>
        <w:pStyle w:val="Heading3"/>
        <w:rPr>
          <w:lang w:eastAsia="en-AU"/>
        </w:rPr>
      </w:pPr>
      <w:bookmarkStart w:id="149" w:name="_Toc383010151"/>
      <w:r>
        <w:rPr>
          <w:lang w:eastAsia="en-AU"/>
        </w:rPr>
        <w:lastRenderedPageBreak/>
        <w:t>Risk m</w:t>
      </w:r>
      <w:r w:rsidR="008E7846">
        <w:rPr>
          <w:lang w:eastAsia="en-AU"/>
        </w:rPr>
        <w:t xml:space="preserve">anagement </w:t>
      </w:r>
      <w:r>
        <w:rPr>
          <w:lang w:eastAsia="en-AU"/>
        </w:rPr>
        <w:t>p</w:t>
      </w:r>
      <w:r w:rsidR="008E7846">
        <w:rPr>
          <w:lang w:eastAsia="en-AU"/>
        </w:rPr>
        <w:t>lan</w:t>
      </w:r>
      <w:bookmarkEnd w:id="148"/>
      <w:bookmarkEnd w:id="149"/>
    </w:p>
    <w:p w:rsidR="00443921" w:rsidRPr="00443921" w:rsidRDefault="00443921" w:rsidP="00443921">
      <w:r w:rsidRPr="00443921">
        <w:t>The submitted RMP was evaluated by OPR evaluator. ACSOV advice was not sought for</w:t>
      </w:r>
      <w:r>
        <w:t xml:space="preserve"> </w:t>
      </w:r>
      <w:r w:rsidRPr="00443921">
        <w:t>this submission. The RMP evaluator recommends the inclusi</w:t>
      </w:r>
      <w:r>
        <w:t xml:space="preserve">on in the ‘Precautions’ section </w:t>
      </w:r>
      <w:r w:rsidRPr="00443921">
        <w:t>of the PI a statement that the current version of the A</w:t>
      </w:r>
      <w:r>
        <w:t xml:space="preserve">ustralian Immunisation Handbook </w:t>
      </w:r>
      <w:r w:rsidRPr="00443921">
        <w:t xml:space="preserve">should be consulted in regard to information related to vaccines, in particular </w:t>
      </w:r>
      <w:r>
        <w:t xml:space="preserve">the section </w:t>
      </w:r>
      <w:r w:rsidRPr="00443921">
        <w:t>on vaccination procedures in general and any in</w:t>
      </w:r>
      <w:r>
        <w:t xml:space="preserve">formation in regard to Japanese </w:t>
      </w:r>
      <w:r w:rsidRPr="00443921">
        <w:t>Encephalitis vaccination.</w:t>
      </w:r>
    </w:p>
    <w:p w:rsidR="00443921" w:rsidRPr="00443921" w:rsidRDefault="00443921" w:rsidP="00443921">
      <w:r w:rsidRPr="00443921">
        <w:t>The RMP evaluator recommends that implement Risk Management Plan (in EU-RMP</w:t>
      </w:r>
      <w:r>
        <w:t xml:space="preserve"> </w:t>
      </w:r>
      <w:r w:rsidRPr="00443921">
        <w:t>format) Version 6.0 (dated 18/04/2012, DLP 31/01/2012), and any</w:t>
      </w:r>
      <w:r>
        <w:t xml:space="preserve"> future updates as a </w:t>
      </w:r>
      <w:r w:rsidRPr="00443921">
        <w:t>condition of registration.</w:t>
      </w:r>
    </w:p>
    <w:p w:rsidR="008E7846" w:rsidRDefault="00AA0ED0" w:rsidP="008E7846">
      <w:pPr>
        <w:pStyle w:val="Heading3"/>
      </w:pPr>
      <w:bookmarkStart w:id="150" w:name="_Toc247691531"/>
      <w:bookmarkStart w:id="151" w:name="_Toc314842515"/>
      <w:bookmarkStart w:id="152" w:name="_Toc383010152"/>
      <w:bookmarkStart w:id="153" w:name="_Toc196046505"/>
      <w:bookmarkStart w:id="154" w:name="_Toc196046949"/>
      <w:r>
        <w:t>Risk-benefit a</w:t>
      </w:r>
      <w:r w:rsidR="008E7846">
        <w:t>nalysis</w:t>
      </w:r>
      <w:bookmarkEnd w:id="150"/>
      <w:bookmarkEnd w:id="151"/>
      <w:bookmarkEnd w:id="152"/>
    </w:p>
    <w:p w:rsidR="008E7846" w:rsidRDefault="008E7846" w:rsidP="008E7846">
      <w:pPr>
        <w:pStyle w:val="Heading4"/>
      </w:pPr>
      <w:r>
        <w:t xml:space="preserve">Delegate </w:t>
      </w:r>
      <w:r w:rsidR="00ED3CAD">
        <w:t>c</w:t>
      </w:r>
      <w:r>
        <w:t>onsiderations</w:t>
      </w:r>
    </w:p>
    <w:p w:rsidR="00C7152C" w:rsidRPr="002E5A5F" w:rsidRDefault="00C7152C" w:rsidP="002E5A5F">
      <w:r w:rsidRPr="002E5A5F">
        <w:t>Study H-040-005 in adults showed that one month after a single dose of JE-CV, the</w:t>
      </w:r>
      <w:r w:rsidR="00B76BEE">
        <w:t xml:space="preserve"> </w:t>
      </w:r>
      <w:r w:rsidRPr="002E5A5F">
        <w:t>protective level of immunity were achieved in more than 9</w:t>
      </w:r>
      <w:r w:rsidR="00B76BEE">
        <w:t xml:space="preserve">9% of the vaccine receipts. The </w:t>
      </w:r>
      <w:r w:rsidRPr="002E5A5F">
        <w:t>long term follow up data showed that at 5 years after the</w:t>
      </w:r>
      <w:r w:rsidR="00B76BEE">
        <w:t xml:space="preserve"> single dose, 86.8% of subjects </w:t>
      </w:r>
      <w:r w:rsidRPr="002E5A5F">
        <w:t xml:space="preserve">remain </w:t>
      </w:r>
      <w:proofErr w:type="spellStart"/>
      <w:r w:rsidRPr="002E5A5F">
        <w:t>seroprotected</w:t>
      </w:r>
      <w:proofErr w:type="spellEnd"/>
      <w:r w:rsidRPr="002E5A5F">
        <w:t xml:space="preserve"> GMT is 61.5. It is therefore cons</w:t>
      </w:r>
      <w:r w:rsidR="00B76BEE">
        <w:t xml:space="preserve">idered that no JE-CV booster is </w:t>
      </w:r>
      <w:r w:rsidRPr="002E5A5F">
        <w:t>needed before 5 years.</w:t>
      </w:r>
    </w:p>
    <w:p w:rsidR="00C7152C" w:rsidRPr="002E5A5F" w:rsidRDefault="00C7152C" w:rsidP="002E5A5F">
      <w:r w:rsidRPr="002E5A5F">
        <w:t>The results of Study JEC01 showed that in toddlers (aged 12 to 24 months) who did not</w:t>
      </w:r>
      <w:r w:rsidR="00B76BEE">
        <w:t xml:space="preserve"> </w:t>
      </w:r>
      <w:r w:rsidRPr="002E5A5F">
        <w:t xml:space="preserve">previously vaccinated with any JE vaccine (JEC01), a </w:t>
      </w:r>
      <w:r w:rsidR="00B76BEE">
        <w:t xml:space="preserve">single dose of JE-CV provides a </w:t>
      </w:r>
      <w:r w:rsidRPr="002E5A5F">
        <w:t>protective immune response in more than 95% of t</w:t>
      </w:r>
      <w:r w:rsidR="00B76BEE">
        <w:t xml:space="preserve">he vaccinated subjects, and the </w:t>
      </w:r>
      <w:r w:rsidRPr="002E5A5F">
        <w:t>long</w:t>
      </w:r>
      <w:r w:rsidR="00B76BEE">
        <w:t xml:space="preserve"> </w:t>
      </w:r>
      <w:r w:rsidRPr="002E5A5F">
        <w:t>term</w:t>
      </w:r>
      <w:r w:rsidR="00B76BEE">
        <w:t xml:space="preserve"> </w:t>
      </w:r>
      <w:r w:rsidRPr="002E5A5F">
        <w:t>follow</w:t>
      </w:r>
      <w:r w:rsidR="003F4546">
        <w:t xml:space="preserve"> </w:t>
      </w:r>
      <w:r w:rsidRPr="002E5A5F">
        <w:t xml:space="preserve">up showed the rates of </w:t>
      </w:r>
      <w:proofErr w:type="spellStart"/>
      <w:r w:rsidRPr="002E5A5F">
        <w:t>seroprotection</w:t>
      </w:r>
      <w:proofErr w:type="spellEnd"/>
      <w:r w:rsidRPr="002E5A5F">
        <w:t xml:space="preserve"> declined to 84.4% at 1 year, 80% at 2</w:t>
      </w:r>
      <w:r w:rsidR="00B76BEE">
        <w:t xml:space="preserve"> </w:t>
      </w:r>
      <w:r w:rsidRPr="002E5A5F">
        <w:t>years, and 75% at 3 years. In children who previousl</w:t>
      </w:r>
      <w:r w:rsidR="00B76BEE">
        <w:t>y received primary immuni</w:t>
      </w:r>
      <w:r w:rsidR="003F4546">
        <w:t>s</w:t>
      </w:r>
      <w:r w:rsidR="00B76BEE">
        <w:t xml:space="preserve">ation </w:t>
      </w:r>
      <w:r w:rsidRPr="002E5A5F">
        <w:t>with inactivated MBDV (two</w:t>
      </w:r>
      <w:r w:rsidR="003F4546">
        <w:t xml:space="preserve"> </w:t>
      </w:r>
      <w:r w:rsidRPr="002E5A5F">
        <w:t>dose), one dose of JE-CV prov</w:t>
      </w:r>
      <w:r w:rsidR="00B76BEE">
        <w:t xml:space="preserve">ided a good booster response in </w:t>
      </w:r>
      <w:r w:rsidRPr="002E5A5F">
        <w:t>100%</w:t>
      </w:r>
      <w:r w:rsidR="003F4546">
        <w:t xml:space="preserve"> of the subjects (SPR = 100.0%), </w:t>
      </w:r>
      <w:r w:rsidRPr="002E5A5F">
        <w:t>and the response p</w:t>
      </w:r>
      <w:r w:rsidR="00B76BEE">
        <w:t xml:space="preserve">ersisted at least up to 3 years </w:t>
      </w:r>
      <w:r w:rsidRPr="002E5A5F">
        <w:t>after vaccination.</w:t>
      </w:r>
    </w:p>
    <w:p w:rsidR="00C7152C" w:rsidRPr="002E5A5F" w:rsidRDefault="00C7152C" w:rsidP="002E5A5F">
      <w:r w:rsidRPr="002E5A5F">
        <w:t>Study JEC05 showed that at 2 year after the single dose of JE-CV, about 85.9% of the</w:t>
      </w:r>
      <w:r w:rsidR="00B76BEE">
        <w:t xml:space="preserve"> </w:t>
      </w:r>
      <w:r w:rsidRPr="002E5A5F">
        <w:t xml:space="preserve">subjects were </w:t>
      </w:r>
      <w:proofErr w:type="spellStart"/>
      <w:r w:rsidRPr="002E5A5F">
        <w:t>seroprotected</w:t>
      </w:r>
      <w:proofErr w:type="spellEnd"/>
      <w:r w:rsidRPr="002E5A5F">
        <w:t xml:space="preserve"> (</w:t>
      </w:r>
      <w:r w:rsidR="00B76BEE">
        <w:t xml:space="preserve">based on sensitivity analysis). </w:t>
      </w:r>
      <w:r w:rsidRPr="002E5A5F">
        <w:t>Study JEC15 demonstrated that a booster dose of JE-CV (2 years after the first JE-CV)</w:t>
      </w:r>
      <w:r w:rsidR="00B76BEE">
        <w:t xml:space="preserve"> </w:t>
      </w:r>
      <w:r w:rsidRPr="002E5A5F">
        <w:t xml:space="preserve">resulted in </w:t>
      </w:r>
      <w:proofErr w:type="spellStart"/>
      <w:r w:rsidRPr="002E5A5F">
        <w:t>seroprotection</w:t>
      </w:r>
      <w:proofErr w:type="spellEnd"/>
      <w:r w:rsidRPr="002E5A5F">
        <w:t xml:space="preserve"> of 99.4% of children at 1 year after the booster vaccination.</w:t>
      </w:r>
    </w:p>
    <w:p w:rsidR="008E7846" w:rsidRPr="002E5A5F" w:rsidRDefault="00C7152C" w:rsidP="002E5A5F">
      <w:r w:rsidRPr="002E5A5F">
        <w:t>Overall, a booster dose of JE-CV provides a higher l</w:t>
      </w:r>
      <w:r w:rsidR="00C76D46">
        <w:t>evel and longer</w:t>
      </w:r>
      <w:r w:rsidR="00144417">
        <w:t xml:space="preserve"> </w:t>
      </w:r>
      <w:r w:rsidR="00C76D46">
        <w:t xml:space="preserve">term protection </w:t>
      </w:r>
      <w:r w:rsidRPr="002E5A5F">
        <w:t>(supported by data up to 3 years) in paediatric subjects who had primary vaccinatio</w:t>
      </w:r>
      <w:r w:rsidR="00C76D46">
        <w:t xml:space="preserve">n with </w:t>
      </w:r>
      <w:r w:rsidRPr="002E5A5F">
        <w:t>an inactivated JE vaccine. Similarly, a booster dose of JE</w:t>
      </w:r>
      <w:r w:rsidR="00C76D46">
        <w:t xml:space="preserve">-CV given to children who had a </w:t>
      </w:r>
      <w:r w:rsidRPr="002E5A5F">
        <w:t>previous dose of JE-CV (2 years earlier) provides a higher level of protection.</w:t>
      </w:r>
    </w:p>
    <w:p w:rsidR="002E5A5F" w:rsidRPr="002E5A5F" w:rsidRDefault="002E5A5F" w:rsidP="001E17AE">
      <w:r w:rsidRPr="002E5A5F">
        <w:t>The potential risks of JE-CV in the proposed usage could include hypersensitivity</w:t>
      </w:r>
      <w:r w:rsidR="00C76D46">
        <w:t xml:space="preserve"> reactions </w:t>
      </w:r>
      <w:r w:rsidRPr="002E5A5F">
        <w:t>(allergic, anaphylactic/</w:t>
      </w:r>
      <w:proofErr w:type="spellStart"/>
      <w:r w:rsidRPr="002E5A5F">
        <w:t>anaphylactoid</w:t>
      </w:r>
      <w:proofErr w:type="spellEnd"/>
      <w:r w:rsidRPr="002E5A5F">
        <w:t>), neurological d</w:t>
      </w:r>
      <w:r w:rsidR="00C76D46">
        <w:t xml:space="preserve">isorders including convulsions, </w:t>
      </w:r>
      <w:r w:rsidRPr="002E5A5F">
        <w:t xml:space="preserve">encephalopathy, encephalitis, </w:t>
      </w:r>
      <w:r w:rsidR="00144417">
        <w:t>ADEM</w:t>
      </w:r>
      <w:r w:rsidR="00C76D46">
        <w:t xml:space="preserve">, myelitis, </w:t>
      </w:r>
      <w:r w:rsidR="00144417">
        <w:t>GBS</w:t>
      </w:r>
      <w:r w:rsidRPr="002E5A5F">
        <w:t>, peri</w:t>
      </w:r>
      <w:r w:rsidR="00937D1B">
        <w:t>pheral neuropathy, facial (Bell’</w:t>
      </w:r>
      <w:r w:rsidRPr="002E5A5F">
        <w:t>s) pals</w:t>
      </w:r>
      <w:r w:rsidR="00C76D46">
        <w:t xml:space="preserve">y (based on </w:t>
      </w:r>
      <w:r w:rsidRPr="002E5A5F">
        <w:t>experience with other attenuated and inactivated) JE vaccines.</w:t>
      </w:r>
    </w:p>
    <w:p w:rsidR="002E5A5F" w:rsidRPr="002E5A5F" w:rsidRDefault="002E5A5F" w:rsidP="001E17AE">
      <w:r w:rsidRPr="002E5A5F">
        <w:t xml:space="preserve">No safety issue has been identified in the submitted </w:t>
      </w:r>
      <w:r w:rsidR="00C76D46">
        <w:t xml:space="preserve">studies in adult and paediatric </w:t>
      </w:r>
      <w:r w:rsidRPr="002E5A5F">
        <w:t>populations. The overall safety profile of JE-CV in adult popula</w:t>
      </w:r>
      <w:r w:rsidR="00C76D46">
        <w:t xml:space="preserve">tions is similar to that of the </w:t>
      </w:r>
      <w:r w:rsidRPr="002E5A5F">
        <w:t>inactivated MBDV and placebo. The safety profile in paedi</w:t>
      </w:r>
      <w:r w:rsidR="00C76D46">
        <w:t xml:space="preserve">atric populations is similar to </w:t>
      </w:r>
      <w:r w:rsidRPr="002E5A5F">
        <w:t>that of a registered inactivated hepatitis A vaccine.</w:t>
      </w:r>
    </w:p>
    <w:p w:rsidR="00C7152C" w:rsidRDefault="002E5A5F" w:rsidP="002E5A5F">
      <w:r w:rsidRPr="002E5A5F">
        <w:t>The clinical evaluator is of the view that a single dose of</w:t>
      </w:r>
      <w:r w:rsidR="00C76D46">
        <w:t xml:space="preserve"> JE-CV for primary immuni</w:t>
      </w:r>
      <w:r w:rsidR="00144417">
        <w:t>s</w:t>
      </w:r>
      <w:r w:rsidR="00C76D46">
        <w:t xml:space="preserve">ation </w:t>
      </w:r>
      <w:r w:rsidRPr="002E5A5F">
        <w:t xml:space="preserve">in adults demonstrated high </w:t>
      </w:r>
      <w:r w:rsidR="00C96F4D" w:rsidRPr="00AA4D35">
        <w:t>SCR</w:t>
      </w:r>
      <w:r w:rsidRPr="002E5A5F">
        <w:t>s, rapi</w:t>
      </w:r>
      <w:r w:rsidR="00C76D46">
        <w:t xml:space="preserve">d onset of immunity, and a good </w:t>
      </w:r>
      <w:r w:rsidRPr="002E5A5F">
        <w:t>safety profile. The single</w:t>
      </w:r>
      <w:r w:rsidR="00144417">
        <w:t xml:space="preserve"> </w:t>
      </w:r>
      <w:r w:rsidRPr="002E5A5F">
        <w:t>dose vaccination schedule in adults</w:t>
      </w:r>
      <w:r w:rsidR="00C76D46">
        <w:t xml:space="preserve"> will be particularly useful in </w:t>
      </w:r>
      <w:r w:rsidRPr="002E5A5F">
        <w:t>Australia where it tends to be given as a pre</w:t>
      </w:r>
      <w:r w:rsidR="00144417">
        <w:t xml:space="preserve"> </w:t>
      </w:r>
      <w:r w:rsidRPr="002E5A5F">
        <w:t>travel vacci</w:t>
      </w:r>
      <w:r w:rsidR="00C76D46">
        <w:t xml:space="preserve">nation for people travelling to </w:t>
      </w:r>
      <w:r w:rsidRPr="002E5A5F">
        <w:t>endemic areas. The recommendation of two doses of JE-CV</w:t>
      </w:r>
      <w:r w:rsidR="00C76D46">
        <w:t xml:space="preserve"> in children (if not previously </w:t>
      </w:r>
      <w:r w:rsidRPr="002E5A5F">
        <w:t>vaccinated) or of JE-CV as a long term booster dose for chi</w:t>
      </w:r>
      <w:r w:rsidR="00C76D46">
        <w:t xml:space="preserve">ldren previously immunised will </w:t>
      </w:r>
      <w:r w:rsidRPr="002E5A5F">
        <w:t xml:space="preserve">increase the rate of </w:t>
      </w:r>
      <w:r w:rsidRPr="002E5A5F">
        <w:lastRenderedPageBreak/>
        <w:t xml:space="preserve">long term </w:t>
      </w:r>
      <w:proofErr w:type="spellStart"/>
      <w:r w:rsidRPr="002E5A5F">
        <w:t>seroprotection</w:t>
      </w:r>
      <w:proofErr w:type="spellEnd"/>
      <w:r w:rsidRPr="002E5A5F">
        <w:t>. The final data out to 5 years from the</w:t>
      </w:r>
      <w:r w:rsidR="00C76D46">
        <w:t xml:space="preserve"> </w:t>
      </w:r>
      <w:r w:rsidRPr="002E5A5F">
        <w:t>paediatric studies (JEC01, JEC05 and JEC15) is still await</w:t>
      </w:r>
      <w:r w:rsidR="00C76D46">
        <w:t xml:space="preserve">ed. The benefit-risk balance of </w:t>
      </w:r>
      <w:r w:rsidRPr="002E5A5F">
        <w:t>JECV,</w:t>
      </w:r>
      <w:r w:rsidR="00C76D46">
        <w:t xml:space="preserve"> </w:t>
      </w:r>
      <w:r w:rsidRPr="002E5A5F">
        <w:t>given the proposed usage, is considered favourable.</w:t>
      </w:r>
    </w:p>
    <w:p w:rsidR="009D2372" w:rsidRDefault="009D2372" w:rsidP="009D2372">
      <w:pPr>
        <w:pStyle w:val="Heading4"/>
      </w:pPr>
      <w:r>
        <w:t>Indication</w:t>
      </w:r>
    </w:p>
    <w:p w:rsidR="009D2372" w:rsidRPr="00BD288D" w:rsidRDefault="009D2372" w:rsidP="00BD288D">
      <w:pPr>
        <w:ind w:left="720"/>
        <w:rPr>
          <w:i/>
        </w:rPr>
      </w:pPr>
      <w:r w:rsidRPr="00BD288D">
        <w:rPr>
          <w:i/>
        </w:rPr>
        <w:t xml:space="preserve">Current: </w:t>
      </w:r>
      <w:proofErr w:type="spellStart"/>
      <w:r w:rsidRPr="00BD288D">
        <w:rPr>
          <w:i/>
        </w:rPr>
        <w:t>Imojev</w:t>
      </w:r>
      <w:proofErr w:type="spellEnd"/>
      <w:r w:rsidRPr="00BD288D">
        <w:rPr>
          <w:i/>
        </w:rPr>
        <w:t xml:space="preserve"> is indicated for prophylaxis of Japanese</w:t>
      </w:r>
      <w:r w:rsidR="00AA6780" w:rsidRPr="00BD288D">
        <w:rPr>
          <w:i/>
        </w:rPr>
        <w:t xml:space="preserve"> </w:t>
      </w:r>
      <w:r w:rsidRPr="00BD288D">
        <w:rPr>
          <w:i/>
        </w:rPr>
        <w:t>encephalitis caused by the Japanese encephalitis virus, in</w:t>
      </w:r>
      <w:r w:rsidR="00AA6780" w:rsidRPr="00BD288D">
        <w:rPr>
          <w:i/>
        </w:rPr>
        <w:t xml:space="preserve"> </w:t>
      </w:r>
      <w:r w:rsidRPr="00BD288D">
        <w:rPr>
          <w:i/>
        </w:rPr>
        <w:t>individuals from 12 months of age and over.</w:t>
      </w:r>
    </w:p>
    <w:p w:rsidR="00AA6780" w:rsidRPr="00AA6780" w:rsidRDefault="009D2372" w:rsidP="00AA6780">
      <w:r w:rsidRPr="00AA6780">
        <w:t>Proposed: No changes are proposed to Indications</w:t>
      </w:r>
      <w:r w:rsidR="00BD288D">
        <w:t>:</w:t>
      </w:r>
    </w:p>
    <w:p w:rsidR="009D2372" w:rsidRDefault="009D2372" w:rsidP="00BD288D">
      <w:pPr>
        <w:ind w:left="720"/>
        <w:rPr>
          <w:i/>
        </w:rPr>
      </w:pPr>
      <w:proofErr w:type="spellStart"/>
      <w:r w:rsidRPr="00BD288D">
        <w:rPr>
          <w:i/>
        </w:rPr>
        <w:t>Imojev</w:t>
      </w:r>
      <w:proofErr w:type="spellEnd"/>
      <w:r w:rsidRPr="00BD288D">
        <w:rPr>
          <w:i/>
        </w:rPr>
        <w:t xml:space="preserve"> is indicated for prophylaxis of Japanese</w:t>
      </w:r>
      <w:r w:rsidR="00AA6780" w:rsidRPr="00BD288D">
        <w:rPr>
          <w:i/>
        </w:rPr>
        <w:t xml:space="preserve"> </w:t>
      </w:r>
      <w:r w:rsidRPr="00BD288D">
        <w:rPr>
          <w:i/>
        </w:rPr>
        <w:t>ence</w:t>
      </w:r>
      <w:r w:rsidR="00AA6780" w:rsidRPr="00BD288D">
        <w:rPr>
          <w:i/>
        </w:rPr>
        <w:t xml:space="preserve">phalitis caused by the Japanese </w:t>
      </w:r>
      <w:r w:rsidRPr="00BD288D">
        <w:rPr>
          <w:i/>
        </w:rPr>
        <w:t>encephalitis virus, in</w:t>
      </w:r>
      <w:r w:rsidR="00AA6780" w:rsidRPr="00BD288D">
        <w:rPr>
          <w:i/>
        </w:rPr>
        <w:t xml:space="preserve"> </w:t>
      </w:r>
      <w:r w:rsidRPr="00BD288D">
        <w:rPr>
          <w:i/>
        </w:rPr>
        <w:t>individuals from 12 months of age and over</w:t>
      </w:r>
      <w:r w:rsidR="00C1422F">
        <w:rPr>
          <w:i/>
        </w:rPr>
        <w:t>.</w:t>
      </w:r>
    </w:p>
    <w:p w:rsidR="00C1422F" w:rsidRDefault="00C1422F" w:rsidP="00C1422F">
      <w:pPr>
        <w:pStyle w:val="Heading4"/>
      </w:pPr>
      <w:r>
        <w:t>Summary of issues</w:t>
      </w:r>
    </w:p>
    <w:p w:rsidR="00F326B4" w:rsidRDefault="00C1422F" w:rsidP="00C1422F">
      <w:r w:rsidRPr="00C1422F">
        <w:t>Results from Study H-040-005 in adults showed:</w:t>
      </w:r>
    </w:p>
    <w:p w:rsidR="00C1422F" w:rsidRPr="00C1422F" w:rsidRDefault="00F326B4" w:rsidP="00F326B4">
      <w:pPr>
        <w:pStyle w:val="ListBullet"/>
      </w:pPr>
      <w:r>
        <w:t>O</w:t>
      </w:r>
      <w:r w:rsidR="00C1422F" w:rsidRPr="00C1422F">
        <w:t>ne month</w:t>
      </w:r>
      <w:r w:rsidR="00C1422F">
        <w:t xml:space="preserve"> </w:t>
      </w:r>
      <w:r w:rsidR="00C1422F" w:rsidRPr="00C1422F">
        <w:t>after a single dose of JE-CV, the protective level of immunity</w:t>
      </w:r>
      <w:r w:rsidR="00C1422F">
        <w:t xml:space="preserve"> </w:t>
      </w:r>
      <w:r w:rsidR="00C1422F" w:rsidRPr="00C1422F">
        <w:t>were achieved in more than 99% of the vaccine receipts and</w:t>
      </w:r>
      <w:r w:rsidR="00C1422F">
        <w:t xml:space="preserve"> </w:t>
      </w:r>
      <w:r w:rsidR="00C1422F" w:rsidRPr="00C1422F">
        <w:t>the level of immune response 5</w:t>
      </w:r>
      <w:r w:rsidR="00C1422F">
        <w:t xml:space="preserve"> years after the single dose is </w:t>
      </w:r>
      <w:r w:rsidR="00C1422F" w:rsidRPr="00C1422F">
        <w:t>still sufficiently high. It is therefore considered that no JE-CV</w:t>
      </w:r>
      <w:r w:rsidR="00C1422F">
        <w:t xml:space="preserve"> </w:t>
      </w:r>
      <w:r w:rsidR="00C1422F" w:rsidRPr="00C1422F">
        <w:t>booster is needed before 5 years.</w:t>
      </w:r>
    </w:p>
    <w:p w:rsidR="00C1422F" w:rsidRDefault="00C1422F" w:rsidP="00C1422F">
      <w:r w:rsidRPr="00C1422F">
        <w:t>Results from Study JEC01 showed:</w:t>
      </w:r>
    </w:p>
    <w:p w:rsidR="00C1422F" w:rsidRPr="00C1422F" w:rsidRDefault="00C1422F" w:rsidP="00C1422F">
      <w:pPr>
        <w:pStyle w:val="ListBullet"/>
      </w:pPr>
      <w:r w:rsidRPr="00C1422F">
        <w:t xml:space="preserve">In toddlers who did not previously vaccinated with any JE vaccine, a single dose of JE-CV provides a protective immune response in more than 95% of them. Long term follow up showed the rates of </w:t>
      </w:r>
      <w:proofErr w:type="spellStart"/>
      <w:r w:rsidRPr="00C1422F">
        <w:t>seroprotection</w:t>
      </w:r>
      <w:proofErr w:type="spellEnd"/>
      <w:r w:rsidRPr="00C1422F">
        <w:t xml:space="preserve"> declined to 84.4% at 1 year, 80% at 2 years, and 75% at 3 years.</w:t>
      </w:r>
    </w:p>
    <w:p w:rsidR="00C1422F" w:rsidRPr="00C1422F" w:rsidRDefault="00C1422F" w:rsidP="00C1422F">
      <w:pPr>
        <w:pStyle w:val="ListBullet"/>
      </w:pPr>
      <w:r w:rsidRPr="00C1422F">
        <w:t>In children who previously received primary immunization with inactivated MBDV (two-dose), one dose of JE-CV induced a good booster response in 100% of the subjects (SPR = 100.0%) and the immune response persisted at least up to 3 years after vaccination.</w:t>
      </w:r>
    </w:p>
    <w:p w:rsidR="00B9289A" w:rsidRDefault="00C1422F" w:rsidP="00C1422F">
      <w:r w:rsidRPr="00C1422F">
        <w:t>Re</w:t>
      </w:r>
      <w:r w:rsidR="00B9289A">
        <w:t>sults from Study JEC05 showed:</w:t>
      </w:r>
    </w:p>
    <w:p w:rsidR="00C1422F" w:rsidRPr="00C1422F" w:rsidRDefault="00B9289A" w:rsidP="00B9289A">
      <w:pPr>
        <w:pStyle w:val="ListBullet"/>
      </w:pPr>
      <w:r>
        <w:t>A</w:t>
      </w:r>
      <w:r w:rsidR="00C1422F" w:rsidRPr="00C1422F">
        <w:t>t 2 year after the single</w:t>
      </w:r>
      <w:r w:rsidR="00C1422F">
        <w:t xml:space="preserve"> </w:t>
      </w:r>
      <w:r w:rsidR="00C1422F" w:rsidRPr="00C1422F">
        <w:t>dose of JE-CV, about 85.9% of the subjects were still</w:t>
      </w:r>
      <w:r w:rsidR="00C1422F">
        <w:t xml:space="preserve"> </w:t>
      </w:r>
      <w:proofErr w:type="spellStart"/>
      <w:r w:rsidR="00C1422F" w:rsidRPr="00C1422F">
        <w:t>seroprotected</w:t>
      </w:r>
      <w:proofErr w:type="spellEnd"/>
      <w:r w:rsidR="00C1422F" w:rsidRPr="00C1422F">
        <w:t xml:space="preserve"> (based on sensitivity analysis).</w:t>
      </w:r>
    </w:p>
    <w:p w:rsidR="00B9289A" w:rsidRDefault="00B9289A" w:rsidP="00C1422F">
      <w:r>
        <w:t>Results from Study JEC15</w:t>
      </w:r>
      <w:r w:rsidR="00C1422F">
        <w:t xml:space="preserve"> </w:t>
      </w:r>
      <w:r>
        <w:t>showed:</w:t>
      </w:r>
    </w:p>
    <w:p w:rsidR="00C1422F" w:rsidRPr="00C1422F" w:rsidRDefault="00B9289A" w:rsidP="00B9289A">
      <w:pPr>
        <w:pStyle w:val="ListBullet"/>
      </w:pPr>
      <w:r>
        <w:t xml:space="preserve">A </w:t>
      </w:r>
      <w:r w:rsidR="00C1422F">
        <w:t xml:space="preserve">booster dose of JE-CV (2 years </w:t>
      </w:r>
      <w:r w:rsidR="00C1422F" w:rsidRPr="00C1422F">
        <w:t xml:space="preserve">after the first JE-CV) resulted in </w:t>
      </w:r>
      <w:proofErr w:type="spellStart"/>
      <w:r w:rsidR="00C1422F" w:rsidRPr="00C1422F">
        <w:t>seroprotection</w:t>
      </w:r>
      <w:proofErr w:type="spellEnd"/>
      <w:r w:rsidR="00C1422F" w:rsidRPr="00C1422F">
        <w:t xml:space="preserve"> in 99.4% of</w:t>
      </w:r>
      <w:r w:rsidR="00C1422F">
        <w:t xml:space="preserve"> </w:t>
      </w:r>
      <w:r w:rsidR="00C1422F" w:rsidRPr="00C1422F">
        <w:t>children at 1 year after the booster vaccination.</w:t>
      </w:r>
    </w:p>
    <w:p w:rsidR="00B16CB5" w:rsidRPr="00B16CB5" w:rsidRDefault="00C1422F" w:rsidP="00B16CB5">
      <w:r w:rsidRPr="00B16CB5">
        <w:t>Overall, a booster dose of JE-CV provides a higher level and longer</w:t>
      </w:r>
      <w:r w:rsidR="00613EE2">
        <w:t xml:space="preserve"> </w:t>
      </w:r>
      <w:r w:rsidRPr="00B16CB5">
        <w:t>term protection (supported by data up to 3 years) in paediatric subjects who had primary vaccination with an inactivated JE vaccine (Study JEC01). Similarly, a booster dose of JE-CV given to children who had a previous dose of JE-CV (2</w:t>
      </w:r>
      <w:r w:rsidR="00B16CB5" w:rsidRPr="00B16CB5">
        <w:t xml:space="preserve"> years earlier) provides a higher level of protection (Study JEC15).</w:t>
      </w:r>
    </w:p>
    <w:p w:rsidR="00B16CB5" w:rsidRPr="00B16CB5" w:rsidRDefault="00B16CB5" w:rsidP="00B16CB5">
      <w:r w:rsidRPr="00B16CB5">
        <w:t>The potential risks of JE-CV could include hypersensitivity reactions (allergic, anaphylactic/</w:t>
      </w:r>
      <w:proofErr w:type="spellStart"/>
      <w:r w:rsidRPr="00B16CB5">
        <w:t>anaphylactoid</w:t>
      </w:r>
      <w:proofErr w:type="spellEnd"/>
      <w:r w:rsidRPr="00B16CB5">
        <w:t xml:space="preserve">), neurological disorders including convulsions, encephalopathy, encephalitis, ADEM, myelitis, </w:t>
      </w:r>
      <w:r w:rsidR="00FE0747">
        <w:t>GBS</w:t>
      </w:r>
      <w:r w:rsidRPr="00B16CB5">
        <w:t>, peripheral neuropathy, facial (Bell’s) palsy (based on experience with other attenuated and inactivated) JE vaccines.</w:t>
      </w:r>
    </w:p>
    <w:p w:rsidR="00B16CB5" w:rsidRDefault="00B16CB5" w:rsidP="00B16CB5">
      <w:r w:rsidRPr="00B16CB5">
        <w:t xml:space="preserve">No safety issue has been identified in the submitted studies in adult and paediatric populations. The overall safety profile of JE-CV in adult populations is similar to that of the inactivated MBDV and placebo. The safety profile in paediatric populations is similar to that of a registered inactivated </w:t>
      </w:r>
      <w:r w:rsidR="00FE0747">
        <w:t>H</w:t>
      </w:r>
      <w:r w:rsidRPr="00B16CB5">
        <w:t>epatitis A vaccine.</w:t>
      </w:r>
    </w:p>
    <w:p w:rsidR="00CF750D" w:rsidRDefault="004C3E86" w:rsidP="004C3E86">
      <w:pPr>
        <w:pStyle w:val="Heading4"/>
      </w:pPr>
      <w:r>
        <w:lastRenderedPageBreak/>
        <w:t>Advice sought</w:t>
      </w:r>
    </w:p>
    <w:p w:rsidR="004C3E86" w:rsidRPr="004C3E86" w:rsidRDefault="004C3E86" w:rsidP="004C3E86">
      <w:r w:rsidRPr="004C3E86">
        <w:t>The committee is requested to provide advice on the following specific issues:</w:t>
      </w:r>
    </w:p>
    <w:p w:rsidR="004C3E86" w:rsidRPr="004C3E86" w:rsidRDefault="00BD31AF" w:rsidP="001E17AE">
      <w:pPr>
        <w:pStyle w:val="Numberbullet0"/>
      </w:pPr>
      <w:r>
        <w:t>W</w:t>
      </w:r>
      <w:r w:rsidR="004C3E86" w:rsidRPr="004C3E86">
        <w:t>hether the committee consider that a booster dose is necessary for paediatric subjects who received primary vaccination with either inactivated MBDV (two</w:t>
      </w:r>
      <w:r w:rsidR="00732BC2">
        <w:t xml:space="preserve"> </w:t>
      </w:r>
      <w:r w:rsidR="004C3E86" w:rsidRPr="004C3E86">
        <w:t xml:space="preserve">doses) or one dose of </w:t>
      </w:r>
      <w:proofErr w:type="spellStart"/>
      <w:r w:rsidR="004C3E86" w:rsidRPr="004C3E86">
        <w:t>Imojev</w:t>
      </w:r>
      <w:proofErr w:type="spellEnd"/>
      <w:r w:rsidR="004C3E86" w:rsidRPr="004C3E86">
        <w:t xml:space="preserve"> (live, attenuated, recombinant </w:t>
      </w:r>
      <w:r w:rsidR="002053A5">
        <w:t>JE</w:t>
      </w:r>
      <w:r w:rsidR="004C3E86" w:rsidRPr="004C3E86">
        <w:t xml:space="preserve"> virus vaccine).</w:t>
      </w:r>
    </w:p>
    <w:p w:rsidR="004C3E86" w:rsidRDefault="00BD31AF" w:rsidP="001E17AE">
      <w:pPr>
        <w:pStyle w:val="Numberbullet0"/>
      </w:pPr>
      <w:r>
        <w:t>W</w:t>
      </w:r>
      <w:r w:rsidR="004C3E86" w:rsidRPr="004C3E86">
        <w:t>hether the committee agree that no booster dose is required for adults before 5 years post</w:t>
      </w:r>
      <w:r w:rsidR="00C42D04">
        <w:t xml:space="preserve"> </w:t>
      </w:r>
      <w:r w:rsidR="004C3E86" w:rsidRPr="004C3E86">
        <w:t>JE-CV vaccination</w:t>
      </w:r>
      <w:r w:rsidR="00940D68">
        <w:t xml:space="preserve">. </w:t>
      </w:r>
      <w:r w:rsidR="004C3E86" w:rsidRPr="004C3E86">
        <w:t>The committee is (also) requested to provide advice on any other issues that it thinks may be relevant to a decision on whether or not to approve this application.</w:t>
      </w:r>
    </w:p>
    <w:p w:rsidR="004C3E86" w:rsidRDefault="008C28AE" w:rsidP="008C28AE">
      <w:pPr>
        <w:pStyle w:val="Heading4"/>
      </w:pPr>
      <w:r>
        <w:t>Pre ACPM preliminary assessment</w:t>
      </w:r>
    </w:p>
    <w:p w:rsidR="008C28AE" w:rsidRPr="005811A4" w:rsidRDefault="00300E37" w:rsidP="005811A4">
      <w:r>
        <w:t>The Delegate</w:t>
      </w:r>
      <w:r w:rsidR="008C28AE" w:rsidRPr="005811A4">
        <w:t xml:space="preserve"> ha</w:t>
      </w:r>
      <w:r>
        <w:t>s</w:t>
      </w:r>
      <w:r w:rsidR="008C28AE" w:rsidRPr="005811A4">
        <w:t xml:space="preserve"> no reason to say, at this time, that the application for the proposed changes to the vaccination schedule for children and the proposed updates to the PI should not be approved.</w:t>
      </w:r>
    </w:p>
    <w:p w:rsidR="008E7846" w:rsidRDefault="008E7846" w:rsidP="008E7846">
      <w:pPr>
        <w:pStyle w:val="Heading4"/>
      </w:pPr>
      <w:r>
        <w:t xml:space="preserve">Response from </w:t>
      </w:r>
      <w:r w:rsidR="0050284B">
        <w:t>s</w:t>
      </w:r>
      <w:r>
        <w:t>ponsor</w:t>
      </w:r>
    </w:p>
    <w:p w:rsidR="0044446B" w:rsidRPr="0044446B" w:rsidRDefault="0044446B" w:rsidP="0044446B">
      <w:r w:rsidRPr="0044446B">
        <w:t xml:space="preserve">This application was to </w:t>
      </w:r>
      <w:r w:rsidR="004D0F9D">
        <w:t xml:space="preserve">update the PI to include the long term follow </w:t>
      </w:r>
      <w:r w:rsidRPr="0044446B">
        <w:t xml:space="preserve">up data in adults and change the dosage to recommend a booster dose in paediatric populations (12 months to 17 years of age) for </w:t>
      </w:r>
      <w:proofErr w:type="spellStart"/>
      <w:r w:rsidRPr="0044446B">
        <w:t>I</w:t>
      </w:r>
      <w:r w:rsidR="004D0F9D">
        <w:t>mojev</w:t>
      </w:r>
      <w:proofErr w:type="spellEnd"/>
      <w:r w:rsidRPr="0044446B">
        <w:t>, Japanese encephalitis vaccine (live, attenuated).</w:t>
      </w:r>
      <w:r>
        <w:t xml:space="preserve"> </w:t>
      </w:r>
      <w:proofErr w:type="spellStart"/>
      <w:r w:rsidR="004D0F9D" w:rsidRPr="0044446B">
        <w:t>I</w:t>
      </w:r>
      <w:r w:rsidR="004D0F9D">
        <w:t>mojev</w:t>
      </w:r>
      <w:proofErr w:type="spellEnd"/>
      <w:r w:rsidRPr="0044446B">
        <w:t xml:space="preserve"> is indicated for prophylaxis of Japanese encephalitis caused by the Japanese encephalitis virus in individuals from 12 months of age and over.</w:t>
      </w:r>
    </w:p>
    <w:p w:rsidR="0044446B" w:rsidRPr="0044446B" w:rsidRDefault="0044446B" w:rsidP="0044446B">
      <w:r w:rsidRPr="0044446B">
        <w:t>A similar application has been submitted in Thailand to recomme</w:t>
      </w:r>
      <w:r>
        <w:t xml:space="preserve">nd a booster dose in paediatric </w:t>
      </w:r>
      <w:r w:rsidRPr="0044446B">
        <w:t>population and it has been approved by the Thai FDA in November 2012.</w:t>
      </w:r>
    </w:p>
    <w:p w:rsidR="0044446B" w:rsidRPr="0044446B" w:rsidRDefault="0044446B" w:rsidP="0044446B">
      <w:r w:rsidRPr="0044446B">
        <w:t>The sponsor concurs with the Delegate’s comments outlined i</w:t>
      </w:r>
      <w:r>
        <w:t xml:space="preserve">n the Request for ACPM’s Advice </w:t>
      </w:r>
      <w:r w:rsidRPr="0044446B">
        <w:t>dated 29 August 2013. The sponsor also agrees with the cha</w:t>
      </w:r>
      <w:r>
        <w:t>nges recommended to the PI a</w:t>
      </w:r>
      <w:r w:rsidRPr="0044446B">
        <w:t>nd the PI has been updated accordingly with slig</w:t>
      </w:r>
      <w:r>
        <w:t xml:space="preserve">ht modifications. The sponsor’s </w:t>
      </w:r>
      <w:r w:rsidRPr="0044446B">
        <w:t xml:space="preserve">comments on the PI are provided in </w:t>
      </w:r>
      <w:r w:rsidR="002053A5">
        <w:t>appendices</w:t>
      </w:r>
      <w:r w:rsidRPr="0044446B">
        <w:t>. The changes recommended to the PI do not impact the</w:t>
      </w:r>
      <w:r>
        <w:t xml:space="preserve"> </w:t>
      </w:r>
      <w:r w:rsidR="008A06E5">
        <w:t>prop</w:t>
      </w:r>
      <w:r w:rsidR="002143AB">
        <w:t>osed CMI and hence only the non-</w:t>
      </w:r>
      <w:r w:rsidRPr="0044446B">
        <w:t>annotated version of</w:t>
      </w:r>
      <w:r>
        <w:t xml:space="preserve"> </w:t>
      </w:r>
      <w:r w:rsidRPr="0044446B">
        <w:t xml:space="preserve">CMI is provided in </w:t>
      </w:r>
      <w:r w:rsidR="008A06E5">
        <w:t>appendices</w:t>
      </w:r>
      <w:r w:rsidRPr="0044446B">
        <w:t>.</w:t>
      </w:r>
    </w:p>
    <w:p w:rsidR="008E7846" w:rsidRDefault="002143AB" w:rsidP="008E7846">
      <w:pPr>
        <w:pStyle w:val="Heading4"/>
      </w:pPr>
      <w:r>
        <w:t>Advisory c</w:t>
      </w:r>
      <w:r w:rsidR="008E7846">
        <w:t xml:space="preserve">ommittee </w:t>
      </w:r>
      <w:r>
        <w:t>c</w:t>
      </w:r>
      <w:r w:rsidR="008E7846">
        <w:t>onsiderations</w:t>
      </w:r>
    </w:p>
    <w:p w:rsidR="009E7FF4" w:rsidRPr="009E7FF4" w:rsidRDefault="009E7FF4" w:rsidP="009E7FF4">
      <w:r w:rsidRPr="009E7FF4">
        <w:t xml:space="preserve">The ACPM, taking into account the submitted evidence of efficacy, safety and quality, agreed with the delegate and considered </w:t>
      </w:r>
      <w:proofErr w:type="spellStart"/>
      <w:r w:rsidRPr="009E7FF4">
        <w:t>I</w:t>
      </w:r>
      <w:r w:rsidR="007D67F1">
        <w:t>mojev</w:t>
      </w:r>
      <w:proofErr w:type="spellEnd"/>
      <w:r w:rsidRPr="009E7FF4">
        <w:t xml:space="preserve"> powder for injection containing 4.0</w:t>
      </w:r>
      <w:r w:rsidRPr="009E7FF4">
        <w:noBreakHyphen/>
        <w:t>5.8 PFU of Japanese encephalitis virus (live, attenuated) to have an overall positive b</w:t>
      </w:r>
      <w:r w:rsidR="00852A42">
        <w:t>enefit-</w:t>
      </w:r>
      <w:r w:rsidRPr="009E7FF4">
        <w:t xml:space="preserve">risk profile for a booster </w:t>
      </w:r>
      <w:r w:rsidR="002143AB">
        <w:t>dose in paediatric populations.</w:t>
      </w:r>
    </w:p>
    <w:p w:rsidR="009E7FF4" w:rsidRPr="009E7FF4" w:rsidRDefault="009E7FF4" w:rsidP="009E7FF4">
      <w:r w:rsidRPr="009E7FF4">
        <w:t>In makin</w:t>
      </w:r>
      <w:r>
        <w:t>g this recommendation the ACPM:</w:t>
      </w:r>
    </w:p>
    <w:p w:rsidR="009E7FF4" w:rsidRPr="008F0C47" w:rsidRDefault="009E7FF4" w:rsidP="008F0C47">
      <w:pPr>
        <w:pStyle w:val="ListBullet"/>
      </w:pPr>
      <w:r w:rsidRPr="008F0C47">
        <w:t>Noted the lack of clinical data in adults beyond 5 years post-administration of initial dose and in children</w:t>
      </w:r>
      <w:r w:rsidR="002143AB">
        <w:t xml:space="preserve"> beyond 3 years of initial dose.</w:t>
      </w:r>
    </w:p>
    <w:p w:rsidR="009E7FF4" w:rsidRPr="008F0C47" w:rsidRDefault="009E7FF4" w:rsidP="008F0C47">
      <w:pPr>
        <w:pStyle w:val="ListBullet"/>
      </w:pPr>
      <w:r w:rsidRPr="008F0C47">
        <w:t>Expressed some concern over the lack of data on the need for a booster dose in children 5-18 years and the lack of guidance from the sponsor on this age group.</w:t>
      </w:r>
    </w:p>
    <w:p w:rsidR="009E7FF4" w:rsidRPr="008F0C47" w:rsidRDefault="009E7FF4" w:rsidP="008F0C47">
      <w:pPr>
        <w:pStyle w:val="ListBullet"/>
      </w:pPr>
      <w:r w:rsidRPr="008F0C47">
        <w:t>Noted the limitations with the developmental toxicity studies due to the selection of rabbits as a test species, given the lack of evidence for virus replication and complete</w:t>
      </w:r>
      <w:r w:rsidR="002143AB">
        <w:t xml:space="preserve"> </w:t>
      </w:r>
      <w:proofErr w:type="spellStart"/>
      <w:r w:rsidR="002143AB">
        <w:t>seroconversion</w:t>
      </w:r>
      <w:proofErr w:type="spellEnd"/>
      <w:r w:rsidR="002143AB">
        <w:t xml:space="preserve"> in this species.</w:t>
      </w:r>
    </w:p>
    <w:p w:rsidR="009E7FF4" w:rsidRPr="008F0C47" w:rsidRDefault="009E7FF4" w:rsidP="008F0C47">
      <w:r w:rsidRPr="008F0C47">
        <w:t>The committee was requested to provide advice on the following specific issues:</w:t>
      </w:r>
    </w:p>
    <w:p w:rsidR="009E7FF4" w:rsidRPr="006D2E19" w:rsidRDefault="006C3FE4" w:rsidP="002143AB">
      <w:pPr>
        <w:pStyle w:val="Numberbullet0"/>
        <w:numPr>
          <w:ilvl w:val="0"/>
          <w:numId w:val="47"/>
        </w:numPr>
      </w:pPr>
      <w:r>
        <w:t>W</w:t>
      </w:r>
      <w:r w:rsidR="009E7FF4" w:rsidRPr="006D2E19">
        <w:t>hether the committee consider that a booster dose is necessary for paediatric subjects who received primary vaccination with either inactivated MBDV (two</w:t>
      </w:r>
      <w:r w:rsidR="00852A42">
        <w:t xml:space="preserve"> </w:t>
      </w:r>
      <w:r w:rsidR="009E7FF4" w:rsidRPr="006D2E19">
        <w:t xml:space="preserve">doses) </w:t>
      </w:r>
      <w:r w:rsidR="009E7FF4" w:rsidRPr="006D2E19">
        <w:lastRenderedPageBreak/>
        <w:t xml:space="preserve">or one dose of </w:t>
      </w:r>
      <w:proofErr w:type="spellStart"/>
      <w:r w:rsidR="009E7FF4" w:rsidRPr="006D2E19">
        <w:t>Imojev</w:t>
      </w:r>
      <w:proofErr w:type="spellEnd"/>
      <w:r w:rsidR="009E7FF4" w:rsidRPr="006D2E19">
        <w:t xml:space="preserve"> (live, attenuated, recombinant Japanese encephalitis virus vaccine).</w:t>
      </w:r>
    </w:p>
    <w:p w:rsidR="009E7FF4" w:rsidRPr="002143AB" w:rsidRDefault="009E7FF4" w:rsidP="002143AB">
      <w:pPr>
        <w:pStyle w:val="ListBullet2"/>
      </w:pPr>
      <w:r w:rsidRPr="002143AB">
        <w:t xml:space="preserve">There are incomplete long term data in children (5 year data awaited). </w:t>
      </w:r>
    </w:p>
    <w:p w:rsidR="009E7FF4" w:rsidRPr="002143AB" w:rsidRDefault="009E7FF4" w:rsidP="002143AB">
      <w:pPr>
        <w:pStyle w:val="ListBullet2"/>
      </w:pPr>
      <w:r w:rsidRPr="002143AB">
        <w:t>In vaccine</w:t>
      </w:r>
      <w:r w:rsidR="00852A42" w:rsidRPr="002143AB">
        <w:t xml:space="preserve"> </w:t>
      </w:r>
      <w:r w:rsidRPr="002143AB">
        <w:t xml:space="preserve">naïve toddlers and children protection was demonstrated at about 75% at 3 years with a single dose. </w:t>
      </w:r>
    </w:p>
    <w:p w:rsidR="009E7FF4" w:rsidRPr="002143AB" w:rsidRDefault="009E7FF4" w:rsidP="002143AB">
      <w:pPr>
        <w:pStyle w:val="ListBullet2"/>
      </w:pPr>
      <w:r w:rsidRPr="002143AB">
        <w:t xml:space="preserve">The booster dose (in children vaccinated with </w:t>
      </w:r>
      <w:proofErr w:type="spellStart"/>
      <w:r w:rsidRPr="002143AB">
        <w:t>I</w:t>
      </w:r>
      <w:r w:rsidR="009030BB" w:rsidRPr="002143AB">
        <w:t>mojev</w:t>
      </w:r>
      <w:proofErr w:type="spellEnd"/>
      <w:r w:rsidRPr="002143AB">
        <w:t xml:space="preserve">) was shown to confer protective immunity in children for at least 1 year. </w:t>
      </w:r>
    </w:p>
    <w:p w:rsidR="009E7FF4" w:rsidRPr="002143AB" w:rsidRDefault="009E7FF4" w:rsidP="002143AB">
      <w:pPr>
        <w:pStyle w:val="ListBullet2"/>
      </w:pPr>
      <w:r w:rsidRPr="002143AB">
        <w:t>At 28 days post</w:t>
      </w:r>
      <w:r w:rsidR="00852A42" w:rsidRPr="002143AB">
        <w:t xml:space="preserve"> </w:t>
      </w:r>
      <w:r w:rsidRPr="002143AB">
        <w:t xml:space="preserve">booster, 100% were </w:t>
      </w:r>
      <w:proofErr w:type="spellStart"/>
      <w:r w:rsidRPr="002143AB">
        <w:t>seroprotected</w:t>
      </w:r>
      <w:proofErr w:type="spellEnd"/>
      <w:r w:rsidRPr="002143AB">
        <w:t xml:space="preserve"> (compared to 89.7% of previously unvaccinated controls who had received a single dose of JE-CV at Day 0).</w:t>
      </w:r>
    </w:p>
    <w:p w:rsidR="009E7FF4" w:rsidRPr="002143AB" w:rsidRDefault="009E7FF4" w:rsidP="002143AB">
      <w:pPr>
        <w:pStyle w:val="ListBullet2"/>
      </w:pPr>
      <w:r w:rsidRPr="002143AB">
        <w:t>The ACPM noted there are no data submitted for children vaccinated with IMOJEV beyond 1 year after booster dose. However, there is good immunity persistence data for 3 years post</w:t>
      </w:r>
      <w:r w:rsidR="009030BB" w:rsidRPr="002143AB">
        <w:t xml:space="preserve"> </w:t>
      </w:r>
      <w:r w:rsidRPr="002143AB">
        <w:t>vaccination wi</w:t>
      </w:r>
      <w:r w:rsidR="00587D04" w:rsidRPr="002143AB">
        <w:t xml:space="preserve">th the inactivated JE vaccine. </w:t>
      </w:r>
      <w:r w:rsidRPr="002143AB">
        <w:t>Some apparent waning of immunity by 2-3 years suggests that booster dose is required.</w:t>
      </w:r>
    </w:p>
    <w:p w:rsidR="009E7FF4" w:rsidRPr="002143AB" w:rsidRDefault="009E7FF4" w:rsidP="002143AB">
      <w:pPr>
        <w:pStyle w:val="ListBullet2"/>
      </w:pPr>
      <w:r w:rsidRPr="002143AB">
        <w:t>The ACPM expressed concern that no data were presented in children between 5 years and 18 years.</w:t>
      </w:r>
    </w:p>
    <w:p w:rsidR="009E7FF4" w:rsidRPr="00E77020" w:rsidRDefault="009E7FF4" w:rsidP="00E863A1">
      <w:pPr>
        <w:pStyle w:val="ListBullet2"/>
      </w:pPr>
      <w:r w:rsidRPr="00E77020">
        <w:t>The evidence, though incomplete, suggests the booster dose increases the level of immunity and percentage of the population provided with immunity.</w:t>
      </w:r>
    </w:p>
    <w:p w:rsidR="009E7FF4" w:rsidRPr="0077603E" w:rsidRDefault="00E77020" w:rsidP="002143AB">
      <w:pPr>
        <w:pStyle w:val="Numberbullet0"/>
        <w:rPr>
          <w:lang w:eastAsia="ja-JP"/>
        </w:rPr>
      </w:pPr>
      <w:r>
        <w:rPr>
          <w:lang w:eastAsia="ja-JP"/>
        </w:rPr>
        <w:t>W</w:t>
      </w:r>
      <w:r w:rsidR="00E863A1">
        <w:rPr>
          <w:lang w:eastAsia="ja-JP"/>
        </w:rPr>
        <w:t xml:space="preserve">hether the committee </w:t>
      </w:r>
      <w:r w:rsidR="009E7FF4" w:rsidRPr="0077603E">
        <w:rPr>
          <w:lang w:eastAsia="ja-JP"/>
        </w:rPr>
        <w:t>agree that no booster dose is required for adults before 5 years post</w:t>
      </w:r>
      <w:r w:rsidR="009030BB">
        <w:rPr>
          <w:lang w:eastAsia="ja-JP"/>
        </w:rPr>
        <w:t xml:space="preserve"> </w:t>
      </w:r>
      <w:r w:rsidR="009E7FF4" w:rsidRPr="0077603E">
        <w:rPr>
          <w:lang w:eastAsia="ja-JP"/>
        </w:rPr>
        <w:t>JE-CV vaccination</w:t>
      </w:r>
      <w:r w:rsidR="009030BB">
        <w:rPr>
          <w:lang w:eastAsia="ja-JP"/>
        </w:rPr>
        <w:t>.</w:t>
      </w:r>
    </w:p>
    <w:p w:rsidR="00931F94" w:rsidRDefault="009E7FF4" w:rsidP="00931F94">
      <w:pPr>
        <w:pStyle w:val="ListBullet2"/>
      </w:pPr>
      <w:r w:rsidRPr="00E863A1">
        <w:t xml:space="preserve">There is good evidence that </w:t>
      </w:r>
      <w:proofErr w:type="spellStart"/>
      <w:r w:rsidRPr="00E863A1">
        <w:t>seroprotection</w:t>
      </w:r>
      <w:proofErr w:type="spellEnd"/>
      <w:r w:rsidRPr="00E863A1">
        <w:t xml:space="preserve"> persists after primary dose for at least 5 years in adults. In adults &gt; 99% protection was demonstrated at one month and 86.8% at 5 years, suggesting no booster is needed up to 5 years.</w:t>
      </w:r>
    </w:p>
    <w:p w:rsidR="00931F94" w:rsidRPr="00931F94" w:rsidRDefault="00931F94" w:rsidP="00931F94">
      <w:pPr>
        <w:pStyle w:val="Heading5"/>
      </w:pPr>
      <w:r w:rsidRPr="00931F94">
        <w:t>Proposed conditions of registration:</w:t>
      </w:r>
    </w:p>
    <w:p w:rsidR="00931F94" w:rsidRPr="00931F94" w:rsidRDefault="00931F94" w:rsidP="00931F94">
      <w:pPr>
        <w:rPr>
          <w:highlight w:val="yellow"/>
        </w:rPr>
      </w:pPr>
      <w:r w:rsidRPr="00931F94">
        <w:t>The ACPM advised on t</w:t>
      </w:r>
      <w:r w:rsidR="002143AB">
        <w:t>he inclusion of the following:</w:t>
      </w:r>
    </w:p>
    <w:p w:rsidR="00931F94" w:rsidRPr="00931F94" w:rsidRDefault="00931F94" w:rsidP="00931F94">
      <w:pPr>
        <w:pStyle w:val="ListBullet"/>
      </w:pPr>
      <w:r w:rsidRPr="00931F94">
        <w:t xml:space="preserve">Negotiation of </w:t>
      </w:r>
      <w:r w:rsidR="00092499">
        <w:t>PI</w:t>
      </w:r>
      <w:r w:rsidRPr="00931F94">
        <w:t xml:space="preserve"> and </w:t>
      </w:r>
      <w:r w:rsidR="00092499">
        <w:t>CMI</w:t>
      </w:r>
      <w:r w:rsidRPr="00931F94">
        <w:t xml:space="preserve"> to the satisfaction of the TGA. </w:t>
      </w:r>
    </w:p>
    <w:p w:rsidR="00931F94" w:rsidRPr="00931F94" w:rsidRDefault="00931F94" w:rsidP="00931F94">
      <w:pPr>
        <w:pStyle w:val="ListBullet"/>
      </w:pPr>
      <w:r w:rsidRPr="00931F94">
        <w:t>Submission to the TGA of the results of the 5 year post</w:t>
      </w:r>
      <w:r w:rsidR="00587D04">
        <w:t xml:space="preserve"> </w:t>
      </w:r>
      <w:r w:rsidRPr="00931F94">
        <w:t>booster data in children as soon as they become available.</w:t>
      </w:r>
    </w:p>
    <w:p w:rsidR="00931F94" w:rsidRPr="00931F94" w:rsidRDefault="00931F94" w:rsidP="00931F94">
      <w:pPr>
        <w:pStyle w:val="Heading5"/>
      </w:pPr>
      <w:r w:rsidRPr="00931F94">
        <w:t>Proposed Product Information (PI)/Consumer Medicine Information (CMI) amendments:</w:t>
      </w:r>
      <w:r w:rsidRPr="00931F94">
        <w:rPr>
          <w:highlight w:val="yellow"/>
        </w:rPr>
        <w:t xml:space="preserve"> </w:t>
      </w:r>
    </w:p>
    <w:p w:rsidR="00931F94" w:rsidRPr="00931F94" w:rsidRDefault="00931F94" w:rsidP="00931F94">
      <w:r w:rsidRPr="00931F94">
        <w:t>The ACPM agreed with the delegate to the proposed amendments to the Product Information (PI) and Consumer Medicine Information (CMI) and specifically advised on the inclusion of the following:</w:t>
      </w:r>
    </w:p>
    <w:p w:rsidR="00931F94" w:rsidRPr="00931F94" w:rsidRDefault="00931F94" w:rsidP="00931F94">
      <w:pPr>
        <w:pStyle w:val="ListBullet"/>
      </w:pPr>
      <w:r w:rsidRPr="00931F94">
        <w:t xml:space="preserve">A statement in the </w:t>
      </w:r>
      <w:r w:rsidRPr="006344DB">
        <w:rPr>
          <w:i/>
        </w:rPr>
        <w:t>Dosage and Administration</w:t>
      </w:r>
      <w:r w:rsidRPr="00931F94">
        <w:t xml:space="preserve"> section of the PI and relevant sections of the CMI on the lack of evidence for efficacy and safety of a booster dose in children and adolescents 5 to 18 years of age.</w:t>
      </w:r>
    </w:p>
    <w:p w:rsidR="00931F94" w:rsidRPr="00931F94" w:rsidRDefault="00931F94" w:rsidP="00931F94">
      <w:r w:rsidRPr="00931F94">
        <w:t>The ACPM advised that the implementation by the sponsor of the recommendations outlined above to the satisfaction of the TGA, in addition to the evidence of efficacy and safety provided would support the safe and effective use of these products.</w:t>
      </w:r>
    </w:p>
    <w:p w:rsidR="008E7846" w:rsidRPr="002E238E" w:rsidRDefault="008E7846" w:rsidP="008E7846">
      <w:pPr>
        <w:pStyle w:val="Heading3"/>
      </w:pPr>
      <w:bookmarkStart w:id="155" w:name="_Toc247691532"/>
      <w:bookmarkStart w:id="156" w:name="_Toc314842516"/>
      <w:bookmarkStart w:id="157" w:name="_Toc383010153"/>
      <w:bookmarkEnd w:id="128"/>
      <w:bookmarkEnd w:id="153"/>
      <w:bookmarkEnd w:id="154"/>
      <w:r>
        <w:t>Outcome</w:t>
      </w:r>
      <w:bookmarkEnd w:id="155"/>
      <w:bookmarkEnd w:id="156"/>
      <w:bookmarkEnd w:id="157"/>
    </w:p>
    <w:p w:rsidR="008E7846" w:rsidRDefault="008E7846" w:rsidP="00C80137">
      <w:r>
        <w:t xml:space="preserve">Based on a review of quality, safety and efficacy, </w:t>
      </w:r>
      <w:r w:rsidR="00BA30E1">
        <w:t xml:space="preserve">TGA approved the registration of </w:t>
      </w:r>
      <w:proofErr w:type="spellStart"/>
      <w:r w:rsidR="007D67F1" w:rsidRPr="009E7FF4">
        <w:t>I</w:t>
      </w:r>
      <w:r w:rsidR="007D67F1">
        <w:t>mojev</w:t>
      </w:r>
      <w:proofErr w:type="spellEnd"/>
      <w:r w:rsidR="007D67F1" w:rsidRPr="009E7FF4">
        <w:t xml:space="preserve"> powder for injection containing 4.0</w:t>
      </w:r>
      <w:r w:rsidR="007D67F1" w:rsidRPr="009E7FF4">
        <w:noBreakHyphen/>
        <w:t>5.8 PFU of Japanese encephalitis virus (live, attenuated)</w:t>
      </w:r>
      <w:r w:rsidR="00BA30E1">
        <w:t>, indicated for</w:t>
      </w:r>
      <w:r>
        <w:t>:</w:t>
      </w:r>
    </w:p>
    <w:p w:rsidR="008E7846" w:rsidRPr="00511F98" w:rsidRDefault="00511F98" w:rsidP="00511F98">
      <w:pPr>
        <w:ind w:left="720"/>
        <w:rPr>
          <w:i/>
        </w:rPr>
      </w:pPr>
      <w:proofErr w:type="spellStart"/>
      <w:r w:rsidRPr="00511F98">
        <w:rPr>
          <w:i/>
        </w:rPr>
        <w:lastRenderedPageBreak/>
        <w:t>Imojev</w:t>
      </w:r>
      <w:proofErr w:type="spellEnd"/>
      <w:r w:rsidRPr="00511F98">
        <w:rPr>
          <w:i/>
        </w:rPr>
        <w:t xml:space="preserve"> is indicated for prophylaxis of Japanese encephalitis caused by the Japanese encephalitis virus, in individuals from 12 months of age and over.</w:t>
      </w:r>
    </w:p>
    <w:p w:rsidR="008E7846" w:rsidRDefault="008E7846" w:rsidP="008E7846">
      <w:pPr>
        <w:pStyle w:val="Heading2"/>
      </w:pPr>
      <w:bookmarkStart w:id="158" w:name="_Toc247691533"/>
      <w:bookmarkStart w:id="159" w:name="_Toc314842517"/>
      <w:bookmarkStart w:id="160" w:name="_Toc383010154"/>
      <w:proofErr w:type="gramStart"/>
      <w:r>
        <w:t>Attachment 1.</w:t>
      </w:r>
      <w:proofErr w:type="gramEnd"/>
      <w:r>
        <w:tab/>
        <w:t xml:space="preserve">Product </w:t>
      </w:r>
      <w:r w:rsidR="00AA0ED0">
        <w:t>I</w:t>
      </w:r>
      <w:r>
        <w:t>nformation</w:t>
      </w:r>
      <w:bookmarkEnd w:id="158"/>
      <w:bookmarkEnd w:id="159"/>
      <w:bookmarkEnd w:id="160"/>
    </w:p>
    <w:p w:rsidR="00C80137" w:rsidRDefault="00C80137" w:rsidP="00C80137">
      <w:pPr>
        <w:rPr>
          <w:color w:val="000000"/>
          <w:lang w:eastAsia="en-AU"/>
        </w:rPr>
      </w:pPr>
      <w:r w:rsidRPr="0037352E">
        <w:t xml:space="preserve">The Product Information approved at the time this </w:t>
      </w:r>
      <w:proofErr w:type="spellStart"/>
      <w:r w:rsidRPr="0037352E">
        <w:t>AusPAR</w:t>
      </w:r>
      <w:proofErr w:type="spellEnd"/>
      <w:r w:rsidRPr="0037352E">
        <w:t xml:space="preserve"> was published</w:t>
      </w:r>
      <w:r>
        <w:t xml:space="preserve"> is at Attachment 1</w:t>
      </w:r>
      <w:r w:rsidRPr="0037352E">
        <w:t xml:space="preserve">. For the </w:t>
      </w:r>
      <w:r>
        <w:t>most recent</w:t>
      </w:r>
      <w:r w:rsidRPr="0037352E">
        <w:t xml:space="preserve"> Product Information please refer to the TGA website at</w:t>
      </w:r>
      <w:r w:rsidR="008F6943">
        <w:t xml:space="preserve"> &lt;</w:t>
      </w:r>
      <w:hyperlink r:id="rId23" w:history="1">
        <w:r w:rsidR="00722B57" w:rsidRPr="00625A6E">
          <w:rPr>
            <w:rStyle w:val="Hyperlink"/>
          </w:rPr>
          <w:t>http://www.tga.gov.au/hp/information-medicines-pi.htm</w:t>
        </w:r>
      </w:hyperlink>
      <w:hyperlink w:history="1"/>
      <w:r w:rsidR="008F6943">
        <w:rPr>
          <w:color w:val="000000"/>
          <w:lang w:eastAsia="en-AU"/>
        </w:rPr>
        <w:t>&gt;.</w:t>
      </w:r>
    </w:p>
    <w:p w:rsidR="00C80137" w:rsidRDefault="00C80137" w:rsidP="00C80137">
      <w:pPr>
        <w:pStyle w:val="Heading2"/>
        <w:rPr>
          <w:lang w:eastAsia="en-AU"/>
        </w:rPr>
      </w:pPr>
      <w:bookmarkStart w:id="161" w:name="_Toc383010155"/>
      <w:proofErr w:type="gramStart"/>
      <w:r>
        <w:rPr>
          <w:lang w:eastAsia="en-AU"/>
        </w:rPr>
        <w:t>Attachment 2.</w:t>
      </w:r>
      <w:proofErr w:type="gramEnd"/>
      <w:r>
        <w:rPr>
          <w:lang w:eastAsia="en-AU"/>
        </w:rPr>
        <w:t xml:space="preserve"> Extract from the Clinical Evaluation Report</w:t>
      </w:r>
      <w:bookmarkEnd w:id="161"/>
    </w:p>
    <w:p w:rsidR="00291957" w:rsidRDefault="00291957" w:rsidP="00291957">
      <w:pPr>
        <w:rPr>
          <w:lang w:eastAsia="ja-JP"/>
        </w:rPr>
      </w:pPr>
    </w:p>
    <w:p w:rsidR="00C80137" w:rsidRPr="001D043B" w:rsidRDefault="00C80137" w:rsidP="003A7F6C">
      <w:pPr>
        <w:pStyle w:val="TableTitle"/>
        <w:sectPr w:rsidR="00C80137" w:rsidRPr="001D043B" w:rsidSect="00B452CE">
          <w:headerReference w:type="even" r:id="rId24"/>
          <w:headerReference w:type="default" r:id="rId25"/>
          <w:footerReference w:type="default" r:id="rId26"/>
          <w:headerReference w:type="first" r:id="rId27"/>
          <w:footerReference w:type="first" r:id="rId28"/>
          <w:pgSz w:w="11906" w:h="16838" w:code="9"/>
          <w:pgMar w:top="834" w:right="1701" w:bottom="1191" w:left="1701" w:header="907" w:footer="216" w:gutter="0"/>
          <w:cols w:space="708"/>
          <w:docGrid w:linePitch="360"/>
        </w:sectPr>
      </w:pPr>
    </w:p>
    <w:p w:rsidR="00774E1D" w:rsidRPr="008A5E0B" w:rsidRDefault="00774E1D" w:rsidP="004C239D"/>
    <w:sectPr w:rsidR="00774E1D" w:rsidRPr="008A5E0B" w:rsidSect="004C239D">
      <w:headerReference w:type="even" r:id="rId29"/>
      <w:headerReference w:type="default" r:id="rId30"/>
      <w:footerReference w:type="default" r:id="rId31"/>
      <w:headerReference w:type="first" r:id="rId32"/>
      <w:footerReference w:type="first" r:id="rId33"/>
      <w:pgSz w:w="11906" w:h="16838" w:code="9"/>
      <w:pgMar w:top="1818" w:right="1701" w:bottom="1701"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EF9" w:rsidRDefault="00F97EF9" w:rsidP="00C40A36">
      <w:pPr>
        <w:spacing w:after="0"/>
      </w:pPr>
      <w:r>
        <w:separator/>
      </w:r>
    </w:p>
  </w:endnote>
  <w:endnote w:type="continuationSeparator" w:id="0">
    <w:p w:rsidR="00F97EF9" w:rsidRDefault="00F97EF9"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MSMincho-WinCharSetFFFF-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F97EF9" w:rsidRPr="00487162" w:rsidTr="0053625B">
      <w:trPr>
        <w:trHeight w:val="269"/>
      </w:trPr>
      <w:tc>
        <w:tcPr>
          <w:tcW w:w="7938" w:type="dxa"/>
          <w:tcMar>
            <w:top w:w="142" w:type="dxa"/>
            <w:bottom w:w="0" w:type="dxa"/>
          </w:tcMar>
        </w:tcPr>
        <w:p w:rsidR="00F97EF9" w:rsidRPr="00487162" w:rsidRDefault="00F97EF9" w:rsidP="001A34CC">
          <w:pPr>
            <w:pStyle w:val="Footer"/>
          </w:pPr>
          <w:proofErr w:type="spellStart"/>
          <w:r w:rsidRPr="00487162">
            <w:t>AusPAR</w:t>
          </w:r>
          <w:proofErr w:type="spellEnd"/>
          <w:r w:rsidRPr="00487162">
            <w:t xml:space="preserve"> </w:t>
          </w:r>
          <w:proofErr w:type="spellStart"/>
          <w:r>
            <w:t>Imojev</w:t>
          </w:r>
          <w:proofErr w:type="spellEnd"/>
          <w:r>
            <w:t xml:space="preserve"> </w:t>
          </w:r>
          <w:r w:rsidRPr="00DF4034">
            <w:t>Sanofi-Aventis Australia Pty Ltd</w:t>
          </w:r>
          <w:r w:rsidRPr="00487162">
            <w:t xml:space="preserve"> </w:t>
          </w:r>
          <w:r w:rsidRPr="00DF4034">
            <w:t>PM-2012-02264-3-2</w:t>
          </w:r>
          <w:r>
            <w:br/>
            <w:t>Final 3 February 2014</w:t>
          </w:r>
        </w:p>
      </w:tc>
      <w:tc>
        <w:tcPr>
          <w:tcW w:w="923" w:type="dxa"/>
          <w:tcMar>
            <w:top w:w="142" w:type="dxa"/>
            <w:bottom w:w="0" w:type="dxa"/>
          </w:tcMar>
        </w:tcPr>
        <w:p w:rsidR="00F97EF9" w:rsidRPr="00487162" w:rsidRDefault="00F97EF9" w:rsidP="00D855D4">
          <w:pPr>
            <w:pStyle w:val="Footer"/>
            <w:jc w:val="right"/>
          </w:pPr>
          <w:r w:rsidRPr="00487162">
            <w:t xml:space="preserve">Page </w:t>
          </w:r>
          <w:r>
            <w:t>2</w:t>
          </w:r>
          <w:r w:rsidRPr="00487162">
            <w:t xml:space="preserve"> of </w:t>
          </w:r>
          <w:r w:rsidR="00FC2262">
            <w:fldChar w:fldCharType="begin"/>
          </w:r>
          <w:r w:rsidR="00FC2262">
            <w:instrText xml:space="preserve"> NUMPAGES  \* Arabic </w:instrText>
          </w:r>
          <w:r w:rsidR="00FC2262">
            <w:fldChar w:fldCharType="separate"/>
          </w:r>
          <w:r w:rsidR="00FC2262">
            <w:rPr>
              <w:noProof/>
            </w:rPr>
            <w:t>4</w:t>
          </w:r>
          <w:r w:rsidR="00FC2262">
            <w:rPr>
              <w:noProof/>
            </w:rPr>
            <w:fldChar w:fldCharType="end"/>
          </w:r>
        </w:p>
      </w:tc>
    </w:tr>
  </w:tbl>
  <w:p w:rsidR="00F97EF9" w:rsidRDefault="00F97EF9"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6804"/>
      <w:gridCol w:w="2057"/>
    </w:tblGrid>
    <w:tr w:rsidR="00F97EF9" w:rsidRPr="00487162" w:rsidTr="003F5153">
      <w:trPr>
        <w:trHeight w:val="269"/>
      </w:trPr>
      <w:tc>
        <w:tcPr>
          <w:tcW w:w="6804" w:type="dxa"/>
          <w:tcMar>
            <w:top w:w="142" w:type="dxa"/>
            <w:bottom w:w="0" w:type="dxa"/>
          </w:tcMar>
        </w:tcPr>
        <w:p w:rsidR="00F97EF9" w:rsidRPr="00487162" w:rsidRDefault="00F97EF9" w:rsidP="00DF4034">
          <w:pPr>
            <w:pStyle w:val="Footer"/>
          </w:pPr>
          <w:proofErr w:type="spellStart"/>
          <w:r w:rsidRPr="00487162">
            <w:t>Au</w:t>
          </w:r>
          <w:r w:rsidRPr="003B4D60">
            <w:t>sPAR</w:t>
          </w:r>
          <w:proofErr w:type="spellEnd"/>
          <w:r w:rsidRPr="003B4D60">
            <w:t xml:space="preserve"> </w:t>
          </w:r>
          <w:proofErr w:type="spellStart"/>
          <w:r>
            <w:t>Imojev</w:t>
          </w:r>
          <w:proofErr w:type="spellEnd"/>
          <w:r>
            <w:t xml:space="preserve"> </w:t>
          </w:r>
          <w:r w:rsidRPr="00DF4034">
            <w:t>Sanofi-Aventis Australia Pty Ltd</w:t>
          </w:r>
          <w:r w:rsidRPr="00487162">
            <w:t xml:space="preserve"> </w:t>
          </w:r>
          <w:r w:rsidRPr="00DF4034">
            <w:t>PM-2012-02264-3-2</w:t>
          </w:r>
          <w:r>
            <w:br/>
            <w:t>Final 3 February 2014</w:t>
          </w:r>
        </w:p>
      </w:tc>
      <w:tc>
        <w:tcPr>
          <w:tcW w:w="2057" w:type="dxa"/>
          <w:tcMar>
            <w:top w:w="142" w:type="dxa"/>
            <w:bottom w:w="0" w:type="dxa"/>
          </w:tcMar>
        </w:tcPr>
        <w:p w:rsidR="00F97EF9" w:rsidRPr="00487162" w:rsidRDefault="00F97EF9" w:rsidP="00E45619">
          <w:pPr>
            <w:pStyle w:val="Footer"/>
            <w:jc w:val="right"/>
          </w:pPr>
          <w:r w:rsidRPr="00487162">
            <w:t xml:space="preserve">Page </w:t>
          </w:r>
          <w:r>
            <w:fldChar w:fldCharType="begin"/>
          </w:r>
          <w:r>
            <w:instrText>PAGE</w:instrText>
          </w:r>
          <w:r>
            <w:fldChar w:fldCharType="separate"/>
          </w:r>
          <w:r w:rsidR="00FC2262">
            <w:rPr>
              <w:noProof/>
            </w:rPr>
            <w:t>30</w:t>
          </w:r>
          <w:r>
            <w:fldChar w:fldCharType="end"/>
          </w:r>
          <w:r w:rsidRPr="00487162">
            <w:t xml:space="preserve"> of </w:t>
          </w:r>
          <w:r w:rsidR="00FC2262">
            <w:fldChar w:fldCharType="begin"/>
          </w:r>
          <w:r w:rsidR="00FC2262">
            <w:instrText xml:space="preserve"> NUMPAGES  \* Arabic </w:instrText>
          </w:r>
          <w:r w:rsidR="00FC2262">
            <w:fldChar w:fldCharType="separate"/>
          </w:r>
          <w:r w:rsidR="00FC2262">
            <w:rPr>
              <w:noProof/>
            </w:rPr>
            <w:t>30</w:t>
          </w:r>
          <w:r w:rsidR="00FC2262">
            <w:rPr>
              <w:noProof/>
            </w:rPr>
            <w:fldChar w:fldCharType="end"/>
          </w:r>
        </w:p>
      </w:tc>
    </w:tr>
  </w:tbl>
  <w:p w:rsidR="00F97EF9" w:rsidRDefault="00F97EF9" w:rsidP="00E2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F97EF9" w:rsidRPr="00487162" w:rsidTr="00E45619">
      <w:trPr>
        <w:trHeight w:val="269"/>
      </w:trPr>
      <w:tc>
        <w:tcPr>
          <w:tcW w:w="4519" w:type="dxa"/>
          <w:tcBorders>
            <w:top w:val="single" w:sz="4" w:space="0" w:color="auto"/>
          </w:tcBorders>
          <w:tcMar>
            <w:top w:w="142" w:type="dxa"/>
            <w:bottom w:w="0" w:type="dxa"/>
          </w:tcMar>
        </w:tcPr>
        <w:p w:rsidR="00F97EF9" w:rsidRPr="00487162" w:rsidRDefault="00F97EF9" w:rsidP="00FE1DEE">
          <w:pPr>
            <w:pStyle w:val="Footer"/>
          </w:pPr>
          <w:r w:rsidRPr="00487162">
            <w:t>Document title, Part #, Section # - Section title</w:t>
          </w:r>
        </w:p>
        <w:p w:rsidR="00F97EF9" w:rsidRPr="00487162" w:rsidRDefault="00F97EF9" w:rsidP="00FE1DEE">
          <w:pPr>
            <w:pStyle w:val="Footer"/>
          </w:pPr>
          <w:r w:rsidRPr="00487162">
            <w:t>V1.0 October 2010</w:t>
          </w:r>
        </w:p>
      </w:tc>
      <w:tc>
        <w:tcPr>
          <w:tcW w:w="4342" w:type="dxa"/>
          <w:tcBorders>
            <w:top w:val="single" w:sz="4" w:space="0" w:color="auto"/>
          </w:tcBorders>
          <w:tcMar>
            <w:top w:w="142" w:type="dxa"/>
            <w:bottom w:w="0" w:type="dxa"/>
          </w:tcMar>
        </w:tcPr>
        <w:p w:rsidR="00F97EF9" w:rsidRPr="00487162" w:rsidRDefault="00F97EF9"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fldChar w:fldCharType="end"/>
          </w:r>
          <w:r w:rsidRPr="00487162">
            <w:t xml:space="preserve"> of </w:t>
          </w:r>
          <w:r w:rsidR="00FC2262">
            <w:fldChar w:fldCharType="begin"/>
          </w:r>
          <w:r w:rsidR="00FC2262">
            <w:instrText xml:space="preserve"> NUMPAGES  </w:instrText>
          </w:r>
          <w:r w:rsidR="00FC2262">
            <w:fldChar w:fldCharType="separate"/>
          </w:r>
          <w:r>
            <w:rPr>
              <w:noProof/>
            </w:rPr>
            <w:t>4</w:t>
          </w:r>
          <w:r w:rsidR="00FC2262">
            <w:rPr>
              <w:noProof/>
            </w:rPr>
            <w:fldChar w:fldCharType="end"/>
          </w:r>
        </w:p>
      </w:tc>
    </w:tr>
  </w:tbl>
  <w:p w:rsidR="00F97EF9" w:rsidRDefault="00F97E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F97EF9" w:rsidRPr="00487162" w:rsidTr="00E45619">
      <w:trPr>
        <w:trHeight w:hRule="exact" w:val="704"/>
      </w:trPr>
      <w:tc>
        <w:tcPr>
          <w:tcW w:w="9175" w:type="dxa"/>
        </w:tcPr>
        <w:p w:rsidR="00F97EF9" w:rsidRPr="00487162" w:rsidRDefault="00F97EF9" w:rsidP="008E7846">
          <w:pPr>
            <w:pStyle w:val="TGASignoff"/>
          </w:pPr>
          <w:r w:rsidRPr="00487162">
            <w:t>Therapeutic Goods Administration</w:t>
          </w:r>
        </w:p>
      </w:tc>
    </w:tr>
    <w:tr w:rsidR="00F97EF9" w:rsidRPr="00487162" w:rsidTr="00E45619">
      <w:trPr>
        <w:trHeight w:val="1221"/>
      </w:trPr>
      <w:tc>
        <w:tcPr>
          <w:tcW w:w="9175" w:type="dxa"/>
          <w:tcMar>
            <w:top w:w="28" w:type="dxa"/>
          </w:tcMar>
        </w:tcPr>
        <w:p w:rsidR="00F97EF9" w:rsidRPr="00487162" w:rsidRDefault="00F97EF9" w:rsidP="00E45619">
          <w:pPr>
            <w:pStyle w:val="Address"/>
          </w:pPr>
          <w:r w:rsidRPr="00487162">
            <w:t>PO Box 100 Woden ACT 2606 Australia</w:t>
          </w:r>
        </w:p>
        <w:p w:rsidR="00F97EF9" w:rsidRPr="00487162" w:rsidRDefault="00F97EF9" w:rsidP="00E45619">
          <w:pPr>
            <w:pStyle w:val="Address"/>
          </w:pPr>
          <w:r w:rsidRPr="00487162">
            <w:t xml:space="preserve">Email: </w:t>
          </w:r>
          <w:hyperlink r:id="rId1" w:history="1">
            <w:r w:rsidRPr="004C239D">
              <w:rPr>
                <w:rStyle w:val="Hyperlink"/>
              </w:rPr>
              <w:t>info@tga.gov.au</w:t>
            </w:r>
          </w:hyperlink>
          <w:r w:rsidRPr="00487162">
            <w:t xml:space="preserve">  Phone: 1800 020 653  Fax: 02 6232 8605</w:t>
          </w:r>
        </w:p>
        <w:p w:rsidR="00F97EF9" w:rsidRPr="004C239D" w:rsidRDefault="00FC2262" w:rsidP="004C239D">
          <w:pPr>
            <w:pStyle w:val="Address"/>
            <w:spacing w:line="260" w:lineRule="atLeast"/>
            <w:rPr>
              <w:b/>
              <w:color w:val="0000FF"/>
              <w:u w:val="single"/>
            </w:rPr>
          </w:pPr>
          <w:hyperlink r:id="rId2" w:history="1">
            <w:r w:rsidR="00F97EF9" w:rsidRPr="00607888">
              <w:rPr>
                <w:rStyle w:val="Hyperlink"/>
                <w:b/>
              </w:rPr>
              <w:t>http://www.tga.gov.au</w:t>
            </w:r>
          </w:hyperlink>
        </w:p>
      </w:tc>
    </w:tr>
  </w:tbl>
  <w:p w:rsidR="00F97EF9" w:rsidRDefault="00F97EF9" w:rsidP="008E7846">
    <w:pPr>
      <w:pStyle w:val="Note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F97EF9" w:rsidTr="0010601F">
      <w:trPr>
        <w:trHeight w:val="108"/>
      </w:trPr>
      <w:tc>
        <w:tcPr>
          <w:tcW w:w="8875" w:type="dxa"/>
          <w:gridSpan w:val="2"/>
          <w:tcBorders>
            <w:bottom w:val="single" w:sz="4" w:space="0" w:color="auto"/>
          </w:tcBorders>
          <w:tcMar>
            <w:right w:w="284" w:type="dxa"/>
          </w:tcMar>
        </w:tcPr>
        <w:p w:rsidR="00F97EF9" w:rsidRDefault="00F97EF9" w:rsidP="006E08B3">
          <w:pPr>
            <w:pStyle w:val="Heading3"/>
          </w:pPr>
          <w:r>
            <w:t>Copyright</w:t>
          </w:r>
        </w:p>
        <w:p w:rsidR="00F97EF9" w:rsidRDefault="00F97EF9" w:rsidP="006E08B3">
          <w:r>
            <w:rPr>
              <w:rFonts w:cs="Arial"/>
            </w:rPr>
            <w:t>©</w:t>
          </w:r>
          <w:r>
            <w:t xml:space="preserve"> Commonwealth of Australia [add year]</w:t>
          </w:r>
        </w:p>
        <w:p w:rsidR="00F97EF9" w:rsidRDefault="00F97EF9" w:rsidP="006E08B3"/>
        <w:p w:rsidR="00F97EF9" w:rsidRDefault="00F97EF9"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F97EF9" w:rsidRDefault="00F97EF9" w:rsidP="006E08B3"/>
        <w:p w:rsidR="00F97EF9" w:rsidRDefault="00F97EF9" w:rsidP="006E08B3">
          <w:pPr>
            <w:pStyle w:val="Heading3"/>
          </w:pPr>
          <w:r>
            <w:t>Confidentiality</w:t>
          </w:r>
        </w:p>
        <w:p w:rsidR="00F97EF9" w:rsidRDefault="00F97EF9"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F97EF9" w:rsidRDefault="00F97EF9" w:rsidP="006E08B3"/>
        <w:p w:rsidR="00F97EF9" w:rsidRDefault="00F97EF9" w:rsidP="006E08B3">
          <w:r>
            <w:t>For submission made by individuals, all personal details, other than your name, will be removed from your submission before it is published on the TGA’s Internet site.</w:t>
          </w:r>
        </w:p>
        <w:p w:rsidR="00F97EF9" w:rsidRDefault="00F97EF9" w:rsidP="006E08B3"/>
        <w:p w:rsidR="00F97EF9" w:rsidRDefault="00F97EF9"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F97EF9" w:rsidTr="0010601F">
      <w:trPr>
        <w:trHeight w:val="417"/>
      </w:trPr>
      <w:tc>
        <w:tcPr>
          <w:tcW w:w="4519" w:type="dxa"/>
          <w:tcBorders>
            <w:top w:val="single" w:sz="4" w:space="0" w:color="auto"/>
          </w:tcBorders>
          <w:tcMar>
            <w:top w:w="142" w:type="dxa"/>
            <w:bottom w:w="0" w:type="dxa"/>
          </w:tcMar>
        </w:tcPr>
        <w:p w:rsidR="00F97EF9" w:rsidRDefault="00F97EF9" w:rsidP="006E08B3">
          <w:r>
            <w:t>Document title, Part #, Section # - Section title</w:t>
          </w:r>
        </w:p>
        <w:p w:rsidR="00F97EF9" w:rsidRDefault="00F97EF9" w:rsidP="006E08B3">
          <w:r>
            <w:t>V1.0 October 2010</w:t>
          </w:r>
        </w:p>
      </w:tc>
      <w:tc>
        <w:tcPr>
          <w:tcW w:w="4356" w:type="dxa"/>
          <w:tcBorders>
            <w:top w:val="single" w:sz="4" w:space="0" w:color="auto"/>
          </w:tcBorders>
          <w:tcMar>
            <w:top w:w="142" w:type="dxa"/>
            <w:bottom w:w="0" w:type="dxa"/>
          </w:tcMar>
        </w:tcPr>
        <w:p w:rsidR="00F97EF9" w:rsidRDefault="00F97EF9" w:rsidP="006E08B3">
          <w:pPr>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sidR="00FC2262">
            <w:fldChar w:fldCharType="begin"/>
          </w:r>
          <w:r w:rsidR="00FC2262">
            <w:instrText xml:space="preserve"> NUMPAGES  \* Arabic </w:instrText>
          </w:r>
          <w:r w:rsidR="00FC2262">
            <w:fldChar w:fldCharType="separate"/>
          </w:r>
          <w:r>
            <w:rPr>
              <w:noProof/>
            </w:rPr>
            <w:t>4</w:t>
          </w:r>
          <w:r w:rsidR="00FC2262">
            <w:rPr>
              <w:noProof/>
            </w:rPr>
            <w:fldChar w:fldCharType="end"/>
          </w:r>
          <w:r>
            <w:t xml:space="preserve">  </w:t>
          </w:r>
        </w:p>
      </w:tc>
    </w:tr>
  </w:tbl>
  <w:p w:rsidR="00F97EF9" w:rsidRDefault="00F97E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EF9" w:rsidRDefault="00F97EF9" w:rsidP="00C40A36">
      <w:pPr>
        <w:spacing w:after="0"/>
      </w:pPr>
      <w:r>
        <w:separator/>
      </w:r>
    </w:p>
  </w:footnote>
  <w:footnote w:type="continuationSeparator" w:id="0">
    <w:p w:rsidR="00F97EF9" w:rsidRDefault="00F97EF9" w:rsidP="00C40A36">
      <w:pPr>
        <w:spacing w:after="0"/>
      </w:pPr>
      <w:r>
        <w:continuationSeparator/>
      </w:r>
    </w:p>
  </w:footnote>
  <w:footnote w:id="1">
    <w:p w:rsidR="00F97EF9" w:rsidRDefault="00F97EF9">
      <w:pPr>
        <w:pStyle w:val="FootnoteText"/>
      </w:pPr>
      <w:r>
        <w:rPr>
          <w:rStyle w:val="FootnoteReference"/>
        </w:rPr>
        <w:footnoteRef/>
      </w:r>
      <w:r>
        <w:t xml:space="preserve"> </w:t>
      </w:r>
      <w:r w:rsidRPr="005F7466">
        <w:t>Immunity is maintained at a high level at least 3 years after the booster dose.</w:t>
      </w:r>
    </w:p>
  </w:footnote>
  <w:footnote w:id="2">
    <w:p w:rsidR="00F97EF9" w:rsidRDefault="00F97EF9">
      <w:pPr>
        <w:pStyle w:val="FootnoteText"/>
      </w:pPr>
      <w:r>
        <w:rPr>
          <w:rStyle w:val="FootnoteReference"/>
        </w:rPr>
        <w:footnoteRef/>
      </w:r>
      <w:r>
        <w:t xml:space="preserve"> </w:t>
      </w:r>
      <w:proofErr w:type="gramStart"/>
      <w:r>
        <w:t>Australian Government, Department of Health.</w:t>
      </w:r>
      <w:proofErr w:type="gramEnd"/>
      <w:r>
        <w:t xml:space="preserve"> The Australian Immunisation Handbook, 10th ed., 2013, pp. 133-140.</w:t>
      </w:r>
    </w:p>
  </w:footnote>
  <w:footnote w:id="3">
    <w:p w:rsidR="00F97EF9" w:rsidRDefault="00F97EF9">
      <w:pPr>
        <w:pStyle w:val="FootnoteText"/>
      </w:pPr>
      <w:r>
        <w:rPr>
          <w:rStyle w:val="FootnoteReference"/>
        </w:rPr>
        <w:footnoteRef/>
      </w:r>
      <w:r>
        <w:t xml:space="preserve"> </w:t>
      </w:r>
      <w:r w:rsidRPr="00264719">
        <w:t xml:space="preserve">European Medicines </w:t>
      </w:r>
      <w:r w:rsidRPr="00E86CA1">
        <w:t xml:space="preserve">Agency, “Committee for </w:t>
      </w:r>
      <w:r>
        <w:t xml:space="preserve">proprietary </w:t>
      </w:r>
      <w:r w:rsidRPr="00E86CA1">
        <w:t>medicinal products (C</w:t>
      </w:r>
      <w:r>
        <w:t>P</w:t>
      </w:r>
      <w:r w:rsidRPr="00E86CA1">
        <w:t xml:space="preserve">MP): </w:t>
      </w:r>
      <w:r>
        <w:t>Guideline on the evaluation of medicinal products in the treatment of primary osteoporosis (CPMP/SWP/465/95)</w:t>
      </w:r>
      <w:r w:rsidRPr="00E86CA1">
        <w:t xml:space="preserve">”, </w:t>
      </w:r>
      <w:r>
        <w:t>17 December 1997</w:t>
      </w:r>
      <w:r w:rsidRPr="00E86CA1">
        <w:t xml:space="preserve">, Web, accessed </w:t>
      </w:r>
      <w:r>
        <w:t>8 January 2014</w:t>
      </w:r>
      <w:r w:rsidRPr="00264719">
        <w:t xml:space="preserve"> </w:t>
      </w:r>
      <w:r>
        <w:t>&lt;</w:t>
      </w:r>
      <w:r w:rsidRPr="004D6AA5">
        <w:t>www.ema.europa.eu/docs/en_GB/document_library/Scientific_guideline/2009/10/WC500004004.pdf</w:t>
      </w:r>
      <w:r>
        <w:t>&gt;; FDA Food and Drug Administration, “Considerations for developmental toxicity studies for preventive and therapeutic vaccines for infectious disease indications”, February 2006, Web, accessed 8 January 2014 &lt;</w:t>
      </w:r>
      <w:r w:rsidRPr="00561885">
        <w:t>www.fda.gov/downloads/BiologicsBloodVaccines/GuidanceCompliance</w:t>
      </w:r>
      <w:r>
        <w:t xml:space="preserve"> </w:t>
      </w:r>
      <w:proofErr w:type="spellStart"/>
      <w:r w:rsidRPr="00561885">
        <w:t>RegulatoryInformation</w:t>
      </w:r>
      <w:proofErr w:type="spellEnd"/>
      <w:r w:rsidRPr="00561885">
        <w:t>/</w:t>
      </w:r>
      <w:proofErr w:type="spellStart"/>
      <w:r w:rsidRPr="00561885">
        <w:t>Guidances</w:t>
      </w:r>
      <w:proofErr w:type="spellEnd"/>
      <w:r w:rsidRPr="00561885">
        <w:t>/Vaccines/ucm092170.pdf</w:t>
      </w:r>
      <w:r>
        <w:t xml:space="preserve">&gt;; European Medicines Agency, “ICH Topic S5 </w:t>
      </w:r>
      <w:r w:rsidRPr="001E13D8">
        <w:t>(R2)</w:t>
      </w:r>
      <w:r>
        <w:t xml:space="preserve"> </w:t>
      </w:r>
      <w:r w:rsidRPr="001E13D8">
        <w:t>Detection of Toxicity to Reproduction for Medicinal Products &amp; Toxicity to Male</w:t>
      </w:r>
      <w:r>
        <w:t xml:space="preserve"> Fertility, Step 5: Note for Guidance on the Detection of Toxicity to Reproduction for Medicinal Products &amp; Toxicity to Male Fertility (</w:t>
      </w:r>
      <w:r w:rsidRPr="001E13D8">
        <w:t>CPMP/ICH/386/95</w:t>
      </w:r>
      <w:r>
        <w:t>)”, March 1994, Web, accessed 8 January 2014 &lt;</w:t>
      </w:r>
      <w:r w:rsidRPr="00081386">
        <w:t>www.ema.europa.eu/docs/en_GB/document_library/Scientific_guideline/2009/09/</w:t>
      </w:r>
      <w:r>
        <w:t xml:space="preserve"> </w:t>
      </w:r>
      <w:r w:rsidRPr="00081386">
        <w:t>WC500002809.pdf</w:t>
      </w:r>
      <w:r>
        <w:t>&gt;.</w:t>
      </w:r>
    </w:p>
  </w:footnote>
  <w:footnote w:id="4">
    <w:p w:rsidR="00F97EF9" w:rsidRDefault="00F97EF9">
      <w:pPr>
        <w:pStyle w:val="FootnoteText"/>
      </w:pPr>
      <w:r>
        <w:rPr>
          <w:rStyle w:val="FootnoteReference"/>
        </w:rPr>
        <w:footnoteRef/>
      </w:r>
      <w:r>
        <w:t xml:space="preserve"> </w:t>
      </w:r>
      <w:proofErr w:type="gramStart"/>
      <w:r>
        <w:t xml:space="preserve">Cited in </w:t>
      </w:r>
      <w:r w:rsidRPr="00564222">
        <w:t>Kimura T</w:t>
      </w:r>
      <w:r>
        <w:t>,</w:t>
      </w:r>
      <w:r w:rsidRPr="00564222">
        <w:t xml:space="preserve"> et al</w:t>
      </w:r>
      <w:r>
        <w:t>. (2010)</w:t>
      </w:r>
      <w:r w:rsidRPr="00564222">
        <w:t xml:space="preserve"> </w:t>
      </w:r>
      <w:proofErr w:type="spellStart"/>
      <w:r w:rsidRPr="00564222">
        <w:t>Flavivirus</w:t>
      </w:r>
      <w:proofErr w:type="spellEnd"/>
      <w:r w:rsidRPr="00564222">
        <w:t xml:space="preserve"> encephalitis.</w:t>
      </w:r>
      <w:proofErr w:type="gramEnd"/>
      <w:r w:rsidRPr="00564222">
        <w:t xml:space="preserve"> </w:t>
      </w:r>
      <w:proofErr w:type="gramStart"/>
      <w:r w:rsidRPr="00564222">
        <w:t>Pathological aspects of mouse and other animal models.</w:t>
      </w:r>
      <w:proofErr w:type="gramEnd"/>
      <w:r w:rsidRPr="00564222">
        <w:t xml:space="preserve"> </w:t>
      </w:r>
      <w:r w:rsidRPr="00564222">
        <w:rPr>
          <w:i/>
        </w:rPr>
        <w:t>Veterinary Pathology</w:t>
      </w:r>
      <w:r>
        <w:t xml:space="preserve"> 47</w:t>
      </w:r>
      <w:r w:rsidRPr="00564222">
        <w:t>: 806</w:t>
      </w:r>
      <w:r>
        <w:t>-818.</w:t>
      </w:r>
    </w:p>
  </w:footnote>
  <w:footnote w:id="5">
    <w:p w:rsidR="00F97EF9" w:rsidRDefault="00F97EF9">
      <w:pPr>
        <w:pStyle w:val="FootnoteText"/>
      </w:pPr>
      <w:r>
        <w:rPr>
          <w:rStyle w:val="FootnoteReference"/>
        </w:rPr>
        <w:footnoteRef/>
      </w:r>
      <w:r>
        <w:t xml:space="preserve"> </w:t>
      </w:r>
      <w:r w:rsidRPr="00264719">
        <w:t xml:space="preserve">European Medicines </w:t>
      </w:r>
      <w:r w:rsidRPr="00E86CA1">
        <w:t xml:space="preserve">Agency, “Committee for medicinal products </w:t>
      </w:r>
      <w:r>
        <w:t xml:space="preserve">for human use </w:t>
      </w:r>
      <w:r w:rsidRPr="00E86CA1">
        <w:t>(C</w:t>
      </w:r>
      <w:r>
        <w:t>H</w:t>
      </w:r>
      <w:r w:rsidRPr="00E86CA1">
        <w:t xml:space="preserve">MP): </w:t>
      </w:r>
      <w:r>
        <w:t>Guideline on clinical evaluation of new vaccines (</w:t>
      </w:r>
      <w:r w:rsidRPr="00AB053D">
        <w:t>EMEA/CHMP/VWP/164653/2005</w:t>
      </w:r>
      <w:r>
        <w:t>)</w:t>
      </w:r>
      <w:r w:rsidRPr="00E86CA1">
        <w:t xml:space="preserve">”, </w:t>
      </w:r>
      <w:r>
        <w:t>18 October 2006</w:t>
      </w:r>
      <w:r w:rsidRPr="00E86CA1">
        <w:t xml:space="preserve">, Web, accessed </w:t>
      </w:r>
      <w:r>
        <w:t>8 January 2014</w:t>
      </w:r>
      <w:r w:rsidRPr="00264719">
        <w:t xml:space="preserve"> </w:t>
      </w:r>
      <w:r>
        <w:t>&lt;</w:t>
      </w:r>
      <w:r w:rsidRPr="00AB053D">
        <w:t>www.ema.europa.eu/docs/en_GB/document_library/</w:t>
      </w:r>
      <w:r>
        <w:t xml:space="preserve"> </w:t>
      </w:r>
      <w:proofErr w:type="spellStart"/>
      <w:r w:rsidRPr="00AB053D">
        <w:t>Scientific_guideline</w:t>
      </w:r>
      <w:proofErr w:type="spellEnd"/>
      <w:r w:rsidRPr="00AB053D">
        <w:t>/2009/09/WC500003870.pdf</w:t>
      </w:r>
      <w:r>
        <w:t>&gt;.</w:t>
      </w:r>
    </w:p>
  </w:footnote>
  <w:footnote w:id="6">
    <w:p w:rsidR="00F97EF9" w:rsidRDefault="00F97EF9">
      <w:pPr>
        <w:pStyle w:val="FootnoteText"/>
      </w:pPr>
      <w:r>
        <w:rPr>
          <w:rStyle w:val="FootnoteReference"/>
        </w:rPr>
        <w:footnoteRef/>
      </w:r>
      <w:r>
        <w:t xml:space="preserve"> World Health Organisation Expert Committee on Biological Standardisation, “</w:t>
      </w:r>
      <w:r w:rsidRPr="00BB6C5A">
        <w:t>Proposed revision recommendations for Japanese encephalitis vaccine, inactivated, for human use</w:t>
      </w:r>
      <w:r>
        <w:t xml:space="preserve"> (</w:t>
      </w:r>
      <w:r w:rsidRPr="006A39DD">
        <w:t>WHO/BS/07.2064</w:t>
      </w:r>
      <w:r>
        <w:t>)” Geneva, 8-12 October 2007, Web, accessed 8 January 2014 &lt;</w:t>
      </w:r>
      <w:r w:rsidRPr="00BB6C5A">
        <w:t>www.who.int/</w:t>
      </w:r>
      <w:r>
        <w:t xml:space="preserve"> </w:t>
      </w:r>
      <w:r w:rsidRPr="00BB6C5A">
        <w:t>biologicals/publications/trs/areas/vaccines/jap_encephalitis/Japanese%20Encephatis%20</w:t>
      </w:r>
      <w:r>
        <w:t xml:space="preserve"> </w:t>
      </w:r>
      <w:r w:rsidRPr="00BB6C5A">
        <w:t>guidelines%202007%20revised%20211207%20rev07.pdf</w:t>
      </w:r>
      <w:r>
        <w:t>&gt;.</w:t>
      </w:r>
    </w:p>
  </w:footnote>
  <w:footnote w:id="7">
    <w:p w:rsidR="00F97EF9" w:rsidRDefault="00F97EF9">
      <w:pPr>
        <w:pStyle w:val="FootnoteText"/>
      </w:pPr>
      <w:r>
        <w:rPr>
          <w:rStyle w:val="FootnoteReference"/>
        </w:rPr>
        <w:footnoteRef/>
      </w:r>
      <w:r>
        <w:t xml:space="preserve"> </w:t>
      </w:r>
      <w:proofErr w:type="spellStart"/>
      <w:r>
        <w:rPr>
          <w:rFonts w:cs="Calibri"/>
        </w:rPr>
        <w:t>Ferner</w:t>
      </w:r>
      <w:proofErr w:type="spellEnd"/>
      <w:r>
        <w:rPr>
          <w:rFonts w:cs="Calibri"/>
        </w:rPr>
        <w:t xml:space="preserve"> RE, Aronson JK (2006)</w:t>
      </w:r>
      <w:r w:rsidRPr="005D1857">
        <w:rPr>
          <w:rFonts w:cs="Calibri"/>
        </w:rPr>
        <w:t xml:space="preserve"> Clarification of terminology in medication errors: definitions and classification. </w:t>
      </w:r>
      <w:proofErr w:type="gramStart"/>
      <w:r w:rsidRPr="005D1857">
        <w:rPr>
          <w:rFonts w:cs="Calibri"/>
          <w:i/>
        </w:rPr>
        <w:t xml:space="preserve">Drug </w:t>
      </w:r>
      <w:proofErr w:type="spellStart"/>
      <w:r w:rsidRPr="005D1857">
        <w:rPr>
          <w:rFonts w:cs="Calibri"/>
          <w:i/>
        </w:rPr>
        <w:t>Saf</w:t>
      </w:r>
      <w:proofErr w:type="spellEnd"/>
      <w:r>
        <w:rPr>
          <w:rFonts w:cs="Calibri"/>
          <w:i/>
        </w:rPr>
        <w:t>.</w:t>
      </w:r>
      <w:proofErr w:type="gramEnd"/>
      <w:r>
        <w:rPr>
          <w:rFonts w:cs="Calibri"/>
        </w:rPr>
        <w:t xml:space="preserve"> 29: 1011-</w:t>
      </w:r>
      <w:r w:rsidRPr="005D1857">
        <w:rPr>
          <w:rFonts w:cs="Calibri"/>
        </w:rPr>
        <w:t>1022</w:t>
      </w:r>
      <w:r>
        <w:rPr>
          <w:rFonts w:cs="Calibri"/>
        </w:rPr>
        <w:t>.</w:t>
      </w:r>
    </w:p>
  </w:footnote>
  <w:footnote w:id="8">
    <w:p w:rsidR="00F97EF9" w:rsidRDefault="00F97EF9">
      <w:pPr>
        <w:pStyle w:val="FootnoteText"/>
      </w:pPr>
      <w:r>
        <w:rPr>
          <w:rStyle w:val="FootnoteReference"/>
        </w:rPr>
        <w:footnoteRef/>
      </w:r>
      <w:r>
        <w:t xml:space="preserve"> </w:t>
      </w:r>
      <w:proofErr w:type="gramStart"/>
      <w:r w:rsidRPr="00D94862">
        <w:rPr>
          <w:rFonts w:cs="Calibri"/>
        </w:rPr>
        <w:t xml:space="preserve">CIOMS/WHO Working Group on Vaccine </w:t>
      </w:r>
      <w:proofErr w:type="spellStart"/>
      <w:r w:rsidRPr="00D94862">
        <w:rPr>
          <w:rFonts w:cs="Calibri"/>
        </w:rPr>
        <w:t>Pharmacovigilance</w:t>
      </w:r>
      <w:proofErr w:type="spellEnd"/>
      <w:r>
        <w:rPr>
          <w:rFonts w:cs="Calibri"/>
        </w:rPr>
        <w:t>.</w:t>
      </w:r>
      <w:proofErr w:type="gramEnd"/>
      <w:r>
        <w:rPr>
          <w:rFonts w:cs="Calibri"/>
        </w:rPr>
        <w:t xml:space="preserve"> </w:t>
      </w:r>
      <w:r w:rsidRPr="00D94862">
        <w:rPr>
          <w:rFonts w:cs="Calibri"/>
          <w:i/>
        </w:rPr>
        <w:t>Vaccination Failure: Position Paper.</w:t>
      </w:r>
      <w:r>
        <w:rPr>
          <w:rFonts w:cs="Calibri"/>
        </w:rPr>
        <w:t xml:space="preserve"> Geneva: </w:t>
      </w:r>
      <w:r w:rsidRPr="00D94862">
        <w:rPr>
          <w:rFonts w:cs="Calibri"/>
        </w:rPr>
        <w:t>Council for International Organi</w:t>
      </w:r>
      <w:r>
        <w:rPr>
          <w:rFonts w:cs="Calibri"/>
        </w:rPr>
        <w:t>s</w:t>
      </w:r>
      <w:r w:rsidRPr="00D94862">
        <w:rPr>
          <w:rFonts w:cs="Calibri"/>
        </w:rPr>
        <w:t>ations of Medical Sciences (CIOMS</w:t>
      </w:r>
      <w:r>
        <w:rPr>
          <w:rFonts w:cs="Calibri"/>
        </w:rPr>
        <w:t>),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F9" w:rsidRDefault="00F97EF9"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F9" w:rsidRDefault="00F97EF9">
    <w:pPr>
      <w:rPr>
        <w:noProof/>
        <w:lang w:eastAsia="en-AU"/>
      </w:rPr>
    </w:pPr>
    <w:r>
      <w:rPr>
        <w:noProof/>
        <w:lang w:eastAsia="en-AU"/>
      </w:rPr>
      <w:drawing>
        <wp:anchor distT="0" distB="0" distL="114300" distR="114300" simplePos="0" relativeHeight="251657728" behindDoc="1" locked="0" layoutInCell="1" allowOverlap="1">
          <wp:simplePos x="0" y="0"/>
          <wp:positionH relativeFrom="column">
            <wp:posOffset>-1089660</wp:posOffset>
          </wp:positionH>
          <wp:positionV relativeFrom="paragraph">
            <wp:posOffset>-585470</wp:posOffset>
          </wp:positionV>
          <wp:extent cx="7572375" cy="10706100"/>
          <wp:effectExtent l="0" t="0" r="9525" b="0"/>
          <wp:wrapNone/>
          <wp:docPr id="2"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rapeutic Goods Administr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EF9" w:rsidRDefault="00F97EF9" w:rsidP="00593AD1">
    <w:pPr>
      <w:pStyle w:val="HeaderNoLine"/>
    </w:pPr>
    <w:r>
      <w:rPr>
        <w:noProof/>
        <w:lang w:eastAsia="en-AU"/>
      </w:rPr>
      <w:drawing>
        <wp:inline distT="0" distB="0" distL="0" distR="0">
          <wp:extent cx="5396865" cy="7635240"/>
          <wp:effectExtent l="0" t="0" r="0" b="3810"/>
          <wp:docPr id="14" name="Picture 14"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6865" cy="76352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F9" w:rsidRDefault="00F97E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F9" w:rsidRDefault="00F97EF9">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F9" w:rsidRDefault="00F97EF9">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F9" w:rsidRDefault="00F97EF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F9" w:rsidRDefault="00F97EF9"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F9" w:rsidRDefault="00F97EF9" w:rsidP="006E08B3">
    <w:r>
      <w:t>Therapeutic Goods Administration</w:t>
    </w:r>
  </w:p>
  <w:p w:rsidR="00F97EF9" w:rsidRDefault="00F97EF9"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74CEA2"/>
    <w:lvl w:ilvl="0">
      <w:start w:val="1"/>
      <w:numFmt w:val="decimal"/>
      <w:lvlText w:val="%1."/>
      <w:lvlJc w:val="left"/>
      <w:pPr>
        <w:tabs>
          <w:tab w:val="num" w:pos="1492"/>
        </w:tabs>
        <w:ind w:left="1492" w:hanging="360"/>
      </w:pPr>
    </w:lvl>
  </w:abstractNum>
  <w:abstractNum w:abstractNumId="1">
    <w:nsid w:val="FFFFFF7D"/>
    <w:multiLevelType w:val="singleLevel"/>
    <w:tmpl w:val="0E9029F4"/>
    <w:lvl w:ilvl="0">
      <w:start w:val="1"/>
      <w:numFmt w:val="decimal"/>
      <w:lvlText w:val="%1."/>
      <w:lvlJc w:val="left"/>
      <w:pPr>
        <w:tabs>
          <w:tab w:val="num" w:pos="1209"/>
        </w:tabs>
        <w:ind w:left="1209" w:hanging="360"/>
      </w:pPr>
    </w:lvl>
  </w:abstractNum>
  <w:abstractNum w:abstractNumId="2">
    <w:nsid w:val="FFFFFF7E"/>
    <w:multiLevelType w:val="singleLevel"/>
    <w:tmpl w:val="CC184F5C"/>
    <w:lvl w:ilvl="0">
      <w:start w:val="1"/>
      <w:numFmt w:val="decimal"/>
      <w:lvlText w:val="%1."/>
      <w:lvlJc w:val="left"/>
      <w:pPr>
        <w:tabs>
          <w:tab w:val="num" w:pos="926"/>
        </w:tabs>
        <w:ind w:left="926" w:hanging="360"/>
      </w:pPr>
    </w:lvl>
  </w:abstractNum>
  <w:abstractNum w:abstractNumId="3">
    <w:nsid w:val="FFFFFF7F"/>
    <w:multiLevelType w:val="singleLevel"/>
    <w:tmpl w:val="F07AFEC8"/>
    <w:lvl w:ilvl="0">
      <w:start w:val="1"/>
      <w:numFmt w:val="decimal"/>
      <w:lvlText w:val="%1."/>
      <w:lvlJc w:val="left"/>
      <w:pPr>
        <w:tabs>
          <w:tab w:val="num" w:pos="643"/>
        </w:tabs>
        <w:ind w:left="643" w:hanging="360"/>
      </w:pPr>
    </w:lvl>
  </w:abstractNum>
  <w:abstractNum w:abstractNumId="4">
    <w:nsid w:val="FFFFFF80"/>
    <w:multiLevelType w:val="singleLevel"/>
    <w:tmpl w:val="5614B7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42E6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8">
    <w:nsid w:val="FFFFFF88"/>
    <w:multiLevelType w:val="singleLevel"/>
    <w:tmpl w:val="D6B0DEC0"/>
    <w:lvl w:ilvl="0">
      <w:start w:val="1"/>
      <w:numFmt w:val="decimal"/>
      <w:lvlText w:val="%1."/>
      <w:lvlJc w:val="left"/>
      <w:pPr>
        <w:tabs>
          <w:tab w:val="num" w:pos="360"/>
        </w:tabs>
        <w:ind w:left="360" w:hanging="360"/>
      </w:pPr>
    </w:lvl>
  </w:abstractNum>
  <w:abstractNum w:abstractNumId="9">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320B0A"/>
    <w:lvl w:ilvl="0">
      <w:numFmt w:val="bullet"/>
      <w:lvlText w:val="*"/>
      <w:lvlJc w:val="left"/>
    </w:lvl>
  </w:abstractNum>
  <w:abstractNum w:abstractNumId="11">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2">
    <w:nsid w:val="11936A10"/>
    <w:multiLevelType w:val="hybridMultilevel"/>
    <w:tmpl w:val="7DBE4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711B93"/>
    <w:multiLevelType w:val="hybridMultilevel"/>
    <w:tmpl w:val="B9045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137910"/>
    <w:multiLevelType w:val="hybridMultilevel"/>
    <w:tmpl w:val="519C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nsid w:val="16B54B8C"/>
    <w:multiLevelType w:val="hybridMultilevel"/>
    <w:tmpl w:val="8C564550"/>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nsid w:val="170C6737"/>
    <w:multiLevelType w:val="hybridMultilevel"/>
    <w:tmpl w:val="DA7AF7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212A0141"/>
    <w:multiLevelType w:val="hybridMultilevel"/>
    <w:tmpl w:val="83D4EE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22652A26"/>
    <w:multiLevelType w:val="hybridMultilevel"/>
    <w:tmpl w:val="64CC5C14"/>
    <w:lvl w:ilvl="0" w:tplc="EEA260F0">
      <w:start w:val="5"/>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BCF57AC"/>
    <w:multiLevelType w:val="hybridMultilevel"/>
    <w:tmpl w:val="04DA6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2">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3">
    <w:nsid w:val="429A633C"/>
    <w:multiLevelType w:val="hybridMultilevel"/>
    <w:tmpl w:val="09E02A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706F0A"/>
    <w:multiLevelType w:val="hybridMultilevel"/>
    <w:tmpl w:val="4326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5115811"/>
    <w:multiLevelType w:val="hybridMultilevel"/>
    <w:tmpl w:val="52808D40"/>
    <w:lvl w:ilvl="0" w:tplc="3A28A208">
      <w:start w:val="5"/>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15"/>
  </w:num>
  <w:num w:numId="5">
    <w:abstractNumId w:val="6"/>
  </w:num>
  <w:num w:numId="6">
    <w:abstractNumId w:val="15"/>
  </w:num>
  <w:num w:numId="7">
    <w:abstractNumId w:val="15"/>
  </w:num>
  <w:num w:numId="8">
    <w:abstractNumId w:val="11"/>
  </w:num>
  <w:num w:numId="9">
    <w:abstractNumId w:val="11"/>
  </w:num>
  <w:num w:numId="10">
    <w:abstractNumId w:val="11"/>
  </w:num>
  <w:num w:numId="11">
    <w:abstractNumId w:val="11"/>
  </w:num>
  <w:num w:numId="12">
    <w:abstractNumId w:val="10"/>
    <w:lvlOverride w:ilvl="0">
      <w:lvl w:ilvl="0">
        <w:numFmt w:val="bullet"/>
        <w:lvlText w:val="•"/>
        <w:legacy w:legacy="1" w:legacySpace="0" w:legacyIndent="0"/>
        <w:lvlJc w:val="left"/>
        <w:rPr>
          <w:rFonts w:ascii="Helv" w:hAnsi="Helv" w:hint="default"/>
        </w:rPr>
      </w:lvl>
    </w:lvlOverride>
  </w:num>
  <w:num w:numId="13">
    <w:abstractNumId w:val="15"/>
  </w:num>
  <w:num w:numId="14">
    <w:abstractNumId w:val="15"/>
  </w:num>
  <w:num w:numId="15">
    <w:abstractNumId w:val="15"/>
  </w:num>
  <w:num w:numId="16">
    <w:abstractNumId w:val="11"/>
  </w:num>
  <w:num w:numId="17">
    <w:abstractNumId w:val="11"/>
  </w:num>
  <w:num w:numId="18">
    <w:abstractNumId w:val="11"/>
  </w:num>
  <w:num w:numId="19">
    <w:abstractNumId w:val="15"/>
  </w:num>
  <w:num w:numId="20">
    <w:abstractNumId w:val="15"/>
  </w:num>
  <w:num w:numId="21">
    <w:abstractNumId w:val="15"/>
  </w:num>
  <w:num w:numId="22">
    <w:abstractNumId w:val="11"/>
  </w:num>
  <w:num w:numId="23">
    <w:abstractNumId w:val="11"/>
  </w:num>
  <w:num w:numId="24">
    <w:abstractNumId w:val="11"/>
  </w:num>
  <w:num w:numId="25">
    <w:abstractNumId w:val="11"/>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11"/>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9"/>
  </w:num>
  <w:num w:numId="28">
    <w:abstractNumId w:val="25"/>
  </w:num>
  <w:num w:numId="29">
    <w:abstractNumId w:val="21"/>
  </w:num>
  <w:num w:numId="30">
    <w:abstractNumId w:val="22"/>
  </w:num>
  <w:num w:numId="31">
    <w:abstractNumId w:val="18"/>
  </w:num>
  <w:num w:numId="32">
    <w:abstractNumId w:val="17"/>
  </w:num>
  <w:num w:numId="33">
    <w:abstractNumId w:val="12"/>
  </w:num>
  <w:num w:numId="34">
    <w:abstractNumId w:val="16"/>
  </w:num>
  <w:num w:numId="35">
    <w:abstractNumId w:val="20"/>
  </w:num>
  <w:num w:numId="36">
    <w:abstractNumId w:val="13"/>
  </w:num>
  <w:num w:numId="37">
    <w:abstractNumId w:val="24"/>
  </w:num>
  <w:num w:numId="38">
    <w:abstractNumId w:val="23"/>
  </w:num>
  <w:num w:numId="39">
    <w:abstractNumId w:val="14"/>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0417">
      <o:colormenu v:ext="edit" fillcolor="none [32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38"/>
    <w:rsid w:val="00002031"/>
    <w:rsid w:val="00004734"/>
    <w:rsid w:val="00006B22"/>
    <w:rsid w:val="0001276A"/>
    <w:rsid w:val="0002158D"/>
    <w:rsid w:val="000246AE"/>
    <w:rsid w:val="00025C67"/>
    <w:rsid w:val="00031735"/>
    <w:rsid w:val="00034600"/>
    <w:rsid w:val="0003565D"/>
    <w:rsid w:val="00052B91"/>
    <w:rsid w:val="0005559E"/>
    <w:rsid w:val="000613B3"/>
    <w:rsid w:val="000735E0"/>
    <w:rsid w:val="000769A7"/>
    <w:rsid w:val="00077775"/>
    <w:rsid w:val="00081386"/>
    <w:rsid w:val="00084D9B"/>
    <w:rsid w:val="00086969"/>
    <w:rsid w:val="000873D0"/>
    <w:rsid w:val="00090471"/>
    <w:rsid w:val="00092499"/>
    <w:rsid w:val="00096AA7"/>
    <w:rsid w:val="000A3AED"/>
    <w:rsid w:val="000A3F4F"/>
    <w:rsid w:val="000A64CA"/>
    <w:rsid w:val="000B00B1"/>
    <w:rsid w:val="000B3532"/>
    <w:rsid w:val="000B3A75"/>
    <w:rsid w:val="000C690F"/>
    <w:rsid w:val="000D1295"/>
    <w:rsid w:val="000D391B"/>
    <w:rsid w:val="000D3D6D"/>
    <w:rsid w:val="000D4FC7"/>
    <w:rsid w:val="000D6E7B"/>
    <w:rsid w:val="000F074B"/>
    <w:rsid w:val="000F4869"/>
    <w:rsid w:val="000F5B42"/>
    <w:rsid w:val="000F6E6F"/>
    <w:rsid w:val="0010582D"/>
    <w:rsid w:val="0010601F"/>
    <w:rsid w:val="0010788A"/>
    <w:rsid w:val="00107A31"/>
    <w:rsid w:val="00110EA5"/>
    <w:rsid w:val="00112F56"/>
    <w:rsid w:val="00125318"/>
    <w:rsid w:val="00125426"/>
    <w:rsid w:val="00125705"/>
    <w:rsid w:val="001305A2"/>
    <w:rsid w:val="00133238"/>
    <w:rsid w:val="0014197B"/>
    <w:rsid w:val="00144417"/>
    <w:rsid w:val="001447CD"/>
    <w:rsid w:val="00144EE9"/>
    <w:rsid w:val="001516B1"/>
    <w:rsid w:val="00154EBB"/>
    <w:rsid w:val="00154EE1"/>
    <w:rsid w:val="00156316"/>
    <w:rsid w:val="00157DF1"/>
    <w:rsid w:val="00162181"/>
    <w:rsid w:val="00162D14"/>
    <w:rsid w:val="00165389"/>
    <w:rsid w:val="0017398E"/>
    <w:rsid w:val="0017693F"/>
    <w:rsid w:val="0018110E"/>
    <w:rsid w:val="00181684"/>
    <w:rsid w:val="001843C6"/>
    <w:rsid w:val="001850E0"/>
    <w:rsid w:val="00186BFD"/>
    <w:rsid w:val="00186D03"/>
    <w:rsid w:val="00191EE1"/>
    <w:rsid w:val="001A2158"/>
    <w:rsid w:val="001A34CC"/>
    <w:rsid w:val="001A37E4"/>
    <w:rsid w:val="001A525F"/>
    <w:rsid w:val="001A7E37"/>
    <w:rsid w:val="001B09F9"/>
    <w:rsid w:val="001B3E9D"/>
    <w:rsid w:val="001B6448"/>
    <w:rsid w:val="001C369D"/>
    <w:rsid w:val="001D73A8"/>
    <w:rsid w:val="001E054B"/>
    <w:rsid w:val="001E07CF"/>
    <w:rsid w:val="001E13D8"/>
    <w:rsid w:val="001E17AE"/>
    <w:rsid w:val="001E2A56"/>
    <w:rsid w:val="001E530F"/>
    <w:rsid w:val="001E59F1"/>
    <w:rsid w:val="001F49EB"/>
    <w:rsid w:val="001F6CBA"/>
    <w:rsid w:val="00201D4E"/>
    <w:rsid w:val="002049AD"/>
    <w:rsid w:val="002053A5"/>
    <w:rsid w:val="00206FF7"/>
    <w:rsid w:val="002076C9"/>
    <w:rsid w:val="0021006A"/>
    <w:rsid w:val="002143AB"/>
    <w:rsid w:val="0021763E"/>
    <w:rsid w:val="002201AC"/>
    <w:rsid w:val="00220B8A"/>
    <w:rsid w:val="00224A68"/>
    <w:rsid w:val="002257F3"/>
    <w:rsid w:val="00230677"/>
    <w:rsid w:val="00233456"/>
    <w:rsid w:val="00233607"/>
    <w:rsid w:val="002339A5"/>
    <w:rsid w:val="0024142E"/>
    <w:rsid w:val="00246159"/>
    <w:rsid w:val="00257848"/>
    <w:rsid w:val="00261185"/>
    <w:rsid w:val="002618DF"/>
    <w:rsid w:val="00263F38"/>
    <w:rsid w:val="00267428"/>
    <w:rsid w:val="0027084A"/>
    <w:rsid w:val="00286434"/>
    <w:rsid w:val="00286C59"/>
    <w:rsid w:val="00291957"/>
    <w:rsid w:val="002942D1"/>
    <w:rsid w:val="0029501A"/>
    <w:rsid w:val="00296F7A"/>
    <w:rsid w:val="002A3752"/>
    <w:rsid w:val="002A45FA"/>
    <w:rsid w:val="002A672D"/>
    <w:rsid w:val="002B1638"/>
    <w:rsid w:val="002D4F9B"/>
    <w:rsid w:val="002E4C9A"/>
    <w:rsid w:val="002E5A5F"/>
    <w:rsid w:val="002F107E"/>
    <w:rsid w:val="002F11F8"/>
    <w:rsid w:val="002F1D10"/>
    <w:rsid w:val="002F3F56"/>
    <w:rsid w:val="002F44B5"/>
    <w:rsid w:val="00300E37"/>
    <w:rsid w:val="0030158E"/>
    <w:rsid w:val="00311490"/>
    <w:rsid w:val="00311AC0"/>
    <w:rsid w:val="00312C5A"/>
    <w:rsid w:val="00320CD6"/>
    <w:rsid w:val="00320CD9"/>
    <w:rsid w:val="00322B38"/>
    <w:rsid w:val="003231DF"/>
    <w:rsid w:val="0032466B"/>
    <w:rsid w:val="0032583B"/>
    <w:rsid w:val="00327883"/>
    <w:rsid w:val="00335504"/>
    <w:rsid w:val="0033629F"/>
    <w:rsid w:val="00341789"/>
    <w:rsid w:val="00345650"/>
    <w:rsid w:val="003459CB"/>
    <w:rsid w:val="00347824"/>
    <w:rsid w:val="00350567"/>
    <w:rsid w:val="003521E8"/>
    <w:rsid w:val="00353D90"/>
    <w:rsid w:val="00356072"/>
    <w:rsid w:val="003648FE"/>
    <w:rsid w:val="003655D3"/>
    <w:rsid w:val="003728F3"/>
    <w:rsid w:val="0037496E"/>
    <w:rsid w:val="00377105"/>
    <w:rsid w:val="00382B87"/>
    <w:rsid w:val="00386150"/>
    <w:rsid w:val="003874CE"/>
    <w:rsid w:val="00390900"/>
    <w:rsid w:val="003919BD"/>
    <w:rsid w:val="003924E7"/>
    <w:rsid w:val="00396AA1"/>
    <w:rsid w:val="003A1EDC"/>
    <w:rsid w:val="003A26ED"/>
    <w:rsid w:val="003A7F6C"/>
    <w:rsid w:val="003B4BA2"/>
    <w:rsid w:val="003B4D60"/>
    <w:rsid w:val="003B673C"/>
    <w:rsid w:val="003B7E39"/>
    <w:rsid w:val="003C58DC"/>
    <w:rsid w:val="003C798D"/>
    <w:rsid w:val="003D1E62"/>
    <w:rsid w:val="003D71EA"/>
    <w:rsid w:val="003D7525"/>
    <w:rsid w:val="003D79C4"/>
    <w:rsid w:val="003E0347"/>
    <w:rsid w:val="003E2486"/>
    <w:rsid w:val="003E2C58"/>
    <w:rsid w:val="003E3208"/>
    <w:rsid w:val="003E4BD2"/>
    <w:rsid w:val="003F0B04"/>
    <w:rsid w:val="003F4546"/>
    <w:rsid w:val="003F5153"/>
    <w:rsid w:val="0040134E"/>
    <w:rsid w:val="0040159A"/>
    <w:rsid w:val="00404FD6"/>
    <w:rsid w:val="00413CC4"/>
    <w:rsid w:val="004144CE"/>
    <w:rsid w:val="00440A2D"/>
    <w:rsid w:val="00443921"/>
    <w:rsid w:val="0044426C"/>
    <w:rsid w:val="0044446B"/>
    <w:rsid w:val="00446758"/>
    <w:rsid w:val="00447F19"/>
    <w:rsid w:val="004564A7"/>
    <w:rsid w:val="00460A2D"/>
    <w:rsid w:val="00461596"/>
    <w:rsid w:val="004617BF"/>
    <w:rsid w:val="00463658"/>
    <w:rsid w:val="00466B6C"/>
    <w:rsid w:val="004722CC"/>
    <w:rsid w:val="00474867"/>
    <w:rsid w:val="004936E4"/>
    <w:rsid w:val="00494E60"/>
    <w:rsid w:val="0049510D"/>
    <w:rsid w:val="00497487"/>
    <w:rsid w:val="004B628E"/>
    <w:rsid w:val="004B7B76"/>
    <w:rsid w:val="004C216F"/>
    <w:rsid w:val="004C239D"/>
    <w:rsid w:val="004C2DCA"/>
    <w:rsid w:val="004C3E86"/>
    <w:rsid w:val="004C47AC"/>
    <w:rsid w:val="004D0F9D"/>
    <w:rsid w:val="004D5327"/>
    <w:rsid w:val="004D60A4"/>
    <w:rsid w:val="004D6AA5"/>
    <w:rsid w:val="004E2D04"/>
    <w:rsid w:val="004F0F38"/>
    <w:rsid w:val="004F1421"/>
    <w:rsid w:val="00500F9D"/>
    <w:rsid w:val="00501128"/>
    <w:rsid w:val="00501921"/>
    <w:rsid w:val="0050284B"/>
    <w:rsid w:val="00511F98"/>
    <w:rsid w:val="00530354"/>
    <w:rsid w:val="0053376C"/>
    <w:rsid w:val="0053625B"/>
    <w:rsid w:val="005426A2"/>
    <w:rsid w:val="005434C6"/>
    <w:rsid w:val="00543B39"/>
    <w:rsid w:val="00550096"/>
    <w:rsid w:val="005519D1"/>
    <w:rsid w:val="0055540C"/>
    <w:rsid w:val="00557FF9"/>
    <w:rsid w:val="00561885"/>
    <w:rsid w:val="00562C5F"/>
    <w:rsid w:val="0056300C"/>
    <w:rsid w:val="00564222"/>
    <w:rsid w:val="00570C8E"/>
    <w:rsid w:val="005711B1"/>
    <w:rsid w:val="00571A43"/>
    <w:rsid w:val="00576378"/>
    <w:rsid w:val="00577130"/>
    <w:rsid w:val="00577945"/>
    <w:rsid w:val="00577E38"/>
    <w:rsid w:val="0058007D"/>
    <w:rsid w:val="005811A4"/>
    <w:rsid w:val="00585322"/>
    <w:rsid w:val="005857C6"/>
    <w:rsid w:val="00585AB0"/>
    <w:rsid w:val="00587D04"/>
    <w:rsid w:val="00587D38"/>
    <w:rsid w:val="00592F6E"/>
    <w:rsid w:val="00593AD1"/>
    <w:rsid w:val="005A68B6"/>
    <w:rsid w:val="005A6C3D"/>
    <w:rsid w:val="005B2DA5"/>
    <w:rsid w:val="005C3F63"/>
    <w:rsid w:val="005C5570"/>
    <w:rsid w:val="005C79A4"/>
    <w:rsid w:val="005D062F"/>
    <w:rsid w:val="005D0D31"/>
    <w:rsid w:val="005D5442"/>
    <w:rsid w:val="005D5475"/>
    <w:rsid w:val="005E4E31"/>
    <w:rsid w:val="005E6D4D"/>
    <w:rsid w:val="005E793E"/>
    <w:rsid w:val="005F7466"/>
    <w:rsid w:val="00603F32"/>
    <w:rsid w:val="00607D13"/>
    <w:rsid w:val="00612BCD"/>
    <w:rsid w:val="00613EE2"/>
    <w:rsid w:val="00621C2E"/>
    <w:rsid w:val="00625A6E"/>
    <w:rsid w:val="00625DD4"/>
    <w:rsid w:val="00632398"/>
    <w:rsid w:val="006344DB"/>
    <w:rsid w:val="00640FC3"/>
    <w:rsid w:val="00642020"/>
    <w:rsid w:val="0064291E"/>
    <w:rsid w:val="006463EC"/>
    <w:rsid w:val="006504A9"/>
    <w:rsid w:val="0065337B"/>
    <w:rsid w:val="0065419D"/>
    <w:rsid w:val="006604D8"/>
    <w:rsid w:val="006630AD"/>
    <w:rsid w:val="00664A5B"/>
    <w:rsid w:val="00666705"/>
    <w:rsid w:val="00673234"/>
    <w:rsid w:val="00674E54"/>
    <w:rsid w:val="006763D2"/>
    <w:rsid w:val="00680C08"/>
    <w:rsid w:val="006931B1"/>
    <w:rsid w:val="006963C9"/>
    <w:rsid w:val="006A15C0"/>
    <w:rsid w:val="006A39DD"/>
    <w:rsid w:val="006C3E2A"/>
    <w:rsid w:val="006C3FE4"/>
    <w:rsid w:val="006C642F"/>
    <w:rsid w:val="006D03E5"/>
    <w:rsid w:val="006D1307"/>
    <w:rsid w:val="006D2E19"/>
    <w:rsid w:val="006D5D3E"/>
    <w:rsid w:val="006E08B3"/>
    <w:rsid w:val="006E1DD9"/>
    <w:rsid w:val="006E2560"/>
    <w:rsid w:val="006E433D"/>
    <w:rsid w:val="006E6DE1"/>
    <w:rsid w:val="006F17AC"/>
    <w:rsid w:val="006F572E"/>
    <w:rsid w:val="006F6454"/>
    <w:rsid w:val="007027EF"/>
    <w:rsid w:val="00704497"/>
    <w:rsid w:val="007046D6"/>
    <w:rsid w:val="00705DB0"/>
    <w:rsid w:val="0070608C"/>
    <w:rsid w:val="007119CC"/>
    <w:rsid w:val="007213FA"/>
    <w:rsid w:val="00722B57"/>
    <w:rsid w:val="00727017"/>
    <w:rsid w:val="00732224"/>
    <w:rsid w:val="00732BC2"/>
    <w:rsid w:val="00735F74"/>
    <w:rsid w:val="0074253D"/>
    <w:rsid w:val="0074429B"/>
    <w:rsid w:val="007501AF"/>
    <w:rsid w:val="0075487A"/>
    <w:rsid w:val="007615BC"/>
    <w:rsid w:val="00761C70"/>
    <w:rsid w:val="00762F05"/>
    <w:rsid w:val="007652FF"/>
    <w:rsid w:val="00770EF1"/>
    <w:rsid w:val="00773EF7"/>
    <w:rsid w:val="00774E1D"/>
    <w:rsid w:val="0077675A"/>
    <w:rsid w:val="00780355"/>
    <w:rsid w:val="007815D2"/>
    <w:rsid w:val="00781E34"/>
    <w:rsid w:val="00785721"/>
    <w:rsid w:val="00790057"/>
    <w:rsid w:val="007903B6"/>
    <w:rsid w:val="00790F0F"/>
    <w:rsid w:val="00793A59"/>
    <w:rsid w:val="007A135A"/>
    <w:rsid w:val="007A3F51"/>
    <w:rsid w:val="007B12E6"/>
    <w:rsid w:val="007B3E9D"/>
    <w:rsid w:val="007B69CD"/>
    <w:rsid w:val="007B6E9F"/>
    <w:rsid w:val="007B7C1E"/>
    <w:rsid w:val="007C1216"/>
    <w:rsid w:val="007C1AF7"/>
    <w:rsid w:val="007C2011"/>
    <w:rsid w:val="007D1825"/>
    <w:rsid w:val="007D67F1"/>
    <w:rsid w:val="007E485B"/>
    <w:rsid w:val="007E55FF"/>
    <w:rsid w:val="007E6712"/>
    <w:rsid w:val="007E69B2"/>
    <w:rsid w:val="007E69E0"/>
    <w:rsid w:val="007E7EC6"/>
    <w:rsid w:val="007F4F32"/>
    <w:rsid w:val="007F5F85"/>
    <w:rsid w:val="007F6298"/>
    <w:rsid w:val="007F6CD0"/>
    <w:rsid w:val="007F7EC1"/>
    <w:rsid w:val="00805D27"/>
    <w:rsid w:val="00807B20"/>
    <w:rsid w:val="00813459"/>
    <w:rsid w:val="0081462C"/>
    <w:rsid w:val="008150CF"/>
    <w:rsid w:val="00821776"/>
    <w:rsid w:val="008218FE"/>
    <w:rsid w:val="00827824"/>
    <w:rsid w:val="008321F5"/>
    <w:rsid w:val="00832369"/>
    <w:rsid w:val="00834660"/>
    <w:rsid w:val="00836BC2"/>
    <w:rsid w:val="00841FB4"/>
    <w:rsid w:val="00844308"/>
    <w:rsid w:val="00852A42"/>
    <w:rsid w:val="008556DD"/>
    <w:rsid w:val="0085641B"/>
    <w:rsid w:val="008567AE"/>
    <w:rsid w:val="00857136"/>
    <w:rsid w:val="0087213E"/>
    <w:rsid w:val="00877CA5"/>
    <w:rsid w:val="0088127B"/>
    <w:rsid w:val="00885B11"/>
    <w:rsid w:val="00886D15"/>
    <w:rsid w:val="00887DD8"/>
    <w:rsid w:val="00890BE1"/>
    <w:rsid w:val="00891818"/>
    <w:rsid w:val="00896018"/>
    <w:rsid w:val="008960DD"/>
    <w:rsid w:val="0089635C"/>
    <w:rsid w:val="008A06E5"/>
    <w:rsid w:val="008A2B9D"/>
    <w:rsid w:val="008A5E0B"/>
    <w:rsid w:val="008A6D59"/>
    <w:rsid w:val="008B15B3"/>
    <w:rsid w:val="008B234C"/>
    <w:rsid w:val="008B37D6"/>
    <w:rsid w:val="008B4B03"/>
    <w:rsid w:val="008B596F"/>
    <w:rsid w:val="008C159F"/>
    <w:rsid w:val="008C1623"/>
    <w:rsid w:val="008C1850"/>
    <w:rsid w:val="008C28AE"/>
    <w:rsid w:val="008C51A9"/>
    <w:rsid w:val="008E2A95"/>
    <w:rsid w:val="008E7846"/>
    <w:rsid w:val="008F011A"/>
    <w:rsid w:val="008F0C47"/>
    <w:rsid w:val="008F1CCC"/>
    <w:rsid w:val="008F2967"/>
    <w:rsid w:val="008F6943"/>
    <w:rsid w:val="00902A21"/>
    <w:rsid w:val="009030BB"/>
    <w:rsid w:val="00903E7F"/>
    <w:rsid w:val="0090424D"/>
    <w:rsid w:val="00920330"/>
    <w:rsid w:val="009219D7"/>
    <w:rsid w:val="00922D53"/>
    <w:rsid w:val="00923B70"/>
    <w:rsid w:val="00924482"/>
    <w:rsid w:val="00930237"/>
    <w:rsid w:val="00931F94"/>
    <w:rsid w:val="00936FB6"/>
    <w:rsid w:val="00937D1B"/>
    <w:rsid w:val="00940D68"/>
    <w:rsid w:val="00940DF9"/>
    <w:rsid w:val="00942143"/>
    <w:rsid w:val="00946EA5"/>
    <w:rsid w:val="00953425"/>
    <w:rsid w:val="00963C08"/>
    <w:rsid w:val="0096773E"/>
    <w:rsid w:val="009727D4"/>
    <w:rsid w:val="00974A7C"/>
    <w:rsid w:val="0098585A"/>
    <w:rsid w:val="00986087"/>
    <w:rsid w:val="009951ED"/>
    <w:rsid w:val="009959B6"/>
    <w:rsid w:val="009A4CED"/>
    <w:rsid w:val="009A690D"/>
    <w:rsid w:val="009A7981"/>
    <w:rsid w:val="009B1D12"/>
    <w:rsid w:val="009B416B"/>
    <w:rsid w:val="009B5639"/>
    <w:rsid w:val="009B66AC"/>
    <w:rsid w:val="009C376C"/>
    <w:rsid w:val="009C39C8"/>
    <w:rsid w:val="009C4957"/>
    <w:rsid w:val="009C4BD5"/>
    <w:rsid w:val="009C63D7"/>
    <w:rsid w:val="009D18F4"/>
    <w:rsid w:val="009D2372"/>
    <w:rsid w:val="009D3FE0"/>
    <w:rsid w:val="009D7B77"/>
    <w:rsid w:val="009E0B6F"/>
    <w:rsid w:val="009E0BB0"/>
    <w:rsid w:val="009E3FBB"/>
    <w:rsid w:val="009E7FF4"/>
    <w:rsid w:val="009F0CC5"/>
    <w:rsid w:val="009F196E"/>
    <w:rsid w:val="009F56D2"/>
    <w:rsid w:val="00A04AB1"/>
    <w:rsid w:val="00A05DE2"/>
    <w:rsid w:val="00A07601"/>
    <w:rsid w:val="00A102E4"/>
    <w:rsid w:val="00A126FE"/>
    <w:rsid w:val="00A12C42"/>
    <w:rsid w:val="00A141AC"/>
    <w:rsid w:val="00A14DF7"/>
    <w:rsid w:val="00A25A9F"/>
    <w:rsid w:val="00A3246D"/>
    <w:rsid w:val="00A36FA7"/>
    <w:rsid w:val="00A45B6B"/>
    <w:rsid w:val="00A475B7"/>
    <w:rsid w:val="00A47AF7"/>
    <w:rsid w:val="00A47C3E"/>
    <w:rsid w:val="00A50226"/>
    <w:rsid w:val="00A55E24"/>
    <w:rsid w:val="00A5721A"/>
    <w:rsid w:val="00A60BAD"/>
    <w:rsid w:val="00A62FD6"/>
    <w:rsid w:val="00A65753"/>
    <w:rsid w:val="00A75F0F"/>
    <w:rsid w:val="00A84E36"/>
    <w:rsid w:val="00A85118"/>
    <w:rsid w:val="00A86DE1"/>
    <w:rsid w:val="00A964D1"/>
    <w:rsid w:val="00AA0ED0"/>
    <w:rsid w:val="00AA123E"/>
    <w:rsid w:val="00AA4D35"/>
    <w:rsid w:val="00AA6780"/>
    <w:rsid w:val="00AA6A5A"/>
    <w:rsid w:val="00AB053D"/>
    <w:rsid w:val="00AC2B40"/>
    <w:rsid w:val="00AC2BB2"/>
    <w:rsid w:val="00AC2C3C"/>
    <w:rsid w:val="00AC512D"/>
    <w:rsid w:val="00AD0083"/>
    <w:rsid w:val="00AD25CF"/>
    <w:rsid w:val="00AE65EB"/>
    <w:rsid w:val="00AE67A7"/>
    <w:rsid w:val="00AF0504"/>
    <w:rsid w:val="00AF1D94"/>
    <w:rsid w:val="00AF60C5"/>
    <w:rsid w:val="00B009C6"/>
    <w:rsid w:val="00B01548"/>
    <w:rsid w:val="00B056C1"/>
    <w:rsid w:val="00B06BAA"/>
    <w:rsid w:val="00B06E3D"/>
    <w:rsid w:val="00B155E0"/>
    <w:rsid w:val="00B16CB5"/>
    <w:rsid w:val="00B2199D"/>
    <w:rsid w:val="00B21D29"/>
    <w:rsid w:val="00B25034"/>
    <w:rsid w:val="00B33588"/>
    <w:rsid w:val="00B33863"/>
    <w:rsid w:val="00B37D17"/>
    <w:rsid w:val="00B4175E"/>
    <w:rsid w:val="00B452CE"/>
    <w:rsid w:val="00B54C25"/>
    <w:rsid w:val="00B566B1"/>
    <w:rsid w:val="00B57DEE"/>
    <w:rsid w:val="00B62B85"/>
    <w:rsid w:val="00B678AF"/>
    <w:rsid w:val="00B75D63"/>
    <w:rsid w:val="00B76B91"/>
    <w:rsid w:val="00B76BEE"/>
    <w:rsid w:val="00B77EB1"/>
    <w:rsid w:val="00B811C6"/>
    <w:rsid w:val="00B813FC"/>
    <w:rsid w:val="00B81A65"/>
    <w:rsid w:val="00B855B0"/>
    <w:rsid w:val="00B9289A"/>
    <w:rsid w:val="00B92E08"/>
    <w:rsid w:val="00B92F39"/>
    <w:rsid w:val="00B93CD5"/>
    <w:rsid w:val="00BA30E1"/>
    <w:rsid w:val="00BA7E56"/>
    <w:rsid w:val="00BB4135"/>
    <w:rsid w:val="00BB6C5A"/>
    <w:rsid w:val="00BC128E"/>
    <w:rsid w:val="00BC622A"/>
    <w:rsid w:val="00BD288D"/>
    <w:rsid w:val="00BD31AF"/>
    <w:rsid w:val="00BD7935"/>
    <w:rsid w:val="00BE0A78"/>
    <w:rsid w:val="00BE324F"/>
    <w:rsid w:val="00BE79F0"/>
    <w:rsid w:val="00BF046D"/>
    <w:rsid w:val="00BF1190"/>
    <w:rsid w:val="00BF36D6"/>
    <w:rsid w:val="00BF5D04"/>
    <w:rsid w:val="00C0083C"/>
    <w:rsid w:val="00C07116"/>
    <w:rsid w:val="00C07E07"/>
    <w:rsid w:val="00C10777"/>
    <w:rsid w:val="00C1164D"/>
    <w:rsid w:val="00C127AE"/>
    <w:rsid w:val="00C134CF"/>
    <w:rsid w:val="00C1422F"/>
    <w:rsid w:val="00C1562E"/>
    <w:rsid w:val="00C16861"/>
    <w:rsid w:val="00C242B8"/>
    <w:rsid w:val="00C34E5E"/>
    <w:rsid w:val="00C34FB8"/>
    <w:rsid w:val="00C37FC9"/>
    <w:rsid w:val="00C40236"/>
    <w:rsid w:val="00C404A6"/>
    <w:rsid w:val="00C40A36"/>
    <w:rsid w:val="00C42D04"/>
    <w:rsid w:val="00C44419"/>
    <w:rsid w:val="00C45E7B"/>
    <w:rsid w:val="00C471B1"/>
    <w:rsid w:val="00C55EDE"/>
    <w:rsid w:val="00C61219"/>
    <w:rsid w:val="00C6316B"/>
    <w:rsid w:val="00C634A9"/>
    <w:rsid w:val="00C63DB4"/>
    <w:rsid w:val="00C64586"/>
    <w:rsid w:val="00C64D9F"/>
    <w:rsid w:val="00C70D53"/>
    <w:rsid w:val="00C7152C"/>
    <w:rsid w:val="00C73D0B"/>
    <w:rsid w:val="00C76062"/>
    <w:rsid w:val="00C76D46"/>
    <w:rsid w:val="00C772FF"/>
    <w:rsid w:val="00C80137"/>
    <w:rsid w:val="00C801AF"/>
    <w:rsid w:val="00C80256"/>
    <w:rsid w:val="00C80B9D"/>
    <w:rsid w:val="00C84753"/>
    <w:rsid w:val="00C864EE"/>
    <w:rsid w:val="00C96F4D"/>
    <w:rsid w:val="00CA61DC"/>
    <w:rsid w:val="00CB6BC0"/>
    <w:rsid w:val="00CC1B7C"/>
    <w:rsid w:val="00CC727F"/>
    <w:rsid w:val="00CD0E42"/>
    <w:rsid w:val="00CD5B37"/>
    <w:rsid w:val="00CD624C"/>
    <w:rsid w:val="00CD63E9"/>
    <w:rsid w:val="00CD72D2"/>
    <w:rsid w:val="00CE1EF4"/>
    <w:rsid w:val="00CF15C3"/>
    <w:rsid w:val="00CF1605"/>
    <w:rsid w:val="00CF2B6F"/>
    <w:rsid w:val="00CF3A82"/>
    <w:rsid w:val="00CF4F30"/>
    <w:rsid w:val="00CF58B6"/>
    <w:rsid w:val="00CF750D"/>
    <w:rsid w:val="00D017ED"/>
    <w:rsid w:val="00D02967"/>
    <w:rsid w:val="00D0403E"/>
    <w:rsid w:val="00D040D3"/>
    <w:rsid w:val="00D04C65"/>
    <w:rsid w:val="00D11AC5"/>
    <w:rsid w:val="00D14FEC"/>
    <w:rsid w:val="00D160C8"/>
    <w:rsid w:val="00D16817"/>
    <w:rsid w:val="00D174DA"/>
    <w:rsid w:val="00D224FE"/>
    <w:rsid w:val="00D22E45"/>
    <w:rsid w:val="00D34A3A"/>
    <w:rsid w:val="00D45E63"/>
    <w:rsid w:val="00D5056E"/>
    <w:rsid w:val="00D52383"/>
    <w:rsid w:val="00D616F1"/>
    <w:rsid w:val="00D6493E"/>
    <w:rsid w:val="00D7033E"/>
    <w:rsid w:val="00D7237B"/>
    <w:rsid w:val="00D7301E"/>
    <w:rsid w:val="00D76514"/>
    <w:rsid w:val="00D83AE1"/>
    <w:rsid w:val="00D855D4"/>
    <w:rsid w:val="00D93466"/>
    <w:rsid w:val="00DA1124"/>
    <w:rsid w:val="00DA42B3"/>
    <w:rsid w:val="00DB6124"/>
    <w:rsid w:val="00DB75B7"/>
    <w:rsid w:val="00DC6E02"/>
    <w:rsid w:val="00DD556F"/>
    <w:rsid w:val="00DE02AE"/>
    <w:rsid w:val="00DE7702"/>
    <w:rsid w:val="00DE7751"/>
    <w:rsid w:val="00DF1D7F"/>
    <w:rsid w:val="00DF4034"/>
    <w:rsid w:val="00DF4BE4"/>
    <w:rsid w:val="00E02FB4"/>
    <w:rsid w:val="00E02FF9"/>
    <w:rsid w:val="00E030EE"/>
    <w:rsid w:val="00E06385"/>
    <w:rsid w:val="00E06D25"/>
    <w:rsid w:val="00E12F8D"/>
    <w:rsid w:val="00E20571"/>
    <w:rsid w:val="00E235F7"/>
    <w:rsid w:val="00E23659"/>
    <w:rsid w:val="00E239D4"/>
    <w:rsid w:val="00E2577E"/>
    <w:rsid w:val="00E26130"/>
    <w:rsid w:val="00E40262"/>
    <w:rsid w:val="00E40B22"/>
    <w:rsid w:val="00E4100D"/>
    <w:rsid w:val="00E4275D"/>
    <w:rsid w:val="00E45619"/>
    <w:rsid w:val="00E4588F"/>
    <w:rsid w:val="00E45FD0"/>
    <w:rsid w:val="00E463FE"/>
    <w:rsid w:val="00E46DA3"/>
    <w:rsid w:val="00E50055"/>
    <w:rsid w:val="00E51BB1"/>
    <w:rsid w:val="00E52A3A"/>
    <w:rsid w:val="00E615EA"/>
    <w:rsid w:val="00E624A5"/>
    <w:rsid w:val="00E7344E"/>
    <w:rsid w:val="00E77020"/>
    <w:rsid w:val="00E834A6"/>
    <w:rsid w:val="00E863A1"/>
    <w:rsid w:val="00E9313D"/>
    <w:rsid w:val="00EA315B"/>
    <w:rsid w:val="00EA68B3"/>
    <w:rsid w:val="00EB00EA"/>
    <w:rsid w:val="00EB0798"/>
    <w:rsid w:val="00EB1C0B"/>
    <w:rsid w:val="00EB40AD"/>
    <w:rsid w:val="00EB586E"/>
    <w:rsid w:val="00EB5FC8"/>
    <w:rsid w:val="00EC1FEA"/>
    <w:rsid w:val="00EC7A85"/>
    <w:rsid w:val="00ED3CAD"/>
    <w:rsid w:val="00ED5A41"/>
    <w:rsid w:val="00EE1DE8"/>
    <w:rsid w:val="00EE61BF"/>
    <w:rsid w:val="00F01D1C"/>
    <w:rsid w:val="00F033EC"/>
    <w:rsid w:val="00F038D6"/>
    <w:rsid w:val="00F04F68"/>
    <w:rsid w:val="00F12670"/>
    <w:rsid w:val="00F1492A"/>
    <w:rsid w:val="00F14B27"/>
    <w:rsid w:val="00F16FFC"/>
    <w:rsid w:val="00F20DC4"/>
    <w:rsid w:val="00F250B2"/>
    <w:rsid w:val="00F3054A"/>
    <w:rsid w:val="00F3148D"/>
    <w:rsid w:val="00F325C5"/>
    <w:rsid w:val="00F326B4"/>
    <w:rsid w:val="00F32FE0"/>
    <w:rsid w:val="00F35285"/>
    <w:rsid w:val="00F35298"/>
    <w:rsid w:val="00F40DCE"/>
    <w:rsid w:val="00F47333"/>
    <w:rsid w:val="00F47E37"/>
    <w:rsid w:val="00F51662"/>
    <w:rsid w:val="00F53C07"/>
    <w:rsid w:val="00F54B65"/>
    <w:rsid w:val="00F560AA"/>
    <w:rsid w:val="00F640B6"/>
    <w:rsid w:val="00F80449"/>
    <w:rsid w:val="00F80E40"/>
    <w:rsid w:val="00F848D9"/>
    <w:rsid w:val="00F85A0D"/>
    <w:rsid w:val="00F95177"/>
    <w:rsid w:val="00F97DBB"/>
    <w:rsid w:val="00F97EF9"/>
    <w:rsid w:val="00FA5B82"/>
    <w:rsid w:val="00FA639E"/>
    <w:rsid w:val="00FC2262"/>
    <w:rsid w:val="00FC25E4"/>
    <w:rsid w:val="00FC37B4"/>
    <w:rsid w:val="00FC4EF7"/>
    <w:rsid w:val="00FC64E6"/>
    <w:rsid w:val="00FD15EB"/>
    <w:rsid w:val="00FD1BE5"/>
    <w:rsid w:val="00FD5F6D"/>
    <w:rsid w:val="00FE0747"/>
    <w:rsid w:val="00FE176B"/>
    <w:rsid w:val="00FE1DEE"/>
    <w:rsid w:val="00FE5E98"/>
    <w:rsid w:val="00FF2126"/>
    <w:rsid w:val="00FF2537"/>
    <w:rsid w:val="00FF40D5"/>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417">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7466"/>
    <w:pPr>
      <w:spacing w:before="120" w:after="120" w:line="240" w:lineRule="atLeast"/>
    </w:pPr>
    <w:rPr>
      <w:sz w:val="22"/>
      <w:szCs w:val="22"/>
      <w:lang w:eastAsia="en-US"/>
    </w:rPr>
  </w:style>
  <w:style w:type="paragraph" w:styleId="Heading1">
    <w:name w:val="heading 1"/>
    <w:basedOn w:val="Heading2"/>
    <w:next w:val="Normal"/>
    <w:link w:val="Heading1Char"/>
    <w:qFormat/>
    <w:rsid w:val="000C690F"/>
    <w:pPr>
      <w:spacing w:before="120" w:after="360"/>
      <w:outlineLvl w:val="0"/>
    </w:pPr>
    <w:rPr>
      <w:rFonts w:cs="Arial"/>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EB1C0B"/>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Arial" w:eastAsia="Times New Roman" w:hAnsi="Arial" w:cs="Arial"/>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C864EE"/>
    <w:pPr>
      <w:spacing w:before="0" w:line="240" w:lineRule="auto"/>
    </w:pPr>
    <w:rPr>
      <w:sz w:val="18"/>
      <w:szCs w:val="19"/>
    </w:rPr>
  </w:style>
  <w:style w:type="table" w:styleId="TableGrid">
    <w:name w:val="Table Grid"/>
    <w:basedOn w:val="TableNormal"/>
    <w:uiPriority w:val="59"/>
    <w:rsid w:val="00F3148D"/>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ind w:left="170" w:right="170"/>
    </w:pPr>
    <w:rPr>
      <w:color w:val="000000"/>
      <w:szCs w:val="21"/>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ind w:left="170" w:right="170"/>
    </w:pPr>
    <w:rPr>
      <w:color w:val="00000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F3148D"/>
    <w:rPr>
      <w:rFonts w:ascii="Arial" w:eastAsia="Times New Roman" w:hAnsi="Arial"/>
      <w:spacing w:val="5"/>
      <w:kern w:val="28"/>
      <w:sz w:val="52"/>
      <w:szCs w:val="52"/>
      <w:lang w:val="en-AU" w:eastAsia="en-US" w:bidi="ar-SA"/>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imes New Roman"/>
      <w:color w:val="002035"/>
      <w:sz w:val="28"/>
      <w:lang w:val="en-US"/>
    </w:rPr>
  </w:style>
  <w:style w:type="paragraph" w:customStyle="1" w:styleId="Default">
    <w:name w:val="Default"/>
    <w:rsid w:val="00F40DCE"/>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uiPriority w:val="99"/>
    <w:semiHidden/>
    <w:unhideWhenUsed/>
    <w:rsid w:val="00E9313D"/>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E9313D"/>
    <w:rPr>
      <w:sz w:val="18"/>
      <w:lang w:eastAsia="en-US"/>
    </w:rPr>
  </w:style>
  <w:style w:type="character" w:styleId="FootnoteReference">
    <w:name w:val="footnote reference"/>
    <w:basedOn w:val="DefaultParagraphFont"/>
    <w:uiPriority w:val="99"/>
    <w:semiHidden/>
    <w:unhideWhenUsed/>
    <w:rsid w:val="00F40DCE"/>
    <w:rPr>
      <w:vertAlign w:val="superscript"/>
    </w:rPr>
  </w:style>
  <w:style w:type="paragraph" w:customStyle="1" w:styleId="Bullet1">
    <w:name w:val="Bullet 1"/>
    <w:basedOn w:val="Normal"/>
    <w:rsid w:val="00A86DE1"/>
    <w:pPr>
      <w:numPr>
        <w:numId w:val="29"/>
      </w:numPr>
      <w:spacing w:after="0" w:line="240" w:lineRule="auto"/>
    </w:pPr>
    <w:rPr>
      <w:rFonts w:eastAsia="Times New Roman"/>
      <w:kern w:val="24"/>
      <w:szCs w:val="24"/>
      <w:lang w:eastAsia="en-AU"/>
    </w:rPr>
  </w:style>
  <w:style w:type="paragraph" w:customStyle="1" w:styleId="Bullet2">
    <w:name w:val="Bullet 2"/>
    <w:basedOn w:val="Bullet1"/>
    <w:rsid w:val="00A86DE1"/>
    <w:pPr>
      <w:numPr>
        <w:numId w:val="30"/>
      </w:numPr>
    </w:pPr>
  </w:style>
  <w:style w:type="character" w:customStyle="1" w:styleId="Heading8Char">
    <w:name w:val="Heading 8 Char"/>
    <w:basedOn w:val="DefaultParagraphFont"/>
    <w:link w:val="Heading8"/>
    <w:uiPriority w:val="9"/>
    <w:semiHidden/>
    <w:rsid w:val="00EB1C0B"/>
    <w:rPr>
      <w:rFonts w:ascii="Calibri" w:eastAsia="Times New Roman" w:hAnsi="Calibri" w:cs="Times New Roman"/>
      <w:i/>
      <w:iCs/>
      <w:sz w:val="24"/>
      <w:szCs w:val="24"/>
      <w:lang w:eastAsia="en-US"/>
    </w:rPr>
  </w:style>
  <w:style w:type="paragraph" w:styleId="ListParagraph">
    <w:name w:val="List Paragraph"/>
    <w:basedOn w:val="Normal"/>
    <w:uiPriority w:val="34"/>
    <w:qFormat/>
    <w:rsid w:val="004442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 w:type="character" w:customStyle="1" w:styleId="st1">
    <w:name w:val="st1"/>
    <w:basedOn w:val="DefaultParagraphFont"/>
    <w:rsid w:val="005D062F"/>
  </w:style>
  <w:style w:type="paragraph" w:styleId="TableofAuthorities">
    <w:name w:val="table of authorities"/>
    <w:basedOn w:val="Normal"/>
    <w:next w:val="Normal"/>
    <w:uiPriority w:val="99"/>
    <w:unhideWhenUsed/>
    <w:rsid w:val="00C864EE"/>
    <w:pPr>
      <w:spacing w:after="0"/>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7466"/>
    <w:pPr>
      <w:spacing w:before="120" w:after="120" w:line="240" w:lineRule="atLeast"/>
    </w:pPr>
    <w:rPr>
      <w:sz w:val="22"/>
      <w:szCs w:val="22"/>
      <w:lang w:eastAsia="en-US"/>
    </w:rPr>
  </w:style>
  <w:style w:type="paragraph" w:styleId="Heading1">
    <w:name w:val="heading 1"/>
    <w:basedOn w:val="Heading2"/>
    <w:next w:val="Normal"/>
    <w:link w:val="Heading1Char"/>
    <w:qFormat/>
    <w:rsid w:val="000C690F"/>
    <w:pPr>
      <w:spacing w:before="120" w:after="360"/>
      <w:outlineLvl w:val="0"/>
    </w:pPr>
    <w:rPr>
      <w:rFonts w:cs="Arial"/>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EB1C0B"/>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Arial" w:eastAsia="Times New Roman" w:hAnsi="Arial" w:cs="Arial"/>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C864EE"/>
    <w:pPr>
      <w:spacing w:before="0" w:line="240" w:lineRule="auto"/>
    </w:pPr>
    <w:rPr>
      <w:sz w:val="18"/>
      <w:szCs w:val="19"/>
    </w:rPr>
  </w:style>
  <w:style w:type="table" w:styleId="TableGrid">
    <w:name w:val="Table Grid"/>
    <w:basedOn w:val="TableNormal"/>
    <w:uiPriority w:val="59"/>
    <w:rsid w:val="00F3148D"/>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ind w:left="170" w:right="170"/>
    </w:pPr>
    <w:rPr>
      <w:color w:val="000000"/>
      <w:szCs w:val="21"/>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ind w:left="170" w:right="170"/>
    </w:pPr>
    <w:rPr>
      <w:color w:val="00000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F3148D"/>
    <w:rPr>
      <w:rFonts w:ascii="Arial" w:eastAsia="Times New Roman" w:hAnsi="Arial"/>
      <w:spacing w:val="5"/>
      <w:kern w:val="28"/>
      <w:sz w:val="52"/>
      <w:szCs w:val="52"/>
      <w:lang w:val="en-AU" w:eastAsia="en-US" w:bidi="ar-SA"/>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imes New Roman"/>
      <w:color w:val="002035"/>
      <w:sz w:val="28"/>
      <w:lang w:val="en-US"/>
    </w:rPr>
  </w:style>
  <w:style w:type="paragraph" w:customStyle="1" w:styleId="Default">
    <w:name w:val="Default"/>
    <w:rsid w:val="00F40DCE"/>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uiPriority w:val="99"/>
    <w:semiHidden/>
    <w:unhideWhenUsed/>
    <w:rsid w:val="00E9313D"/>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E9313D"/>
    <w:rPr>
      <w:sz w:val="18"/>
      <w:lang w:eastAsia="en-US"/>
    </w:rPr>
  </w:style>
  <w:style w:type="character" w:styleId="FootnoteReference">
    <w:name w:val="footnote reference"/>
    <w:basedOn w:val="DefaultParagraphFont"/>
    <w:uiPriority w:val="99"/>
    <w:semiHidden/>
    <w:unhideWhenUsed/>
    <w:rsid w:val="00F40DCE"/>
    <w:rPr>
      <w:vertAlign w:val="superscript"/>
    </w:rPr>
  </w:style>
  <w:style w:type="paragraph" w:customStyle="1" w:styleId="Bullet1">
    <w:name w:val="Bullet 1"/>
    <w:basedOn w:val="Normal"/>
    <w:rsid w:val="00A86DE1"/>
    <w:pPr>
      <w:numPr>
        <w:numId w:val="29"/>
      </w:numPr>
      <w:spacing w:after="0" w:line="240" w:lineRule="auto"/>
    </w:pPr>
    <w:rPr>
      <w:rFonts w:eastAsia="Times New Roman"/>
      <w:kern w:val="24"/>
      <w:szCs w:val="24"/>
      <w:lang w:eastAsia="en-AU"/>
    </w:rPr>
  </w:style>
  <w:style w:type="paragraph" w:customStyle="1" w:styleId="Bullet2">
    <w:name w:val="Bullet 2"/>
    <w:basedOn w:val="Bullet1"/>
    <w:rsid w:val="00A86DE1"/>
    <w:pPr>
      <w:numPr>
        <w:numId w:val="30"/>
      </w:numPr>
    </w:pPr>
  </w:style>
  <w:style w:type="character" w:customStyle="1" w:styleId="Heading8Char">
    <w:name w:val="Heading 8 Char"/>
    <w:basedOn w:val="DefaultParagraphFont"/>
    <w:link w:val="Heading8"/>
    <w:uiPriority w:val="9"/>
    <w:semiHidden/>
    <w:rsid w:val="00EB1C0B"/>
    <w:rPr>
      <w:rFonts w:ascii="Calibri" w:eastAsia="Times New Roman" w:hAnsi="Calibri" w:cs="Times New Roman"/>
      <w:i/>
      <w:iCs/>
      <w:sz w:val="24"/>
      <w:szCs w:val="24"/>
      <w:lang w:eastAsia="en-US"/>
    </w:rPr>
  </w:style>
  <w:style w:type="paragraph" w:styleId="ListParagraph">
    <w:name w:val="List Paragraph"/>
    <w:basedOn w:val="Normal"/>
    <w:uiPriority w:val="34"/>
    <w:qFormat/>
    <w:rsid w:val="0044426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 w:type="character" w:customStyle="1" w:styleId="st1">
    <w:name w:val="st1"/>
    <w:basedOn w:val="DefaultParagraphFont"/>
    <w:rsid w:val="005D062F"/>
  </w:style>
  <w:style w:type="paragraph" w:styleId="TableofAuthorities">
    <w:name w:val="table of authorities"/>
    <w:basedOn w:val="Normal"/>
    <w:next w:val="Normal"/>
    <w:uiPriority w:val="99"/>
    <w:unhideWhenUsed/>
    <w:rsid w:val="00C864EE"/>
    <w:pPr>
      <w:spacing w:after="0"/>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header" Target="header4.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www.tga.gov.au/hp/information-medicines-pi.htm" TargetMode="External"/><Relationship Id="rId28" Type="http://schemas.openxmlformats.org/officeDocument/2006/relationships/footer" Target="footer3.xml"/><Relationship Id="rId10" Type="http://schemas.openxmlformats.org/officeDocument/2006/relationships/hyperlink" Target="mailto:tga.copyright@tga.gov.au" TargetMode="External"/><Relationship Id="rId19" Type="http://schemas.openxmlformats.org/officeDocument/2006/relationships/image" Target="media/image8.jpeg"/><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tp\AppData\Local\Hewlett-Packard\HP%20TRIM\TEMP\HPTRIM.18668\t0T4437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EB469-321F-4257-91E0-D5D2FBBF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t0T4437A.DOTX</Template>
  <TotalTime>83</TotalTime>
  <Pages>31</Pages>
  <Words>12130</Words>
  <Characters>65140</Characters>
  <Application>Microsoft Office Word</Application>
  <DocSecurity>0</DocSecurity>
  <Lines>1163</Lines>
  <Paragraphs>498</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TGA</Company>
  <LinksUpToDate>false</LinksUpToDate>
  <CharactersWithSpaces>76772</CharactersWithSpaces>
  <SharedDoc>false</SharedDoc>
  <HLinks>
    <vt:vector size="192" baseType="variant">
      <vt:variant>
        <vt:i4>5701660</vt:i4>
      </vt:variant>
      <vt:variant>
        <vt:i4>171</vt:i4>
      </vt:variant>
      <vt:variant>
        <vt:i4>0</vt:i4>
      </vt:variant>
      <vt:variant>
        <vt:i4>5</vt:i4>
      </vt:variant>
      <vt:variant>
        <vt:lpwstr>http://www.tga.gov.au/hp/information-medicines-pi.htm</vt:lpwstr>
      </vt:variant>
      <vt:variant>
        <vt:lpwstr/>
      </vt:variant>
      <vt:variant>
        <vt:i4>1703986</vt:i4>
      </vt:variant>
      <vt:variant>
        <vt:i4>164</vt:i4>
      </vt:variant>
      <vt:variant>
        <vt:i4>0</vt:i4>
      </vt:variant>
      <vt:variant>
        <vt:i4>5</vt:i4>
      </vt:variant>
      <vt:variant>
        <vt:lpwstr/>
      </vt:variant>
      <vt:variant>
        <vt:lpwstr>_Toc379198138</vt:lpwstr>
      </vt:variant>
      <vt:variant>
        <vt:i4>1703986</vt:i4>
      </vt:variant>
      <vt:variant>
        <vt:i4>158</vt:i4>
      </vt:variant>
      <vt:variant>
        <vt:i4>0</vt:i4>
      </vt:variant>
      <vt:variant>
        <vt:i4>5</vt:i4>
      </vt:variant>
      <vt:variant>
        <vt:lpwstr/>
      </vt:variant>
      <vt:variant>
        <vt:lpwstr>_Toc379198137</vt:lpwstr>
      </vt:variant>
      <vt:variant>
        <vt:i4>1703986</vt:i4>
      </vt:variant>
      <vt:variant>
        <vt:i4>152</vt:i4>
      </vt:variant>
      <vt:variant>
        <vt:i4>0</vt:i4>
      </vt:variant>
      <vt:variant>
        <vt:i4>5</vt:i4>
      </vt:variant>
      <vt:variant>
        <vt:lpwstr/>
      </vt:variant>
      <vt:variant>
        <vt:lpwstr>_Toc379198136</vt:lpwstr>
      </vt:variant>
      <vt:variant>
        <vt:i4>1703986</vt:i4>
      </vt:variant>
      <vt:variant>
        <vt:i4>146</vt:i4>
      </vt:variant>
      <vt:variant>
        <vt:i4>0</vt:i4>
      </vt:variant>
      <vt:variant>
        <vt:i4>5</vt:i4>
      </vt:variant>
      <vt:variant>
        <vt:lpwstr/>
      </vt:variant>
      <vt:variant>
        <vt:lpwstr>_Toc379198135</vt:lpwstr>
      </vt:variant>
      <vt:variant>
        <vt:i4>1703986</vt:i4>
      </vt:variant>
      <vt:variant>
        <vt:i4>140</vt:i4>
      </vt:variant>
      <vt:variant>
        <vt:i4>0</vt:i4>
      </vt:variant>
      <vt:variant>
        <vt:i4>5</vt:i4>
      </vt:variant>
      <vt:variant>
        <vt:lpwstr/>
      </vt:variant>
      <vt:variant>
        <vt:lpwstr>_Toc379198134</vt:lpwstr>
      </vt:variant>
      <vt:variant>
        <vt:i4>1703986</vt:i4>
      </vt:variant>
      <vt:variant>
        <vt:i4>134</vt:i4>
      </vt:variant>
      <vt:variant>
        <vt:i4>0</vt:i4>
      </vt:variant>
      <vt:variant>
        <vt:i4>5</vt:i4>
      </vt:variant>
      <vt:variant>
        <vt:lpwstr/>
      </vt:variant>
      <vt:variant>
        <vt:lpwstr>_Toc379198133</vt:lpwstr>
      </vt:variant>
      <vt:variant>
        <vt:i4>1703986</vt:i4>
      </vt:variant>
      <vt:variant>
        <vt:i4>128</vt:i4>
      </vt:variant>
      <vt:variant>
        <vt:i4>0</vt:i4>
      </vt:variant>
      <vt:variant>
        <vt:i4>5</vt:i4>
      </vt:variant>
      <vt:variant>
        <vt:lpwstr/>
      </vt:variant>
      <vt:variant>
        <vt:lpwstr>_Toc379198132</vt:lpwstr>
      </vt:variant>
      <vt:variant>
        <vt:i4>1703986</vt:i4>
      </vt:variant>
      <vt:variant>
        <vt:i4>122</vt:i4>
      </vt:variant>
      <vt:variant>
        <vt:i4>0</vt:i4>
      </vt:variant>
      <vt:variant>
        <vt:i4>5</vt:i4>
      </vt:variant>
      <vt:variant>
        <vt:lpwstr/>
      </vt:variant>
      <vt:variant>
        <vt:lpwstr>_Toc379198131</vt:lpwstr>
      </vt:variant>
      <vt:variant>
        <vt:i4>1703986</vt:i4>
      </vt:variant>
      <vt:variant>
        <vt:i4>116</vt:i4>
      </vt:variant>
      <vt:variant>
        <vt:i4>0</vt:i4>
      </vt:variant>
      <vt:variant>
        <vt:i4>5</vt:i4>
      </vt:variant>
      <vt:variant>
        <vt:lpwstr/>
      </vt:variant>
      <vt:variant>
        <vt:lpwstr>_Toc379198130</vt:lpwstr>
      </vt:variant>
      <vt:variant>
        <vt:i4>1769522</vt:i4>
      </vt:variant>
      <vt:variant>
        <vt:i4>110</vt:i4>
      </vt:variant>
      <vt:variant>
        <vt:i4>0</vt:i4>
      </vt:variant>
      <vt:variant>
        <vt:i4>5</vt:i4>
      </vt:variant>
      <vt:variant>
        <vt:lpwstr/>
      </vt:variant>
      <vt:variant>
        <vt:lpwstr>_Toc379198129</vt:lpwstr>
      </vt:variant>
      <vt:variant>
        <vt:i4>1769522</vt:i4>
      </vt:variant>
      <vt:variant>
        <vt:i4>104</vt:i4>
      </vt:variant>
      <vt:variant>
        <vt:i4>0</vt:i4>
      </vt:variant>
      <vt:variant>
        <vt:i4>5</vt:i4>
      </vt:variant>
      <vt:variant>
        <vt:lpwstr/>
      </vt:variant>
      <vt:variant>
        <vt:lpwstr>_Toc379198128</vt:lpwstr>
      </vt:variant>
      <vt:variant>
        <vt:i4>1769522</vt:i4>
      </vt:variant>
      <vt:variant>
        <vt:i4>98</vt:i4>
      </vt:variant>
      <vt:variant>
        <vt:i4>0</vt:i4>
      </vt:variant>
      <vt:variant>
        <vt:i4>5</vt:i4>
      </vt:variant>
      <vt:variant>
        <vt:lpwstr/>
      </vt:variant>
      <vt:variant>
        <vt:lpwstr>_Toc379198127</vt:lpwstr>
      </vt:variant>
      <vt:variant>
        <vt:i4>1769522</vt:i4>
      </vt:variant>
      <vt:variant>
        <vt:i4>92</vt:i4>
      </vt:variant>
      <vt:variant>
        <vt:i4>0</vt:i4>
      </vt:variant>
      <vt:variant>
        <vt:i4>5</vt:i4>
      </vt:variant>
      <vt:variant>
        <vt:lpwstr/>
      </vt:variant>
      <vt:variant>
        <vt:lpwstr>_Toc379198126</vt:lpwstr>
      </vt:variant>
      <vt:variant>
        <vt:i4>1769522</vt:i4>
      </vt:variant>
      <vt:variant>
        <vt:i4>86</vt:i4>
      </vt:variant>
      <vt:variant>
        <vt:i4>0</vt:i4>
      </vt:variant>
      <vt:variant>
        <vt:i4>5</vt:i4>
      </vt:variant>
      <vt:variant>
        <vt:lpwstr/>
      </vt:variant>
      <vt:variant>
        <vt:lpwstr>_Toc379198125</vt:lpwstr>
      </vt:variant>
      <vt:variant>
        <vt:i4>1769522</vt:i4>
      </vt:variant>
      <vt:variant>
        <vt:i4>80</vt:i4>
      </vt:variant>
      <vt:variant>
        <vt:i4>0</vt:i4>
      </vt:variant>
      <vt:variant>
        <vt:i4>5</vt:i4>
      </vt:variant>
      <vt:variant>
        <vt:lpwstr/>
      </vt:variant>
      <vt:variant>
        <vt:lpwstr>_Toc379198124</vt:lpwstr>
      </vt:variant>
      <vt:variant>
        <vt:i4>1769522</vt:i4>
      </vt:variant>
      <vt:variant>
        <vt:i4>74</vt:i4>
      </vt:variant>
      <vt:variant>
        <vt:i4>0</vt:i4>
      </vt:variant>
      <vt:variant>
        <vt:i4>5</vt:i4>
      </vt:variant>
      <vt:variant>
        <vt:lpwstr/>
      </vt:variant>
      <vt:variant>
        <vt:lpwstr>_Toc379198123</vt:lpwstr>
      </vt:variant>
      <vt:variant>
        <vt:i4>1769522</vt:i4>
      </vt:variant>
      <vt:variant>
        <vt:i4>68</vt:i4>
      </vt:variant>
      <vt:variant>
        <vt:i4>0</vt:i4>
      </vt:variant>
      <vt:variant>
        <vt:i4>5</vt:i4>
      </vt:variant>
      <vt:variant>
        <vt:lpwstr/>
      </vt:variant>
      <vt:variant>
        <vt:lpwstr>_Toc379198122</vt:lpwstr>
      </vt:variant>
      <vt:variant>
        <vt:i4>1769522</vt:i4>
      </vt:variant>
      <vt:variant>
        <vt:i4>62</vt:i4>
      </vt:variant>
      <vt:variant>
        <vt:i4>0</vt:i4>
      </vt:variant>
      <vt:variant>
        <vt:i4>5</vt:i4>
      </vt:variant>
      <vt:variant>
        <vt:lpwstr/>
      </vt:variant>
      <vt:variant>
        <vt:lpwstr>_Toc379198121</vt:lpwstr>
      </vt:variant>
      <vt:variant>
        <vt:i4>1769522</vt:i4>
      </vt:variant>
      <vt:variant>
        <vt:i4>56</vt:i4>
      </vt:variant>
      <vt:variant>
        <vt:i4>0</vt:i4>
      </vt:variant>
      <vt:variant>
        <vt:i4>5</vt:i4>
      </vt:variant>
      <vt:variant>
        <vt:lpwstr/>
      </vt:variant>
      <vt:variant>
        <vt:lpwstr>_Toc379198120</vt:lpwstr>
      </vt:variant>
      <vt:variant>
        <vt:i4>1572914</vt:i4>
      </vt:variant>
      <vt:variant>
        <vt:i4>50</vt:i4>
      </vt:variant>
      <vt:variant>
        <vt:i4>0</vt:i4>
      </vt:variant>
      <vt:variant>
        <vt:i4>5</vt:i4>
      </vt:variant>
      <vt:variant>
        <vt:lpwstr/>
      </vt:variant>
      <vt:variant>
        <vt:lpwstr>_Toc379198119</vt:lpwstr>
      </vt:variant>
      <vt:variant>
        <vt:i4>1572914</vt:i4>
      </vt:variant>
      <vt:variant>
        <vt:i4>44</vt:i4>
      </vt:variant>
      <vt:variant>
        <vt:i4>0</vt:i4>
      </vt:variant>
      <vt:variant>
        <vt:i4>5</vt:i4>
      </vt:variant>
      <vt:variant>
        <vt:lpwstr/>
      </vt:variant>
      <vt:variant>
        <vt:lpwstr>_Toc379198118</vt:lpwstr>
      </vt:variant>
      <vt:variant>
        <vt:i4>1572914</vt:i4>
      </vt:variant>
      <vt:variant>
        <vt:i4>38</vt:i4>
      </vt:variant>
      <vt:variant>
        <vt:i4>0</vt:i4>
      </vt:variant>
      <vt:variant>
        <vt:i4>5</vt:i4>
      </vt:variant>
      <vt:variant>
        <vt:lpwstr/>
      </vt:variant>
      <vt:variant>
        <vt:lpwstr>_Toc379198117</vt:lpwstr>
      </vt:variant>
      <vt:variant>
        <vt:i4>1572914</vt:i4>
      </vt:variant>
      <vt:variant>
        <vt:i4>32</vt:i4>
      </vt:variant>
      <vt:variant>
        <vt:i4>0</vt:i4>
      </vt:variant>
      <vt:variant>
        <vt:i4>5</vt:i4>
      </vt:variant>
      <vt:variant>
        <vt:lpwstr/>
      </vt:variant>
      <vt:variant>
        <vt:lpwstr>_Toc379198116</vt:lpwstr>
      </vt:variant>
      <vt:variant>
        <vt:i4>1572914</vt:i4>
      </vt:variant>
      <vt:variant>
        <vt:i4>26</vt:i4>
      </vt:variant>
      <vt:variant>
        <vt:i4>0</vt:i4>
      </vt:variant>
      <vt:variant>
        <vt:i4>5</vt:i4>
      </vt:variant>
      <vt:variant>
        <vt:lpwstr/>
      </vt:variant>
      <vt:variant>
        <vt:lpwstr>_Toc379198115</vt:lpwstr>
      </vt:variant>
      <vt:variant>
        <vt:i4>1572914</vt:i4>
      </vt:variant>
      <vt:variant>
        <vt:i4>20</vt:i4>
      </vt:variant>
      <vt:variant>
        <vt:i4>0</vt:i4>
      </vt:variant>
      <vt:variant>
        <vt:i4>5</vt:i4>
      </vt:variant>
      <vt:variant>
        <vt:lpwstr/>
      </vt:variant>
      <vt:variant>
        <vt:lpwstr>_Toc379198114</vt:lpwstr>
      </vt:variant>
      <vt:variant>
        <vt:i4>1572914</vt:i4>
      </vt:variant>
      <vt:variant>
        <vt:i4>14</vt:i4>
      </vt:variant>
      <vt:variant>
        <vt:i4>0</vt:i4>
      </vt:variant>
      <vt:variant>
        <vt:i4>5</vt:i4>
      </vt:variant>
      <vt:variant>
        <vt:lpwstr/>
      </vt:variant>
      <vt:variant>
        <vt:lpwstr>_Toc379198113</vt:lpwstr>
      </vt:variant>
      <vt:variant>
        <vt:i4>1572914</vt:i4>
      </vt:variant>
      <vt:variant>
        <vt:i4>8</vt:i4>
      </vt:variant>
      <vt:variant>
        <vt:i4>0</vt:i4>
      </vt:variant>
      <vt:variant>
        <vt:i4>5</vt:i4>
      </vt:variant>
      <vt:variant>
        <vt:lpwstr/>
      </vt:variant>
      <vt:variant>
        <vt:lpwstr>_Toc379198112</vt:lpwstr>
      </vt:variant>
      <vt:variant>
        <vt:i4>6291548</vt:i4>
      </vt:variant>
      <vt:variant>
        <vt:i4>3</vt:i4>
      </vt:variant>
      <vt:variant>
        <vt:i4>0</vt:i4>
      </vt:variant>
      <vt:variant>
        <vt:i4>5</vt:i4>
      </vt:variant>
      <vt:variant>
        <vt:lpwstr>mailto:tga.copyright@tga.gov.au</vt:lpwstr>
      </vt:variant>
      <vt:variant>
        <vt:lpwstr/>
      </vt:variant>
      <vt:variant>
        <vt:i4>6357037</vt:i4>
      </vt:variant>
      <vt:variant>
        <vt:i4>0</vt:i4>
      </vt:variant>
      <vt:variant>
        <vt:i4>0</vt:i4>
      </vt:variant>
      <vt:variant>
        <vt:i4>5</vt:i4>
      </vt:variant>
      <vt:variant>
        <vt:lpwstr>http://www.tga.gov.au/</vt:lpwstr>
      </vt:variant>
      <vt:variant>
        <vt:lpwstr/>
      </vt:variant>
      <vt:variant>
        <vt:i4>6357037</vt:i4>
      </vt:variant>
      <vt:variant>
        <vt:i4>18</vt:i4>
      </vt:variant>
      <vt:variant>
        <vt:i4>0</vt:i4>
      </vt:variant>
      <vt:variant>
        <vt:i4>5</vt:i4>
      </vt:variant>
      <vt:variant>
        <vt:lpwstr>http://www.tga.gov.au/</vt:lpwstr>
      </vt:variant>
      <vt:variant>
        <vt:lpwstr/>
      </vt:variant>
      <vt:variant>
        <vt:i4>5242926</vt:i4>
      </vt:variant>
      <vt:variant>
        <vt:i4>15</vt:i4>
      </vt:variant>
      <vt:variant>
        <vt:i4>0</vt:i4>
      </vt:variant>
      <vt:variant>
        <vt:i4>5</vt:i4>
      </vt:variant>
      <vt:variant>
        <vt:lpwstr>mailto:info@tga.gov.au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Japanese Encephalitis Vaccine (live, attenuated) (Imojev)</dc:title>
  <dc:subject>prescription medicine regulation</dc:subject>
  <dc:creator>Therapeutic Goods Administration</dc:creator>
  <cp:keywords>auspar, prescription, medicine, assessment, regulation, australia, japanese, encephalitis, vaccine, live, attenuated, imojev, sanofi-aventis</cp:keywords>
  <cp:lastModifiedBy>Sheppard, Fran</cp:lastModifiedBy>
  <cp:revision>13</cp:revision>
  <cp:lastPrinted>2010-12-20T22:59:00Z</cp:lastPrinted>
  <dcterms:created xsi:type="dcterms:W3CDTF">2014-03-17T23:31:00Z</dcterms:created>
  <dcterms:modified xsi:type="dcterms:W3CDTF">2014-03-19T05:47:00Z</dcterms:modified>
</cp:coreProperties>
</file>